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12b-25</w:t>
      </w:r>
    </w:p>
    <w:p>
      <w:pPr>
        <w:spacing w:after="0" w:line="2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188" w:lineRule="exact"/>
        <w:rPr>
          <w:sz w:val="24"/>
          <w:szCs w:val="24"/>
          <w:color w:val="auto"/>
        </w:rPr>
      </w:pPr>
    </w:p>
    <w:p>
      <w:pPr>
        <w:jc w:val="right"/>
        <w:spacing w:after="0" w:line="207" w:lineRule="exact"/>
        <w:rPr>
          <w:sz w:val="20"/>
          <w:szCs w:val="20"/>
          <w:color w:val="auto"/>
        </w:rPr>
      </w:pPr>
      <w:r>
        <w:rPr>
          <w:rFonts w:ascii="Times New Roman" w:cs="Times New Roman" w:eastAsia="Times New Roman" w:hAnsi="Times New Roman"/>
          <w:sz w:val="18"/>
          <w:szCs w:val="18"/>
          <w:i w:val="1"/>
          <w:iCs w:val="1"/>
          <w:color w:val="auto"/>
        </w:rPr>
        <w:t xml:space="preserve">(Check One):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20-F</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11-K</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10-Q</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10-D</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N-CEN</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N-CSR</w:t>
      </w:r>
    </w:p>
    <w:p>
      <w:pPr>
        <w:spacing w:after="0" w:line="266"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For Period Ended: March 31, 2025</w:t>
      </w:r>
    </w:p>
    <w:p>
      <w:pPr>
        <w:spacing w:after="0" w:line="225" w:lineRule="exact"/>
        <w:rPr>
          <w:sz w:val="24"/>
          <w:szCs w:val="24"/>
          <w:color w:val="auto"/>
        </w:rPr>
      </w:pPr>
    </w:p>
    <w:p>
      <w:pPr>
        <w:ind w:left="3360" w:hanging="207"/>
        <w:spacing w:after="0"/>
        <w:tabs>
          <w:tab w:leader="none" w:pos="3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29" w:lineRule="exact"/>
        <w:rPr>
          <w:rFonts w:ascii="MS PGothic" w:cs="MS PGothic" w:eastAsia="MS PGothic" w:hAnsi="MS PGothic"/>
          <w:sz w:val="18"/>
          <w:szCs w:val="18"/>
          <w:color w:val="auto"/>
        </w:rPr>
      </w:pPr>
    </w:p>
    <w:p>
      <w:pPr>
        <w:ind w:left="3360" w:hanging="207"/>
        <w:spacing w:after="0"/>
        <w:tabs>
          <w:tab w:leader="none" w:pos="3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3360" w:hanging="207"/>
        <w:spacing w:after="0"/>
        <w:tabs>
          <w:tab w:leader="none" w:pos="3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3360" w:hanging="207"/>
        <w:spacing w:after="0"/>
        <w:tabs>
          <w:tab w:leader="none" w:pos="3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205"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Read Instruction (on back page) Before Preparing Form. Please Print or Type.</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I-REGISTRANT INFORMATION</w:t>
      </w:r>
    </w:p>
    <w:p>
      <w:pPr>
        <w:spacing w:after="0" w:line="2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Sono Group N.V.</w:t>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Waldmeisterstraße 93</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80935 Munich, Germany</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1064" w:right="35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RULE 12b-25 (b) AND (c)</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(a)The reason described in reasonable detail in Part III of this form could not be eliminated without unreasonable effort or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-119380</wp:posOffset>
            </wp:positionV>
            <wp:extent cx="8890" cy="8229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82296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(b)The subject annual report, semi-annual report, transition report on Form 10-K, Form 20-F, Form 11-K, Form N-CEN or Form N-CSR, or portion</w:t>
      </w:r>
    </w:p>
    <w:p>
      <w:pPr>
        <w:spacing w:after="0" w:line="9" w:lineRule="exact"/>
        <w:rPr>
          <w:sz w:val="20"/>
          <w:szCs w:val="20"/>
          <w:color w:val="auto"/>
        </w:rPr>
      </w:pPr>
    </w:p>
    <w:p>
      <w:pPr>
        <w:jc w:val="both"/>
        <w:ind w:left="800" w:hanging="664"/>
        <w:spacing w:after="0" w:line="183" w:lineRule="auto"/>
        <w:tabs>
          <w:tab w:leader="none" w:pos="800" w:val="left"/>
        </w:tabs>
        <w:numPr>
          <w:ilvl w:val="0"/>
          <w:numId w:val="2"/>
        </w:numPr>
        <w:rPr>
          <w:rFonts w:ascii="Arial" w:cs="Arial" w:eastAsia="Arial" w:hAnsi="Arial"/>
          <w:sz w:val="34"/>
          <w:szCs w:val="34"/>
          <w:color w:val="auto"/>
          <w:vertAlign w:val="subscript"/>
        </w:rPr>
      </w:pPr>
      <w:r>
        <w:rPr>
          <w:rFonts w:ascii="Times New Roman" w:cs="Times New Roman" w:eastAsia="Times New Roman" w:hAnsi="Times New Roman"/>
          <w:sz w:val="17"/>
          <w:szCs w:val="17"/>
          <w:color w:val="auto"/>
        </w:rPr>
        <w:t>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(c)The accountant’s statement or other exhibit required by Rule 12b-25(c) has been attached if applicable.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Sono Group N.V.’s (the “Registrant”) management has been working to finalize the accounting adjustments resulting from the Registrant’s initial transition from International Financial Reporting Standards (“IFRS”) to U.S. Generally Accepted Accounting Principles (“U.S. GAAP”). In addition, the Company experienced a turnover of certain key members of the internal accounting staff, including the chief financial officer and controller. As a result, the Registrant is unable to file its Quarterly Report on Form 10-Q within the prescribed time period without unreasonable effort or expense. The Registrant expects to be able to file within the additional time allowed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George O’Leary</w:t>
            </w:r>
          </w:p>
        </w:tc>
        <w:tc>
          <w:tcPr>
            <w:tcW w:w="10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20"/>
                <w:szCs w:val="20"/>
                <w:color w:val="auto"/>
              </w:rPr>
            </w:pPr>
          </w:p>
        </w:tc>
        <w:tc>
          <w:tcPr>
            <w:tcW w:w="472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955-0727</w:t>
            </w:r>
          </w:p>
        </w:tc>
      </w:tr>
      <w:tr>
        <w:trPr>
          <w:trHeight w:val="191"/>
        </w:trPr>
        <w:tc>
          <w:tcPr>
            <w:tcW w:w="4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top w:val="single" w:sz="8" w:color="auto"/>
            </w:tcBorders>
          </w:tcPr>
          <w:p>
            <w:pPr>
              <w:jc w:val="center"/>
              <w:ind w:left="30"/>
              <w:spacing w:after="0" w:line="191" w:lineRule="exact"/>
              <w:rPr>
                <w:sz w:val="20"/>
                <w:szCs w:val="20"/>
                <w:color w:val="auto"/>
              </w:rPr>
            </w:pPr>
            <w:r>
              <w:rPr>
                <w:rFonts w:ascii="Times New Roman" w:cs="Times New Roman" w:eastAsia="Times New Roman" w:hAnsi="Times New Roman"/>
                <w:sz w:val="18"/>
                <w:szCs w:val="18"/>
                <w:color w:val="auto"/>
                <w:w w:val="97"/>
              </w:rPr>
              <w:t>(Area</w:t>
            </w:r>
          </w:p>
        </w:tc>
        <w:tc>
          <w:tcPr>
            <w:tcW w:w="100" w:type="dxa"/>
            <w:vAlign w:val="bottom"/>
          </w:tcPr>
          <w:p>
            <w:pPr>
              <w:spacing w:after="0"/>
              <w:rPr>
                <w:sz w:val="16"/>
                <w:szCs w:val="16"/>
                <w:color w:val="auto"/>
              </w:rPr>
            </w:pPr>
          </w:p>
        </w:tc>
        <w:tc>
          <w:tcPr>
            <w:tcW w:w="4720" w:type="dxa"/>
            <w:vAlign w:val="bottom"/>
            <w:tcBorders>
              <w:top w:val="single" w:sz="8" w:color="auto"/>
            </w:tcBorders>
          </w:tcPr>
          <w:p>
            <w:pPr>
              <w:spacing w:after="0"/>
              <w:rPr>
                <w:sz w:val="16"/>
                <w:szCs w:val="16"/>
                <w:color w:val="auto"/>
              </w:rPr>
            </w:pPr>
          </w:p>
        </w:tc>
      </w:tr>
      <w:tr>
        <w:trPr>
          <w:trHeight w:val="234"/>
        </w:trPr>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(Name)</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Code)</w:t>
            </w:r>
          </w:p>
        </w:tc>
        <w:tc>
          <w:tcPr>
            <w:tcW w:w="47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198" w:lineRule="exact"/>
        <w:rPr>
          <w:sz w:val="20"/>
          <w:szCs w:val="20"/>
          <w:color w:val="auto"/>
        </w:rPr>
      </w:pPr>
    </w:p>
    <w:p>
      <w:pPr>
        <w:ind w:left="460" w:right="120" w:hanging="452"/>
        <w:spacing w:after="0" w:line="232" w:lineRule="exact"/>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460" w:right="460" w:hanging="452"/>
        <w:spacing w:after="0" w:line="240" w:lineRule="exact"/>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it anticipated that any significant change in results of operations from the corresponding period for the last fiscal year will be reflected by the earnings statements to be included in the subject report or portion thereof?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w:t>
      </w:r>
    </w:p>
    <w:p>
      <w:pPr>
        <w:spacing w:after="0" w:line="169" w:lineRule="exact"/>
        <w:rPr>
          <w:rFonts w:ascii="Times New Roman" w:cs="Times New Roman" w:eastAsia="Times New Roman" w:hAnsi="Times New Roman"/>
          <w:sz w:val="18"/>
          <w:szCs w:val="18"/>
          <w:color w:val="auto"/>
        </w:rPr>
      </w:pPr>
    </w:p>
    <w:p>
      <w:pPr>
        <w:ind w:left="460" w:right="4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161" w:lineRule="exact"/>
        <w:rPr>
          <w:rFonts w:ascii="Times New Roman" w:cs="Times New Roman" w:eastAsia="Times New Roman" w:hAnsi="Times New Roman"/>
          <w:sz w:val="18"/>
          <w:szCs w:val="18"/>
          <w:color w:val="auto"/>
        </w:rPr>
      </w:pPr>
    </w:p>
    <w:p>
      <w:pPr>
        <w:ind w:left="460" w:right="2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the Registrant’s financial statements were prepared in accordance with IFRS as permitted in the United States under the status of a “foreign private issuer” as defined under Rule 3b-4 under the Securities Exchange Act of 1934, as amended. As of June 30, 2024, the Registrant determined that it no longer qualified as a “foreign private issuer” under the Securities and Exchange Commission rules. Consequently, the Registrant is now required to prepare its consolidated financial statements in accordance with U.S. GAAP. Due to differences in accounting treatments between IFRS and U.S. GAAP, certain amounts historically reported for the Registrant’s financial position, operating results, and cash flows under IFRS will change under U.S. GAAP standards, and therefore, will be incomparable to amounts previously reported under IFRS for all previous periods.</w:t>
      </w:r>
    </w:p>
    <w:p>
      <w:pPr>
        <w:spacing w:after="0" w:line="188" w:lineRule="exact"/>
        <w:rPr>
          <w:rFonts w:ascii="Times New Roman" w:cs="Times New Roman" w:eastAsia="Times New Roman" w:hAnsi="Times New Roman"/>
          <w:sz w:val="18"/>
          <w:szCs w:val="18"/>
          <w:color w:val="auto"/>
        </w:rPr>
      </w:pPr>
    </w:p>
    <w:p>
      <w:pPr>
        <w:ind w:left="460"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as a result of the change in filer status, the Registrant is now required to file quarterly reports on Form 10-Q, which represents a further change from its prior financial reporting practices as a foreign private issuer.</w:t>
      </w:r>
    </w:p>
    <w:p>
      <w:pPr>
        <w:spacing w:after="0" w:line="161" w:lineRule="exact"/>
        <w:rPr>
          <w:rFonts w:ascii="Times New Roman" w:cs="Times New Roman" w:eastAsia="Times New Roman" w:hAnsi="Times New Roman"/>
          <w:sz w:val="18"/>
          <w:szCs w:val="18"/>
          <w:color w:val="auto"/>
        </w:rPr>
      </w:pPr>
    </w:p>
    <w:p>
      <w:pPr>
        <w:ind w:left="460" w:right="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disclosed in the interim financial report for the first half of 2024 filed on December 6, 2024, the Registrant completed a restructuring in February 2024. The resulting gain from reconsolidation was recorded in the first quarter of 2024 and significantly impacted the results for that period. In contrast, the first quarter of 2025 reflects a substantially smaller amount of other income, primarily related to fair value adjustments on outstanding debt, leading to a material difference in reported net income compared to the prior-year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-3037205</wp:posOffset>
            </wp:positionV>
            <wp:extent cx="68408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2025</w:t>
            </w:r>
          </w:p>
        </w:tc>
        <w:tc>
          <w:tcPr>
            <w:tcW w:w="25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 O’Leary</w:t>
            </w:r>
          </w:p>
        </w:tc>
      </w:tr>
      <w:tr>
        <w:trPr>
          <w:trHeight w:val="191"/>
        </w:trPr>
        <w:tc>
          <w:tcPr>
            <w:tcW w:w="3440" w:type="dxa"/>
            <w:vAlign w:val="bottom"/>
          </w:tcPr>
          <w:p>
            <w:pPr>
              <w:spacing w:after="0"/>
              <w:rPr>
                <w:sz w:val="16"/>
                <w:szCs w:val="16"/>
                <w:color w:val="auto"/>
              </w:rPr>
            </w:pPr>
          </w:p>
        </w:tc>
        <w:tc>
          <w:tcPr>
            <w:tcW w:w="252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George O’Leary</w:t>
            </w:r>
          </w:p>
        </w:tc>
      </w:tr>
      <w:tr>
        <w:trPr>
          <w:trHeight w:val="234"/>
        </w:trPr>
        <w:tc>
          <w:tcPr>
            <w:tcW w:w="3440" w:type="dxa"/>
            <w:vAlign w:val="bottom"/>
          </w:tcPr>
          <w:p>
            <w:pPr>
              <w:spacing w:after="0"/>
              <w:rPr>
                <w:sz w:val="20"/>
                <w:szCs w:val="20"/>
                <w:color w:val="auto"/>
              </w:rPr>
            </w:pPr>
          </w:p>
        </w:tc>
        <w:tc>
          <w:tcPr>
            <w:tcW w:w="25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2025-05-16T05:17:51Z</dcterms:created>
  <dcterms:modified xsi:type="dcterms:W3CDTF">2025-05-16T05:17:51Z</dcterms:modified>
</cp:coreProperties>
</file>