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February 12, 2025</w:t>
      </w:r>
    </w:p>
    <w:p>
      <w:pPr>
        <w:spacing w:after="0" w:line="3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3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333333"/>
        </w:rPr>
        <w:t>The Netherlands</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333333"/>
        </w:rPr>
        <w:t>(State or other jurisdiction</w:t>
      </w:r>
    </w:p>
    <w:p>
      <w:pPr>
        <w:spacing w:after="0" w:line="9"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333333"/>
        </w:rPr>
        <w:t>of incorporation)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color w:val="333333"/>
        </w:rPr>
        <w:t>001-41066</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333333"/>
        </w:rPr>
        <w:t>(Commission File Number)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333333"/>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333333"/>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333333"/>
        </w:rPr>
        <w:t>Identification No.)</w:t>
      </w:r>
    </w:p>
    <w:p>
      <w:pPr>
        <w:spacing w:after="0" w:line="211" w:lineRule="exact"/>
        <w:rPr>
          <w:sz w:val="24"/>
          <w:szCs w:val="24"/>
          <w:color w:val="auto"/>
        </w:rPr>
      </w:pPr>
    </w:p>
    <w:p>
      <w:pPr>
        <w:sectPr>
          <w:pgSz w:w="11900" w:h="16838" w:orient="portrait"/>
          <w:cols w:equalWidth="0" w:num="3">
            <w:col w:w="3980" w:space="720"/>
            <w:col w:w="3300" w:space="720"/>
            <w:col w:w="2520"/>
          </w:cols>
          <w:pgMar w:left="320" w:top="200" w:right="339" w:bottom="1440" w:gutter="0" w:footer="0" w:header="0"/>
          <w:type w:val="continuous"/>
        </w:sectPr>
      </w:pPr>
    </w:p>
    <w:p>
      <w:pPr>
        <w:spacing w:after="0" w:line="16"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333333"/>
        </w:rPr>
        <w:t>+49 (0)89 4520 5818</w:t>
      </w:r>
    </w:p>
    <w:p>
      <w:pPr>
        <w:sectPr>
          <w:pgSz w:w="11900" w:h="16838" w:orient="portrait"/>
          <w:cols w:equalWidth="0" w:num="1">
            <w:col w:w="11240"/>
          </w:cols>
          <w:pgMar w:left="320" w:top="200" w:right="339" w:bottom="1440" w:gutter="0" w:footer="0" w:header="0"/>
          <w:type w:val="continuous"/>
        </w:sectPr>
      </w:pP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333333"/>
        </w:rPr>
        <w:t>(Registrant's telephone number, including area code)</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0" w:lineRule="exact"/>
        <w:rPr>
          <w:sz w:val="24"/>
          <w:szCs w:val="24"/>
          <w:color w:val="auto"/>
        </w:rPr>
      </w:pPr>
    </w:p>
    <w:p>
      <w:pPr>
        <w:spacing w:after="0" w:line="22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rFonts w:ascii="MS PGothic" w:cs="MS PGothic" w:eastAsia="MS PGothic" w:hAnsi="MS PGothic"/>
          <w:sz w:val="18"/>
          <w:szCs w:val="18"/>
          <w:color w:val="333333"/>
        </w:rPr>
      </w:pPr>
    </w:p>
    <w:p>
      <w:pPr>
        <w:ind w:left="220" w:hanging="212"/>
        <w:spacing w:after="0"/>
        <w:tabs>
          <w:tab w:leader="none" w:pos="22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30, 2024, Sono Group N.V. (the “Company”) entered into a securities purchase agreement (the “Securities Purchase Agreement”) with YA II PN, Ltd. (“Yorkville”), pursuant to which the Company agreed to sell and issue to Yorkville a new convertible debenture (the “Debenture”) in the aggregate principal amount of $5,000,000 subject to certain conditions and limitations, including the Company’s receipt of notice from Nasdaq that the Company has met all the applicable requirements for listing of the Company’s ordinary shares (the “Ordinary Shares”) on the Nasdaq Capital Market.</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February 12, 2025, the Company and Yorkville entered into an Omnibus Amendment to Transaction Documents (the “Omnibus Amendment”) pursuant to which the parties agreed to modify the terms of the Securities Purchase Agreement to, among other things, (i) provide for an immediate advance of $1,000,000 of the $5,000,000 in the form of a $1,000,000 secured convertible debenture (the “Advance Debenture”) and (ii) extend the termination date with respect to the obligations of Yorkville under the Securities Purchase Agreement from January 15, 2025 to February 28, 2025.</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Advance Debenture will mature on February 12, 2026. Further, interest accrues on the outstanding principal balance of the Advance Debenture at an annual rate of 12%, which will increase to an annual rate of 18% upon an Event of Default (as defined in the Advance Debenture) for so long as such Event of Default remains uncured. Yorkville will have the right to convert the Advance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Advance Debenture) then in effect and the nominal value of one Ordinary Share. Net proceeds to the Company from the Advance Debenture were $1,000,000.</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Sono Group N.V. continues to work with Nasdaq to respond to their questions and work toward meeting all the requirements for uplisting to the Nasdaq Capital Market.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Advance Debenture and Omnibus Amendment does not purport to be complete and is qualified in its entirety by the terms of the Advance Debenture and Omnibus Amendment, which are attached hereto as Exhibits 10.1 and 10.2,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gridSpan w:val="3"/>
          </w:tcPr>
          <w:p>
            <w:pPr>
              <w:spacing w:after="0"/>
              <w:rPr>
                <w:sz w:val="18"/>
                <w:szCs w:val="18"/>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Secured Convertible Debenture dated February 12, 2025</w:t>
            </w:r>
          </w:p>
        </w:tc>
        <w:tc>
          <w:tcPr>
            <w:tcW w:w="5860" w:type="dxa"/>
            <w:vAlign w:val="bottom"/>
          </w:tcPr>
          <w:p>
            <w:pPr>
              <w:spacing w:after="0"/>
              <w:rPr>
                <w:sz w:val="24"/>
                <w:szCs w:val="24"/>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Omnibus Amendment to Transaction Documents</w:t>
            </w:r>
          </w:p>
        </w:tc>
        <w:tc>
          <w:tcPr>
            <w:tcW w:w="6400" w:type="dxa"/>
            <w:vAlign w:val="bottom"/>
            <w:gridSpan w:val="2"/>
          </w:tcPr>
          <w:p>
            <w:pPr>
              <w:spacing w:after="0"/>
              <w:rPr>
                <w:sz w:val="24"/>
                <w:szCs w:val="24"/>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4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2025</w:t>
      </w:r>
    </w:p>
    <w:p>
      <w:pPr>
        <w:sectPr>
          <w:pgSz w:w="11900" w:h="16838" w:orient="portrait"/>
          <w:cols w:equalWidth="0" w:num="1">
            <w:col w:w="11200"/>
          </w:cols>
          <w:pgMar w:left="320" w:top="576" w:right="37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USD 1,000,000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February 12,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SEV-6a</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was originally issued pursuant to the Securities Purchase Agreement dated as of December 30, 2024,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February 12, 2026, as may be extended at the option of the Holder. Other than as specifically permitted by this Debenture, the Company may not prepay or redeem any portion of the outstanding Principal and accrued and unpaid Interest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wherever used herein, means any one of the following events (whatever the reason and whether 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voluntary or involuntary or effected by operation of law or pursuant to any judgment, decree or order of any court, or any order, rule or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administrative or governmental 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2592"/>
        <w:spacing w:after="0" w:line="250" w:lineRule="auto"/>
        <w:rPr>
          <w:sz w:val="20"/>
          <w:szCs w:val="20"/>
          <w:color w:val="auto"/>
        </w:rPr>
      </w:pPr>
      <w:r>
        <w:rPr>
          <w:rFonts w:ascii="Times New Roman" w:cs="Times New Roman" w:eastAsia="Times New Roman" w:hAnsi="Times New Roman"/>
          <w:sz w:val="18"/>
          <w:szCs w:val="18"/>
          <w:color w:val="auto"/>
        </w:rPr>
        <w:t>(iv)              The Company, any Subsidiary of the Company or any Guarantor shall be a party to any Change of Control Transaction (as defined in Section 14) unless in connection with such Change of Control Transaction this Debenture is retired;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(vi)            The Company shall fail for any reason to deliver the payment in cash pursuant to a Buy-In (as defined in Section 4(b)(ii) herein) within five Business Days after such payment is due;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86" w:lineRule="exact"/>
        <w:rPr>
          <w:sz w:val="20"/>
          <w:szCs w:val="20"/>
          <w:color w:val="auto"/>
        </w:rPr>
      </w:pPr>
    </w:p>
    <w:p>
      <w:pPr>
        <w:jc w:val="both"/>
        <w:ind w:firstLine="2600"/>
        <w:spacing w:after="0" w:line="266" w:lineRule="auto"/>
        <w:tabs>
          <w:tab w:leader="none" w:pos="33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jc w:val="both"/>
        <w:ind w:firstLine="2600"/>
        <w:spacing w:after="0" w:line="257" w:lineRule="auto"/>
        <w:tabs>
          <w:tab w:leader="none" w:pos="332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(including this Debenture) covering a material portion of the Collateral shall cease to create a valid and perfected lien, with the priority required by the Security Documents (including this Debenture) on and security interest in any material portion of the Collateral covered thereby.</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CONVERSION OF DEBENTURE</w:t>
      </w:r>
      <w:r>
        <w:rPr>
          <w:rFonts w:ascii="Times New Roman" w:cs="Times New Roman" w:eastAsia="Times New Roman" w:hAnsi="Times New Roman"/>
          <w:sz w:val="17"/>
          <w:szCs w:val="17"/>
          <w:color w:val="auto"/>
        </w:rPr>
        <w:t>. This Debenture shall be convertible into Ordinary Shares, on the terms and conditions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3" w:lineRule="exact"/>
        <w:rPr>
          <w:sz w:val="20"/>
          <w:szCs w:val="20"/>
          <w:color w:val="auto"/>
        </w:rPr>
      </w:pPr>
    </w:p>
    <w:p>
      <w:pPr>
        <w:ind w:right="140" w:firstLine="2592"/>
        <w:spacing w:after="0" w:line="26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Holder shall (A) transmit by email (or otherwise deliver), for receipt on or prior to 11:59 p.m., New York Time, on such date, a copy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 this Debenture to a nationally recognized overnight delivery service for delivery to the Company (or an indemnification undertaking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Company with respect to this Debenture in the case of its loss, theft or destruction). On or before the third (3rd) Trading Day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credit such aggregate number of Ordinary Shares to which the Holder shall be entitled to the Holder's or its designee's balance account with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Deposit Withdrawal Agent Commission system or (Y) if the Transfer Agent is not participating in the DTC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issue and deliver to the address as specified in the Conversion Notice, a certificate, registered Ordinary Shares in the name of the Holder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for the number of Ordinary Shares to which the Holder shall be entitled which certificates shall not bear any restrictive legends unless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rules and regulations of the Commission. If this Debenture is physically surrendered for conversion and the outstanding Principal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 is greater than the Principal portion of the Conversion Amount being converted, then the Company shall as soon as practicable and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three (3) Business Days after receipt of this Debenture and at its own expense, issue and deliver to the holder a new Debenture representing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not converted. The Person or Persons entitled to receive the Ordinary Shares issuable upon a conversion of this Debenture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for all purposes as the record holder or holders of such Ordinary Shares upon the transmission of a Conversion Notice.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 Conversion Amount into Ordinary Shares on a Conversion Date, the Company shall, on the relevant Share Delivery Date, set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price, for the relevant Ordinary Shares issuable upon such conversion (and, for that purpose, such issue price shall be the same amount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2592"/>
        <w:spacing w:after="0" w:line="267"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Company's Failure to Timely Convert</w:t>
      </w:r>
      <w:r>
        <w:rPr>
          <w:rFonts w:ascii="Times New Roman" w:cs="Times New Roman" w:eastAsia="Times New Roman" w:hAnsi="Times New Roman"/>
          <w:sz w:val="17"/>
          <w:szCs w:val="17"/>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7"/>
          <w:szCs w:val="17"/>
          <w:u w:val="single" w:color="auto"/>
          <w:color w:val="auto"/>
        </w:rPr>
        <w:t>Buy-In Price</w:t>
      </w:r>
      <w:r>
        <w:rPr>
          <w:rFonts w:ascii="Times New Roman" w:cs="Times New Roman" w:eastAsia="Times New Roman" w:hAnsi="Times New Roman"/>
          <w:sz w:val="17"/>
          <w:szCs w:val="17"/>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w:t>
      </w:r>
    </w:p>
    <w:p>
      <w:pPr>
        <w:spacing w:after="0" w:line="5"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Ordinary Shares, times (B) the Closing Price on the Conversion Date.</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65"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Adjustment of Conversion Price upon Subdivision or Combination of Ordinary Shares</w:t>
      </w:r>
      <w:r>
        <w:rPr>
          <w:rFonts w:ascii="Times New Roman" w:cs="Times New Roman" w:eastAsia="Times New Roman" w:hAnsi="Times New Roman"/>
          <w:sz w:val="17"/>
          <w:szCs w:val="17"/>
          <w:color w:val="auto"/>
        </w:rPr>
        <w:t>. If the Company, at any time while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Debenture is outstanding, shall (a) pay a stock dividend or otherwise make a distribution or distributions on its Ordinary Shares or any other equity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equivalent securities payable in Ordinary Shares, (b) subdivide outstanding Ordinary Shares into a larger number of shares, (c) combine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reverse stock split) outstanding Ordinary Shares into a smaller number of shares, or (d) issue by reclassification of shares of the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capital stock of the Company, then each of the Fixed Conversion Price and the Floor Price shall be multiplied by a fraction of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shall be the number of Ordinary Shares (excluding treasury shares, if any) outstanding before such event and of which the denominator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outstanding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for the determination of stockholders entitled to receive such dividend or distribution and shall become effective immediately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 the case of a subdivision, combination or re-classification.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1944"/>
        <w:spacing w:after="0" w:line="276" w:lineRule="auto"/>
        <w:rPr>
          <w:sz w:val="20"/>
          <w:szCs w:val="20"/>
          <w:color w:val="auto"/>
        </w:rPr>
      </w:pPr>
      <w:r>
        <w:rPr>
          <w:rFonts w:ascii="Times New Roman" w:cs="Times New Roman" w:eastAsia="Times New Roman" w:hAnsi="Times New Roman"/>
          <w:sz w:val="17"/>
          <w:szCs w:val="17"/>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If to the Company,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Sono Group N.V.</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Waldmeisterstraße 93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80935 Munich</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Attn: Legal Department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legal@sonomotors.com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DLA Piper Nederland N.V.</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Strawinskyhuis Prinses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Amaliaplein 3 1077 XS Amsterdam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(0)20 541 98 88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Pabe Suurd</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Pabe.Suurd@dlapiper.com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Yorkville Advisors Global, LLC</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 Springfield Avenue</w:t>
            </w:r>
          </w:p>
        </w:tc>
        <w:tc>
          <w:tcPr>
            <w:tcW w:w="0" w:type="dxa"/>
            <w:vAlign w:val="bottom"/>
          </w:tcPr>
          <w:p>
            <w:pPr>
              <w:spacing w:after="0"/>
              <w:rPr>
                <w:sz w:val="1"/>
                <w:szCs w:val="1"/>
                <w:color w:val="auto"/>
              </w:rPr>
            </w:pPr>
          </w:p>
        </w:tc>
      </w:tr>
      <w:tr>
        <w:trPr>
          <w:trHeight w:val="212"/>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Mountainside, NJ 07092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Mark Angelo</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201-985-8300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Email:  Legal@yorkvilleadvisors.com</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6" w:lineRule="exact"/>
        <w:rPr>
          <w:sz w:val="20"/>
          <w:szCs w:val="20"/>
          <w:color w:val="auto"/>
        </w:rPr>
      </w:pPr>
    </w:p>
    <w:p>
      <w:pPr>
        <w:ind w:left="1640" w:hanging="336"/>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be governed by and construed in accordance with the laws of the State of New York, without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10"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81" w:lineRule="exact"/>
        <w:rPr>
          <w:sz w:val="20"/>
          <w:szCs w:val="20"/>
          <w:color w:val="auto"/>
        </w:rPr>
      </w:pPr>
    </w:p>
    <w:p>
      <w:pPr>
        <w:ind w:left="2600" w:hanging="648"/>
        <w:spacing w:after="0"/>
        <w:tabs>
          <w:tab w:leader="none" w:pos="2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 and the Pledge Agreement.</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Closing 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2620" w:hanging="668"/>
        <w:spacing w:after="0"/>
        <w:tabs>
          <w:tab w:leader="none" w:pos="2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of the guarantors from time to time party to the Guaranty.</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firstLine="1952"/>
        <w:spacing w:after="0" w:line="260" w:lineRule="auto"/>
        <w:tabs>
          <w:tab w:leader="none" w:pos="26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June 20, 2024, made by each of the Guarantors party thereto from time to time in favor of the Holder, as may be amended, restated, supplemented or otherwise modified from time to time.</w:t>
      </w:r>
    </w:p>
    <w:p>
      <w:pPr>
        <w:spacing w:after="0" w:line="181" w:lineRule="exact"/>
        <w:rPr>
          <w:sz w:val="20"/>
          <w:szCs w:val="20"/>
          <w:color w:val="auto"/>
        </w:rPr>
      </w:pPr>
    </w:p>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€0.06, of the Company and shares of any other class into which such shares may hereafter be changed or reclassified.</w:t>
      </w:r>
    </w:p>
    <w:p>
      <w:pPr>
        <w:spacing w:after="0" w:line="181" w:lineRule="exact"/>
        <w:rPr>
          <w:sz w:val="20"/>
          <w:szCs w:val="20"/>
          <w:color w:val="auto"/>
        </w:rPr>
      </w:pPr>
    </w:p>
    <w:p>
      <w:pPr>
        <w:jc w:val="both"/>
        <w:ind w:firstLine="1952"/>
        <w:spacing w:after="0" w:line="256" w:lineRule="auto"/>
        <w:tabs>
          <w:tab w:leader="none" w:pos="26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w:t>
      </w:r>
      <w:r>
        <w:rPr>
          <w:rFonts w:ascii="Times New Roman" w:cs="Times New Roman" w:eastAsia="Times New Roman" w:hAnsi="Times New Roman"/>
          <w:sz w:val="18"/>
          <w:szCs w:val="18"/>
          <w:u w:val="single" w:color="auto"/>
          <w:color w:val="auto"/>
        </w:rPr>
        <w:t>Debenture 4</w:t>
      </w:r>
      <w:r>
        <w:rPr>
          <w:rFonts w:ascii="Times New Roman" w:cs="Times New Roman" w:eastAsia="Times New Roman" w:hAnsi="Times New Roman"/>
          <w:sz w:val="18"/>
          <w:szCs w:val="18"/>
          <w:color w:val="auto"/>
        </w:rPr>
        <w:t>”) and (v) the convertible debenture issued on August 30, 2024 in the original principal amount of USD 3,338,100 and designated as “SEV-5”.</w:t>
      </w:r>
    </w:p>
    <w:p>
      <w:pPr>
        <w:spacing w:after="0" w:line="187"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2" w:lineRule="exact"/>
        <w:rPr>
          <w:sz w:val="20"/>
          <w:szCs w:val="20"/>
          <w:color w:val="auto"/>
        </w:rPr>
      </w:pPr>
    </w:p>
    <w:p>
      <w:pPr>
        <w:ind w:firstLine="1952"/>
        <w:spacing w:after="0" w:line="261" w:lineRule="auto"/>
        <w:tabs>
          <w:tab w:leader="none" w:pos="270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that certain Pledge Agreement, dated as of February 5, 2024, by the Company and the Guarantors from time to time party thereto in favor of the Holder, as may be amended, restated, supplemented or otherwise modified from time to time.</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OTCQB, The New York Stock Exchange, the Nasdaq Global Market or the Nasdaq Global Select Market, and any successor to any of the foregoing markets or exchanges.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7" w:lineRule="exact"/>
        <w:rPr>
          <w:sz w:val="20"/>
          <w:szCs w:val="20"/>
          <w:color w:val="auto"/>
        </w:rPr>
      </w:pPr>
    </w:p>
    <w:p>
      <w:pPr>
        <w:ind w:firstLine="1952"/>
        <w:spacing w:after="0" w:line="282" w:lineRule="auto"/>
        <w:tabs>
          <w:tab w:leader="none" w:pos="253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Agreement, dated as of February 5, 2024, by the Company and the Guarantors from time to time party thereto in favor of the Holder, as may be amended, restated, supplemented or otherwise modified from time to time.</w:t>
      </w:r>
    </w:p>
    <w:p>
      <w:pPr>
        <w:spacing w:after="0" w:line="16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63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the Pledge Agreement, and any other security agreements, pledge agreements or other similar agreements delivered to the Holder, the Guaranty and each of the other agreements, instruments or documents that creates a lien or guaranty in favor of the Holder.</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the Securities Purchase Agreement, the Registration Rights Agreement, the Other Debentures, the Security Documents and any and all documents, agreements, instruments or other items executed or delivered in connection with any of the foregoing.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 accordance with the terms 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Secured Convertible Debenture to be duly executed by a duly authorized officer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line="203" w:lineRule="exact"/>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38"/>
        </w:trPr>
        <w:tc>
          <w:tcPr>
            <w:tcW w:w="2820" w:type="dxa"/>
            <w:vAlign w:val="bottom"/>
          </w:tcPr>
          <w:p>
            <w:pPr>
              <w:spacing w:after="0"/>
              <w:rPr>
                <w:sz w:val="20"/>
                <w:szCs w:val="20"/>
                <w:color w:val="auto"/>
              </w:rPr>
            </w:pP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0" w:type="dxa"/>
            <w:vAlign w:val="bottom"/>
          </w:tcPr>
          <w:p>
            <w:pPr>
              <w:spacing w:after="0"/>
              <w:rPr>
                <w:sz w:val="1"/>
                <w:szCs w:val="1"/>
                <w:color w:val="auto"/>
              </w:rPr>
            </w:pPr>
          </w:p>
        </w:tc>
      </w:tr>
      <w:tr>
        <w:trPr>
          <w:trHeight w:val="43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780"/>
              <w:spacing w:after="0"/>
              <w:rPr>
                <w:sz w:val="20"/>
                <w:szCs w:val="20"/>
                <w:color w:val="auto"/>
              </w:rPr>
            </w:pPr>
            <w:r>
              <w:rPr>
                <w:rFonts w:ascii="Times New Roman" w:cs="Times New Roman" w:eastAsia="Times New Roman" w:hAnsi="Times New Roman"/>
                <w:sz w:val="18"/>
                <w:szCs w:val="18"/>
                <w:color w:val="auto"/>
              </w:rPr>
              <w:t>By: /s/ George O'Leary</w:t>
            </w:r>
          </w:p>
        </w:tc>
        <w:tc>
          <w:tcPr>
            <w:tcW w:w="0" w:type="dxa"/>
            <w:vAlign w:val="bottom"/>
          </w:tcPr>
          <w:p>
            <w:pPr>
              <w:spacing w:after="0"/>
              <w:rPr>
                <w:sz w:val="1"/>
                <w:szCs w:val="1"/>
                <w:color w:val="auto"/>
              </w:rPr>
            </w:pPr>
          </w:p>
        </w:tc>
      </w:tr>
      <w:tr>
        <w:trPr>
          <w:trHeight w:val="20"/>
        </w:trPr>
        <w:tc>
          <w:tcPr>
            <w:tcW w:w="2820" w:type="dxa"/>
            <w:vAlign w:val="bottom"/>
            <w:vMerge w:val="continu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820" w:type="dxa"/>
            <w:vAlign w:val="bottom"/>
            <w:vMerge w:val="continue"/>
          </w:tcPr>
          <w:p>
            <w:pPr>
              <w:spacing w:after="0"/>
              <w:rPr>
                <w:sz w:val="16"/>
                <w:szCs w:val="16"/>
                <w:color w:val="auto"/>
              </w:rPr>
            </w:pPr>
          </w:p>
        </w:tc>
        <w:tc>
          <w:tcPr>
            <w:tcW w:w="8420" w:type="dxa"/>
            <w:vAlign w:val="bottom"/>
            <w:gridSpan w:val="2"/>
          </w:tcPr>
          <w:p>
            <w:pPr>
              <w:ind w:left="2800"/>
              <w:spacing w:after="0" w:line="191" w:lineRule="exact"/>
              <w:rPr>
                <w:sz w:val="20"/>
                <w:szCs w:val="20"/>
                <w:color w:val="auto"/>
              </w:rPr>
            </w:pPr>
            <w:r>
              <w:rPr>
                <w:rFonts w:ascii="Times New Roman" w:cs="Times New Roman" w:eastAsia="Times New Roman" w:hAnsi="Times New Roman"/>
                <w:sz w:val="18"/>
                <w:szCs w:val="18"/>
                <w:color w:val="auto"/>
              </w:rPr>
              <w:t>Name: George G. O’Leary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CEO and Managing Director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28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SEV-6a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14"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Conversion Date:</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Principal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Accrued Interest to be Converted:</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Total Conversion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Fixed Conversion Price:</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Variable Conversion Price:</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Applicable Conversion Price:</w:t>
      </w:r>
      <w:r>
        <w:rPr>
          <w:sz w:val="20"/>
          <w:szCs w:val="20"/>
          <w:color w:val="auto"/>
        </w:rPr>
        <w:tab/>
      </w:r>
      <w:r>
        <w:rPr>
          <w:rFonts w:ascii="Times New Roman" w:cs="Times New Roman" w:eastAsia="Times New Roman" w:hAnsi="Times New Roman"/>
          <w:sz w:val="18"/>
          <w:szCs w:val="18"/>
          <w:color w:val="auto"/>
        </w:rPr>
        <w:t> </w:t>
      </w:r>
    </w:p>
    <w:p>
      <w:pPr>
        <w:spacing w:after="0" w:line="63" w:lineRule="exact"/>
        <w:rPr>
          <w:sz w:val="20"/>
          <w:szCs w:val="20"/>
          <w:color w:val="auto"/>
        </w:rPr>
      </w:pPr>
    </w:p>
    <w:p>
      <w:pPr>
        <w:ind w:left="40"/>
        <w:spacing w:after="0"/>
        <w:tabs>
          <w:tab w:leader="none" w:pos="4740" w:val="left"/>
        </w:tabs>
        <w:rPr>
          <w:sz w:val="20"/>
          <w:szCs w:val="20"/>
          <w:color w:val="auto"/>
        </w:rPr>
      </w:pPr>
      <w:r>
        <w:rPr>
          <w:rFonts w:ascii="Times New Roman" w:cs="Times New Roman" w:eastAsia="Times New Roman" w:hAnsi="Times New Roman"/>
          <w:sz w:val="18"/>
          <w:szCs w:val="18"/>
          <w:b w:val="1"/>
          <w:bCs w:val="1"/>
          <w:color w:val="auto"/>
        </w:rPr>
        <w:t>Number of Ordinary Shares to be issued:</w:t>
      </w:r>
      <w:r>
        <w:rPr>
          <w:sz w:val="20"/>
          <w:szCs w:val="20"/>
          <w:color w:val="auto"/>
        </w:rPr>
        <w:tab/>
      </w:r>
      <w:r>
        <w:rPr>
          <w:rFonts w:ascii="Times New Roman" w:cs="Times New Roman" w:eastAsia="Times New Roman" w:hAnsi="Times New Roman"/>
          <w:sz w:val="18"/>
          <w:szCs w:val="18"/>
          <w:color w:val="auto"/>
        </w:rPr>
        <w:t> </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Issue to:</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Authorized Signature:</w:t>
            </w:r>
          </w:p>
        </w:tc>
        <w:tc>
          <w:tcPr>
            <w:tcW w:w="7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7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380" w:type="dxa"/>
            <w:vAlign w:val="bottom"/>
            <w:vMerge w:val="continue"/>
          </w:tcPr>
          <w:p>
            <w:pPr>
              <w:spacing w:after="0"/>
              <w:rPr>
                <w:sz w:val="19"/>
                <w:szCs w:val="19"/>
                <w:color w:val="auto"/>
              </w:rPr>
            </w:pPr>
          </w:p>
        </w:tc>
        <w:tc>
          <w:tcPr>
            <w:tcW w:w="7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380" w:type="dxa"/>
            <w:vAlign w:val="bottom"/>
            <w:vMerge w:val="continue"/>
          </w:tcPr>
          <w:p>
            <w:pPr>
              <w:spacing w:after="0"/>
              <w:rPr>
                <w:sz w:val="18"/>
                <w:szCs w:val="18"/>
                <w:color w:val="auto"/>
              </w:rPr>
            </w:pPr>
          </w:p>
        </w:tc>
        <w:tc>
          <w:tcPr>
            <w:tcW w:w="7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338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38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AMENDMENT TO TRANSACTION DOCUMENTS</w:t>
      </w:r>
    </w:p>
    <w:p>
      <w:pPr>
        <w:spacing w:after="0" w:line="229" w:lineRule="exact"/>
        <w:rPr>
          <w:sz w:val="20"/>
          <w:szCs w:val="20"/>
          <w:color w:val="auto"/>
        </w:rPr>
      </w:pPr>
    </w:p>
    <w:p>
      <w:pPr>
        <w:jc w:val="both"/>
        <w:ind w:firstLine="847"/>
        <w:spacing w:after="0" w:line="256"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February 12,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(2) the Securities Purchase Agreement entered into on December 30, 2024 between the Company and the Investor (the “</w:t>
      </w:r>
      <w:r>
        <w:rPr>
          <w:rFonts w:ascii="Times New Roman" w:cs="Times New Roman" w:eastAsia="Times New Roman" w:hAnsi="Times New Roman"/>
          <w:sz w:val="18"/>
          <w:szCs w:val="18"/>
          <w:u w:val="single" w:color="auto"/>
          <w:color w:val="auto"/>
        </w:rPr>
        <w:t>Securities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(3) the Funding Commitment Letter entered into on November 17, 2023, as amended from time to time, between the Company and the Investor (the “</w:t>
      </w:r>
      <w:r>
        <w:rPr>
          <w:rFonts w:ascii="Times New Roman" w:cs="Times New Roman" w:eastAsia="Times New Roman" w:hAnsi="Times New Roman"/>
          <w:sz w:val="18"/>
          <w:szCs w:val="18"/>
          <w:u w:val="single" w:color="auto"/>
          <w:color w:val="auto"/>
        </w:rPr>
        <w:t>Funding Commitment Letter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pursuant to the Securities Purchase Agreement, the Investor shall advance to the Company $5,000,000, which shall be evidenced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convertible debenture in the form attached thereto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in the aggregate principal amount of $5,000,000, upon the satisfaction of the terms and conditions set forth therein, which conditions have not yet been satisfied;</w:t>
      </w:r>
    </w:p>
    <w:p>
      <w:pPr>
        <w:spacing w:after="0" w:line="17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the Investor has agreed, to advance $1,000,000 of the $5,000,000 on the date, with the remaining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$4,000,000 to be advanced upon the satisfaction of all of the conditions set forth in the Securities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221"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the Securities Purchase Agreement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Section 6 and 7 of the Securities Purchase Agreement, as modified by this Agreement, the parties hereby agree that on the date hereof, the Investor shall advance to the Company the principal amount of $1,000,000 and the Company shall issue and deliver to the Investor a Convertible Debenture, duly executed on behalf of the Company, with an aggregate principal amount of $1,000,000 (the “</w:t>
      </w:r>
      <w:r>
        <w:rPr>
          <w:rFonts w:ascii="Times New Roman" w:cs="Times New Roman" w:eastAsia="Times New Roman" w:hAnsi="Times New Roman"/>
          <w:sz w:val="18"/>
          <w:szCs w:val="18"/>
          <w:u w:val="single" w:color="auto"/>
          <w:color w:val="auto"/>
        </w:rPr>
        <w:t>Initial Convertible Debenture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the closing of the issuance of the Initial Convertible Debenture, the Investor waives the satisfaction of the conditions set forth in Section 7(d) and 7(i) of the Securities Purchase Agreement.</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8"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terms and conditions with respect to the issuance and sale of the Convertible Debenture set forth in the Securities Purchase Agreement shall remain in full force and effect, except that the principal amount of the Convertible Debenture shall be reduced to $4,000,000 as a result of the issuance of the Initial Convertible Debenture. Subject to the provisions of this Section 3(c), before, on or after an Event of Default, the Holder shall be entitled to convert any portion of the outstanding and unpaid Conversion Amount into fully paid and nonassessable shares of Common Stock, at the Conversion Rate.</w:t>
      </w:r>
    </w:p>
    <w:p>
      <w:pPr>
        <w:spacing w:after="0" w:line="18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 agrees that the termination date with respect to the obligations of the Investor under the Securities Purchase Agreement set forth in Section 8 thereof shall be extended from January 15, 2025, to February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both"/>
        <w:ind w:left="332" w:hanging="332"/>
        <w:spacing w:after="0" w:line="257"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Agreement. </w:t>
      </w:r>
      <w:r>
        <w:rPr>
          <w:rFonts w:ascii="Times New Roman" w:cs="Times New Roman" w:eastAsia="Times New Roman" w:hAnsi="Times New Roman"/>
          <w:sz w:val="18"/>
          <w:szCs w:val="18"/>
          <w:color w:val="auto"/>
        </w:rPr>
        <w:t>In connection with the Exchange Agreement, the Convertible Debenture in the principal amount of $5,000,000 (referred 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“Debenture 6” therein) shall be exchanged for Preferred Shares (as defined in the Exchange Agreement), subject to the satisfaction of the conditions precedent set forth therein. The parties hereby agree that from and after the issuance of the Initial Convertible Debenture contemplated by this Agreement, for the purposes of the Exchange Agreement, “Debenture 6” shall consist of both the Initial Convertible Debenture and the remaining Convertible Debenture to be issued pursuant to the Securities Purchase Agreement in the principal amount of $4,000,000, both of which shall be part of the exchange of debentures for Preferred Shares as contemplated by the Exchange Agreement.</w:t>
      </w:r>
    </w:p>
    <w:p>
      <w:pPr>
        <w:spacing w:after="0" w:line="182" w:lineRule="exact"/>
        <w:rPr>
          <w:rFonts w:ascii="Times New Roman" w:cs="Times New Roman" w:eastAsia="Times New Roman" w:hAnsi="Times New Roman"/>
          <w:sz w:val="18"/>
          <w:szCs w:val="18"/>
          <w:color w:val="auto"/>
        </w:rPr>
      </w:pPr>
    </w:p>
    <w:p>
      <w:pPr>
        <w:ind w:left="332" w:right="20" w:hanging="332"/>
        <w:spacing w:after="0" w:line="286"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Funding Commitment Letter</w:t>
      </w:r>
      <w:r>
        <w:rPr>
          <w:rFonts w:ascii="Times New Roman" w:cs="Times New Roman" w:eastAsia="Times New Roman" w:hAnsi="Times New Roman"/>
          <w:sz w:val="18"/>
          <w:szCs w:val="18"/>
          <w:color w:val="auto"/>
        </w:rPr>
        <w:t>. The parties hereby agree that any and all obligations of the Investor to provide additional funding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considered to be satisfied by the commitments made pursuant to the Securities Purchase Agreement and this Agreement.</w:t>
      </w:r>
    </w:p>
    <w:p>
      <w:pPr>
        <w:spacing w:after="0" w:line="154" w:lineRule="exact"/>
        <w:rPr>
          <w:rFonts w:ascii="Times New Roman" w:cs="Times New Roman" w:eastAsia="Times New Roman" w:hAnsi="Times New Roman"/>
          <w:sz w:val="18"/>
          <w:szCs w:val="18"/>
          <w:color w:val="auto"/>
        </w:rPr>
      </w:pPr>
    </w:p>
    <w:p>
      <w:pPr>
        <w:jc w:val="both"/>
        <w:ind w:left="332" w:hanging="332"/>
        <w:spacing w:after="0" w:line="259"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Continuing Validity. </w:t>
      </w:r>
      <w:r>
        <w:rPr>
          <w:rFonts w:ascii="Times New Roman" w:cs="Times New Roman" w:eastAsia="Times New Roman" w:hAnsi="Times New Roman"/>
          <w:sz w:val="18"/>
          <w:szCs w:val="18"/>
          <w:color w:val="auto"/>
        </w:rPr>
        <w:t>The Securities Purchase Agreement and the Exchange Agreement are amended to the extent necessary to give effect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p>
      <w:pPr>
        <w:spacing w:after="0" w:line="179" w:lineRule="exact"/>
        <w:rPr>
          <w:rFonts w:ascii="Times New Roman" w:cs="Times New Roman" w:eastAsia="Times New Roman" w:hAnsi="Times New Roman"/>
          <w:sz w:val="18"/>
          <w:szCs w:val="18"/>
          <w:color w:val="auto"/>
        </w:rPr>
      </w:pPr>
    </w:p>
    <w:p>
      <w:pPr>
        <w:ind w:left="332" w:hanging="332"/>
        <w:spacing w:after="0" w:line="286"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w:t>
      </w:r>
    </w:p>
    <w:p>
      <w:pPr>
        <w:spacing w:after="0" w:line="154" w:lineRule="exact"/>
        <w:rPr>
          <w:rFonts w:ascii="Times New Roman" w:cs="Times New Roman" w:eastAsia="Times New Roman" w:hAnsi="Times New Roman"/>
          <w:sz w:val="18"/>
          <w:szCs w:val="18"/>
          <w:color w:val="auto"/>
        </w:rPr>
      </w:pPr>
    </w:p>
    <w:p>
      <w:pPr>
        <w:jc w:val="both"/>
        <w:ind w:left="332" w:hanging="332"/>
        <w:spacing w:after="0" w:line="262" w:lineRule="auto"/>
        <w:tabs>
          <w:tab w:leader="none" w:pos="33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194945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9" w:name="page20"/>
    <w:bookmarkEnd w:id="19"/>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this Omnibus Amendment to Transaction Documents to be duly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 authorized officer as of the date first written above.</w:t>
      </w:r>
    </w:p>
    <w:p>
      <w:pPr>
        <w:spacing w:after="0" w:line="200" w:lineRule="exact"/>
        <w:rPr>
          <w:sz w:val="20"/>
          <w:szCs w:val="20"/>
          <w:color w:val="auto"/>
        </w:rPr>
      </w:pPr>
    </w:p>
    <w:p>
      <w:pPr>
        <w:spacing w:after="0" w:line="3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223" w:lineRule="exact"/>
        <w:rPr>
          <w:sz w:val="20"/>
          <w:szCs w:val="20"/>
          <w:color w:val="auto"/>
        </w:rPr>
      </w:pPr>
    </w:p>
    <w:p>
      <w:pPr>
        <w:ind w:left="5520"/>
        <w:spacing w:after="0"/>
        <w:tabs>
          <w:tab w:leader="none" w:pos="6000" w:val="left"/>
        </w:tabs>
        <w:rPr>
          <w:sz w:val="20"/>
          <w:szCs w:val="20"/>
          <w:color w:val="auto"/>
        </w:rPr>
      </w:pPr>
      <w:r>
        <w:rPr>
          <w:rFonts w:ascii="Times New Roman" w:cs="Times New Roman" w:eastAsia="Times New Roman" w:hAnsi="Times New Roman"/>
          <w:sz w:val="18"/>
          <w:szCs w:val="18"/>
          <w:color w:val="auto"/>
        </w:rPr>
        <w:t>By:</w:t>
        <w:tab/>
        <w:t>/s/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 George G. O’Leary</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 Chief Executive Officer and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1720215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ind w:left="440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Yorkville Advisors Global, LP</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Investment Manger</w:t>
      </w:r>
    </w:p>
    <w:p>
      <w:pPr>
        <w:spacing w:after="0" w:line="20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By: Yorkville Advisors Global II, LLC</w:t>
      </w:r>
    </w:p>
    <w:p>
      <w:pPr>
        <w:spacing w:after="0" w:line="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4400"/>
        <w:spacing w:after="0"/>
        <w:tabs>
          <w:tab w:leader="none" w:pos="4880" w:val="left"/>
        </w:tabs>
        <w:rPr>
          <w:sz w:val="20"/>
          <w:szCs w:val="20"/>
          <w:color w:val="auto"/>
        </w:rPr>
      </w:pPr>
      <w:r>
        <w:rPr>
          <w:rFonts w:ascii="Times New Roman" w:cs="Times New Roman" w:eastAsia="Times New Roman" w:hAnsi="Times New Roman"/>
          <w:sz w:val="18"/>
          <w:szCs w:val="18"/>
          <w:color w:val="auto"/>
        </w:rPr>
        <w:t>By:</w:t>
        <w:tab/>
        <w:t>/s/ Michael Rosselli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454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Michael Rosselli</w:t>
      </w:r>
    </w:p>
    <w:p>
      <w:pPr>
        <w:spacing w:after="0" w:line="9" w:lineRule="exact"/>
        <w:rPr>
          <w:sz w:val="20"/>
          <w:szCs w:val="20"/>
          <w:color w:val="auto"/>
        </w:rPr>
      </w:pPr>
    </w:p>
    <w:p>
      <w:pPr>
        <w:ind w:left="4400"/>
        <w:spacing w:after="0"/>
        <w:tabs>
          <w:tab w:leader="none" w:pos="4960" w:val="left"/>
        </w:tabs>
        <w:rPr>
          <w:sz w:val="20"/>
          <w:szCs w:val="20"/>
          <w:color w:val="auto"/>
        </w:rPr>
      </w:pPr>
      <w:r>
        <w:rPr>
          <w:rFonts w:ascii="Times New Roman" w:cs="Times New Roman" w:eastAsia="Times New Roman" w:hAnsi="Times New Roman"/>
          <w:sz w:val="18"/>
          <w:szCs w:val="18"/>
          <w:color w:val="auto"/>
        </w:rPr>
        <w:t>Title:</w:t>
        <w:tab/>
        <w:t>Partner</w:t>
      </w:r>
    </w:p>
    <w:sectPr>
      <w:pgSz w:w="11900" w:h="16838" w:orient="portrait"/>
      <w:cols w:equalWidth="0" w:num="1">
        <w:col w:w="9019"/>
      </w:cols>
      <w:pgMar w:left="144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Roman"/>
      <w:start w:val="11"/>
    </w:lvl>
  </w:abstractNum>
  <w:abstractNum w:abstractNumId="2">
    <w:nsid w:val="79E2A9E3"/>
    <w:multiLevelType w:val="hybridMultilevel"/>
    <w:lvl w:ilvl="0">
      <w:lvlJc w:val="left"/>
      <w:lvlText w:val="(%1)"/>
      <w:numFmt w:val="upperLetter"/>
      <w:start w:val="1"/>
    </w:lvl>
  </w:abstractNum>
  <w:abstractNum w:abstractNumId="3">
    <w:nsid w:val="7545E146"/>
    <w:multiLevelType w:val="hybridMultilevel"/>
    <w:lvl w:ilvl="0">
      <w:lvlJc w:val="left"/>
      <w:lvlText w:val="(%1)"/>
      <w:numFmt w:val="lowerRoman"/>
      <w:start w:val="5"/>
    </w:lvl>
  </w:abstractNum>
  <w:abstractNum w:abstractNumId="4">
    <w:nsid w:val="515F007C"/>
    <w:multiLevelType w:val="hybridMultilevel"/>
    <w:lvl w:ilvl="0">
      <w:lvlJc w:val="left"/>
      <w:lvlText w:val="(%1)"/>
      <w:numFmt w:val="decimal"/>
      <w:start w:val="10"/>
    </w:lvl>
  </w:abstractNum>
  <w:abstractNum w:abstractNumId="5">
    <w:nsid w:val="5BD062C2"/>
    <w:multiLevelType w:val="hybridMultilevel"/>
    <w:lvl w:ilvl="0">
      <w:lvlJc w:val="left"/>
      <w:lvlText w:val="(%1)"/>
      <w:numFmt w:val="lowerLetter"/>
      <w:start w:val="5"/>
    </w:lvl>
  </w:abstractNum>
  <w:abstractNum w:abstractNumId="6">
    <w:nsid w:val="12200854"/>
    <w:multiLevelType w:val="hybridMultilevel"/>
    <w:lvl w:ilvl="0">
      <w:lvlJc w:val="left"/>
      <w:lvlText w:val="(%1)"/>
      <w:numFmt w:val="lowerLetter"/>
      <w:start w:val="9"/>
    </w:lvl>
  </w:abstractNum>
  <w:abstractNum w:abstractNumId="7">
    <w:nsid w:val="4DB127F8"/>
    <w:multiLevelType w:val="hybridMultilevel"/>
    <w:lvl w:ilvl="0">
      <w:lvlJc w:val="left"/>
      <w:lvlText w:val="(%1)"/>
      <w:numFmt w:val="lowerLetter"/>
      <w:start w:val="13"/>
    </w:lvl>
  </w:abstractNum>
  <w:abstractNum w:abstractNumId="8">
    <w:nsid w:val="216231B"/>
    <w:multiLevelType w:val="hybridMultilevel"/>
    <w:lvl w:ilvl="0">
      <w:lvlJc w:val="left"/>
      <w:lvlText w:val="(%1)"/>
      <w:numFmt w:val="lowerLetter"/>
      <w:start w:val="14"/>
    </w:lvl>
  </w:abstractNum>
  <w:abstractNum w:abstractNumId="9">
    <w:nsid w:val="1F16E9E8"/>
    <w:multiLevelType w:val="hybridMultilevel"/>
    <w:lvl w:ilvl="0">
      <w:lvlJc w:val="left"/>
      <w:lvlText w:val="(%1)"/>
      <w:numFmt w:val="lowerLetter"/>
      <w:start w:val="18"/>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2025-02-13T07:42:01Z</dcterms:created>
  <dcterms:modified xsi:type="dcterms:W3CDTF">2025-02-13T07:42:01Z</dcterms:modified>
</cp:coreProperties>
</file>