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of €0.06 per share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N81409109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Laurin Hahn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Waldmeisterstraße 76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80935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 (0)89 4520 5818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laurin.hahn@sonomotors.com</w:t>
      </w:r>
    </w:p>
    <w:p>
      <w:pPr>
        <w:jc w:val="center"/>
        <w:ind w:right="-19"/>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Authorized to Receive Notices and Communications)</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20, 2023</w:t>
      </w:r>
    </w:p>
    <w:p>
      <w:pPr>
        <w:spacing w:after="0" w:line="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hanging="119"/>
        <w:spacing w:after="0" w:line="282"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5"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4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2 of 8</w:t>
            </w:r>
          </w:p>
        </w:tc>
      </w:tr>
    </w:tbl>
    <w:p>
      <w:pPr>
        <w:spacing w:after="0" w:line="319" w:lineRule="exact"/>
        <w:rPr>
          <w:sz w:val="20"/>
          <w:szCs w:val="20"/>
          <w:color w:val="auto"/>
        </w:rPr>
      </w:pPr>
    </w:p>
    <w:p>
      <w:pPr>
        <w:ind w:left="660" w:right="8500" w:hanging="639"/>
        <w:spacing w:after="0" w:line="3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Laurin Hahn</w:t>
      </w: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79"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660" w:right="7940" w:hanging="639"/>
        <w:spacing w:after="0" w:line="50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-2527300</wp:posOffset>
            </wp:positionV>
            <wp:extent cx="7132320" cy="2392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3920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1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140" w:type="dxa"/>
            <w:vAlign w:val="bottom"/>
            <w:tcBorders>
              <w:top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right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right w:val="single" w:sz="8" w:color="auto"/>
            </w:tcBorders>
          </w:tcPr>
          <w:p>
            <w:pPr>
              <w:spacing w:after="0"/>
              <w:rPr>
                <w:sz w:val="18"/>
                <w:szCs w:val="18"/>
                <w:color w:val="auto"/>
              </w:rPr>
            </w:pPr>
          </w:p>
        </w:tc>
        <w:tc>
          <w:tcPr>
            <w:tcW w:w="68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Borders>
              <w:lef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01"/>
        </w:trPr>
        <w:tc>
          <w:tcPr>
            <w:tcW w:w="116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21,375,000 (1)</w:t>
            </w:r>
          </w:p>
        </w:tc>
        <w:tc>
          <w:tcPr>
            <w:tcW w:w="0" w:type="dxa"/>
            <w:vAlign w:val="bottom"/>
          </w:tcPr>
          <w:p>
            <w:pPr>
              <w:spacing w:after="0"/>
              <w:rPr>
                <w:sz w:val="1"/>
                <w:szCs w:val="1"/>
                <w:color w:val="auto"/>
              </w:rPr>
            </w:pPr>
          </w:p>
        </w:tc>
      </w:tr>
      <w:tr>
        <w:trPr>
          <w:trHeight w:val="113"/>
        </w:trPr>
        <w:tc>
          <w:tcPr>
            <w:tcW w:w="1160" w:type="dxa"/>
            <w:vAlign w:val="bottom"/>
            <w:tcBorders>
              <w:left w:val="single" w:sz="8" w:color="auto"/>
            </w:tcBorders>
          </w:tcPr>
          <w:p>
            <w:pPr>
              <w:spacing w:after="0"/>
              <w:rPr>
                <w:sz w:val="9"/>
                <w:szCs w:val="9"/>
                <w:color w:val="auto"/>
              </w:rPr>
            </w:pPr>
          </w:p>
        </w:tc>
        <w:tc>
          <w:tcPr>
            <w:tcW w:w="2260" w:type="dxa"/>
            <w:vAlign w:val="bottom"/>
            <w:tcBorders>
              <w:right w:val="single" w:sz="8" w:color="auto"/>
            </w:tcBorders>
            <w:gridSpan w:val="2"/>
            <w:vMerge w:val="restart"/>
          </w:tcPr>
          <w:p>
            <w:pPr>
              <w:jc w:val="center"/>
              <w:ind w:right="118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68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60" w:type="dxa"/>
            <w:vAlign w:val="bottom"/>
            <w:tcBorders>
              <w:left w:val="single" w:sz="8" w:color="auto"/>
            </w:tcBorders>
          </w:tcPr>
          <w:p>
            <w:pPr>
              <w:spacing w:after="0"/>
              <w:rPr>
                <w:sz w:val="7"/>
                <w:szCs w:val="7"/>
                <w:color w:val="auto"/>
              </w:rPr>
            </w:pPr>
          </w:p>
        </w:tc>
        <w:tc>
          <w:tcPr>
            <w:tcW w:w="2260" w:type="dxa"/>
            <w:vAlign w:val="bottom"/>
            <w:tcBorders>
              <w:right w:val="single" w:sz="8" w:color="auto"/>
            </w:tcBorders>
            <w:gridSpan w:val="2"/>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7"/>
                <w:szCs w:val="7"/>
                <w:color w:val="auto"/>
              </w:rPr>
            </w:pPr>
          </w:p>
        </w:tc>
        <w:tc>
          <w:tcPr>
            <w:tcW w:w="6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1160" w:type="dxa"/>
            <w:vAlign w:val="bottom"/>
            <w:tcBorders>
              <w:left w:val="single" w:sz="8" w:color="auto"/>
            </w:tcBorders>
          </w:tcPr>
          <w:p>
            <w:pPr>
              <w:spacing w:after="0"/>
              <w:rPr>
                <w:sz w:val="12"/>
                <w:szCs w:val="12"/>
                <w:color w:val="auto"/>
              </w:rPr>
            </w:pPr>
          </w:p>
        </w:tc>
        <w:tc>
          <w:tcPr>
            <w:tcW w:w="2260" w:type="dxa"/>
            <w:vAlign w:val="bottom"/>
            <w:tcBorders>
              <w:right w:val="single" w:sz="8" w:color="auto"/>
            </w:tcBorders>
            <w:gridSpan w:val="2"/>
            <w:vMerge w:val="restart"/>
          </w:tcPr>
          <w:p>
            <w:pPr>
              <w:jc w:val="center"/>
              <w:ind w:right="1180"/>
              <w:spacing w:after="0"/>
              <w:rPr>
                <w:sz w:val="20"/>
                <w:szCs w:val="20"/>
                <w:color w:val="auto"/>
              </w:rPr>
            </w:pPr>
            <w:r>
              <w:rPr>
                <w:rFonts w:ascii="Times New Roman" w:cs="Times New Roman" w:eastAsia="Times New Roman" w:hAnsi="Times New Roman"/>
                <w:sz w:val="18"/>
                <w:szCs w:val="18"/>
                <w:color w:val="auto"/>
                <w:w w:val="99"/>
              </w:rPr>
              <w:t>Beneficially</w:t>
            </w:r>
          </w:p>
        </w:tc>
        <w:tc>
          <w:tcPr>
            <w:tcW w:w="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160" w:type="dxa"/>
            <w:vAlign w:val="bottom"/>
            <w:tcBorders>
              <w:left w:val="single" w:sz="8" w:color="auto"/>
            </w:tcBorders>
          </w:tcPr>
          <w:p>
            <w:pPr>
              <w:spacing w:after="0"/>
              <w:rPr>
                <w:sz w:val="6"/>
                <w:szCs w:val="6"/>
                <w:color w:val="auto"/>
              </w:rPr>
            </w:pPr>
          </w:p>
        </w:tc>
        <w:tc>
          <w:tcPr>
            <w:tcW w:w="2260" w:type="dxa"/>
            <w:vAlign w:val="bottom"/>
            <w:tcBorders>
              <w:right w:val="single" w:sz="8" w:color="auto"/>
            </w:tcBorders>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 (2)</w:t>
            </w: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tcBorders>
          </w:tcPr>
          <w:p>
            <w:pPr>
              <w:spacing w:after="0"/>
              <w:rPr>
                <w:sz w:val="10"/>
                <w:szCs w:val="10"/>
                <w:color w:val="auto"/>
              </w:rPr>
            </w:pPr>
          </w:p>
        </w:tc>
        <w:tc>
          <w:tcPr>
            <w:tcW w:w="2260" w:type="dxa"/>
            <w:vAlign w:val="bottom"/>
            <w:tcBorders>
              <w:right w:val="single" w:sz="8" w:color="auto"/>
            </w:tcBorders>
            <w:gridSpan w:val="2"/>
            <w:vMerge w:val="restart"/>
          </w:tcPr>
          <w:p>
            <w:pPr>
              <w:jc w:val="center"/>
              <w:ind w:right="1180"/>
              <w:spacing w:after="0"/>
              <w:rPr>
                <w:sz w:val="20"/>
                <w:szCs w:val="20"/>
                <w:color w:val="auto"/>
              </w:rPr>
            </w:pPr>
            <w:r>
              <w:rPr>
                <w:rFonts w:ascii="Times New Roman" w:cs="Times New Roman" w:eastAsia="Times New Roman" w:hAnsi="Times New Roman"/>
                <w:sz w:val="18"/>
                <w:szCs w:val="18"/>
                <w:color w:val="auto"/>
                <w:w w:val="99"/>
              </w:rPr>
              <w:t>Each</w:t>
            </w:r>
          </w:p>
        </w:tc>
        <w:tc>
          <w:tcPr>
            <w:tcW w:w="10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tcBorders>
          </w:tcPr>
          <w:p>
            <w:pPr>
              <w:spacing w:after="0"/>
              <w:rPr>
                <w:sz w:val="6"/>
                <w:szCs w:val="6"/>
                <w:color w:val="auto"/>
              </w:rPr>
            </w:pPr>
          </w:p>
        </w:tc>
        <w:tc>
          <w:tcPr>
            <w:tcW w:w="2260" w:type="dxa"/>
            <w:vAlign w:val="bottom"/>
            <w:tcBorders>
              <w:right w:val="single" w:sz="8" w:color="auto"/>
            </w:tcBorders>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6"/>
                <w:szCs w:val="6"/>
                <w:color w:val="auto"/>
              </w:rPr>
            </w:pPr>
          </w:p>
        </w:tc>
        <w:tc>
          <w:tcPr>
            <w:tcW w:w="6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60" w:type="dxa"/>
            <w:vAlign w:val="bottom"/>
            <w:tcBorders>
              <w:left w:val="single" w:sz="8" w:color="auto"/>
            </w:tcBorders>
          </w:tcPr>
          <w:p>
            <w:pPr>
              <w:spacing w:after="0"/>
              <w:rPr>
                <w:sz w:val="13"/>
                <w:szCs w:val="13"/>
                <w:color w:val="auto"/>
              </w:rPr>
            </w:pPr>
          </w:p>
        </w:tc>
        <w:tc>
          <w:tcPr>
            <w:tcW w:w="2260" w:type="dxa"/>
            <w:vAlign w:val="bottom"/>
            <w:tcBorders>
              <w:right w:val="single" w:sz="8" w:color="auto"/>
            </w:tcBorders>
            <w:gridSpan w:val="2"/>
            <w:vMerge w:val="restart"/>
          </w:tcPr>
          <w:p>
            <w:pPr>
              <w:jc w:val="center"/>
              <w:ind w:right="1180"/>
              <w:spacing w:after="0"/>
              <w:rPr>
                <w:sz w:val="20"/>
                <w:szCs w:val="20"/>
                <w:color w:val="auto"/>
              </w:rPr>
            </w:pPr>
            <w:r>
              <w:rPr>
                <w:rFonts w:ascii="Times New Roman" w:cs="Times New Roman" w:eastAsia="Times New Roman" w:hAnsi="Times New Roman"/>
                <w:sz w:val="18"/>
                <w:szCs w:val="18"/>
                <w:color w:val="auto"/>
                <w:w w:val="99"/>
              </w:rPr>
              <w:t>Reporting</w:t>
            </w:r>
          </w:p>
        </w:tc>
        <w:tc>
          <w:tcPr>
            <w:tcW w:w="1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60" w:type="dxa"/>
            <w:vAlign w:val="bottom"/>
            <w:tcBorders>
              <w:left w:val="single" w:sz="8" w:color="auto"/>
            </w:tcBorders>
          </w:tcPr>
          <w:p>
            <w:pPr>
              <w:spacing w:after="0"/>
              <w:rPr>
                <w:sz w:val="5"/>
                <w:szCs w:val="5"/>
                <w:color w:val="auto"/>
              </w:rPr>
            </w:pPr>
          </w:p>
        </w:tc>
        <w:tc>
          <w:tcPr>
            <w:tcW w:w="2260" w:type="dxa"/>
            <w:vAlign w:val="bottom"/>
            <w:tcBorders>
              <w:right w:val="single" w:sz="8" w:color="auto"/>
            </w:tcBorders>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21,375,000 (3)</w:t>
            </w: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tcBorders>
          </w:tcPr>
          <w:p>
            <w:pPr>
              <w:spacing w:after="0"/>
              <w:rPr>
                <w:sz w:val="12"/>
                <w:szCs w:val="12"/>
                <w:color w:val="auto"/>
              </w:rPr>
            </w:pPr>
          </w:p>
        </w:tc>
        <w:tc>
          <w:tcPr>
            <w:tcW w:w="2260" w:type="dxa"/>
            <w:vAlign w:val="bottom"/>
            <w:tcBorders>
              <w:right w:val="single" w:sz="8" w:color="auto"/>
            </w:tcBorders>
            <w:gridSpan w:val="2"/>
            <w:vMerge w:val="restart"/>
          </w:tcPr>
          <w:p>
            <w:pPr>
              <w:jc w:val="center"/>
              <w:ind w:right="1160"/>
              <w:spacing w:after="0"/>
              <w:rPr>
                <w:sz w:val="20"/>
                <w:szCs w:val="20"/>
                <w:color w:val="auto"/>
              </w:rPr>
            </w:pPr>
            <w:r>
              <w:rPr>
                <w:rFonts w:ascii="Times New Roman" w:cs="Times New Roman" w:eastAsia="Times New Roman" w:hAnsi="Times New Roman"/>
                <w:sz w:val="18"/>
                <w:szCs w:val="18"/>
                <w:color w:val="auto"/>
                <w:w w:val="94"/>
              </w:rPr>
              <w:t>With</w:t>
            </w:r>
          </w:p>
        </w:tc>
        <w:tc>
          <w:tcPr>
            <w:tcW w:w="1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68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tcBorders>
          </w:tcPr>
          <w:p>
            <w:pPr>
              <w:spacing w:after="0"/>
              <w:rPr>
                <w:sz w:val="6"/>
                <w:szCs w:val="6"/>
                <w:color w:val="auto"/>
              </w:rPr>
            </w:pPr>
          </w:p>
        </w:tc>
        <w:tc>
          <w:tcPr>
            <w:tcW w:w="2260" w:type="dxa"/>
            <w:vAlign w:val="bottom"/>
            <w:tcBorders>
              <w:right w:val="single" w:sz="8" w:color="auto"/>
            </w:tcBorders>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6"/>
                <w:szCs w:val="6"/>
                <w:color w:val="auto"/>
              </w:rPr>
            </w:pPr>
          </w:p>
        </w:tc>
        <w:tc>
          <w:tcPr>
            <w:tcW w:w="6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160" w:type="dxa"/>
            <w:vAlign w:val="bottom"/>
            <w:tcBorders>
              <w:lef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1160" w:type="dxa"/>
            <w:vAlign w:val="bottom"/>
            <w:tcBorders>
              <w:left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834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21,375,000 (4)</w:t>
      </w:r>
    </w:p>
    <w:p>
      <w:pPr>
        <w:spacing w:after="0" w:line="2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180"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1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18.2% (5)</w:t>
      </w:r>
    </w:p>
    <w:p>
      <w:pPr>
        <w:spacing w:after="0" w:line="2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w:t>
      </w:r>
    </w:p>
    <w:p>
      <w:pPr>
        <w:spacing w:after="0" w:line="23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(1) These represent 19,796,053 ordinary shares and 1,578,947 high voting shares. High voting shares are convertible at any time by the holder thereof into common shares on a one-for-one basis, whereas common shares are not convertible into high voting shares under any circumstances. Each holder of common shares is entitled to one vote per common share and each holder of high voting shares is entitled to twenty-five votes per high voting share on all matters submitted to them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3 of 8</w:t>
            </w:r>
          </w:p>
        </w:tc>
      </w:tr>
    </w:tbl>
    <w:p>
      <w:pPr>
        <w:spacing w:after="0" w:line="301" w:lineRule="exact"/>
        <w:rPr>
          <w:sz w:val="20"/>
          <w:szCs w:val="20"/>
          <w:color w:val="auto"/>
        </w:rPr>
      </w:pPr>
    </w:p>
    <w:p>
      <w:pPr>
        <w:ind w:right="500" w:firstLine="8"/>
        <w:spacing w:after="0" w:line="233"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5. Although they do not share voting power, as a result of entering into a shareholder commitment letter, Laurin Hahn may be deemed to be a member of a “group” with Jona Christians, who also entered into the shareholder commitment letter and is separately reporting beneficial ownership on Schedule 13D.</w:t>
      </w:r>
    </w:p>
    <w:p>
      <w:pPr>
        <w:ind w:right="220" w:firstLine="8"/>
        <w:spacing w:after="0" w:line="221"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(1). Also see Item 4 of this Schedule 13D for the description of an undertaking by Laurin Hahn to transfer all his shares upon request of the Issuer and the custodian of the Issuer’s sole subsidiary, Sono Motors GmbH, respectively, to the Issuer and/or members of the management board of the issuer yet to be designated and to a trustee acting for the benefit of the creditors of Sono Motors GmbH.</w:t>
      </w:r>
    </w:p>
    <w:p>
      <w:pPr>
        <w:ind w:left="220" w:hanging="212"/>
        <w:spacing w:after="0" w:line="221" w:lineRule="auto"/>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(1).</w:t>
      </w:r>
    </w:p>
    <w:p>
      <w:pPr>
        <w:ind w:right="40" w:firstLine="8"/>
        <w:spacing w:after="0" w:line="230"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class of securities beneficially owned by the Reporting Person is based on a total of 108,667,115 outstanding shares (being the sum of 105,667,115 common shares and 3,000,000 high voting shares) of the Issuer outstanding as a single class as of November 20, 2023, assuming conversion of all high voting shares into common shares. The voting power of the shares beneficially owned represent 32,81% of the total outstanding voting power. The percentage of voting power is calculated by dividing the voting power beneficially owned by the Reporting Person by the voting power of all of the Issuer’s outstanding common shares and high voting shares as a single class as of November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1172845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4 of 8</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issuer of the shares is Sono Group N.V.,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(the “Issuer”). The Issuer’s shares consist of ordinary shares with a par value of €0.06 per share (the “Ordinary Shares”) and high voting shares (the “High Voting Shares”). Each holder of Ordinary Shares is entitled to one vote per Ordinary Share and each holder of High Voting Shares is entitled to twenty-five votes per High Voting Share on all matters submitted to them for vote. High Voting Shares are convertible at any time by the holder thereof into Ordinary Shares on a one-for-one basis. Ordinary Shares are not convertible into High Voting Shares under any circumstances.</w:t>
      </w:r>
    </w:p>
    <w:p>
      <w:pPr>
        <w:spacing w:after="0" w:line="1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address of the principal executive offices of the Issuer is Waldmeisterstraße 76, 80935 Munich, Germany; its telephone number is +49 (0)89 4520 5818.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400" w:firstLine="8"/>
        <w:spacing w:after="0" w:line="282" w:lineRule="auto"/>
        <w:tabs>
          <w:tab w:leader="none" w:pos="5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Laurin Hahn (the “Reporting Person”). Pursuant to Rule 13d-1(d), the Reporting Person previously filed a Schedule 13G in relation to his beneficial ownership of shares of the Issuer on February 14, 2022.</w:t>
      </w:r>
    </w:p>
    <w:p>
      <w:pPr>
        <w:spacing w:after="0" w:line="16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for the Reporting Person is Waldmeisterstraße 76, 80935 Munich, Germany.</w:t>
      </w:r>
    </w:p>
    <w:p>
      <w:pPr>
        <w:spacing w:after="0" w:line="22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5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principal occupation of the Reporting Person is serving as the Co-Chief Executive Officer and member of the management board of the Issuer and as the Co-Chief Executive Officer and Managing Director of Sono Motors GmbH (the “Subsidiary”). The business address of the Issuer and the Subsidiary is Waldmeisterstraße 76, 80935 Munich, Germany.</w:t>
      </w:r>
    </w:p>
    <w:p>
      <w:pPr>
        <w:spacing w:after="0" w:line="17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been convicted in a criminal proceeding (excluding traffic violations or similar misdemeanors) during the last five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206"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has not been a party to a civil proceeding of a judicial or administrative body of competent</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as a result of which the Reporting Person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a citizen of the Federal Republic of Germany.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No shares were purchased by the Reporting Person or Jona Christians (see Item 5) in connection with the Shareholders Commitment Letter (as defined below) giving rise to the filing of this Schedule 13D, and thus no funds were used by the Reporting Person or Jona Christians for such purpose. The Reporting Person andJona Christians – the Issuer’s co-founders and co-CEOs (collectively, the “Founders”) – entered into a Shareholders Commitment Letter, effective as of November 20, 2023 (the “Shareholders Commitment Letter”) with the Issuer and the Subsidiary as a condition to the willingness of YA II PN, Ltd. (“Yorkville”) to enter into the Yorkville Agreements (as defined in Item 4) and the Transactions (as defined in Item 4) to allow the Issuer to exit from insolvency proceedings in Germany. Under the terms of the Shareholders Commitment Letter, each Founder in his respective capacity as a shareholder of the Issuer agrees (i) to attend the Issuer’s upcoming annual general meeting of shareholders, which has been convened for December 29, 2023 (the “AGM”), either in person or represented by proxy, (ii) not to transfer any shares and/or voting rights such Founder holds in the capital of the Issuer prior to the AGM, (iii) to exercise the voting rights on all the shares in the capital of the Issuer held by such Founder in favor of all proposed resolutions. In addition, in the event that one or more subsequent general meetings of the Issuer are convened or deemed necessary to give full effect to the Transactions and/or the Agenda Items (as defined in Item 4), each Founder further agrees in his capacity as a shareholder of the Issuer to comply with the requirements of (i) - (iii) above with respect to such subsequent general meeting(s) and to exercise such Founder’s voting rights in the capital of the Issuer at such subsequent general meeting(s) in such manner so as to give effect to the Transactions and/or the Agenda Items in the fullest possible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5 of 8</w:t>
            </w:r>
          </w:p>
        </w:tc>
      </w:tr>
    </w:tbl>
    <w:p>
      <w:pPr>
        <w:spacing w:after="0" w:line="3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3 does not purport to be complete and is qualified in its entirety by reference to the Shareholders Commitment Letter, a copy of which is filed as Exhibit 1 and is incorporated herein by reference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Issuer entered into certain investment-related agreements (the “Yorkville Agreements”), effective November 20, 2023, between the Issuer and Yorkville, pursuant to which Yorkville has committed to provide financing to the Issuer subject to the satisfaction of certain conditions precedent. The aim of the Yorkville Agreements and the transactions contemplated therein (the “Transactions”) is the planned restructuring of the Issuer and the Subsidiary (collectively, the “Companies”), in connection with the Companies’ respective self-administration proceedings currently before the insolvency court of the local court of Munich, Germany.</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the terms of Section 2 “General Meeting” of the Shareholders Commitment Letter, each Founder has agreed, as stated in Item 3, to exercise the voting rights on all the shares in the capital of the Issuer held by such Founder in favor of all proposed resolutions at the Issuer’s upcoming AGM, convened for December 29, 2023, and, if subsequent general meetings of the issuer are convened or deemed necessary, to exercise the voting rights on all the shares in the capital of the Issuer held by such Founder in such manner so as to give effect to the Transactions and/or, to the extent not included in the AGM, the following agenda items (the “Agenda Items”):</w:t>
      </w:r>
    </w:p>
    <w:p>
      <w:pPr>
        <w:spacing w:after="0" w:line="183" w:lineRule="exact"/>
        <w:rPr>
          <w:sz w:val="20"/>
          <w:szCs w:val="20"/>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composition of the Issuer’s management board and/or supervisory board;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annual accounts of the Issuer for the financial year 2022, including the consolidated accounts of its group;</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legally required, the adoption of the half-year accounts of the Issuer, including the consolidated accounts of its group;</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 auditor for the financial year 2023/2024;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the agenda of the AGM:</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repurchase of shares in the share capital of the Issuer by the Issuer and/or the Subsidiary;</w:t>
      </w:r>
    </w:p>
    <w:p>
      <w:pPr>
        <w:spacing w:after="0" w:line="225"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cancellation of shares by the Issuer held by the Issuer and/or the Subsidiary; and</w:t>
      </w:r>
    </w:p>
    <w:p>
      <w:pPr>
        <w:spacing w:after="0" w:line="225" w:lineRule="exact"/>
        <w:rPr>
          <w:rFonts w:ascii="Times New Roman" w:cs="Times New Roman" w:eastAsia="Times New Roman" w:hAnsi="Times New Roman"/>
          <w:sz w:val="18"/>
          <w:szCs w:val="18"/>
          <w:color w:val="auto"/>
        </w:rPr>
      </w:pPr>
    </w:p>
    <w:p>
      <w:pPr>
        <w:ind w:left="1220" w:right="480" w:hanging="402"/>
        <w:spacing w:after="0" w:line="282" w:lineRule="auto"/>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articles of association of the Issuer required in connection with the Transactions or any of the foregoing subjects as well as the authorization to execute the notarial deed of amendment.</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agenda items may be presented in subsequent general meetings, and the Founders have covenanted to vote in favor of them insofar as they further the effectiveness of the Transactions:</w:t>
      </w:r>
    </w:p>
    <w:p>
      <w:pPr>
        <w:spacing w:after="0" w:line="162" w:lineRule="exact"/>
        <w:rPr>
          <w:sz w:val="20"/>
          <w:szCs w:val="20"/>
          <w:color w:val="auto"/>
        </w:rPr>
      </w:pPr>
    </w:p>
    <w:p>
      <w:pPr>
        <w:ind w:left="820" w:right="460" w:hanging="488"/>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nominal value per Ordinary Share of the Issuer from €0.06 to €0.01 per Ordinary Share or such lower amount as may be legally permissible and, for the avoidance of doubt, without any (re)payment or distribution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6 of 8</w:t>
            </w:r>
          </w:p>
        </w:tc>
      </w:tr>
    </w:tbl>
    <w:p>
      <w:pPr>
        <w:spacing w:after="0" w:line="306"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stock split without cash components after good faith consultation with Yorkville;</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articles of association necessary to increase the authorized capital of the Issuer up to 600 million Ordinary Shares;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upon steps to the restructuring agreement becoming effective.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under the terms of Section 3 “Transfer of Shares” of the Shareholders Commitment Letter:</w:t>
      </w:r>
    </w:p>
    <w:p>
      <w:pPr>
        <w:spacing w:after="0" w:line="225" w:lineRule="exact"/>
        <w:rPr>
          <w:sz w:val="20"/>
          <w:szCs w:val="20"/>
          <w:color w:val="auto"/>
        </w:rPr>
      </w:pPr>
    </w:p>
    <w:p>
      <w:pPr>
        <w:ind w:left="660" w:right="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undertaken to sell and transfer, if so requested, (i) 7,187,500 Ordinary Shares to a trustee to be appointed for the benefit of the creditors of the Subsidiary and (ii) 9,108,553 Ordinary Shares and all of its High Voting Shares in the Issuer to the Issuer and/or the new members of the management board to be appointed for the Issuer.</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Christians has undertaken to sell and transfer, if so requested, (i) 6,118,749 Ordinary Shares to a trustee to be appointed for the benefit of the creditors of the Subsidiary and (ii) 8,197,698 Ordinary Shares and all of his High Voting Shares in the Issuer to the Issuer and/or the new members of the management board to be appointed for the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members of the management board of the Issuer have not yet been selected.</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 to the Shareholders Commitment Letter, a copy of which is filed as Exhibit 1 and is incorporated herein by reference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(a,b)</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11, 12, and 13 of the cover pages of this Schedule 13D that relate to the aggregate number and percentage of shares (including but not limited to footnotes to such information) are incorporated herein by reference.</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7, 8, 9, and 10 of the cover pages of this Schedule 13D that relate to the number of shares as to which such Reporting Person has sole or shared power to vote or to direct the vote of and sole or shared power to dispose of or to direct the disposition of (including but not limited to footnotes to such information) are incorporated herein by reference.</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 result of entering into the Shareholder Commitment Letter, the Reporting Person may be deemed to be a member of a “group” pursuant to Section 13(d) of the Exchange Act with Jona Christians, who also entered into the Shareholder Commitment Letter and who is separately reporting beneficial ownership of shares of the Issuer on Schedule 13D.</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Jona Christians owns 19,237,500 shares of the Issuer, of which 1,421,053 shares are High Voting Shares. Jona Christians owns 16.4% of the Ordinary Shares of the Issuer and 47.4% of the High Voting Shares of the Issuer. The voting power of the shares owned by Jona Christians represent 29.5% of the total outstanding voting power (see footnote (4) for an explanation of the calculation).</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Reporting Person and Jona Christians in aggregate own 40,612,500 shares, representing 37,612,500 Ordinary Shares and 3,000,000 High Voting Shares. This aggregate amount represents 37.4% of the outstanding shares and 62.3% of the total voting power of the shares (see footnote (4) for an explanation of the calculation).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above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7 of 8</w:t>
            </w:r>
          </w:p>
        </w:tc>
      </w:tr>
    </w:tbl>
    <w:p>
      <w:pPr>
        <w:spacing w:after="0" w:line="3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See Item 4 of this Schedule 13D for the description of undertakings by the Reporting Person and Jona Christians to transfer certain of their respective shares upon request of the Issuer and the custodian of the Subsidiary, respectively, to members of the management board of the Issuer yet to be designated and to a trustee acting for the benefit of the creditors of the Subsidiary.</w:t>
      </w:r>
    </w:p>
    <w:p>
      <w:pPr>
        <w:spacing w:after="0" w:line="176" w:lineRule="exact"/>
        <w:rPr>
          <w:sz w:val="20"/>
          <w:szCs w:val="20"/>
          <w:color w:val="auto"/>
        </w:rPr>
      </w:pPr>
    </w:p>
    <w:p>
      <w:pPr>
        <w:ind w:right="80" w:firstLine="8"/>
        <w:spacing w:after="0" w:line="282"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neither the Reporting Person, nor, to the knowledge of the Reporting Person, Jona Christians, has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5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securities.</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4, and 5 are hereby incorporated by reference in their entirety.</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the best knowledge of the Reporting Person, other than described in Items 3, 4, and 5, there are no other contracts, arrangements, understandings or relationships (legal or otherwise) between the Reporting Person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ind w:left="1360" w:right="180" w:hanging="1339"/>
        <w:spacing w:after="0" w:line="282" w:lineRule="auto"/>
        <w:tabs>
          <w:tab w:leader="none" w:pos="1360"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Shareholders Commitment Letter issued by the Reporting Person and Jona Christians and agreed to and acknowledged by Sono Group N.V. and Sono Motors GmbH, dated November 17, 2023 and effective as of November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8 of 8</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19, 2023</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Laurin Hahn</w:t>
            </w:r>
          </w:p>
        </w:tc>
      </w:tr>
      <w:tr>
        <w:trPr>
          <w:trHeight w:val="228"/>
        </w:trPr>
        <w:tc>
          <w:tcPr>
            <w:tcW w:w="3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Laurin Hahn</w:t>
            </w:r>
          </w:p>
        </w:tc>
      </w:tr>
    </w:tbl>
    <w:p>
      <w:pPr>
        <w:sectPr>
          <w:pgSz w:w="11900" w:h="16838" w:orient="portrait"/>
          <w:cols w:equalWidth="0" w:num="1">
            <w:col w:w="11240"/>
          </w:cols>
          <w:pgMar w:left="320" w:top="22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EXECUTION COPY 17 NOVEMBER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ind w:left="380" w:right="300" w:hanging="318"/>
        <w:spacing w:after="0" w:line="28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 commerce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380" w:right="220" w:hanging="318"/>
        <w:spacing w:after="0" w:line="28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Motors GmbH</w:t>
      </w:r>
      <w:r>
        <w:rPr>
          <w:rFonts w:ascii="Times New Roman" w:cs="Times New Roman" w:eastAsia="Times New Roman" w:hAnsi="Times New Roman"/>
          <w:sz w:val="18"/>
          <w:szCs w:val="18"/>
          <w:color w:val="auto"/>
        </w:rPr>
        <w:t>, a company incorporated under German law (</w:t>
      </w:r>
      <w:r>
        <w:rPr>
          <w:rFonts w:ascii="Times New Roman" w:cs="Times New Roman" w:eastAsia="Times New Roman" w:hAnsi="Times New Roman"/>
          <w:sz w:val="18"/>
          <w:szCs w:val="18"/>
          <w:i w:val="1"/>
          <w:iCs w:val="1"/>
          <w:color w:val="auto"/>
        </w:rPr>
        <w:t>Gesellschaft mit beschr</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nkter Haftung</w:t>
      </w:r>
      <w:r>
        <w:rPr>
          <w:rFonts w:ascii="Times New Roman" w:cs="Times New Roman" w:eastAsia="Times New Roman" w:hAnsi="Times New Roman"/>
          <w:sz w:val="18"/>
          <w:szCs w:val="18"/>
          <w:color w:val="auto"/>
        </w:rPr>
        <w:t>) and registered with the District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München, Germany, under number HRB 224131 (“</w:t>
      </w:r>
      <w:r>
        <w:rPr>
          <w:rFonts w:ascii="Times New Roman" w:cs="Times New Roman" w:eastAsia="Times New Roman" w:hAnsi="Times New Roman"/>
          <w:sz w:val="18"/>
          <w:szCs w:val="18"/>
          <w:b w:val="1"/>
          <w:bCs w:val="1"/>
          <w:color w:val="auto"/>
        </w:rPr>
        <w:t>Sono GmbH</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17 November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Commitment letter in respect of insolvency restructuring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880" w:hanging="319"/>
        <w:spacing w:after="0"/>
        <w:tabs>
          <w:tab w:leader="none" w:pos="8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 We, the undersigned, refer to the envisaged restructuring of the Company and Sono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through the implementation of</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certain restructuring steps as set out in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the restructuring agreement between Sono Group N.V. and YA II PN, Ltd.(“</w:t>
      </w:r>
      <w:r>
        <w:rPr>
          <w:rFonts w:ascii="Times New Roman" w:cs="Times New Roman" w:eastAsia="Times New Roman" w:hAnsi="Times New Roman"/>
          <w:sz w:val="17"/>
          <w:szCs w:val="17"/>
          <w:b w:val="1"/>
          <w:bCs w:val="1"/>
          <w:color w:val="auto"/>
        </w:rPr>
        <w:t>Yorkville</w:t>
      </w:r>
      <w:r>
        <w:rPr>
          <w:rFonts w:ascii="Times New Roman" w:cs="Times New Roman" w:eastAsia="Times New Roman" w:hAnsi="Times New Roman"/>
          <w:sz w:val="17"/>
          <w:szCs w:val="17"/>
          <w:color w:val="auto"/>
        </w:rPr>
        <w:t>”), to be entered</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procedures in Germany (the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The Transactions, as well as the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documents, deeds, agreements, powers of attorney, notices, acknowledgements, letter agreements, memoranda, statements, resolutions and certificates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may be ancillary, necessary, required or useful in connection therewith are known to me, the undersigned.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1.2 On the date hereof, we are the founders and majority shareholders of the Company with the shareholdings as set out in </w:t>
      </w:r>
      <w:r>
        <w:rPr>
          <w:rFonts w:ascii="Times New Roman" w:cs="Times New Roman" w:eastAsia="Times New Roman" w:hAnsi="Times New Roman"/>
          <w:sz w:val="18"/>
          <w:szCs w:val="18"/>
          <w:b w:val="1"/>
          <w:bCs w:val="1"/>
          <w:u w:val="single" w:color="auto"/>
          <w:color w:val="auto"/>
        </w:rPr>
        <w:t>Exhibit 1.2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 w:right="660" w:hanging="323"/>
        <w:spacing w:after="0" w:line="282" w:lineRule="auto"/>
        <w:rPr>
          <w:sz w:val="20"/>
          <w:szCs w:val="20"/>
          <w:color w:val="auto"/>
        </w:rPr>
      </w:pPr>
      <w:r>
        <w:rPr>
          <w:rFonts w:ascii="Times New Roman" w:cs="Times New Roman" w:eastAsia="Times New Roman" w:hAnsi="Times New Roman"/>
          <w:sz w:val="18"/>
          <w:szCs w:val="18"/>
          <w:color w:val="auto"/>
        </w:rPr>
        <w:t>1.3 Our covenants und undertakings included in this commitment letter are subject to the execution of the Restructuring Agreement including the following provision:</w:t>
      </w:r>
    </w:p>
    <w:p>
      <w:pPr>
        <w:spacing w:after="0" w:line="160" w:lineRule="exact"/>
        <w:rPr>
          <w:sz w:val="20"/>
          <w:szCs w:val="20"/>
          <w:color w:val="auto"/>
        </w:rPr>
      </w:pPr>
    </w:p>
    <w:p>
      <w:pPr>
        <w:ind w:left="1120" w:right="20" w:hanging="47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“10.1 Subject to the occurrence of the Closing, Yorkville hereby agrees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by way of a genuine contract for the benefit of a third party (Section 328 of the German Civil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 pactum de non petendo regarding all potential claims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if 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arising from and/or in connection with the issuance of the Existing Convertible Debentures against (i) the following members of the management (managing directors (bestuurders) and supervisory directors) of Sono NV: Laurin Hahn (CEO), Jona Christians (CEO), Torsten Kiedel (CFO), Markus Volmer (CTO), Johannes Trischler; and/or the following former members of the management (managing directors (bestuurders) and supervisory directors) of Sono NV: Thomas Hausch, Martina Buchhauser, Sebastian B</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ttger, Robert Jeffe, and Arnd Schwierholz; and/or the management (Gesch</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ftsf</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i w:val="1"/>
          <w:iCs w:val="1"/>
          <w:color w:val="auto"/>
        </w:rPr>
        <w:t xml:space="preserve">hrer) of Sono GmbH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280"/>
        <w:spacing w:after="0"/>
        <w:rPr>
          <w:sz w:val="20"/>
          <w:szCs w:val="20"/>
          <w:color w:val="auto"/>
        </w:rPr>
      </w:pPr>
      <w:r>
        <w:rPr>
          <w:rFonts w:ascii="Times New Roman" w:cs="Times New Roman" w:eastAsia="Times New Roman" w:hAnsi="Times New Roman"/>
          <w:sz w:val="18"/>
          <w:szCs w:val="18"/>
          <w:i w:val="1"/>
          <w:iCs w:val="1"/>
          <w:color w:val="auto"/>
        </w:rPr>
        <w:t>10.2 This pactum de non petendo is subject to the following qualifications:</w:t>
      </w:r>
    </w:p>
    <w:p>
      <w:pPr>
        <w:spacing w:after="0" w:line="225" w:lineRule="exact"/>
        <w:rPr>
          <w:sz w:val="20"/>
          <w:szCs w:val="20"/>
          <w:color w:val="auto"/>
        </w:rPr>
      </w:pPr>
    </w:p>
    <w:p>
      <w:pPr>
        <w:ind w:left="600" w:right="100" w:hanging="324"/>
        <w:spacing w:after="0" w:line="284" w:lineRule="auto"/>
        <w:tabs>
          <w:tab w:leader="none" w:pos="6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pactum de non petendo as per section 10.1 shall be lifted and has no effect (aufl</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sende Bedingung) if and to the extent this is preventing or otherwise limiting recourse to any D&amp;O insurance cover.</w:t>
      </w:r>
    </w:p>
    <w:p>
      <w:pPr>
        <w:spacing w:after="0" w:line="158" w:lineRule="exact"/>
        <w:rPr>
          <w:rFonts w:ascii="Times New Roman" w:cs="Times New Roman" w:eastAsia="Times New Roman" w:hAnsi="Times New Roman"/>
          <w:sz w:val="18"/>
          <w:szCs w:val="18"/>
          <w:i w:val="1"/>
          <w:iCs w:val="1"/>
          <w:color w:val="auto"/>
        </w:rPr>
      </w:pPr>
    </w:p>
    <w:p>
      <w:pPr>
        <w:ind w:left="600" w:hanging="324"/>
        <w:spacing w:after="0"/>
        <w:tabs>
          <w:tab w:leader="none" w:pos="6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is no intention to pursue such claims if there is no D&amp;O insurance cover for such claims.</w:t>
      </w:r>
    </w:p>
    <w:p>
      <w:pPr>
        <w:spacing w:after="0" w:line="225" w:lineRule="exact"/>
        <w:rPr>
          <w:rFonts w:ascii="Times New Roman" w:cs="Times New Roman" w:eastAsia="Times New Roman" w:hAnsi="Times New Roman"/>
          <w:sz w:val="18"/>
          <w:szCs w:val="18"/>
          <w:i w:val="1"/>
          <w:iCs w:val="1"/>
          <w:color w:val="auto"/>
        </w:rPr>
      </w:pPr>
    </w:p>
    <w:p>
      <w:pPr>
        <w:ind w:left="600" w:hanging="324"/>
        <w:spacing w:after="0"/>
        <w:tabs>
          <w:tab w:leader="none" w:pos="6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Claims will only be pursued at the earliest 18 months after Closing.</w:t>
      </w:r>
    </w:p>
    <w:p>
      <w:pPr>
        <w:spacing w:after="0" w:line="225" w:lineRule="exact"/>
        <w:rPr>
          <w:rFonts w:ascii="Times New Roman" w:cs="Times New Roman" w:eastAsia="Times New Roman" w:hAnsi="Times New Roman"/>
          <w:sz w:val="18"/>
          <w:szCs w:val="18"/>
          <w:i w:val="1"/>
          <w:iCs w:val="1"/>
          <w:color w:val="auto"/>
        </w:rPr>
      </w:pPr>
    </w:p>
    <w:p>
      <w:pPr>
        <w:ind w:left="600" w:right="480" w:hanging="324"/>
        <w:spacing w:after="0" w:line="267" w:lineRule="auto"/>
        <w:tabs>
          <w:tab w:leader="none" w:pos="6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required, the person affected will give a rolling agreement to make sure claims will not be lost because of expiration of statute of limitations. Not delivery of such declaration upon request within 20 Business Days is a condition subsequent (aufl</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sende Bedingung) to section 10.1.</w:t>
      </w:r>
    </w:p>
    <w:p>
      <w:pPr>
        <w:spacing w:after="0" w:line="173" w:lineRule="exact"/>
        <w:rPr>
          <w:rFonts w:ascii="Times New Roman" w:cs="Times New Roman" w:eastAsia="Times New Roman" w:hAnsi="Times New Roman"/>
          <w:sz w:val="18"/>
          <w:szCs w:val="18"/>
          <w:i w:val="1"/>
          <w:iCs w:val="1"/>
          <w:color w:val="auto"/>
        </w:rPr>
      </w:pPr>
    </w:p>
    <w:p>
      <w:pPr>
        <w:ind w:left="600" w:right="80" w:hanging="324"/>
        <w:spacing w:after="0" w:line="284" w:lineRule="auto"/>
        <w:tabs>
          <w:tab w:leader="none" w:pos="6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claims will be pursued, once 80 per cent of the Existing Convertible Debentures (i) have been sold by Yorkville, (ii) have been fully repaid to Yorkville, and/or (iii) converted.</w:t>
      </w:r>
    </w:p>
    <w:p>
      <w:pPr>
        <w:spacing w:after="0" w:line="158" w:lineRule="exact"/>
        <w:rPr>
          <w:rFonts w:ascii="Times New Roman" w:cs="Times New Roman" w:eastAsia="Times New Roman" w:hAnsi="Times New Roman"/>
          <w:sz w:val="18"/>
          <w:szCs w:val="18"/>
          <w:i w:val="1"/>
          <w:iCs w:val="1"/>
          <w:color w:val="auto"/>
        </w:rPr>
      </w:pPr>
    </w:p>
    <w:p>
      <w:pPr>
        <w:ind w:left="600" w:hanging="324"/>
        <w:spacing w:after="0"/>
        <w:tabs>
          <w:tab w:leader="none" w:pos="6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Lock-up: 12 months (as stipulated under the Shareholders Commitment Letter).</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Sono NV confirms to its best knowledge that claims made have been notified to D&amp;O insurer.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ind w:left="380" w:hanging="320"/>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w:t>
      </w:r>
    </w:p>
    <w:p>
      <w:pPr>
        <w:spacing w:after="0" w:line="229" w:lineRule="exact"/>
        <w:rPr>
          <w:sz w:val="20"/>
          <w:szCs w:val="20"/>
          <w:color w:val="auto"/>
        </w:rPr>
      </w:pPr>
    </w:p>
    <w:p>
      <w:pPr>
        <w:ind w:right="40" w:hanging="323"/>
        <w:spacing w:after="0" w:line="261" w:lineRule="auto"/>
        <w:rPr>
          <w:sz w:val="20"/>
          <w:szCs w:val="20"/>
          <w:color w:val="auto"/>
        </w:rPr>
      </w:pPr>
      <w:r>
        <w:rPr>
          <w:rFonts w:ascii="Times New Roman" w:cs="Times New Roman" w:eastAsia="Times New Roman" w:hAnsi="Times New Roman"/>
          <w:sz w:val="18"/>
          <w:szCs w:val="18"/>
          <w:color w:val="auto"/>
        </w:rPr>
        <w:t>2.1 We, the undersigned, each acting in his capacity as managing director of the Company and member of the management board of the Company, hereby irrevocably and unconditionally covenant and undertake towards the Company and the Third Party Beneficiaries (as defined hereinafter) to prepare and convene the General Meeting (as defined below) and to establish the agenda of the General Meeting after consultation of Yorkville in its capacity as lender and sponsor to the Restructuring and which agenda shall in any event include the items set out in, and subject to, paragraph 2.2(d).</w:t>
      </w:r>
    </w:p>
    <w:p>
      <w:pPr>
        <w:spacing w:after="0" w:line="180" w:lineRule="exact"/>
        <w:rPr>
          <w:sz w:val="20"/>
          <w:szCs w:val="20"/>
          <w:color w:val="auto"/>
        </w:rPr>
      </w:pPr>
    </w:p>
    <w:p>
      <w:pPr>
        <w:ind w:hanging="323"/>
        <w:spacing w:after="0" w:line="282" w:lineRule="auto"/>
        <w:rPr>
          <w:sz w:val="20"/>
          <w:szCs w:val="20"/>
          <w:color w:val="auto"/>
        </w:rPr>
      </w:pPr>
      <w:r>
        <w:rPr>
          <w:rFonts w:ascii="Times New Roman" w:cs="Times New Roman" w:eastAsia="Times New Roman" w:hAnsi="Times New Roman"/>
          <w:sz w:val="18"/>
          <w:szCs w:val="18"/>
          <w:color w:val="auto"/>
        </w:rPr>
        <w:t>2.2 Each of us, acting in his respective capacity as shareholder of the Company, hereby irrevocably and unconditionally covenants and undertakes towards the Company and the Third Party Beneficiaries to:</w:t>
      </w:r>
    </w:p>
    <w:p>
      <w:pPr>
        <w:spacing w:after="0" w:line="162" w:lineRule="exact"/>
        <w:rPr>
          <w:sz w:val="20"/>
          <w:szCs w:val="20"/>
          <w:color w:val="auto"/>
        </w:rPr>
      </w:pPr>
    </w:p>
    <w:p>
      <w:pPr>
        <w:ind w:left="600" w:right="200" w:hanging="324"/>
        <w:spacing w:after="0" w:line="266"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and all formalities to be registered for and be present at any general meeting of shareholders of the Company to be held no later than 31 December 2023 (or, the adjourned meeting, as the case may be)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either in person or represented by proxy;</w:t>
      </w:r>
    </w:p>
    <w:p>
      <w:pPr>
        <w:spacing w:after="0" w:line="175" w:lineRule="exact"/>
        <w:rPr>
          <w:rFonts w:ascii="Times New Roman" w:cs="Times New Roman" w:eastAsia="Times New Roman" w:hAnsi="Times New Roman"/>
          <w:sz w:val="18"/>
          <w:szCs w:val="18"/>
          <w:color w:val="auto"/>
        </w:rPr>
      </w:pPr>
    </w:p>
    <w:p>
      <w:pPr>
        <w:ind w:left="600" w:hanging="324"/>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General Meeting either in person or represented by proxy;</w:t>
      </w:r>
    </w:p>
    <w:p>
      <w:pPr>
        <w:spacing w:after="0" w:line="225" w:lineRule="exact"/>
        <w:rPr>
          <w:rFonts w:ascii="Times New Roman" w:cs="Times New Roman" w:eastAsia="Times New Roman" w:hAnsi="Times New Roman"/>
          <w:sz w:val="18"/>
          <w:szCs w:val="18"/>
          <w:color w:val="auto"/>
        </w:rPr>
      </w:pPr>
    </w:p>
    <w:p>
      <w:pPr>
        <w:ind w:left="600" w:hanging="324"/>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transfer any shares and/or voting rights we hold in the capital of the Company prior to the General Meeting; and</w:t>
      </w:r>
    </w:p>
    <w:p>
      <w:pPr>
        <w:spacing w:after="0" w:line="225" w:lineRule="exact"/>
        <w:rPr>
          <w:rFonts w:ascii="Times New Roman" w:cs="Times New Roman" w:eastAsia="Times New Roman" w:hAnsi="Times New Roman"/>
          <w:sz w:val="18"/>
          <w:szCs w:val="18"/>
          <w:color w:val="auto"/>
        </w:rPr>
      </w:pPr>
    </w:p>
    <w:p>
      <w:pPr>
        <w:ind w:left="600" w:right="240" w:hanging="324"/>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voting rights on all the shares in the capital of the Company that we hold in favour of all proposed resolutions, including but not limited to:</w:t>
      </w:r>
    </w:p>
    <w:p>
      <w:pPr>
        <w:spacing w:after="0" w:line="161" w:lineRule="exact"/>
        <w:rPr>
          <w:rFonts w:ascii="Times New Roman" w:cs="Times New Roman" w:eastAsia="Times New Roman" w:hAnsi="Times New Roman"/>
          <w:sz w:val="18"/>
          <w:szCs w:val="18"/>
          <w:color w:val="auto"/>
        </w:rPr>
      </w:pPr>
    </w:p>
    <w:p>
      <w:pPr>
        <w:ind w:left="1240" w:hanging="316"/>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composition of the Company’s management board and/or supervisory board;</w:t>
      </w:r>
    </w:p>
    <w:p>
      <w:pPr>
        <w:spacing w:after="0" w:line="225" w:lineRule="exact"/>
        <w:rPr>
          <w:rFonts w:ascii="Times New Roman" w:cs="Times New Roman" w:eastAsia="Times New Roman" w:hAnsi="Times New Roman"/>
          <w:sz w:val="18"/>
          <w:szCs w:val="18"/>
          <w:color w:val="auto"/>
        </w:rPr>
      </w:pPr>
    </w:p>
    <w:p>
      <w:pPr>
        <w:ind w:left="1240" w:hanging="316"/>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annual accounts of the Company for the financial year 2022, including the consolidated accounts of its group;</w:t>
      </w:r>
    </w:p>
    <w:p>
      <w:pPr>
        <w:spacing w:after="0" w:line="225" w:lineRule="exact"/>
        <w:rPr>
          <w:rFonts w:ascii="Times New Roman" w:cs="Times New Roman" w:eastAsia="Times New Roman" w:hAnsi="Times New Roman"/>
          <w:sz w:val="18"/>
          <w:szCs w:val="18"/>
          <w:color w:val="auto"/>
        </w:rPr>
      </w:pPr>
    </w:p>
    <w:p>
      <w:pPr>
        <w:ind w:left="1240" w:right="460" w:hanging="316"/>
        <w:spacing w:after="0" w:line="282" w:lineRule="auto"/>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legally required, the adoption of the half-year accounts of the Company, including the consolidated accounts of its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337185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578" w:right="339" w:bottom="1440" w:gutter="0" w:footer="0" w:header="0"/>
        </w:sectPr>
      </w:pPr>
    </w:p>
    <w:bookmarkStart w:id="10" w:name="page11"/>
    <w:bookmarkEnd w:id="10"/>
    <w:p>
      <w:pPr>
        <w:ind w:left="1240" w:hanging="316"/>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 auditor for the financial year 2023/2024; and</w:t>
      </w:r>
    </w:p>
    <w:p>
      <w:pPr>
        <w:spacing w:after="0" w:line="225" w:lineRule="exact"/>
        <w:rPr>
          <w:rFonts w:ascii="Times New Roman" w:cs="Times New Roman" w:eastAsia="Times New Roman" w:hAnsi="Times New Roman"/>
          <w:sz w:val="18"/>
          <w:szCs w:val="18"/>
          <w:color w:val="auto"/>
        </w:rPr>
      </w:pPr>
    </w:p>
    <w:p>
      <w:pPr>
        <w:ind w:left="1240" w:hanging="316"/>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the agenda of the General Meeting:</w:t>
      </w:r>
    </w:p>
    <w:p>
      <w:pPr>
        <w:spacing w:after="0" w:line="225" w:lineRule="exact"/>
        <w:rPr>
          <w:rFonts w:ascii="Times New Roman" w:cs="Times New Roman" w:eastAsia="Times New Roman" w:hAnsi="Times New Roman"/>
          <w:sz w:val="18"/>
          <w:szCs w:val="18"/>
          <w:color w:val="auto"/>
        </w:rPr>
      </w:pPr>
    </w:p>
    <w:p>
      <w:pPr>
        <w:ind w:left="1900" w:hanging="328"/>
        <w:spacing w:after="0"/>
        <w:tabs>
          <w:tab w:leader="none" w:pos="1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repurchase of shares in the share capital of the Company by the Company and/or Sono GmbH;</w:t>
      </w:r>
    </w:p>
    <w:p>
      <w:pPr>
        <w:spacing w:after="0" w:line="225" w:lineRule="exact"/>
        <w:rPr>
          <w:rFonts w:ascii="Times New Roman" w:cs="Times New Roman" w:eastAsia="Times New Roman" w:hAnsi="Times New Roman"/>
          <w:sz w:val="18"/>
          <w:szCs w:val="18"/>
          <w:color w:val="auto"/>
        </w:rPr>
      </w:pPr>
    </w:p>
    <w:p>
      <w:pPr>
        <w:ind w:left="1900" w:hanging="328"/>
        <w:spacing w:after="0"/>
        <w:tabs>
          <w:tab w:leader="none" w:pos="1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cancellation of shares by the Company held by the Company and/or Sono GmbH; and</w:t>
      </w:r>
    </w:p>
    <w:p>
      <w:pPr>
        <w:spacing w:after="0" w:line="225" w:lineRule="exact"/>
        <w:rPr>
          <w:rFonts w:ascii="Times New Roman" w:cs="Times New Roman" w:eastAsia="Times New Roman" w:hAnsi="Times New Roman"/>
          <w:sz w:val="18"/>
          <w:szCs w:val="18"/>
          <w:color w:val="auto"/>
        </w:rPr>
      </w:pPr>
    </w:p>
    <w:p>
      <w:pPr>
        <w:ind w:left="1900" w:right="180" w:hanging="328"/>
        <w:spacing w:after="0" w:line="282" w:lineRule="auto"/>
        <w:tabs>
          <w:tab w:leader="none" w:pos="1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changes to the articles of association of the Company required in connection with the Transactions or any of the foregoing subjects as well as the authorization to execute the notarial deed of amendment.</w:t>
      </w:r>
    </w:p>
    <w:p>
      <w:pPr>
        <w:spacing w:after="0" w:line="162" w:lineRule="exact"/>
        <w:rPr>
          <w:sz w:val="20"/>
          <w:szCs w:val="20"/>
          <w:color w:val="auto"/>
        </w:rPr>
      </w:pPr>
    </w:p>
    <w:p>
      <w:pPr>
        <w:ind w:right="60" w:hanging="323"/>
        <w:spacing w:after="0" w:line="258" w:lineRule="auto"/>
        <w:rPr>
          <w:sz w:val="20"/>
          <w:szCs w:val="20"/>
          <w:color w:val="auto"/>
        </w:rPr>
      </w:pPr>
      <w:r>
        <w:rPr>
          <w:rFonts w:ascii="Times New Roman" w:cs="Times New Roman" w:eastAsia="Times New Roman" w:hAnsi="Times New Roman"/>
          <w:sz w:val="18"/>
          <w:szCs w:val="18"/>
          <w:color w:val="auto"/>
        </w:rPr>
        <w:t>2.3 In the event that one or more subsequent general meetings of the Company are convened or deemed necessary to give full effect to the Transactions and/or the agenda items in paragraph 2.2(d), we, the undersigned, acting in our capacity as shareholder of the Company, hereby irrevocable and unconditionally covenant and undertake towards the Company and the Third Party Beneficiaries to comply with any and all of the items referred to in paragraphs 2.1 and 2.2 and exercise our voting rights in the capital of the Company at such general meetings and in such manner to give effect to the Transactions and/or the agenda items in paragraph 2.2(d) in the fullest possible manner.</w:t>
      </w:r>
    </w:p>
    <w:p>
      <w:pPr>
        <w:spacing w:after="0" w:line="179" w:lineRule="exact"/>
        <w:rPr>
          <w:sz w:val="20"/>
          <w:szCs w:val="20"/>
          <w:color w:val="auto"/>
        </w:rPr>
      </w:pPr>
    </w:p>
    <w:p>
      <w:pPr>
        <w:ind w:left="340" w:hanging="321"/>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520" w:hanging="323"/>
        <w:spacing w:after="0" w:line="282" w:lineRule="auto"/>
        <w:rPr>
          <w:sz w:val="20"/>
          <w:szCs w:val="20"/>
          <w:color w:val="auto"/>
        </w:rPr>
      </w:pPr>
      <w:r>
        <w:rPr>
          <w:rFonts w:ascii="Times New Roman" w:cs="Times New Roman" w:eastAsia="Times New Roman" w:hAnsi="Times New Roman"/>
          <w:sz w:val="18"/>
          <w:szCs w:val="18"/>
          <w:color w:val="auto"/>
        </w:rPr>
        <w:t>3.1 (a) I, the undersigned Laurin Hahn, acting in my capacity as shareholder of the Company, hereby irrevocably and unconditionally covenant and undertake towards the Company and the Third Party Beneficiaries to transfer:</w:t>
      </w:r>
    </w:p>
    <w:p>
      <w:pPr>
        <w:spacing w:after="0" w:line="162" w:lineRule="exact"/>
        <w:rPr>
          <w:sz w:val="20"/>
          <w:szCs w:val="20"/>
          <w:color w:val="auto"/>
        </w:rPr>
      </w:pPr>
    </w:p>
    <w:p>
      <w:pPr>
        <w:ind w:left="1240" w:right="40" w:hanging="316"/>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the Company which can be made at any time, at the latest, however, on 30 June 2024:</w:t>
      </w:r>
    </w:p>
    <w:p>
      <w:pPr>
        <w:spacing w:after="0" w:line="16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9,108,553 of ordinary shares in the share capital of the Company; and</w:t>
      </w:r>
    </w:p>
    <w:p>
      <w:pPr>
        <w:spacing w:after="0" w:line="225"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of high-voting shares in the share capital of the Company</w:t>
      </w:r>
    </w:p>
    <w:p>
      <w:pPr>
        <w:spacing w:after="0" w:line="225" w:lineRule="exact"/>
        <w:rPr>
          <w:sz w:val="20"/>
          <w:szCs w:val="20"/>
          <w:color w:val="auto"/>
        </w:rPr>
      </w:pPr>
    </w:p>
    <w:p>
      <w:pPr>
        <w:ind w:left="1560"/>
        <w:spacing w:after="0" w:line="282" w:lineRule="auto"/>
        <w:rPr>
          <w:sz w:val="20"/>
          <w:szCs w:val="20"/>
          <w:color w:val="auto"/>
        </w:rPr>
      </w:pPr>
      <w:r>
        <w:rPr>
          <w:rFonts w:ascii="Times New Roman" w:cs="Times New Roman" w:eastAsia="Times New Roman" w:hAnsi="Times New Roman"/>
          <w:sz w:val="18"/>
          <w:szCs w:val="18"/>
          <w:color w:val="auto"/>
        </w:rPr>
        <w:t>to the Company and/or the managing directors of the Company – as designated in the written request by the Company – for a compensation of EUR 0.003/share, i.e., for an aggregate compensation of EUR 32,062.50 (incl. VAT, if any);</w:t>
      </w:r>
    </w:p>
    <w:p>
      <w:pPr>
        <w:spacing w:after="0" w:line="158" w:lineRule="exact"/>
        <w:rPr>
          <w:sz w:val="20"/>
          <w:szCs w:val="20"/>
          <w:color w:val="auto"/>
        </w:rPr>
      </w:pPr>
    </w:p>
    <w:p>
      <w:pPr>
        <w:jc w:val="both"/>
        <w:ind w:left="1240" w:right="20" w:hanging="316"/>
        <w:spacing w:after="0" w:line="268"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Mr. Ivo-Meinert Willrodt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which can be made at any time, at the latest, however, on 31 December 2024 (i.e., irrespective of the Custodian’s function as the custodian of Sono GmbH has been ended or not):</w:t>
      </w:r>
    </w:p>
    <w:p>
      <w:pPr>
        <w:spacing w:after="0" w:line="174"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–7,187,500 of ordinary shares in the share capital of the Company</w:t>
      </w:r>
    </w:p>
    <w:p>
      <w:pPr>
        <w:spacing w:after="0" w:line="221" w:lineRule="exact"/>
        <w:rPr>
          <w:sz w:val="20"/>
          <w:szCs w:val="20"/>
          <w:color w:val="auto"/>
        </w:rPr>
      </w:pPr>
    </w:p>
    <w:p>
      <w:pPr>
        <w:ind w:left="1560" w:right="20"/>
        <w:spacing w:after="0" w:line="286" w:lineRule="auto"/>
        <w:rPr>
          <w:sz w:val="20"/>
          <w:szCs w:val="20"/>
          <w:color w:val="auto"/>
        </w:rPr>
      </w:pPr>
      <w:r>
        <w:rPr>
          <w:rFonts w:ascii="Times New Roman" w:cs="Times New Roman" w:eastAsia="Times New Roman" w:hAnsi="Times New Roman"/>
          <w:sz w:val="18"/>
          <w:szCs w:val="18"/>
          <w:color w:val="auto"/>
        </w:rPr>
        <w:t>to a trustee acting for the benefit of the creditors of Sono GmbH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 as designated in the written request by the Custodian – for a compensation of EUR 0.003/share, i.e., for an aggregate compensation of EUR 21,562.50 (incl. VAT, if any).</w:t>
      </w:r>
    </w:p>
    <w:p>
      <w:pPr>
        <w:spacing w:after="0" w:line="159" w:lineRule="exact"/>
        <w:rPr>
          <w:sz w:val="20"/>
          <w:szCs w:val="20"/>
          <w:color w:val="auto"/>
        </w:rPr>
      </w:pPr>
    </w:p>
    <w:p>
      <w:pPr>
        <w:ind w:left="900" w:hanging="642"/>
        <w:spacing w:after="0" w:line="282" w:lineRule="auto"/>
        <w:tabs>
          <w:tab w:leader="none" w:pos="8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undersigned Jona Christians, acting in my capacity as shareholder of the Company, hereby irrevocably and unconditionally covenant and undertake towards the Company and the Third Party Beneficiaries to transfer:</w:t>
      </w:r>
    </w:p>
    <w:p>
      <w:pPr>
        <w:spacing w:after="0" w:line="161" w:lineRule="exact"/>
        <w:rPr>
          <w:rFonts w:ascii="Times New Roman" w:cs="Times New Roman" w:eastAsia="Times New Roman" w:hAnsi="Times New Roman"/>
          <w:sz w:val="18"/>
          <w:szCs w:val="18"/>
          <w:color w:val="auto"/>
        </w:rPr>
      </w:pPr>
    </w:p>
    <w:p>
      <w:pPr>
        <w:ind w:left="1240" w:right="40" w:hanging="316"/>
        <w:spacing w:after="0" w:line="282" w:lineRule="auto"/>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the Company which can be made at any time, at the latest, however, on 30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337185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580" w:right="339" w:bottom="1440" w:gutter="0" w:footer="0" w:header="0"/>
        </w:sectPr>
      </w:pPr>
    </w:p>
    <w:bookmarkStart w:id="11" w:name="page12"/>
    <w:bookmarkEnd w:id="11"/>
    <w:p>
      <w:pPr>
        <w:ind w:left="132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8,197,698 of ordinary shares in the share capital of the Company; and</w:t>
      </w:r>
    </w:p>
    <w:p>
      <w:pPr>
        <w:spacing w:after="0" w:line="225"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–1,421,053 of high-voting shares in the share capital of the Company</w:t>
      </w:r>
    </w:p>
    <w:p>
      <w:pPr>
        <w:spacing w:after="0" w:line="225" w:lineRule="exact"/>
        <w:rPr>
          <w:sz w:val="20"/>
          <w:szCs w:val="20"/>
          <w:color w:val="auto"/>
        </w:rPr>
      </w:pPr>
    </w:p>
    <w:p>
      <w:pPr>
        <w:ind w:left="1302"/>
        <w:spacing w:after="0" w:line="282" w:lineRule="auto"/>
        <w:rPr>
          <w:sz w:val="20"/>
          <w:szCs w:val="20"/>
          <w:color w:val="auto"/>
        </w:rPr>
      </w:pPr>
      <w:r>
        <w:rPr>
          <w:rFonts w:ascii="Times New Roman" w:cs="Times New Roman" w:eastAsia="Times New Roman" w:hAnsi="Times New Roman"/>
          <w:sz w:val="18"/>
          <w:szCs w:val="18"/>
          <w:color w:val="auto"/>
        </w:rPr>
        <w:t>to the Company and/or the managing directors of the Company – as designated in the written request by the Company – for a compensation of EUR 0.003/share, i.e., for an aggregate compensation of EUR 28,856.25 (incl. VAT, if any);</w:t>
      </w:r>
    </w:p>
    <w:p>
      <w:pPr>
        <w:spacing w:after="0" w:line="162" w:lineRule="exact"/>
        <w:rPr>
          <w:sz w:val="20"/>
          <w:szCs w:val="20"/>
          <w:color w:val="auto"/>
        </w:rPr>
      </w:pPr>
    </w:p>
    <w:p>
      <w:pPr>
        <w:ind w:left="982" w:right="20" w:hanging="316"/>
        <w:spacing w:after="0" w:line="266" w:lineRule="auto"/>
        <w:tabs>
          <w:tab w:leader="none" w:pos="9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(e-mail with attached signed PDF copy sufficient) by Mr. Ivo-Meinert Willrodt (the “Custodian”) which can be made at any time, at the latest, however, on 31 December 2024 (i.e., irrespective of the Custodian’s function as the custodian of Sono GmbH has been ended or not):</w:t>
      </w:r>
    </w:p>
    <w:p>
      <w:pPr>
        <w:spacing w:after="0" w:line="176" w:lineRule="exact"/>
        <w:rPr>
          <w:sz w:val="20"/>
          <w:szCs w:val="20"/>
          <w:color w:val="auto"/>
        </w:rPr>
      </w:pPr>
    </w:p>
    <w:p>
      <w:pPr>
        <w:ind w:left="132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6,118,749 of ordinary shares in the share capital of the Company; and</w:t>
      </w:r>
    </w:p>
    <w:p>
      <w:pPr>
        <w:spacing w:after="0" w:line="225" w:lineRule="exact"/>
        <w:rPr>
          <w:sz w:val="20"/>
          <w:szCs w:val="20"/>
          <w:color w:val="auto"/>
        </w:rPr>
      </w:pPr>
    </w:p>
    <w:p>
      <w:pPr>
        <w:ind w:left="1302" w:right="20"/>
        <w:spacing w:after="0" w:line="282" w:lineRule="auto"/>
        <w:rPr>
          <w:sz w:val="20"/>
          <w:szCs w:val="20"/>
          <w:color w:val="auto"/>
        </w:rPr>
      </w:pPr>
      <w:r>
        <w:rPr>
          <w:rFonts w:ascii="Times New Roman" w:cs="Times New Roman" w:eastAsia="Times New Roman" w:hAnsi="Times New Roman"/>
          <w:sz w:val="18"/>
          <w:szCs w:val="18"/>
          <w:color w:val="auto"/>
        </w:rPr>
        <w:t>to the Trustee – as designated in the written request by the Custodian – for a compensation of EUR 0.003/share, i.e., for an aggregate compensation of EUR 18,356.25 (incl. VAT, if any).</w:t>
      </w:r>
    </w:p>
    <w:p>
      <w:pPr>
        <w:spacing w:after="0" w:line="162" w:lineRule="exact"/>
        <w:rPr>
          <w:sz w:val="20"/>
          <w:szCs w:val="20"/>
          <w:color w:val="auto"/>
        </w:rPr>
      </w:pPr>
    </w:p>
    <w:p>
      <w:pPr>
        <w:ind w:left="642" w:right="20" w:hanging="642"/>
        <w:spacing w:after="0" w:line="282" w:lineRule="auto"/>
        <w:tabs>
          <w:tab w:leader="none" w:pos="6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for the transfer of the shares according to (a) and (b) above in the aggregate amount of up to EUR 100,837.50 shall be paid by the Trustee exclusively as follows:</w:t>
      </w:r>
    </w:p>
    <w:p>
      <w:pPr>
        <w:spacing w:after="0" w:line="161" w:lineRule="exact"/>
        <w:rPr>
          <w:rFonts w:ascii="Times New Roman" w:cs="Times New Roman" w:eastAsia="Times New Roman" w:hAnsi="Times New Roman"/>
          <w:sz w:val="18"/>
          <w:szCs w:val="18"/>
          <w:color w:val="auto"/>
        </w:rPr>
      </w:pPr>
    </w:p>
    <w:p>
      <w:pPr>
        <w:ind w:left="982" w:right="80" w:hanging="316"/>
        <w:spacing w:after="0" w:line="261" w:lineRule="auto"/>
        <w:tabs>
          <w:tab w:leader="none" w:pos="98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EUR 26.813.00 (incl. VAT, if any) shall be paid to Laurin Hahn, and an amount of EUR 23.606.00 (incl. VAT, if any) shall be paid to Jona Christians, in each case without undue delay after Laurin Hahn or, as the case may be, Jona Christians have validly transferred their shares to be transferred pursuant to (a) or, respectively, (b) above to the respective designated transferee, but no later than 14 days after such transfer of shares;</w:t>
      </w:r>
    </w:p>
    <w:p>
      <w:pPr>
        <w:spacing w:after="0" w:line="179" w:lineRule="exact"/>
        <w:rPr>
          <w:rFonts w:ascii="Times New Roman" w:cs="Times New Roman" w:eastAsia="Times New Roman" w:hAnsi="Times New Roman"/>
          <w:sz w:val="18"/>
          <w:szCs w:val="18"/>
          <w:color w:val="auto"/>
        </w:rPr>
      </w:pPr>
    </w:p>
    <w:p>
      <w:pPr>
        <w:ind w:left="982" w:right="60" w:hanging="316"/>
        <w:spacing w:after="0" w:line="269" w:lineRule="auto"/>
        <w:tabs>
          <w:tab w:leader="none" w:pos="98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of 50% of any payments received by the Trustee as a compensation for a sale of any of the shares to be transferred to the Trustee pursuant to (b) above until 31 December 2024 – to be forwarded to Laurin Hahn and Jona Christians by the end of each calendar quarter in which such sale(s) has/have taken place,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in accordance with the number of shares sold by Laurin Hahn and Jona Christians pursuant to (a) and (b) above; provided that the overall amount of payments to be made by the Trustee under (i) and this (ii) to Laurin Hahn shall not exceed the maximum compensation pursuant to (a) above; and provided further that the overall amount of payments to be made by the Trustee under (i) and this (ii) to Jona Christians shall not exceed the maximum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compensation pursuant to (b) above. In addition to the payment under this (ii), the Trustee will inform Laurin Hahn and Jona Christians at the end of each calendar quarter about how many shares were sold by the Trustee during that calendar quarter and for what compensation such shares were sold. If and to the extent that by 31 December 2026 the payments under this (ii) are not sufficient to fully pay the maximum compensation to be paid to Laurin Hahn and/or Jona Christians pursuant to (a) and/or (b) above, any further claims of Laurin Hahn and Jona Christians to their respective compensation which has not yet been paid shall expire.</w:t>
      </w:r>
    </w:p>
    <w:p>
      <w:pPr>
        <w:spacing w:after="0" w:line="181" w:lineRule="exact"/>
        <w:rPr>
          <w:rFonts w:ascii="Times New Roman" w:cs="Times New Roman" w:eastAsia="Times New Roman" w:hAnsi="Times New Roman"/>
          <w:sz w:val="17"/>
          <w:szCs w:val="17"/>
          <w:color w:val="auto"/>
        </w:rPr>
      </w:pPr>
    </w:p>
    <w:p>
      <w:pPr>
        <w:jc w:val="both"/>
        <w:ind w:left="642" w:hanging="642"/>
        <w:spacing w:after="0" w:line="256" w:lineRule="auto"/>
        <w:tabs>
          <w:tab w:leader="none" w:pos="7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Sono GmbH nor any Third Party Beneficiary (other than the Trustee) shall be obligated to make any payments under this paragraph 3.1. Trustee’s obligation to make any payments in accordance with this paragraph 3.1 to Laurin Hahn shall be subject to a transfer request pursuant to (a) above being made and the shares to be transferred pursuant to (a) above being validly transferred to the respective designated transferee. The Trustee’s obligation to make any payments in accordance with this paragraph 3.1 to Jona Christians shall be subject to a transfer request pursuant to (b) above being made and the shares to be transferred pursuant to (b) above being validly transferred to the respective designated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353695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2"/>
          </w:cols>
          <w:pgMar w:left="958" w:top="580" w:right="339" w:bottom="1440" w:gutter="0" w:footer="0" w:header="0"/>
        </w:sectPr>
      </w:pPr>
    </w:p>
    <w:bookmarkStart w:id="12" w:name="page13"/>
    <w:bookmarkEnd w:id="12"/>
    <w:p>
      <w:pPr>
        <w:jc w:val="both"/>
        <w:ind w:left="580" w:hanging="647"/>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We, the undersigned, hereby irrevocably and unconditionally covenant and undertake – without assuming any primary payment obligations (</w:t>
      </w:r>
      <w:r>
        <w:rPr>
          <w:rFonts w:ascii="Times New Roman" w:cs="Times New Roman" w:eastAsia="Times New Roman" w:hAnsi="Times New Roman"/>
          <w:sz w:val="18"/>
          <w:szCs w:val="18"/>
          <w:i w:val="1"/>
          <w:iCs w:val="1"/>
          <w:color w:val="auto"/>
        </w:rPr>
        <w:t>prim</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re Zahlungsverpflichtungen</w:t>
      </w:r>
      <w:r>
        <w:rPr>
          <w:rFonts w:ascii="Times New Roman" w:cs="Times New Roman" w:eastAsia="Times New Roman" w:hAnsi="Times New Roman"/>
          <w:sz w:val="18"/>
          <w:szCs w:val="18"/>
          <w:color w:val="auto"/>
        </w:rPr>
        <w:t xml:space="preserve">) – towards the Company and the Third Party Beneficiaries to enter into, execute, deliver and perform (as the case may be) any and all documents, deeds, agreements, powers of attorney, notices, acknowledgements, letter agreements, resolutions, waivers, consents, instructions, memoranda, statements and certificates as may be ancillary, necessary, required or useful in connection the transfer of our shares as described in this paragraph 3 including, but not limited to, entering into one or several sale and transfer agreements substantially in form to the sample share sale and transfer agreement attached as </w:t>
      </w:r>
      <w:r>
        <w:rPr>
          <w:rFonts w:ascii="Times New Roman" w:cs="Times New Roman" w:eastAsia="Times New Roman" w:hAnsi="Times New Roman"/>
          <w:sz w:val="18"/>
          <w:szCs w:val="18"/>
          <w:b w:val="1"/>
          <w:bCs w:val="1"/>
          <w:u w:val="single" w:color="auto"/>
          <w:color w:val="auto"/>
        </w:rPr>
        <w:t>Exhibit 3.2</w:t>
      </w:r>
      <w:r>
        <w:rPr>
          <w:rFonts w:ascii="Times New Roman" w:cs="Times New Roman" w:eastAsia="Times New Roman" w:hAnsi="Times New Roman"/>
          <w:sz w:val="18"/>
          <w:szCs w:val="18"/>
          <w:color w:val="auto"/>
        </w:rPr>
        <w:t xml:space="preserve"> to this commitment letter (and make the representations and warranties provided therein) (the “</w:t>
      </w:r>
      <w:r>
        <w:rPr>
          <w:rFonts w:ascii="Times New Roman" w:cs="Times New Roman" w:eastAsia="Times New Roman" w:hAnsi="Times New Roman"/>
          <w:sz w:val="18"/>
          <w:szCs w:val="18"/>
          <w:b w:val="1"/>
          <w:bCs w:val="1"/>
          <w:color w:val="auto"/>
        </w:rPr>
        <w:t>Sample SPA</w:t>
      </w:r>
      <w:r>
        <w:rPr>
          <w:rFonts w:ascii="Times New Roman" w:cs="Times New Roman" w:eastAsia="Times New Roman" w:hAnsi="Times New Roman"/>
          <w:sz w:val="18"/>
          <w:szCs w:val="18"/>
          <w:color w:val="auto"/>
        </w:rPr>
        <w:t>”), provided that we will consent to any amendments to the Sample SPA requested by you in good faith (including, but not limited to, amendments due to applicability of Dutch and/or US laws.</w:t>
      </w:r>
    </w:p>
    <w:p>
      <w:pPr>
        <w:spacing w:after="0" w:line="188" w:lineRule="exact"/>
        <w:rPr>
          <w:sz w:val="20"/>
          <w:szCs w:val="20"/>
          <w:color w:val="auto"/>
        </w:rPr>
      </w:pPr>
    </w:p>
    <w:p>
      <w:pPr>
        <w:ind w:left="660" w:hanging="327"/>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 of shares</w:t>
      </w:r>
    </w:p>
    <w:p>
      <w:pPr>
        <w:spacing w:after="0" w:line="229"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We, the undersigned, hereby irrevocably and unconditionally covenant and undertake towards the Company and the Third Party Beneficiaries, that without the prior written consent of Company, we will not, whether directly or indirectly, at any time during the period of 12 months following the date hereof (such period,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(i) dispose of, in any way, any shares in the capital of the Company, including any securities convertible into or exchangeable or exercisable for or that represent the right to receive any of the forgoing securities; (ii) dispose of, in any way, any shares or any interest in any company, entity or person holding any shares in the capital of the Company, including any securities convertible into or exchangeable or exercisable for or that represent the right to receive any of the forgoing securities; (iii) agree or contract to, or publicly announce any intention to, enter any such transaction described above; or (iv) enter into any transactions directly or indirectly with the same economic effect as any aforesaid transactions.</w:t>
      </w:r>
    </w:p>
    <w:p>
      <w:pPr>
        <w:spacing w:after="0" w:line="1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4.2</w:t>
        <w:tab/>
        <w:t>Notwithstanding paragraph 4.1, the lock-up period shall end immediately if one of the following events occurs:</w:t>
      </w:r>
    </w:p>
    <w:p>
      <w:pPr>
        <w:spacing w:after="0" w:line="221" w:lineRule="exact"/>
        <w:rPr>
          <w:sz w:val="20"/>
          <w:szCs w:val="20"/>
          <w:color w:val="auto"/>
        </w:rPr>
      </w:pPr>
    </w:p>
    <w:p>
      <w:pPr>
        <w:ind w:left="900" w:right="540" w:hanging="324"/>
        <w:spacing w:after="0" w:line="26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Yorkville has converted and sold 80% of the Existing Convertible Debentures. “</w:t>
      </w:r>
      <w:r>
        <w:rPr>
          <w:rFonts w:ascii="Times New Roman" w:cs="Times New Roman" w:eastAsia="Times New Roman" w:hAnsi="Times New Roman"/>
          <w:sz w:val="18"/>
          <w:szCs w:val="18"/>
          <w:b w:val="1"/>
          <w:bCs w:val="1"/>
          <w:color w:val="auto"/>
        </w:rPr>
        <w:t>Existing Convertible Debentures</w:t>
      </w:r>
      <w:r>
        <w:rPr>
          <w:rFonts w:ascii="Times New Roman" w:cs="Times New Roman" w:eastAsia="Times New Roman" w:hAnsi="Times New Roman"/>
          <w:sz w:val="18"/>
          <w:szCs w:val="18"/>
          <w:color w:val="auto"/>
        </w:rPr>
        <w:t>” shall mean the convertible debentures in an aggregate principal amount of USD 31.1 million (of which an aggregate amount of USD 20 million is outstanding) which Yorkville purchased from Sono NV pursuant to the securities purchase agreement dated 7 December 2022 between Yorkville and Sono NV.</w:t>
      </w:r>
    </w:p>
    <w:p>
      <w:pPr>
        <w:spacing w:after="0" w:line="180"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Sono GmbH are sold in part or in full to a third party.</w:t>
      </w:r>
    </w:p>
    <w:p>
      <w:pPr>
        <w:spacing w:after="0" w:line="225" w:lineRule="exact"/>
        <w:rPr>
          <w:rFonts w:ascii="Times New Roman" w:cs="Times New Roman" w:eastAsia="Times New Roman" w:hAnsi="Times New Roman"/>
          <w:sz w:val="18"/>
          <w:szCs w:val="18"/>
          <w:color w:val="auto"/>
        </w:rPr>
      </w:pPr>
    </w:p>
    <w:p>
      <w:pPr>
        <w:ind w:left="900" w:hanging="32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GmbH or Sono NV file – after the signing of this letter – for insolvency another time.</w:t>
      </w:r>
    </w:p>
    <w:p>
      <w:pPr>
        <w:spacing w:after="0" w:line="225"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In the case of section paragraph 4.2 (b), we, the undersigned, undertake to sell the shares only outside the stock exchange or by offering the Company a purchase of the shares.</w:t>
      </w:r>
    </w:p>
    <w:p>
      <w:pPr>
        <w:spacing w:after="0" w:line="162" w:lineRule="exact"/>
        <w:rPr>
          <w:sz w:val="20"/>
          <w:szCs w:val="20"/>
          <w:color w:val="auto"/>
        </w:rPr>
      </w:pPr>
    </w:p>
    <w:p>
      <w:pPr>
        <w:ind w:left="580" w:right="220"/>
        <w:spacing w:after="0" w:line="282" w:lineRule="auto"/>
        <w:rPr>
          <w:sz w:val="20"/>
          <w:szCs w:val="20"/>
          <w:color w:val="auto"/>
        </w:rPr>
      </w:pPr>
      <w:r>
        <w:rPr>
          <w:rFonts w:ascii="Times New Roman" w:cs="Times New Roman" w:eastAsia="Times New Roman" w:hAnsi="Times New Roman"/>
          <w:sz w:val="18"/>
          <w:szCs w:val="18"/>
          <w:color w:val="auto"/>
        </w:rPr>
        <w:t>In the case of section paragraph 4.2. (a) the Company will inform the undersigned after such an event via email and the lock-up period shall end immediately.</w:t>
      </w:r>
    </w:p>
    <w:p>
      <w:pPr>
        <w:spacing w:after="0" w:line="162" w:lineRule="exact"/>
        <w:rPr>
          <w:sz w:val="20"/>
          <w:szCs w:val="20"/>
          <w:color w:val="auto"/>
        </w:rPr>
      </w:pPr>
    </w:p>
    <w:p>
      <w:pPr>
        <w:ind w:left="580" w:right="460"/>
        <w:spacing w:after="0" w:line="282" w:lineRule="auto"/>
        <w:rPr>
          <w:sz w:val="20"/>
          <w:szCs w:val="20"/>
          <w:color w:val="auto"/>
        </w:rPr>
      </w:pPr>
      <w:r>
        <w:rPr>
          <w:rFonts w:ascii="Times New Roman" w:cs="Times New Roman" w:eastAsia="Times New Roman" w:hAnsi="Times New Roman"/>
          <w:sz w:val="18"/>
          <w:szCs w:val="18"/>
          <w:color w:val="auto"/>
        </w:rPr>
        <w:t>In the case of section paragraph 4.2. (b) the Company will inform the undersigned in due course to the extent legally permissible, the latest 2 weeks prior to such an event via email (email: OMITTED, OMITTED) and the lockup will end immediately.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the undersigned, herewith undertake to keep the Company informed about our up to date notification and contact details.</w:t>
      </w:r>
    </w:p>
    <w:p>
      <w:pPr>
        <w:spacing w:after="0" w:line="225" w:lineRule="exact"/>
        <w:rPr>
          <w:sz w:val="20"/>
          <w:szCs w:val="20"/>
          <w:color w:val="auto"/>
        </w:rPr>
      </w:pPr>
    </w:p>
    <w:p>
      <w:pPr>
        <w:ind w:left="300" w:right="520" w:hanging="323"/>
        <w:spacing w:after="0" w:line="282" w:lineRule="auto"/>
        <w:rPr>
          <w:sz w:val="20"/>
          <w:szCs w:val="20"/>
          <w:color w:val="auto"/>
        </w:rPr>
      </w:pPr>
      <w:r>
        <w:rPr>
          <w:rFonts w:ascii="Times New Roman" w:cs="Times New Roman" w:eastAsia="Times New Roman" w:hAnsi="Times New Roman"/>
          <w:sz w:val="18"/>
          <w:szCs w:val="18"/>
          <w:color w:val="auto"/>
        </w:rPr>
        <w:t>4.3 Following the Lock-Up Period, we, the undersigned, will be authorized to dispose of shares in the capital of the Company that we hold, it being understood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337185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580" w:right="339" w:bottom="1440" w:gutter="0" w:footer="0" w:header="0"/>
        </w:sectPr>
      </w:pPr>
    </w:p>
    <w:bookmarkStart w:id="13" w:name="page14"/>
    <w:bookmarkEnd w:id="13"/>
    <w:p>
      <w:pPr>
        <w:ind w:left="920" w:right="60" w:hanging="324"/>
        <w:spacing w:after="0" w:line="282"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disposal shall never exceed, directly or indirectly, for Laurin Hahn 200,000 shares in the capital of the Company per calendar month and for Jona Christians 200,000 shares in the capital of the Company per calendar month; and</w:t>
      </w:r>
    </w:p>
    <w:p>
      <w:pPr>
        <w:spacing w:after="0" w:line="159"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(i) through (iv) of paragraph 4.1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520" w:hanging="316"/>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Transactions</w:t>
      </w:r>
    </w:p>
    <w:p>
      <w:pPr>
        <w:spacing w:after="0" w:line="22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We, the undersigned, hereby irrevocably and unconditionally covenant and undertake – without assuming any primary payment obligations (</w:t>
      </w:r>
      <w:r>
        <w:rPr>
          <w:rFonts w:ascii="Times New Roman" w:cs="Times New Roman" w:eastAsia="Times New Roman" w:hAnsi="Times New Roman"/>
          <w:sz w:val="18"/>
          <w:szCs w:val="18"/>
          <w:i w:val="1"/>
          <w:iCs w:val="1"/>
          <w:color w:val="auto"/>
        </w:rPr>
        <w:t>prim</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Zahlungsverpflichtungen</w:t>
      </w:r>
      <w:r>
        <w:rPr>
          <w:rFonts w:ascii="Times New Roman" w:cs="Times New Roman" w:eastAsia="Times New Roman" w:hAnsi="Times New Roman"/>
          <w:sz w:val="18"/>
          <w:szCs w:val="18"/>
          <w:color w:val="auto"/>
        </w:rPr>
        <w:t>) – towards the Company and the Third Party Beneficiaries to enter into, execute, deliver and perform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documents, deeds, agreements, powers of attorney, notices, acknowledgements, letter agreements, resolutions, waivers, consents, memoranda, statements and certificates as may be ancillary, necessary, required or useful in connection with the Transactions. And we further undertake to use our best efforts to support the implementation of the restructuring.</w:t>
      </w:r>
    </w:p>
    <w:p>
      <w:pPr>
        <w:spacing w:after="0" w:line="181" w:lineRule="exact"/>
        <w:rPr>
          <w:sz w:val="20"/>
          <w:szCs w:val="20"/>
          <w:color w:val="auto"/>
        </w:rPr>
      </w:pPr>
    </w:p>
    <w:p>
      <w:pPr>
        <w:ind w:left="1140" w:hanging="328"/>
        <w:spacing w:after="0"/>
        <w:tabs>
          <w:tab w:leader="none" w:pos="11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6.2 Each of us hereby declares:</w:t>
      </w:r>
    </w:p>
    <w:p>
      <w:pPr>
        <w:spacing w:after="0" w:line="225"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I, the undersigned, hereby represent and warrant that I have the legal right and full power and authority (including all necessary consents, authorisations, confirmations, permissions, certificates, approvals, authorities or other corporate action as may be required) to provide and perform the obligations and undertakings contained in this letter (as applicable) which when executed will constitute legal, valid and binding obligations on me.</w:t>
      </w:r>
    </w:p>
    <w:p>
      <w:pPr>
        <w:spacing w:after="0" w:line="180" w:lineRule="exact"/>
        <w:rPr>
          <w:sz w:val="20"/>
          <w:szCs w:val="20"/>
          <w:color w:val="auto"/>
        </w:rPr>
      </w:pPr>
    </w:p>
    <w:p>
      <w:pPr>
        <w:ind w:left="320" w:right="80" w:hanging="323"/>
        <w:spacing w:after="0" w:line="266" w:lineRule="auto"/>
        <w:rPr>
          <w:sz w:val="20"/>
          <w:szCs w:val="20"/>
          <w:color w:val="auto"/>
        </w:rPr>
      </w:pPr>
      <w:r>
        <w:rPr>
          <w:rFonts w:ascii="Times New Roman" w:cs="Times New Roman" w:eastAsia="Times New Roman" w:hAnsi="Times New Roman"/>
          <w:sz w:val="18"/>
          <w:szCs w:val="18"/>
          <w:color w:val="auto"/>
        </w:rPr>
        <w:t>6.3 This letter shall be treated by us, the undersigned, as strictly confidential and shall not, without your prior written consent, be disclosed in whole or in part to any person, other than to our employees, directors, professional advisers and financing sources, in each case on a confidential basis. You and the Third Party Beneficiaries shall be entitled to freely disclose this letter.</w:t>
      </w:r>
    </w:p>
    <w:p>
      <w:pPr>
        <w:spacing w:after="0" w:line="176" w:lineRule="exact"/>
        <w:rPr>
          <w:sz w:val="20"/>
          <w:szCs w:val="20"/>
          <w:color w:val="auto"/>
        </w:rPr>
      </w:pPr>
    </w:p>
    <w:p>
      <w:pPr>
        <w:ind w:left="320" w:right="560" w:hanging="323"/>
        <w:spacing w:after="0" w:line="282" w:lineRule="auto"/>
        <w:rPr>
          <w:sz w:val="20"/>
          <w:szCs w:val="20"/>
          <w:color w:val="auto"/>
        </w:rPr>
      </w:pPr>
      <w:r>
        <w:rPr>
          <w:rFonts w:ascii="Times New Roman" w:cs="Times New Roman" w:eastAsia="Times New Roman" w:hAnsi="Times New Roman"/>
          <w:sz w:val="18"/>
          <w:szCs w:val="18"/>
          <w:color w:val="auto"/>
        </w:rPr>
        <w:t>6.4 No variation of this letter shall be effective unless in writing and signed by us, the undersigned, the Company, Sono GmbH and the Third Party Beneficiaries (including, but not limited to, the Trustee, once having been designated by the Custodian).</w:t>
      </w:r>
    </w:p>
    <w:p>
      <w:pPr>
        <w:spacing w:after="0" w:line="162" w:lineRule="exact"/>
        <w:rPr>
          <w:sz w:val="20"/>
          <w:szCs w:val="20"/>
          <w:color w:val="auto"/>
        </w:rPr>
      </w:pPr>
    </w:p>
    <w:p>
      <w:pPr>
        <w:ind w:left="320" w:right="20" w:hanging="323"/>
        <w:spacing w:after="0" w:line="258" w:lineRule="auto"/>
        <w:rPr>
          <w:sz w:val="20"/>
          <w:szCs w:val="20"/>
          <w:color w:val="auto"/>
        </w:rPr>
      </w:pPr>
      <w:r>
        <w:rPr>
          <w:rFonts w:ascii="Times New Roman" w:cs="Times New Roman" w:eastAsia="Times New Roman" w:hAnsi="Times New Roman"/>
          <w:sz w:val="18"/>
          <w:szCs w:val="18"/>
          <w:color w:val="auto"/>
        </w:rPr>
        <w:t>6.5 If any provision in this letter shall be held to be illegal, invalid or unenforceable, in whole or in part, the provision shall apply with whatever deletion or modification is necessary so that the provision is legal, valid and enforceable and gives effect to the commercial intention between the Sono Group and us.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letter shall, subject to any deletion or modification made under this paragraph, not be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Any set-off or retention right of any party shall be excluded, unless the existence of such right is undisputed or confirmed by a final court decision.</w:t>
      </w:r>
    </w:p>
    <w:p>
      <w:pPr>
        <w:spacing w:after="0" w:line="221" w:lineRule="exact"/>
        <w:rPr>
          <w:sz w:val="20"/>
          <w:szCs w:val="20"/>
          <w:color w:val="auto"/>
        </w:rPr>
      </w:pPr>
    </w:p>
    <w:p>
      <w:pPr>
        <w:ind w:left="520" w:hanging="329"/>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and counterparts</w:t>
      </w:r>
    </w:p>
    <w:p>
      <w:pPr>
        <w:spacing w:after="0" w:line="229" w:lineRule="exact"/>
        <w:rPr>
          <w:sz w:val="20"/>
          <w:szCs w:val="20"/>
          <w:color w:val="auto"/>
        </w:rPr>
      </w:pPr>
    </w:p>
    <w:p>
      <w:pPr>
        <w:ind w:left="320" w:right="600" w:hanging="323"/>
        <w:spacing w:after="0" w:line="282" w:lineRule="auto"/>
        <w:rPr>
          <w:sz w:val="20"/>
          <w:szCs w:val="20"/>
          <w:color w:val="auto"/>
        </w:rPr>
      </w:pPr>
      <w:r>
        <w:rPr>
          <w:rFonts w:ascii="Times New Roman" w:cs="Times New Roman" w:eastAsia="Times New Roman" w:hAnsi="Times New Roman"/>
          <w:sz w:val="18"/>
          <w:szCs w:val="18"/>
          <w:color w:val="auto"/>
        </w:rPr>
        <w:t>7.2 If you agree to the above, please acknowledge your agreement and acceptance of the aforementioned by signing and returning by email to us a scanned copy of this letter countersigned by you.</w:t>
      </w:r>
    </w:p>
    <w:p>
      <w:pPr>
        <w:spacing w:after="0" w:line="162" w:lineRule="exact"/>
        <w:rPr>
          <w:sz w:val="20"/>
          <w:szCs w:val="20"/>
          <w:color w:val="auto"/>
        </w:rPr>
      </w:pPr>
    </w:p>
    <w:p>
      <w:pPr>
        <w:jc w:val="both"/>
        <w:ind w:left="320" w:right="320" w:hanging="323"/>
        <w:spacing w:after="0" w:line="266" w:lineRule="auto"/>
        <w:rPr>
          <w:sz w:val="20"/>
          <w:szCs w:val="20"/>
          <w:color w:val="auto"/>
        </w:rPr>
      </w:pPr>
      <w:r>
        <w:rPr>
          <w:rFonts w:ascii="Times New Roman" w:cs="Times New Roman" w:eastAsia="Times New Roman" w:hAnsi="Times New Roman"/>
          <w:sz w:val="18"/>
          <w:szCs w:val="18"/>
          <w:color w:val="auto"/>
        </w:rPr>
        <w:t>7.3 We deem your acknowledgment and agreement of this letter also an acknowledgment and acceptance of any third party stipulations created in this letter for the benefit (in the meaning of Section 328 BGB) of the Custodian, and/or the Trustee (jointly, the “</w:t>
      </w:r>
      <w:r>
        <w:rPr>
          <w:rFonts w:ascii="Times New Roman" w:cs="Times New Roman" w:eastAsia="Times New Roman" w:hAnsi="Times New Roman"/>
          <w:sz w:val="18"/>
          <w:szCs w:val="18"/>
          <w:b w:val="1"/>
          <w:bCs w:val="1"/>
          <w:color w:val="auto"/>
        </w:rPr>
        <w:t>Third Party Beneficiaries</w:t>
      </w:r>
      <w:r>
        <w:rPr>
          <w:rFonts w:ascii="Times New Roman" w:cs="Times New Roman" w:eastAsia="Times New Roman" w:hAnsi="Times New Roman"/>
          <w:sz w:val="18"/>
          <w:szCs w:val="18"/>
          <w:color w:val="auto"/>
        </w:rPr>
        <w:t>”), it being understood that any benefit of a Third Party Beneficiary may not be amended without the relevant Third Party Beneficiary’s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346075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14" w:name="page15"/>
    <w:bookmarkEnd w:id="14"/>
    <w:p>
      <w:pPr>
        <w:ind w:left="143" w:hanging="323"/>
        <w:spacing w:after="0" w:line="282" w:lineRule="auto"/>
        <w:rPr>
          <w:sz w:val="20"/>
          <w:szCs w:val="20"/>
          <w:color w:val="auto"/>
        </w:rPr>
      </w:pPr>
      <w:r>
        <w:rPr>
          <w:rFonts w:ascii="Times New Roman" w:cs="Times New Roman" w:eastAsia="Times New Roman" w:hAnsi="Times New Roman"/>
          <w:sz w:val="18"/>
          <w:szCs w:val="18"/>
          <w:color w:val="auto"/>
        </w:rPr>
        <w:t>7.4 This letter may be executed in any number of counterparts and this has the same effect as if the signatures on the counterparts were on a single copy of this letter.</w:t>
      </w:r>
    </w:p>
    <w:p>
      <w:pPr>
        <w:spacing w:after="0" w:line="158" w:lineRule="exact"/>
        <w:rPr>
          <w:sz w:val="20"/>
          <w:szCs w:val="20"/>
          <w:color w:val="auto"/>
        </w:rPr>
      </w:pPr>
    </w:p>
    <w:p>
      <w:pPr>
        <w:ind w:left="323" w:hanging="323"/>
        <w:spacing w:after="0"/>
        <w:tabs>
          <w:tab w:leader="none" w:pos="323"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143" w:right="460" w:hanging="323"/>
        <w:spacing w:after="0" w:line="282" w:lineRule="auto"/>
        <w:rPr>
          <w:sz w:val="20"/>
          <w:szCs w:val="20"/>
          <w:color w:val="auto"/>
        </w:rPr>
      </w:pPr>
      <w:r>
        <w:rPr>
          <w:rFonts w:ascii="Times New Roman" w:cs="Times New Roman" w:eastAsia="Times New Roman" w:hAnsi="Times New Roman"/>
          <w:sz w:val="18"/>
          <w:szCs w:val="18"/>
          <w:color w:val="auto"/>
        </w:rPr>
        <w:t>8.2 This letter and any non-contractual obligation arising out of or in connection with it (including any non-contractual obligations arising out of the negotiation of the transactions contemplated by this commitment letter) are governed by German law, excluding CISG.</w:t>
      </w:r>
    </w:p>
    <w:p>
      <w:pPr>
        <w:spacing w:after="0" w:line="162" w:lineRule="exact"/>
        <w:rPr>
          <w:sz w:val="20"/>
          <w:szCs w:val="20"/>
          <w:color w:val="auto"/>
        </w:rPr>
      </w:pPr>
    </w:p>
    <w:p>
      <w:pPr>
        <w:ind w:left="143" w:right="500" w:hanging="323"/>
        <w:spacing w:after="0" w:line="282" w:lineRule="auto"/>
        <w:rPr>
          <w:sz w:val="20"/>
          <w:szCs w:val="20"/>
          <w:color w:val="auto"/>
        </w:rPr>
      </w:pPr>
      <w:r>
        <w:rPr>
          <w:rFonts w:ascii="Times New Roman" w:cs="Times New Roman" w:eastAsia="Times New Roman" w:hAnsi="Times New Roman"/>
          <w:sz w:val="18"/>
          <w:szCs w:val="18"/>
          <w:color w:val="auto"/>
        </w:rPr>
        <w:t>8.3 The courts of Munich, Germany, have non-exclusive jurisdiction to settle any dispute arising out of or in connection with this letter (including a dispute relating to any non-contractual obligation arising out of or in connection with this letter).</w:t>
      </w:r>
    </w:p>
    <w:p>
      <w:pPr>
        <w:spacing w:after="0" w:line="160"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1338580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3"/>
          </w:cols>
          <w:pgMar w:left="557" w:top="5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Laurin Hahn</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_________________________</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Name: Laurin Hahn</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 Jona Christians</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Address: [OMITTED]</w:t>
            </w: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Address: [OMITTED]</w:t>
            </w:r>
          </w:p>
        </w:tc>
      </w:tr>
      <w:tr>
        <w:trPr>
          <w:trHeight w:val="1222"/>
        </w:trPr>
        <w:tc>
          <w:tcPr>
            <w:tcW w:w="36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tc>
        <w:tc>
          <w:tcPr>
            <w:tcW w:w="7380" w:type="dxa"/>
            <w:vAlign w:val="bottom"/>
          </w:tcPr>
          <w:p>
            <w:pPr>
              <w:spacing w:after="0"/>
              <w:rPr>
                <w:sz w:val="20"/>
                <w:szCs w:val="20"/>
                <w:color w:val="auto"/>
              </w:rPr>
            </w:pPr>
          </w:p>
        </w:tc>
      </w:tr>
      <w:tr>
        <w:trPr>
          <w:trHeight w:val="84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Torsten Kiedel</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 Markus Volmer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Sono Group N.V.</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 Sono Group N.V.</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CFO</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  CTO</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20.11.2023</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 20.11.2023</w:t>
            </w:r>
          </w:p>
        </w:tc>
      </w:tr>
      <w:tr>
        <w:trPr>
          <w:trHeight w:val="86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Consenting:</w:t>
            </w:r>
          </w:p>
        </w:tc>
        <w:tc>
          <w:tcPr>
            <w:tcW w:w="7380" w:type="dxa"/>
            <w:vAlign w:val="bottom"/>
          </w:tcPr>
          <w:p>
            <w:pPr>
              <w:spacing w:after="0"/>
              <w:rPr>
                <w:sz w:val="24"/>
                <w:szCs w:val="24"/>
                <w:color w:val="auto"/>
              </w:rPr>
            </w:pPr>
          </w:p>
        </w:tc>
      </w:tr>
      <w:tr>
        <w:trPr>
          <w:trHeight w:val="6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Marlene Scheinert</w:t>
            </w:r>
          </w:p>
        </w:tc>
        <w:tc>
          <w:tcPr>
            <w:tcW w:w="7380" w:type="dxa"/>
            <w:vAlign w:val="bottom"/>
          </w:tcPr>
          <w:p>
            <w:pPr>
              <w:spacing w:after="0"/>
              <w:rPr>
                <w:sz w:val="24"/>
                <w:szCs w:val="24"/>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spacing w:after="0"/>
              <w:rPr>
                <w:sz w:val="20"/>
                <w:szCs w:val="20"/>
                <w:color w:val="auto"/>
              </w:rPr>
            </w:pP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Mrs. Marlene Scheinert</w:t>
            </w:r>
          </w:p>
        </w:tc>
        <w:tc>
          <w:tcPr>
            <w:tcW w:w="7380" w:type="dxa"/>
            <w:vAlign w:val="bottom"/>
          </w:tcPr>
          <w:p>
            <w:pPr>
              <w:spacing w:after="0"/>
              <w:rPr>
                <w:sz w:val="24"/>
                <w:szCs w:val="24"/>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Preliminary Custodian</w:t>
            </w:r>
          </w:p>
        </w:tc>
        <w:tc>
          <w:tcPr>
            <w:tcW w:w="73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20.11.2023</w:t>
            </w:r>
          </w:p>
        </w:tc>
        <w:tc>
          <w:tcPr>
            <w:tcW w:w="7380" w:type="dxa"/>
            <w:vAlign w:val="bottom"/>
          </w:tcPr>
          <w:p>
            <w:pPr>
              <w:spacing w:after="0"/>
              <w:rPr>
                <w:sz w:val="20"/>
                <w:szCs w:val="20"/>
                <w:color w:val="auto"/>
              </w:rPr>
            </w:pPr>
          </w:p>
        </w:tc>
      </w:tr>
      <w:tr>
        <w:trPr>
          <w:trHeight w:val="86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tc>
        <w:tc>
          <w:tcPr>
            <w:tcW w:w="7380" w:type="dxa"/>
            <w:vAlign w:val="bottom"/>
          </w:tcPr>
          <w:p>
            <w:pPr>
              <w:spacing w:after="0"/>
              <w:rPr>
                <w:sz w:val="24"/>
                <w:szCs w:val="24"/>
                <w:color w:val="auto"/>
              </w:rPr>
            </w:pPr>
          </w:p>
        </w:tc>
      </w:tr>
      <w:tr>
        <w:trPr>
          <w:trHeight w:val="84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Torsten Kiedel</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 Markus Volmer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Sono Motors GmbH</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 Sono Motors GmbH</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CFO</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 CTO</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20.11.2023</w:t>
            </w:r>
          </w:p>
        </w:tc>
        <w:tc>
          <w:tcPr>
            <w:tcW w:w="7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 20.11.2023</w:t>
            </w:r>
          </w:p>
        </w:tc>
      </w:tr>
      <w:tr>
        <w:trPr>
          <w:trHeight w:val="64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Consenting:</w:t>
            </w:r>
          </w:p>
        </w:tc>
        <w:tc>
          <w:tcPr>
            <w:tcW w:w="7380" w:type="dxa"/>
            <w:vAlign w:val="bottom"/>
          </w:tcPr>
          <w:p>
            <w:pPr>
              <w:spacing w:after="0"/>
              <w:rPr>
                <w:sz w:val="24"/>
                <w:szCs w:val="24"/>
                <w:color w:val="auto"/>
              </w:rPr>
            </w:pPr>
          </w:p>
        </w:tc>
      </w:tr>
      <w:tr>
        <w:trPr>
          <w:trHeight w:val="6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Ivo-Meinert Willrodt</w:t>
            </w:r>
          </w:p>
        </w:tc>
        <w:tc>
          <w:tcPr>
            <w:tcW w:w="7380" w:type="dxa"/>
            <w:vAlign w:val="bottom"/>
          </w:tcPr>
          <w:p>
            <w:pPr>
              <w:spacing w:after="0"/>
              <w:rPr>
                <w:sz w:val="24"/>
                <w:szCs w:val="24"/>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7380" w:type="dxa"/>
            <w:vAlign w:val="bottom"/>
          </w:tcPr>
          <w:p>
            <w:pPr>
              <w:spacing w:after="0"/>
              <w:rPr>
                <w:sz w:val="20"/>
                <w:szCs w:val="20"/>
                <w:color w:val="auto"/>
              </w:rPr>
            </w:pP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Mr. Ivo-Meinert Willrodt</w:t>
            </w:r>
          </w:p>
        </w:tc>
        <w:tc>
          <w:tcPr>
            <w:tcW w:w="7380" w:type="dxa"/>
            <w:vAlign w:val="bottom"/>
          </w:tcPr>
          <w:p>
            <w:pPr>
              <w:spacing w:after="0"/>
              <w:rPr>
                <w:sz w:val="24"/>
                <w:szCs w:val="24"/>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Custodian</w:t>
            </w:r>
          </w:p>
        </w:tc>
        <w:tc>
          <w:tcPr>
            <w:tcW w:w="73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380" w:type="dxa"/>
            <w:vAlign w:val="bottom"/>
          </w:tcPr>
          <w:p>
            <w:pPr>
              <w:spacing w:after="0"/>
              <w:rPr>
                <w:sz w:val="20"/>
                <w:szCs w:val="20"/>
                <w:color w:val="auto"/>
              </w:rPr>
            </w:pPr>
          </w:p>
        </w:tc>
      </w:tr>
      <w:tr>
        <w:trPr>
          <w:trHeight w:val="790"/>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hereof, we, Laurin Hahn and Jona Christians, the founders and majority shareholders of the Company, hold the following shares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Laurin Hahn</w:t>
            </w:r>
          </w:p>
        </w:tc>
        <w:tc>
          <w:tcPr>
            <w:tcW w:w="8900" w:type="dxa"/>
            <w:vAlign w:val="bottom"/>
          </w:tcPr>
          <w:p>
            <w:pPr>
              <w:spacing w:after="0"/>
              <w:rPr>
                <w:sz w:val="17"/>
                <w:szCs w:val="17"/>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1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19,796,053</w:t>
            </w:r>
          </w:p>
        </w:tc>
      </w:tr>
      <w:tr>
        <w:trPr>
          <w:trHeight w:val="234"/>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Voting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1,578,947</w:t>
            </w:r>
          </w:p>
        </w:tc>
      </w:tr>
      <w:tr>
        <w:trPr>
          <w:trHeight w:val="392"/>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Jona Christians</w:t>
            </w:r>
          </w:p>
        </w:tc>
        <w:tc>
          <w:tcPr>
            <w:tcW w:w="8900" w:type="dxa"/>
            <w:vAlign w:val="bottom"/>
          </w:tcPr>
          <w:p>
            <w:pPr>
              <w:spacing w:after="0"/>
              <w:rPr>
                <w:sz w:val="24"/>
                <w:szCs w:val="24"/>
                <w:color w:val="auto"/>
              </w:rPr>
            </w:pP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1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17,816,447</w:t>
            </w:r>
          </w:p>
        </w:tc>
      </w:tr>
      <w:tr>
        <w:trPr>
          <w:trHeight w:val="234"/>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Voting Shares:</w:t>
            </w:r>
          </w:p>
        </w:tc>
        <w:tc>
          <w:tcPr>
            <w:tcW w:w="8900" w:type="dxa"/>
            <w:vAlign w:val="bottom"/>
          </w:tcPr>
          <w:p>
            <w:pPr>
              <w:jc w:val="right"/>
              <w:ind w:right="7110"/>
              <w:spacing w:after="0"/>
              <w:rPr>
                <w:sz w:val="20"/>
                <w:szCs w:val="20"/>
                <w:color w:val="auto"/>
              </w:rPr>
            </w:pPr>
            <w:r>
              <w:rPr>
                <w:rFonts w:ascii="Times New Roman" w:cs="Times New Roman" w:eastAsia="Times New Roman" w:hAnsi="Times New Roman"/>
                <w:sz w:val="18"/>
                <w:szCs w:val="18"/>
                <w:color w:val="auto"/>
              </w:rPr>
              <w:t>1,421,053</w:t>
            </w:r>
          </w:p>
        </w:tc>
      </w:tr>
      <w:tr>
        <w:trPr>
          <w:trHeight w:val="1006"/>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Commitment letter dated 17 November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43"/>
          <w:szCs w:val="43"/>
          <w:b w:val="1"/>
          <w:bCs w:val="1"/>
          <w:color w:val="auto"/>
        </w:rPr>
        <w:t>Sale and transfer agreement</w:t>
      </w:r>
    </w:p>
    <w:p>
      <w:pPr>
        <w:spacing w:after="0" w:line="2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regarding shares in</w:t>
      </w: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Sono Group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Subject to review under US and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654050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7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Parties</w:t>
      </w:r>
    </w:p>
    <w:p>
      <w:pPr>
        <w:spacing w:after="0" w:line="231" w:lineRule="exact"/>
        <w:rPr>
          <w:sz w:val="20"/>
          <w:szCs w:val="20"/>
          <w:color w:val="auto"/>
        </w:rPr>
      </w:pPr>
    </w:p>
    <w:p>
      <w:pPr>
        <w:ind w:left="460" w:hanging="331"/>
        <w:spacing w:after="0"/>
        <w:tabs>
          <w:tab w:leader="none" w:pos="460"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[***Laurin Hahn/Jona Christians***]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20" w:hanging="318"/>
        <w:spacing w:after="0"/>
        <w:tabs>
          <w:tab w:leader="none" w:pos="42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80" w:hanging="318"/>
        <w:spacing w:after="0"/>
        <w:tabs>
          <w:tab w:leader="none" w:pos="3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b w:val="1"/>
          <w:bCs w:val="1"/>
          <w:color w:val="auto"/>
        </w:rPr>
      </w:pPr>
    </w:p>
    <w:p>
      <w:pPr>
        <w:ind w:left="380" w:right="300" w:hanging="318"/>
        <w:spacing w:after="0" w:line="286" w:lineRule="auto"/>
        <w:tabs>
          <w:tab w:leader="none" w:pos="3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 commerce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Background</w:t>
      </w:r>
    </w:p>
    <w:p>
      <w:pPr>
        <w:spacing w:after="0" w:line="231" w:lineRule="exact"/>
        <w:rPr>
          <w:sz w:val="20"/>
          <w:szCs w:val="20"/>
          <w:color w:val="auto"/>
        </w:rPr>
      </w:pPr>
    </w:p>
    <w:p>
      <w:pPr>
        <w:ind w:left="380" w:right="60" w:hanging="318"/>
        <w:spacing w:after="0" w:line="26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80" w:hanging="324"/>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700" w:hanging="4"/>
        <w:spacing w:after="0" w:line="502" w:lineRule="auto"/>
        <w:tabs>
          <w:tab w:leader="none" w:pos="9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ind w:left="380" w:right="20" w:hanging="318"/>
        <w:spacing w:after="0" w:line="267"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It is agreed:</w:t>
      </w:r>
    </w:p>
    <w:p>
      <w:pPr>
        <w:spacing w:after="0" w:line="231" w:lineRule="exact"/>
        <w:rPr>
          <w:sz w:val="20"/>
          <w:szCs w:val="20"/>
          <w:color w:val="auto"/>
        </w:rPr>
      </w:pPr>
    </w:p>
    <w:p>
      <w:pPr>
        <w:ind w:left="580" w:hanging="329"/>
        <w:spacing w:after="0"/>
        <w:tabs>
          <w:tab w:leader="none" w:pos="5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1.1 In this Agreement, unless the context otherwise requires, the provisions of this clause 1 apply.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 In this Agreement, unless otherwise specified: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ind w:left="920" w:hanging="32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920" w:right="80" w:hanging="324"/>
        <w:spacing w:after="0" w:line="282"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22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225" w:lineRule="exact"/>
        <w:rPr>
          <w:rFonts w:ascii="Times New Roman" w:cs="Times New Roman" w:eastAsia="Times New Roman" w:hAnsi="Times New Roman"/>
          <w:sz w:val="18"/>
          <w:szCs w:val="18"/>
          <w:color w:val="auto"/>
        </w:rPr>
      </w:pPr>
    </w:p>
    <w:p>
      <w:pPr>
        <w:ind w:left="920" w:right="200" w:hanging="324"/>
        <w:spacing w:after="0" w:line="266"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 Headings are for convenience of reference only and do not affect the interpretation of any provision of this Agreement.</w:t>
      </w:r>
    </w:p>
    <w:p>
      <w:pPr>
        <w:spacing w:after="0" w:line="221" w:lineRule="exact"/>
        <w:rPr>
          <w:sz w:val="20"/>
          <w:szCs w:val="20"/>
          <w:color w:val="auto"/>
        </w:rPr>
      </w:pPr>
    </w:p>
    <w:p>
      <w:pPr>
        <w:ind w:left="540" w:hanging="322"/>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purchase and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Subject to the terms and conditions of this Agreement, the Transferor hereby sells and transfers the following Shares to the following transferees:</w:t>
      </w:r>
    </w:p>
    <w:p>
      <w:pPr>
        <w:spacing w:after="0" w:line="225" w:lineRule="exact"/>
        <w:rPr>
          <w:sz w:val="20"/>
          <w:szCs w:val="20"/>
          <w:color w:val="auto"/>
        </w:rPr>
      </w:pPr>
    </w:p>
    <w:p>
      <w:pPr>
        <w:ind w:left="920" w:hanging="32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1" w:lineRule="exact"/>
        <w:rPr>
          <w:rFonts w:ascii="Times New Roman" w:cs="Times New Roman" w:eastAsia="Times New Roman" w:hAnsi="Times New Roman"/>
          <w:sz w:val="18"/>
          <w:szCs w:val="18"/>
          <w:color w:val="auto"/>
        </w:rPr>
      </w:pPr>
    </w:p>
    <w:p>
      <w:pPr>
        <w:ind w:left="1560" w:right="560" w:hanging="316"/>
        <w:spacing w:after="0" w:line="286" w:lineRule="auto"/>
        <w:tabs>
          <w:tab w:leader="none" w:pos="15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920" w:hanging="32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560" w:hanging="316"/>
        <w:spacing w:after="0"/>
        <w:tabs>
          <w:tab w:leader="none" w:pos="15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1" w:lineRule="exact"/>
        <w:rPr>
          <w:rFonts w:ascii="Times New Roman" w:cs="Times New Roman" w:eastAsia="Times New Roman" w:hAnsi="Times New Roman"/>
          <w:sz w:val="18"/>
          <w:szCs w:val="18"/>
          <w:color w:val="auto"/>
        </w:rPr>
      </w:pPr>
    </w:p>
    <w:p>
      <w:pPr>
        <w:ind w:left="1560" w:right="200" w:hanging="316"/>
        <w:spacing w:after="0" w:line="286" w:lineRule="auto"/>
        <w:tabs>
          <w:tab w:leader="none" w:pos="15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3" w:lineRule="exact"/>
        <w:rPr>
          <w:sz w:val="20"/>
          <w:szCs w:val="20"/>
          <w:color w:val="auto"/>
        </w:rPr>
      </w:pPr>
    </w:p>
    <w:p>
      <w:pPr>
        <w:ind w:left="320" w:right="180" w:hanging="323"/>
        <w:spacing w:after="0" w:line="258" w:lineRule="auto"/>
        <w:rPr>
          <w:sz w:val="20"/>
          <w:szCs w:val="20"/>
          <w:color w:val="auto"/>
        </w:rPr>
      </w:pPr>
      <w:r>
        <w:rPr>
          <w:rFonts w:ascii="Times New Roman" w:cs="Times New Roman" w:eastAsia="Times New Roman" w:hAnsi="Times New Roman"/>
          <w:sz w:val="18"/>
          <w:szCs w:val="18"/>
          <w:color w:val="auto"/>
        </w:rPr>
        <w:t>2.2 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5" w:lineRule="exact"/>
        <w:rPr>
          <w:sz w:val="20"/>
          <w:szCs w:val="20"/>
          <w:color w:val="auto"/>
        </w:rPr>
      </w:pPr>
    </w:p>
    <w:p>
      <w:pPr>
        <w:ind w:left="320" w:right="960" w:hanging="323"/>
        <w:spacing w:after="0" w:line="282" w:lineRule="auto"/>
        <w:rPr>
          <w:sz w:val="20"/>
          <w:szCs w:val="20"/>
          <w:color w:val="auto"/>
        </w:rPr>
      </w:pPr>
      <w:r>
        <w:rPr>
          <w:rFonts w:ascii="Times New Roman" w:cs="Times New Roman" w:eastAsia="Times New Roman" w:hAnsi="Times New Roman"/>
          <w:sz w:val="18"/>
          <w:szCs w:val="18"/>
          <w:color w:val="auto"/>
        </w:rPr>
        <w:t>2.3 The Company hereby acknowledges the transfer of the HV Shares effected by this Agreement and shall register the same in its register of shareholders.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21" w:name="page22"/>
    <w:bookmarkEnd w:id="21"/>
    <w:p>
      <w:pPr>
        <w:ind w:left="840" w:hanging="319"/>
        <w:spacing w:after="0"/>
        <w:tabs>
          <w:tab w:leader="none" w:pos="8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ind w:left="380" w:right="680" w:hanging="323"/>
        <w:spacing w:after="0" w:line="282" w:lineRule="auto"/>
        <w:rPr>
          <w:sz w:val="20"/>
          <w:szCs w:val="20"/>
          <w:color w:val="auto"/>
        </w:rPr>
      </w:pPr>
      <w:r>
        <w:rPr>
          <w:rFonts w:ascii="Times New Roman" w:cs="Times New Roman" w:eastAsia="Times New Roman" w:hAnsi="Times New Roman"/>
          <w:sz w:val="18"/>
          <w:szCs w:val="18"/>
          <w:color w:val="auto"/>
        </w:rPr>
        <w:t>3.1 The consideration for the Shares 1 and the Shares 2 amounts to EUR 0.003 per Share, i.e., EUR [***] in the aggregate (incl. 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80" w:right="180" w:hanging="323"/>
        <w:spacing w:after="0" w:line="266" w:lineRule="auto"/>
        <w:rPr>
          <w:sz w:val="20"/>
          <w:szCs w:val="20"/>
          <w:color w:val="auto"/>
        </w:rPr>
      </w:pPr>
      <w:r>
        <w:rPr>
          <w:rFonts w:ascii="Times New Roman" w:cs="Times New Roman" w:eastAsia="Times New Roman" w:hAnsi="Times New Roman"/>
          <w:sz w:val="18"/>
          <w:szCs w:val="18"/>
          <w:color w:val="auto"/>
        </w:rPr>
        <w:t>3.2 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w:t>
      </w:r>
    </w:p>
    <w:p>
      <w:pPr>
        <w:spacing w:after="0" w:line="200" w:lineRule="exact"/>
        <w:rPr>
          <w:sz w:val="20"/>
          <w:szCs w:val="20"/>
          <w:color w:val="auto"/>
        </w:rPr>
      </w:pPr>
    </w:p>
    <w:p>
      <w:pPr>
        <w:spacing w:after="0" w:line="239" w:lineRule="exact"/>
        <w:rPr>
          <w:sz w:val="20"/>
          <w:szCs w:val="20"/>
          <w:color w:val="auto"/>
        </w:rPr>
      </w:pPr>
    </w:p>
    <w:p>
      <w:pPr>
        <w:ind w:left="500" w:hanging="330"/>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Transfer of Ordinary Shares</w:t>
      </w:r>
    </w:p>
    <w:p>
      <w:pPr>
        <w:spacing w:after="0" w:line="229" w:lineRule="exact"/>
        <w:rPr>
          <w:sz w:val="20"/>
          <w:szCs w:val="20"/>
          <w:color w:val="auto"/>
        </w:rPr>
      </w:pPr>
    </w:p>
    <w:p>
      <w:pPr>
        <w:ind w:left="380" w:right="80" w:hanging="323"/>
        <w:spacing w:after="0" w:line="266" w:lineRule="auto"/>
        <w:rPr>
          <w:sz w:val="20"/>
          <w:szCs w:val="20"/>
          <w:color w:val="auto"/>
        </w:rPr>
      </w:pPr>
      <w:r>
        <w:rPr>
          <w:rFonts w:ascii="Times New Roman" w:cs="Times New Roman" w:eastAsia="Times New Roman" w:hAnsi="Times New Roman"/>
          <w:sz w:val="18"/>
          <w:szCs w:val="18"/>
          <w:color w:val="auto"/>
        </w:rPr>
        <w:t xml:space="preserve">4.1 The Transferor hereby irrevocable and unconditionally covenants and warrants towards the Transferee 1 and the Transferee 2, respectively, to instruct AST Financial - AMERICAN STOCK TRANSFER &amp; TRUST COMPANY (in future doing business as Equiniti Trust Company, LLC) as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agent </w:t>
      </w:r>
      <w:r>
        <w:rPr>
          <w:rFonts w:ascii="Times New Roman" w:cs="Times New Roman" w:eastAsia="Times New Roman" w:hAnsi="Times New Roman"/>
          <w:sz w:val="18"/>
          <w:szCs w:val="18"/>
          <w:color w:val="auto"/>
        </w:rPr>
        <w:t>to make the following security account transfers on the date of this Agreement:</w:t>
      </w:r>
    </w:p>
    <w:p>
      <w:pPr>
        <w:spacing w:after="0" w:line="176"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1 are to be transferred to the following securities account of the Transferee 1: [______________________];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2 are to be transferred to the following securities account of the Transferee 2: [______________________].</w:t>
      </w:r>
    </w:p>
    <w:p>
      <w:pPr>
        <w:spacing w:after="0" w:line="225" w:lineRule="exact"/>
        <w:rPr>
          <w:sz w:val="20"/>
          <w:szCs w:val="20"/>
          <w:color w:val="auto"/>
        </w:rPr>
      </w:pPr>
    </w:p>
    <w:p>
      <w:pPr>
        <w:ind w:left="380" w:right="40" w:hanging="323"/>
        <w:spacing w:after="0" w:line="282" w:lineRule="auto"/>
        <w:rPr>
          <w:sz w:val="20"/>
          <w:szCs w:val="20"/>
          <w:color w:val="auto"/>
        </w:rPr>
      </w:pPr>
      <w:r>
        <w:rPr>
          <w:rFonts w:ascii="Times New Roman" w:cs="Times New Roman" w:eastAsia="Times New Roman" w:hAnsi="Times New Roman"/>
          <w:sz w:val="18"/>
          <w:szCs w:val="18"/>
          <w:color w:val="auto"/>
        </w:rPr>
        <w:t>4.2 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ind w:left="380" w:right="80" w:hanging="323"/>
        <w:spacing w:after="0" w:line="266" w:lineRule="auto"/>
        <w:rPr>
          <w:sz w:val="20"/>
          <w:szCs w:val="20"/>
          <w:color w:val="auto"/>
        </w:rPr>
      </w:pPr>
      <w:r>
        <w:rPr>
          <w:rFonts w:ascii="Times New Roman" w:cs="Times New Roman" w:eastAsia="Times New Roman" w:hAnsi="Times New Roman"/>
          <w:sz w:val="18"/>
          <w:szCs w:val="18"/>
          <w:color w:val="auto"/>
        </w:rPr>
        <w:t>4.3 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76" w:lineRule="exact"/>
        <w:rPr>
          <w:sz w:val="20"/>
          <w:szCs w:val="20"/>
          <w:color w:val="auto"/>
        </w:rPr>
      </w:pPr>
    </w:p>
    <w:p>
      <w:pPr>
        <w:ind w:left="380" w:right="180" w:hanging="323"/>
        <w:spacing w:after="0" w:line="261" w:lineRule="auto"/>
        <w:rPr>
          <w:sz w:val="20"/>
          <w:szCs w:val="20"/>
          <w:color w:val="auto"/>
        </w:rPr>
      </w:pPr>
      <w:r>
        <w:rPr>
          <w:rFonts w:ascii="Times New Roman" w:cs="Times New Roman" w:eastAsia="Times New Roman" w:hAnsi="Times New Roman"/>
          <w:sz w:val="18"/>
          <w:szCs w:val="18"/>
          <w:color w:val="auto"/>
        </w:rPr>
        <w:t>4.4 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76" w:lineRule="exact"/>
        <w:rPr>
          <w:sz w:val="20"/>
          <w:szCs w:val="20"/>
          <w:color w:val="auto"/>
        </w:rPr>
      </w:pPr>
    </w:p>
    <w:p>
      <w:pPr>
        <w:ind w:left="700" w:hanging="328"/>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ind w:left="320" w:right="160"/>
        <w:spacing w:after="0" w:line="266" w:lineRule="auto"/>
        <w:rPr>
          <w:sz w:val="20"/>
          <w:szCs w:val="20"/>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copy of the minutes of the meeting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900" w:hanging="331"/>
        <w:spacing w:after="0"/>
        <w:tabs>
          <w:tab w:leader="none" w:pos="9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The Transferor hereby represents and warrants to each of the Transferees and the Company that, on the date hereof, the following is correct:</w:t>
      </w:r>
    </w:p>
    <w:p>
      <w:pPr>
        <w:spacing w:after="0" w:line="225" w:lineRule="exact"/>
        <w:rPr>
          <w:sz w:val="20"/>
          <w:szCs w:val="20"/>
          <w:color w:val="auto"/>
        </w:rPr>
      </w:pPr>
    </w:p>
    <w:p>
      <w:pPr>
        <w:ind w:left="920" w:right="80" w:hanging="324"/>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920" w:right="60" w:hanging="324"/>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ind w:left="320" w:right="60" w:hanging="323"/>
        <w:spacing w:after="0" w:line="261" w:lineRule="auto"/>
        <w:rPr>
          <w:sz w:val="20"/>
          <w:szCs w:val="20"/>
          <w:color w:val="auto"/>
        </w:rPr>
      </w:pPr>
      <w:r>
        <w:rPr>
          <w:rFonts w:ascii="Times New Roman" w:cs="Times New Roman" w:eastAsia="Times New Roman" w:hAnsi="Times New Roman"/>
          <w:sz w:val="18"/>
          <w:szCs w:val="18"/>
          <w:color w:val="auto"/>
        </w:rPr>
        <w:t>6.2 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ind w:left="320" w:right="20" w:hanging="323"/>
        <w:spacing w:after="0" w:line="261" w:lineRule="auto"/>
        <w:rPr>
          <w:sz w:val="20"/>
          <w:szCs w:val="20"/>
          <w:color w:val="auto"/>
        </w:rPr>
      </w:pPr>
      <w:r>
        <w:rPr>
          <w:rFonts w:ascii="Times New Roman" w:cs="Times New Roman" w:eastAsia="Times New Roman" w:hAnsi="Times New Roman"/>
          <w:sz w:val="18"/>
          <w:szCs w:val="18"/>
          <w:color w:val="auto"/>
        </w:rPr>
        <w:t>6.3 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ind w:left="320" w:right="40" w:hanging="323"/>
        <w:spacing w:after="0" w:line="254" w:lineRule="auto"/>
        <w:rPr>
          <w:sz w:val="20"/>
          <w:szCs w:val="20"/>
          <w:color w:val="auto"/>
        </w:rPr>
      </w:pPr>
      <w:r>
        <w:rPr>
          <w:rFonts w:ascii="Times New Roman" w:cs="Times New Roman" w:eastAsia="Times New Roman" w:hAnsi="Times New Roman"/>
          <w:sz w:val="18"/>
          <w:szCs w:val="18"/>
          <w:color w:val="auto"/>
        </w:rPr>
        <w:t>1.1 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88" w:lineRule="exact"/>
        <w:rPr>
          <w:sz w:val="20"/>
          <w:szCs w:val="20"/>
          <w:color w:val="auto"/>
        </w:rPr>
      </w:pPr>
    </w:p>
    <w:p>
      <w:pPr>
        <w:ind w:left="320" w:right="280" w:hanging="323"/>
        <w:spacing w:after="0" w:line="282" w:lineRule="auto"/>
        <w:rPr>
          <w:sz w:val="20"/>
          <w:szCs w:val="20"/>
          <w:color w:val="auto"/>
        </w:rPr>
      </w:pPr>
      <w:r>
        <w:rPr>
          <w:rFonts w:ascii="Times New Roman" w:cs="Times New Roman" w:eastAsia="Times New Roman" w:hAnsi="Times New Roman"/>
          <w:sz w:val="18"/>
          <w:szCs w:val="18"/>
          <w:color w:val="auto"/>
        </w:rPr>
        <w:t>1.2 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162" w:lineRule="exact"/>
        <w:rPr>
          <w:sz w:val="20"/>
          <w:szCs w:val="20"/>
          <w:color w:val="auto"/>
        </w:rPr>
      </w:pPr>
    </w:p>
    <w:p>
      <w:pPr>
        <w:jc w:val="both"/>
        <w:ind w:left="124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23" w:name="page24"/>
    <w:bookmarkEnd w:id="23"/>
    <w:p>
      <w:pPr>
        <w:jc w:val="both"/>
        <w:ind w:left="1240" w:firstLine="1944"/>
        <w:spacing w:after="0" w:line="254"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 ACQUIRING THIS SECURITY, REPRESENTS AND AGREES FOR THE BENEFIT OF THE ISSUER AND THE GUARANTOR THAT IT WILL NOTIFY ANY TRANSFEREE OF THIS SECURITY FROM IT OF THE RESALE RESTRICTIONS REFERRED TO ABOVE.”.</w:t>
      </w:r>
    </w:p>
    <w:p>
      <w:pPr>
        <w:spacing w:after="0" w:line="188" w:lineRule="exact"/>
        <w:rPr>
          <w:sz w:val="20"/>
          <w:szCs w:val="20"/>
          <w:color w:val="auto"/>
        </w:rPr>
      </w:pPr>
    </w:p>
    <w:p>
      <w:pPr>
        <w:ind w:left="1080" w:hanging="322"/>
        <w:spacing w:after="0"/>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w:t>
      </w:r>
    </w:p>
    <w:p>
      <w:pPr>
        <w:spacing w:after="0" w:line="229"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lock-up for the Transferors agreed in the Commitment Letter shall also be cancelled.</w:t>
      </w:r>
    </w:p>
    <w:p>
      <w:pPr>
        <w:spacing w:after="0" w:line="172" w:lineRule="exact"/>
        <w:rPr>
          <w:sz w:val="20"/>
          <w:szCs w:val="20"/>
          <w:color w:val="auto"/>
        </w:rPr>
      </w:pPr>
    </w:p>
    <w:p>
      <w:pPr>
        <w:ind w:left="660" w:hanging="334"/>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ind w:left="320" w:right="80" w:hanging="323"/>
        <w:spacing w:after="0" w:line="266" w:lineRule="auto"/>
        <w:rPr>
          <w:sz w:val="20"/>
          <w:szCs w:val="20"/>
          <w:color w:val="auto"/>
        </w:rPr>
      </w:pPr>
      <w:r>
        <w:rPr>
          <w:rFonts w:ascii="Times New Roman" w:cs="Times New Roman" w:eastAsia="Times New Roman" w:hAnsi="Times New Roman"/>
          <w:sz w:val="18"/>
          <w:szCs w:val="18"/>
          <w:color w:val="auto"/>
        </w:rPr>
        <w:t>3.1 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ind w:left="320" w:right="120" w:hanging="323"/>
        <w:spacing w:after="0" w:line="261" w:lineRule="auto"/>
        <w:rPr>
          <w:sz w:val="20"/>
          <w:szCs w:val="20"/>
          <w:color w:val="auto"/>
        </w:rPr>
      </w:pPr>
      <w:r>
        <w:rPr>
          <w:rFonts w:ascii="Times New Roman" w:cs="Times New Roman" w:eastAsia="Times New Roman" w:hAnsi="Times New Roman"/>
          <w:sz w:val="18"/>
          <w:szCs w:val="18"/>
          <w:color w:val="auto"/>
        </w:rPr>
        <w:t>3.2 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ind w:left="320" w:right="20" w:hanging="323"/>
        <w:spacing w:after="0" w:line="256" w:lineRule="auto"/>
        <w:rPr>
          <w:sz w:val="20"/>
          <w:szCs w:val="20"/>
          <w:color w:val="auto"/>
        </w:rPr>
      </w:pPr>
      <w:r>
        <w:rPr>
          <w:rFonts w:ascii="Times New Roman" w:cs="Times New Roman" w:eastAsia="Times New Roman" w:hAnsi="Times New Roman"/>
          <w:sz w:val="18"/>
          <w:szCs w:val="18"/>
          <w:color w:val="auto"/>
        </w:rPr>
        <w:t>3.3 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 No variation of this Agreement shall be effective unless in writing and signed by or on behalf of all Parties.</w:t>
      </w:r>
    </w:p>
    <w:p>
      <w:pPr>
        <w:spacing w:after="0" w:line="225" w:lineRule="exact"/>
        <w:rPr>
          <w:sz w:val="20"/>
          <w:szCs w:val="20"/>
          <w:color w:val="auto"/>
        </w:rPr>
      </w:pPr>
    </w:p>
    <w:p>
      <w:pPr>
        <w:ind w:left="320" w:right="160" w:hanging="323"/>
        <w:spacing w:after="0" w:line="258" w:lineRule="auto"/>
        <w:rPr>
          <w:sz w:val="20"/>
          <w:szCs w:val="20"/>
          <w:color w:val="auto"/>
        </w:rPr>
      </w:pPr>
      <w:r>
        <w:rPr>
          <w:rFonts w:ascii="Times New Roman" w:cs="Times New Roman" w:eastAsia="Times New Roman" w:hAnsi="Times New Roman"/>
          <w:sz w:val="18"/>
          <w:szCs w:val="18"/>
          <w:color w:val="auto"/>
        </w:rPr>
        <w:t>3.5 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3.6 Except as explicitly stated otherwise in this Agreement, each of the Parties waives its rights, if any, to in whole or in part annul, rescind or dissolve</w:t>
      </w:r>
    </w:p>
    <w:p>
      <w:pPr>
        <w:spacing w:after="0" w:line="27" w:lineRule="exact"/>
        <w:rPr>
          <w:sz w:val="20"/>
          <w:szCs w:val="20"/>
          <w:color w:val="auto"/>
        </w:rPr>
      </w:pPr>
    </w:p>
    <w:p>
      <w:pPr>
        <w:ind w:left="320" w:right="620"/>
        <w:spacing w:after="0" w:line="260" w:lineRule="auto"/>
        <w:rPr>
          <w:sz w:val="20"/>
          <w:szCs w:val="20"/>
          <w:color w:val="auto"/>
        </w:rPr>
      </w:pPr>
      <w:r>
        <w:rPr>
          <w:rFonts w:ascii="Times New Roman" w:cs="Times New Roman" w:eastAsia="Times New Roman" w:hAnsi="Times New Roman"/>
          <w:sz w:val="18"/>
          <w:szCs w:val="18"/>
          <w:color w:val="auto"/>
        </w:rPr>
        <w:t>this Agreement. Each of the Parties waives its rights to request in whole or in part the annulment, rescission, dissolution or cancellation of this Agreement.</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0" w:right="339" w:bottom="1440" w:gutter="0" w:footer="0" w:header="0"/>
        </w:sectPr>
      </w:pPr>
    </w:p>
    <w:bookmarkStart w:id="24" w:name="page25"/>
    <w:bookmarkEnd w:id="24"/>
    <w:p>
      <w:pPr>
        <w:ind w:left="500" w:hanging="323"/>
        <w:spacing w:after="0"/>
        <w:tabs>
          <w:tab w:leader="none" w:pos="5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320" w:right="280" w:hanging="323"/>
        <w:spacing w:after="0" w:line="282" w:lineRule="auto"/>
        <w:rPr>
          <w:sz w:val="20"/>
          <w:szCs w:val="20"/>
          <w:color w:val="auto"/>
        </w:rPr>
      </w:pPr>
      <w:r>
        <w:rPr>
          <w:rFonts w:ascii="Times New Roman" w:cs="Times New Roman" w:eastAsia="Times New Roman" w:hAnsi="Times New Roman"/>
          <w:sz w:val="18"/>
          <w:szCs w:val="18"/>
          <w:color w:val="auto"/>
        </w:rPr>
        <w:t>4.1 This Agreement shall be governed by German law (excluding CISG); provided, however, that the transfer of the Shares 1 and the Shares 2 shall be governed by Dutch law.</w:t>
      </w:r>
    </w:p>
    <w:p>
      <w:pPr>
        <w:spacing w:after="0" w:line="162" w:lineRule="exact"/>
        <w:rPr>
          <w:sz w:val="20"/>
          <w:szCs w:val="20"/>
          <w:color w:val="auto"/>
        </w:rPr>
      </w:pPr>
    </w:p>
    <w:p>
      <w:pPr>
        <w:ind w:left="320" w:right="80" w:hanging="323"/>
        <w:spacing w:after="0" w:line="282" w:lineRule="auto"/>
        <w:rPr>
          <w:sz w:val="20"/>
          <w:szCs w:val="20"/>
          <w:color w:val="auto"/>
        </w:rPr>
      </w:pPr>
      <w:r>
        <w:rPr>
          <w:rFonts w:ascii="Times New Roman" w:cs="Times New Roman" w:eastAsia="Times New Roman" w:hAnsi="Times New Roman"/>
          <w:sz w:val="18"/>
          <w:szCs w:val="18"/>
          <w:color w:val="auto"/>
        </w:rPr>
        <w:t>4.2 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Approval management board of the Company</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[Inserted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120"/>
      </w:cols>
      <w:pgMar w:left="144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decimal"/>
      <w:start w:val="1"/>
    </w:lvl>
    <w:lvl w:ilvl="1">
      <w:lvlJc w:val="left"/>
      <w:lvlText w:val="%2."/>
      <w:numFmt w:val="lowerLetter"/>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Letter"/>
      <w:start w:val="3"/>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1"/>
      <w:numFmt w:val="bullet"/>
      <w:start w:val="1"/>
    </w:lvl>
  </w:abstractNum>
  <w:abstractNum w:abstractNumId="11">
    <w:nsid w:val="6CEAF087"/>
    <w:multiLevelType w:val="hybridMultilevel"/>
    <w:lvl w:ilvl="0">
      <w:lvlJc w:val="left"/>
      <w:lvlText w:val="2"/>
      <w:numFmt w:val="bullet"/>
      <w:start w:val="1"/>
    </w:lvl>
  </w:abstractNum>
  <w:abstractNum w:abstractNumId="12">
    <w:nsid w:val="22221A70"/>
    <w:multiLevelType w:val="hybridMultilevel"/>
    <w:lvl w:ilvl="0">
      <w:lvlJc w:val="left"/>
      <w:lvlText w:val="1"/>
      <w:numFmt w:val="bullet"/>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1)"/>
      <w:numFmt w:val="lowerLetter"/>
      <w:start w:val="1"/>
    </w:lvl>
    <w:lvl w:ilvl="1">
      <w:lvlJc w:val="left"/>
      <w:lvlText w:val="(%2)"/>
      <w:numFmt w:val="lowerRoman"/>
      <w:start w:val="1"/>
    </w:lvl>
  </w:abstractNum>
  <w:abstractNum w:abstractNumId="16">
    <w:nsid w:val="419AC241"/>
    <w:multiLevelType w:val="hybridMultilevel"/>
    <w:lvl w:ilvl="0">
      <w:lvlJc w:val="left"/>
      <w:lvlText w:val="(%1)"/>
      <w:numFmt w:val="lowerRoman"/>
      <w:start w:val="4"/>
    </w:lvl>
    <w:lvl w:ilvl="1">
      <w:lvlJc w:val="left"/>
      <w:lvlText w:val="(%2)"/>
      <w:numFmt w:val="upperLetter"/>
      <w:start w:val="1"/>
    </w:lvl>
  </w:abstractNum>
  <w:abstractNum w:abstractNumId="17">
    <w:nsid w:val="5577F8E1"/>
    <w:multiLevelType w:val="hybridMultilevel"/>
    <w:lvl w:ilvl="0">
      <w:lvlJc w:val="left"/>
      <w:lvlText w:val="3"/>
      <w:numFmt w:val="bullet"/>
      <w:start w:val="1"/>
    </w:lvl>
  </w:abstractNum>
  <w:abstractNum w:abstractNumId="18">
    <w:nsid w:val="440BADFC"/>
    <w:multiLevelType w:val="hybridMultilevel"/>
    <w:lvl w:ilvl="0">
      <w:lvlJc w:val="left"/>
      <w:lvlText w:val="(%1)"/>
      <w:numFmt w:val="lowerRoman"/>
      <w:start w:val="1"/>
    </w:lvl>
    <w:lvl w:ilvl="1">
      <w:lvlJc w:val="left"/>
      <w:lvlText w:val="\endash "/>
      <w:numFmt w:val="bullet"/>
      <w:start w:val="1"/>
    </w:lvl>
  </w:abstractNum>
  <w:abstractNum w:abstractNumId="19">
    <w:nsid w:val="5072367"/>
    <w:multiLevelType w:val="hybridMultilevel"/>
    <w:lvl w:ilvl="0">
      <w:lvlJc w:val="left"/>
      <w:lvlText w:val="(%1)"/>
      <w:numFmt w:val="lowerRoman"/>
      <w:start w:val="2"/>
    </w:lvl>
    <w:lvl w:ilvl="1">
      <w:lvlJc w:val="left"/>
      <w:lvlText w:val="\endash "/>
      <w:numFmt w:val="bullet"/>
      <w:start w:val="1"/>
    </w:lvl>
  </w:abstractNum>
  <w:abstractNum w:abstractNumId="20">
    <w:nsid w:val="3804823E"/>
    <w:multiLevelType w:val="hybridMultilevel"/>
    <w:lvl w:ilvl="0">
      <w:lvlJc w:val="left"/>
      <w:lvlText w:val="(%1)"/>
      <w:numFmt w:val="lowerLetter"/>
      <w:start w:val="2"/>
    </w:lvl>
    <w:lvl w:ilvl="1">
      <w:lvlJc w:val="left"/>
      <w:lvlText w:val="(%2)"/>
      <w:numFmt w:val="lowerRoman"/>
      <w:start w:val="1"/>
    </w:lvl>
  </w:abstractNum>
  <w:abstractNum w:abstractNumId="21">
    <w:nsid w:val="77465F01"/>
    <w:multiLevelType w:val="hybridMultilevel"/>
    <w:lvl w:ilvl="0">
      <w:lvlJc w:val="left"/>
      <w:lvlText w:val="\endash "/>
      <w:numFmt w:val="bullet"/>
      <w:start w:val="1"/>
    </w:lvl>
  </w:abstractNum>
  <w:abstractNum w:abstractNumId="22">
    <w:nsid w:val="7724C67E"/>
    <w:multiLevelType w:val="hybridMultilevel"/>
    <w:lvl w:ilvl="0">
      <w:lvlJc w:val="left"/>
      <w:lvlText w:val="(%1)"/>
      <w:numFmt w:val="lowerRoman"/>
      <w:start w:val="2"/>
    </w:lvl>
  </w:abstractNum>
  <w:abstractNum w:abstractNumId="23">
    <w:nsid w:val="5C482A97"/>
    <w:multiLevelType w:val="hybridMultilevel"/>
    <w:lvl w:ilvl="0">
      <w:lvlJc w:val="left"/>
      <w:lvlText w:val="\endash "/>
      <w:numFmt w:val="bullet"/>
      <w:start w:val="1"/>
    </w:lvl>
  </w:abstractNum>
  <w:abstractNum w:abstractNumId="24">
    <w:nsid w:val="2463B9EA"/>
    <w:multiLevelType w:val="hybridMultilevel"/>
    <w:lvl w:ilvl="0">
      <w:lvlJc w:val="left"/>
      <w:lvlText w:val="(%1)"/>
      <w:numFmt w:val="lowerLetter"/>
      <w:start w:val="3"/>
    </w:lvl>
    <w:lvl w:ilvl="1">
      <w:lvlJc w:val="left"/>
      <w:lvlText w:val="(%2)"/>
      <w:numFmt w:val="lowerRoman"/>
      <w:start w:val="1"/>
    </w:lvl>
  </w:abstractNum>
  <w:abstractNum w:abstractNumId="25">
    <w:nsid w:val="5E884ADC"/>
    <w:multiLevelType w:val="hybridMultilevel"/>
    <w:lvl w:ilvl="0">
      <w:lvlJc w:val="left"/>
      <w:lvlText w:val="4"/>
      <w:numFmt w:val="bullet"/>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5"/>
      <w:numFmt w:val="bullet"/>
      <w:start w:val="1"/>
    </w:lvl>
  </w:abstractNum>
  <w:abstractNum w:abstractNumId="29">
    <w:nsid w:val="153EA438"/>
    <w:multiLevelType w:val="hybridMultilevel"/>
    <w:lvl w:ilvl="0">
      <w:lvlJc w:val="left"/>
      <w:lvlText w:val="6"/>
      <w:numFmt w:val="bullet"/>
      <w:start w:val="1"/>
    </w:lvl>
  </w:abstractNum>
  <w:abstractNum w:abstractNumId="30">
    <w:nsid w:val="3855585C"/>
    <w:multiLevelType w:val="hybridMultilevel"/>
    <w:lvl w:ilvl="0">
      <w:lvlJc w:val="left"/>
      <w:lvlText w:val="7"/>
      <w:numFmt w:val="bullet"/>
      <w:start w:val="1"/>
    </w:lvl>
  </w:abstractNum>
  <w:abstractNum w:abstractNumId="31">
    <w:nsid w:val="70A64E2A"/>
    <w:multiLevelType w:val="hybridMultilevel"/>
    <w:lvl w:ilvl="0">
      <w:lvlJc w:val="left"/>
      <w:lvlText w:val="8"/>
      <w:numFmt w:val="bullet"/>
      <w:start w:val="1"/>
    </w:lvl>
  </w:abstractNum>
  <w:abstractNum w:abstractNumId="32">
    <w:nsid w:val="6A2342E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3">
    <w:nsid w:val="2A487CB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4">
    <w:nsid w:val="1D4ED43B"/>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35">
    <w:nsid w:val="725A06FB"/>
    <w:multiLevelType w:val="hybridMultilevel"/>
    <w:lvl w:ilvl="0">
      <w:lvlJc w:val="left"/>
      <w:lvlText w:val="A"/>
      <w:numFmt w:val="bullet"/>
      <w:start w:val="1"/>
    </w:lvl>
  </w:abstractNum>
  <w:abstractNum w:abstractNumId="36">
    <w:nsid w:val="2CD89A32"/>
    <w:multiLevelType w:val="hybridMultilevel"/>
    <w:lvl w:ilvl="0">
      <w:lvlJc w:val="left"/>
      <w:lvlText w:val="B"/>
      <w:numFmt w:val="bullet"/>
      <w:start w:val="1"/>
    </w:lvl>
    <w:lvl w:ilvl="1">
      <w:lvlJc w:val="left"/>
      <w:lvlText w:val="(%2)"/>
      <w:numFmt w:val="lowerRoman"/>
      <w:start w:val="1"/>
    </w:lvl>
  </w:abstractNum>
  <w:abstractNum w:abstractNumId="37">
    <w:nsid w:val="57E4CCAF"/>
    <w:multiLevelType w:val="hybridMultilevel"/>
    <w:lvl w:ilvl="0">
      <w:lvlJc w:val="left"/>
      <w:lvlText w:val="C"/>
      <w:numFmt w:val="bullet"/>
      <w:start w:val="1"/>
    </w:lvl>
  </w:abstractNum>
  <w:abstractNum w:abstractNumId="38">
    <w:nsid w:val="7A6D8D3C"/>
    <w:multiLevelType w:val="hybridMultilevel"/>
    <w:lvl w:ilvl="0">
      <w:lvlJc w:val="left"/>
      <w:lvlText w:val="1"/>
      <w:numFmt w:val="bullet"/>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2"/>
      <w:numFmt w:val="bullet"/>
      <w:start w:val="1"/>
    </w:lvl>
  </w:abstractNum>
  <w:abstractNum w:abstractNumId="41">
    <w:nsid w:val="6DE91B18"/>
    <w:multiLevelType w:val="hybridMultilevel"/>
    <w:lvl w:ilvl="0">
      <w:lvlJc w:val="left"/>
      <w:lvlText w:val="(%1)"/>
      <w:numFmt w:val="lowerLetter"/>
      <w:start w:val="1"/>
    </w:lvl>
    <w:lvl w:ilvl="1">
      <w:lvlJc w:val="left"/>
      <w:lvlText w:val="(%2)"/>
      <w:numFmt w:val="lowerRoman"/>
      <w:start w:val="1"/>
    </w:lvl>
  </w:abstractNum>
  <w:abstractNum w:abstractNumId="42">
    <w:nsid w:val="38437FDB"/>
    <w:multiLevelType w:val="hybridMultilevel"/>
    <w:lvl w:ilvl="0">
      <w:lvlJc w:val="left"/>
      <w:lvlText w:val="(%1)"/>
      <w:numFmt w:val="lowerLetter"/>
      <w:start w:val="2"/>
    </w:lvl>
    <w:lvl w:ilvl="1">
      <w:lvlJc w:val="left"/>
      <w:lvlText w:val="(%2)"/>
      <w:numFmt w:val="lowerRoman"/>
      <w:start w:val="1"/>
    </w:lvl>
  </w:abstractNum>
  <w:abstractNum w:abstractNumId="43">
    <w:nsid w:val="7644A45C"/>
    <w:multiLevelType w:val="hybridMultilevel"/>
    <w:lvl w:ilvl="0">
      <w:lvlJc w:val="left"/>
      <w:lvlText w:val="3"/>
      <w:numFmt w:val="bullet"/>
      <w:start w:val="1"/>
    </w:lvl>
  </w:abstractNum>
  <w:abstractNum w:abstractNumId="44">
    <w:nsid w:val="32FFF902"/>
    <w:multiLevelType w:val="hybridMultilevel"/>
    <w:lvl w:ilvl="0">
      <w:lvlJc w:val="left"/>
      <w:lvlText w:val="4"/>
      <w:numFmt w:val="bullet"/>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5"/>
      <w:numFmt w:val="bullet"/>
      <w:start w:val="1"/>
    </w:lvl>
  </w:abstractNum>
  <w:abstractNum w:abstractNumId="47">
    <w:nsid w:val="749ABB43"/>
    <w:multiLevelType w:val="hybridMultilevel"/>
    <w:lvl w:ilvl="0">
      <w:lvlJc w:val="left"/>
      <w:lvlText w:val="6"/>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2"/>
      <w:numFmt w:val="bullet"/>
      <w:start w:val="1"/>
    </w:lvl>
  </w:abstractNum>
  <w:abstractNum w:abstractNumId="50">
    <w:nsid w:val="79A1DEAA"/>
    <w:multiLevelType w:val="hybridMultilevel"/>
    <w:lvl w:ilvl="0">
      <w:lvlJc w:val="left"/>
      <w:lvlText w:val="3"/>
      <w:numFmt w:val="bullet"/>
      <w:start w:val="1"/>
    </w:lvl>
  </w:abstractNum>
  <w:abstractNum w:abstractNumId="51">
    <w:nsid w:val="75C6C33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2023-12-19T16:41:02Z</dcterms:created>
  <dcterms:modified xsi:type="dcterms:W3CDTF">2023-12-19T16:41:02Z</dcterms:modified>
</cp:coreProperties>
</file>