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b/>
          <w:color w:val="333333"/>
          <w:sz w:val="36"/>
        </w:rPr>
      </w:pPr>
      <w:bookmarkStart w:id="0" w:name="defa14a_031926.htm"/>
      <w:bookmarkStart w:id="1" w:name="ksdefa14a_031926"/>
      <w:bookmarkEnd w:id="0"/>
      <w:bookmarkEnd w:id="1"/>
      <w:r>
        <w:rPr>
          <w:b/>
          <w:color w:val="333333"/>
          <w:sz w:val="36"/>
        </w:rPr>
        <w:t>UNITED STATES</w:t>
      </w:r>
    </w:p>
    <w:p>
      <w:pPr>
        <w:pStyle w:val="TextBody"/>
        <w:shd w:fill="FFFFFF" w:val="clear"/>
        <w:bidi w:val="0"/>
        <w:spacing w:before="0" w:after="0"/>
        <w:ind w:left="0" w:right="0" w:hanging="0"/>
        <w:jc w:val="center"/>
        <w:rPr>
          <w:b/>
          <w:color w:val="333333"/>
          <w:sz w:val="36"/>
        </w:rPr>
      </w:pPr>
      <w:r>
        <w:rPr>
          <w:b/>
          <w:color w:val="333333"/>
          <w:sz w:val="36"/>
        </w:rPr>
        <w:t>SECURITIES AND EXCHANGE COMMISSION</w:t>
      </w:r>
    </w:p>
    <w:p>
      <w:pPr>
        <w:pStyle w:val="TextBody"/>
        <w:shd w:fill="FFFFFF" w:val="clear"/>
        <w:bidi w:val="0"/>
        <w:spacing w:before="0" w:after="0"/>
        <w:ind w:left="0" w:right="0" w:hanging="0"/>
        <w:jc w:val="center"/>
        <w:rPr>
          <w:b/>
          <w:color w:val="333333"/>
          <w:sz w:val="20"/>
        </w:rPr>
      </w:pPr>
      <w:r>
        <w:rPr>
          <w:b/>
          <w:color w:val="333333"/>
          <w:sz w:val="20"/>
        </w:rPr>
        <w:t>Washington, D.C. 20549</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36"/>
        </w:rPr>
      </w:pPr>
      <w:r>
        <w:rPr>
          <w:b/>
          <w:color w:val="333333"/>
          <w:sz w:val="36"/>
        </w:rPr>
        <w:t xml:space="preserve">FORM </w:t>
      </w:r>
      <w:bookmarkStart w:id="2" w:name="xdx_906_edei--DocumentType_c20260314__20"/>
      <w:bookmarkEnd w:id="2"/>
      <w:r>
        <w:rPr>
          <w:b/>
          <w:color w:val="333333"/>
          <w:sz w:val="36"/>
        </w:rPr>
        <w:t>8-K</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shd w:fill="FFFFFF" w:val="clear"/>
        <w:bidi w:val="0"/>
        <w:spacing w:before="0" w:after="0"/>
        <w:ind w:left="0" w:right="0" w:hanging="0"/>
        <w:jc w:val="center"/>
        <w:rPr>
          <w:b/>
          <w:color w:val="333333"/>
          <w:sz w:val="20"/>
        </w:rPr>
      </w:pPr>
      <w:r>
        <w:rPr>
          <w:b/>
          <w:color w:val="333333"/>
          <w:sz w:val="20"/>
        </w:rPr>
        <w:t>CURRENT REPORT</w:t>
      </w:r>
    </w:p>
    <w:p>
      <w:pPr>
        <w:pStyle w:val="TextBody"/>
        <w:shd w:fill="FFFFFF" w:val="clear"/>
        <w:bidi w:val="0"/>
        <w:spacing w:before="0" w:after="0"/>
        <w:ind w:left="0" w:right="0" w:hanging="0"/>
        <w:jc w:val="center"/>
        <w:rPr>
          <w:b/>
          <w:color w:val="333333"/>
          <w:sz w:val="20"/>
        </w:rPr>
      </w:pPr>
      <w:r>
        <w:rPr>
          <w:b/>
          <w:color w:val="333333"/>
          <w:sz w:val="20"/>
        </w:rPr>
        <w:t xml:space="preserve">PURSUANT TO SECTION 13 OR 15(D) </w:t>
      </w:r>
    </w:p>
    <w:p>
      <w:pPr>
        <w:pStyle w:val="TextBody"/>
        <w:shd w:fill="FFFFFF" w:val="clear"/>
        <w:bidi w:val="0"/>
        <w:spacing w:before="0" w:after="0"/>
        <w:ind w:left="0" w:right="0" w:hanging="0"/>
        <w:jc w:val="center"/>
        <w:rPr>
          <w:b/>
          <w:color w:val="333333"/>
          <w:sz w:val="20"/>
        </w:rPr>
      </w:pPr>
      <w:r>
        <w:rPr>
          <w:b/>
          <w:color w:val="333333"/>
          <w:sz w:val="20"/>
        </w:rPr>
        <w:t>OF THE SECURITIES EXCHANGE ACT OF 1934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color w:val="333333"/>
          <w:sz w:val="20"/>
        </w:rPr>
      </w:pPr>
      <w:r>
        <w:rPr>
          <w:b/>
          <w:color w:val="333333"/>
          <w:sz w:val="20"/>
        </w:rPr>
        <w:t xml:space="preserve">Date of Report (Date of earliest event reported): </w:t>
      </w:r>
      <w:bookmarkStart w:id="3" w:name="xdx_905_edei--DocumentPeriodEndDate_c202"/>
      <w:bookmarkEnd w:id="3"/>
      <w:r>
        <w:rPr>
          <w:b/>
          <w:color w:val="333333"/>
          <w:sz w:val="20"/>
        </w:rPr>
        <w:t>March 14, 2026</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color w:val="333333"/>
          <w:sz w:val="20"/>
        </w:rPr>
      </w:pPr>
      <w:bookmarkStart w:id="4" w:name="xdx_90F_edei--EntityRegistrantName_c2026"/>
      <w:bookmarkEnd w:id="4"/>
      <w:r>
        <w:rPr>
          <w:b/>
          <w:color w:val="333333"/>
          <w:sz w:val="48"/>
        </w:rPr>
        <w:t>Sono Group N.V.</w:t>
        <w:br/>
      </w:r>
      <w:r>
        <w:rPr>
          <w:b/>
          <w:color w:val="333333"/>
          <w:sz w:val="20"/>
        </w:rPr>
        <w:t>(Exact name of registrant as specified in its charter)</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tbl>
      <w:tblPr>
        <w:tblW w:w="5910" w:type="dxa"/>
        <w:jc w:val="left"/>
        <w:tblInd w:w="0" w:type="dxa"/>
        <w:tblLayout w:type="fixed"/>
        <w:tblCellMar>
          <w:top w:w="0" w:type="dxa"/>
          <w:left w:w="0" w:type="dxa"/>
          <w:bottom w:w="0" w:type="dxa"/>
          <w:right w:w="0" w:type="dxa"/>
        </w:tblCellMar>
      </w:tblPr>
      <w:tblGrid>
        <w:gridCol w:w="2165"/>
        <w:gridCol w:w="2210"/>
        <w:gridCol w:w="1535"/>
      </w:tblGrid>
      <w:tr>
        <w:trPr/>
        <w:tc>
          <w:tcPr>
            <w:tcW w:w="2165" w:type="dxa"/>
            <w:tcBorders/>
            <w:vAlign w:val="center"/>
          </w:tcPr>
          <w:p>
            <w:pPr>
              <w:pStyle w:val="TableContents"/>
              <w:bidi w:val="0"/>
              <w:spacing w:before="0" w:after="0"/>
              <w:ind w:left="0" w:right="0" w:hanging="0"/>
              <w:jc w:val="center"/>
              <w:rPr>
                <w:b/>
                <w:sz w:val="20"/>
              </w:rPr>
            </w:pPr>
            <w:bookmarkStart w:id="5" w:name="xdx_901_edei--EntityIncorporationStateCo"/>
            <w:bookmarkEnd w:id="5"/>
            <w:r>
              <w:rPr>
                <w:b/>
                <w:sz w:val="20"/>
              </w:rPr>
              <w:t>The Netherlands</w:t>
            </w:r>
          </w:p>
          <w:p>
            <w:pPr>
              <w:pStyle w:val="TableContents"/>
              <w:bidi w:val="0"/>
              <w:spacing w:before="0" w:after="0"/>
              <w:ind w:left="0" w:right="0" w:hanging="0"/>
              <w:jc w:val="center"/>
              <w:rPr>
                <w:sz w:val="20"/>
              </w:rPr>
            </w:pPr>
            <w:r>
              <w:rPr>
                <w:sz w:val="20"/>
              </w:rPr>
              <w:t>(State or other jurisdiction</w:t>
              <w:br/>
              <w:t>of incorporation)</w:t>
            </w:r>
          </w:p>
        </w:tc>
        <w:tc>
          <w:tcPr>
            <w:tcW w:w="2210" w:type="dxa"/>
            <w:tcBorders/>
            <w:vAlign w:val="center"/>
          </w:tcPr>
          <w:p>
            <w:pPr>
              <w:pStyle w:val="TableContents"/>
              <w:bidi w:val="0"/>
              <w:spacing w:before="0" w:after="0"/>
              <w:ind w:left="0" w:right="0" w:hanging="0"/>
              <w:jc w:val="center"/>
              <w:rPr>
                <w:b/>
                <w:sz w:val="20"/>
              </w:rPr>
            </w:pPr>
            <w:bookmarkStart w:id="6" w:name="xdx_90D_edei--EntityFileNumber_c20260314"/>
            <w:bookmarkEnd w:id="6"/>
            <w:r>
              <w:rPr>
                <w:b/>
                <w:sz w:val="20"/>
              </w:rPr>
              <w:t>001-41066</w:t>
            </w:r>
          </w:p>
          <w:p>
            <w:pPr>
              <w:pStyle w:val="TableContents"/>
              <w:bidi w:val="0"/>
              <w:spacing w:before="0" w:after="0"/>
              <w:ind w:left="0" w:right="0" w:hanging="0"/>
              <w:jc w:val="center"/>
              <w:rPr>
                <w:sz w:val="20"/>
              </w:rPr>
            </w:pPr>
            <w:r>
              <w:rPr>
                <w:sz w:val="20"/>
              </w:rPr>
              <w:t>(Commission File Number)</w:t>
            </w:r>
          </w:p>
        </w:tc>
        <w:tc>
          <w:tcPr>
            <w:tcW w:w="1535" w:type="dxa"/>
            <w:tcBorders/>
            <w:vAlign w:val="center"/>
          </w:tcPr>
          <w:p>
            <w:pPr>
              <w:pStyle w:val="TableContents"/>
              <w:bidi w:val="0"/>
              <w:spacing w:before="0" w:after="0"/>
              <w:ind w:left="0" w:right="0" w:hanging="0"/>
              <w:jc w:val="center"/>
              <w:rPr>
                <w:b/>
                <w:sz w:val="20"/>
              </w:rPr>
            </w:pPr>
            <w:bookmarkStart w:id="7" w:name="xdx_90D_edei--EntityTaxIdentificationNum"/>
            <w:bookmarkEnd w:id="7"/>
            <w:r>
              <w:rPr>
                <w:b/>
                <w:sz w:val="20"/>
              </w:rPr>
              <w:t>98-1828632</w:t>
            </w:r>
          </w:p>
          <w:p>
            <w:pPr>
              <w:pStyle w:val="TableContents"/>
              <w:bidi w:val="0"/>
              <w:spacing w:before="0" w:after="0"/>
              <w:ind w:left="0" w:right="0" w:hanging="0"/>
              <w:jc w:val="center"/>
              <w:rPr>
                <w:sz w:val="20"/>
              </w:rPr>
            </w:pPr>
            <w:r>
              <w:rPr>
                <w:sz w:val="20"/>
              </w:rPr>
              <w:t>(IRS Employer</w:t>
              <w:br/>
              <w:t>Identification No.)</w:t>
            </w:r>
          </w:p>
        </w:tc>
      </w:tr>
    </w:tbl>
    <w:p>
      <w:pPr>
        <w:pStyle w:val="TextBody"/>
        <w:bidi w:val="0"/>
        <w:spacing w:before="0" w:after="0"/>
        <w:ind w:left="0" w:right="0" w:hanging="0"/>
        <w:jc w:val="center"/>
        <w:rPr/>
      </w:pPr>
      <w:r>
        <w:rPr/>
        <w:t> </w:t>
      </w:r>
    </w:p>
    <w:tbl>
      <w:tblPr>
        <w:tblW w:w="4510" w:type="dxa"/>
        <w:jc w:val="left"/>
        <w:tblInd w:w="0" w:type="dxa"/>
        <w:tblLayout w:type="fixed"/>
        <w:tblCellMar>
          <w:top w:w="0" w:type="dxa"/>
          <w:left w:w="0" w:type="dxa"/>
          <w:bottom w:w="0" w:type="dxa"/>
          <w:right w:w="0" w:type="dxa"/>
        </w:tblCellMar>
      </w:tblPr>
      <w:tblGrid>
        <w:gridCol w:w="3590"/>
        <w:gridCol w:w="920"/>
      </w:tblGrid>
      <w:tr>
        <w:trPr/>
        <w:tc>
          <w:tcPr>
            <w:tcW w:w="3590" w:type="dxa"/>
            <w:tcBorders/>
            <w:vAlign w:val="center"/>
          </w:tcPr>
          <w:p>
            <w:pPr>
              <w:pStyle w:val="TableContents"/>
              <w:bidi w:val="0"/>
              <w:spacing w:before="0" w:after="0"/>
              <w:ind w:left="0" w:right="0" w:hanging="0"/>
              <w:jc w:val="center"/>
              <w:rPr>
                <w:b/>
                <w:sz w:val="20"/>
              </w:rPr>
            </w:pPr>
            <w:r>
              <w:rPr>
                <w:b/>
                <w:sz w:val="20"/>
              </w:rPr>
              <w:t>Waldmeisterstrasse 93, Munich, Germany</w:t>
            </w:r>
          </w:p>
          <w:p>
            <w:pPr>
              <w:pStyle w:val="TableContents"/>
              <w:bidi w:val="0"/>
              <w:spacing w:before="0" w:after="0"/>
              <w:ind w:left="0" w:right="0" w:hanging="0"/>
              <w:jc w:val="center"/>
              <w:rPr>
                <w:sz w:val="20"/>
              </w:rPr>
            </w:pPr>
            <w:r>
              <w:rPr>
                <w:sz w:val="20"/>
              </w:rPr>
              <w:t>(Address of principal executive offices)</w:t>
            </w:r>
          </w:p>
        </w:tc>
        <w:tc>
          <w:tcPr>
            <w:tcW w:w="920" w:type="dxa"/>
            <w:tcBorders/>
            <w:vAlign w:val="center"/>
          </w:tcPr>
          <w:p>
            <w:pPr>
              <w:pStyle w:val="TableContents"/>
              <w:bidi w:val="0"/>
              <w:spacing w:before="0" w:after="0"/>
              <w:ind w:left="0" w:right="0" w:hanging="0"/>
              <w:jc w:val="center"/>
              <w:rPr>
                <w:b/>
                <w:sz w:val="20"/>
              </w:rPr>
            </w:pPr>
            <w:r>
              <w:rPr>
                <w:b/>
                <w:sz w:val="20"/>
              </w:rPr>
              <w:t>80935</w:t>
            </w:r>
          </w:p>
          <w:p>
            <w:pPr>
              <w:pStyle w:val="TableContents"/>
              <w:bidi w:val="0"/>
              <w:spacing w:before="0" w:after="0"/>
              <w:ind w:left="0" w:right="0" w:hanging="0"/>
              <w:jc w:val="center"/>
              <w:rPr>
                <w:sz w:val="20"/>
              </w:rPr>
            </w:pPr>
            <w:r>
              <w:rPr>
                <w:sz w:val="20"/>
              </w:rPr>
              <w:t>(Zip Code)</w:t>
            </w:r>
          </w:p>
        </w:tc>
      </w:tr>
    </w:tbl>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color w:val="333333"/>
          <w:sz w:val="20"/>
        </w:rPr>
      </w:pPr>
      <w:bookmarkStart w:id="8" w:name="xdx_909_edei--LocalPhoneNumber_c20260314"/>
      <w:bookmarkEnd w:id="8"/>
      <w:r>
        <w:rPr>
          <w:b/>
          <w:color w:val="333333"/>
          <w:sz w:val="20"/>
        </w:rPr>
        <w:t>+49 (0)89 4520 5818</w:t>
      </w:r>
    </w:p>
    <w:p>
      <w:pPr>
        <w:pStyle w:val="TextBody"/>
        <w:bidi w:val="0"/>
        <w:spacing w:before="0" w:after="0"/>
        <w:ind w:left="0" w:right="0" w:hanging="0"/>
        <w:jc w:val="center"/>
        <w:rPr>
          <w:color w:val="333333"/>
          <w:sz w:val="20"/>
        </w:rPr>
      </w:pPr>
      <w:r>
        <w:rPr>
          <w:color w:val="333333"/>
          <w:sz w:val="20"/>
        </w:rPr>
        <w:t>(Registrant's telephone number, including area code)</w:t>
      </w:r>
    </w:p>
    <w:p>
      <w:pPr>
        <w:pStyle w:val="TextBody"/>
        <w:shd w:fill="FFFFFF" w:val="clear"/>
        <w:bidi w:val="0"/>
        <w:spacing w:before="0" w:after="0"/>
        <w:ind w:left="0" w:right="0" w:hanging="0"/>
        <w:jc w:val="center"/>
        <w:rPr>
          <w:b/>
          <w:sz w:val="20"/>
        </w:rPr>
      </w:pPr>
      <w:r>
        <w:rPr>
          <w:b/>
          <w:sz w:val="20"/>
        </w:rPr>
        <w:t>__________________________</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color w:val="333333"/>
          <w:sz w:val="20"/>
        </w:rPr>
      </w:pPr>
      <w:r>
        <w:rPr>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9" w:name="xdx_905_edei--WrittenCommunications_c202"/>
      <w:bookmarkEnd w:id="9"/>
      <w:r>
        <w:rPr>
          <w:color w:val="333333"/>
        </w:rPr>
        <w:t>☐</w:t>
      </w:r>
      <w:r>
        <w:rPr>
          <w:color w:val="333333"/>
          <w:sz w:val="20"/>
        </w:rPr>
        <w:tab/>
        <w:t>Written communications pursuant to Rule 425 under the Securities Act (17 CFR 230.425)</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0" w:name="xdx_904_edei--SolicitingMaterial_c202603"/>
      <w:bookmarkEnd w:id="10"/>
      <w:r>
        <w:rPr>
          <w:color w:val="333333"/>
        </w:rPr>
        <w:t>☒</w:t>
      </w:r>
      <w:r>
        <w:rPr>
          <w:color w:val="333333"/>
          <w:sz w:val="20"/>
        </w:rPr>
        <w:tab/>
        <w:t>Soliciting material pursuant to Rule 14a-12 under the Exchange Act (17 CFR 240.14a-12)</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1" w:name="xdx_90F_edei--PreCommencementTenderOffer"/>
      <w:bookmarkEnd w:id="11"/>
      <w:r>
        <w:rPr>
          <w:color w:val="333333"/>
        </w:rPr>
        <w:t xml:space="preserve">☐ </w:t>
      </w:r>
      <w:r>
        <w:rPr>
          <w:color w:val="333333"/>
          <w:sz w:val="20"/>
        </w:rPr>
        <w:tab/>
        <w:t>Pre-commencement communications pursuant to Rule 14d-2(b) under the Exchange Act (17 CFR 240.14d-2(b))</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2" w:name="xdx_90C_edei--PreCommencementIssuerTende"/>
      <w:bookmarkEnd w:id="12"/>
      <w:r>
        <w:rPr>
          <w:color w:val="333333"/>
        </w:rPr>
        <w:t>☐</w:t>
      </w:r>
      <w:r>
        <w:rPr>
          <w:color w:val="333333"/>
          <w:sz w:val="20"/>
        </w:rPr>
        <w:tab/>
        <w:t>Pre-commencement communications pursuant to Rule 13e-4(c) under the Exchange Act (17 CFR 240.13e-4(c))</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Securities registered pursuant to Section 12(b) of the Act:</w:t>
      </w:r>
    </w:p>
    <w:p>
      <w:pPr>
        <w:pStyle w:val="TextBody"/>
        <w:shd w:fill="FFFFFF" w:val="clear"/>
        <w:bidi w:val="0"/>
        <w:spacing w:before="0" w:after="0"/>
        <w:ind w:left="0" w:right="0" w:hanging="0"/>
        <w:jc w:val="left"/>
        <w:rPr>
          <w:color w:val="333333"/>
        </w:rPr>
      </w:pPr>
      <w:r>
        <w:rPr>
          <w:color w:val="333333"/>
        </w:rPr>
        <w:t> </w:t>
      </w:r>
    </w:p>
    <w:tbl>
      <w:tblPr>
        <w:tblW w:w="6615" w:type="dxa"/>
        <w:jc w:val="left"/>
        <w:tblInd w:w="-10" w:type="dxa"/>
        <w:tblLayout w:type="fixed"/>
        <w:tblCellMar>
          <w:top w:w="100" w:type="dxa"/>
          <w:left w:w="100" w:type="dxa"/>
          <w:bottom w:w="28" w:type="dxa"/>
          <w:right w:w="100"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333333"/>
                <w:sz w:val="20"/>
              </w:rPr>
            </w:pPr>
            <w:r>
              <w:rPr>
                <w:color w:val="333333"/>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333333"/>
                <w:sz w:val="20"/>
              </w:rPr>
            </w:pPr>
            <w:bookmarkStart w:id="13" w:name="xdx_908_edei--Security12bTitle_c20260314"/>
            <w:bookmarkEnd w:id="13"/>
            <w:r>
              <w:rPr>
                <w:color w:val="333333"/>
                <w:sz w:val="20"/>
              </w:rPr>
              <w:t>Ordinary shares</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bookmarkStart w:id="14" w:name="xdx_90B_edei--TradingSymbol_c20260314__2"/>
            <w:bookmarkEnd w:id="14"/>
            <w:r>
              <w:rPr>
                <w:color w:val="333333"/>
                <w:sz w:val="20"/>
              </w:rPr>
              <w:t>SSM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bookmarkStart w:id="15" w:name="xdx_905_edei--SecurityExchangeName_c2026"/>
            <w:bookmarkEnd w:id="15"/>
            <w:r>
              <w:rPr>
                <w:color w:val="333333"/>
                <w:sz w:val="20"/>
              </w:rPr>
              <w:t>The Nasdaq Stock Market LLC</w:t>
            </w:r>
          </w:p>
        </w:tc>
      </w:tr>
    </w:tbl>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right"/>
        <w:rPr>
          <w:color w:val="333333"/>
          <w:sz w:val="20"/>
        </w:rPr>
      </w:pPr>
      <w:r>
        <w:rPr>
          <w:color w:val="333333"/>
          <w:sz w:val="20"/>
        </w:rPr>
        <w:t xml:space="preserve">Emerging growth company </w:t>
      </w:r>
      <w:bookmarkStart w:id="16" w:name="xdx_904_edei--EntityEmergingGrowthCompan"/>
      <w:bookmarkEnd w:id="16"/>
      <w:r>
        <w:rPr>
          <w:color w:val="333333"/>
          <w:sz w:val="20"/>
        </w:rPr>
        <w:t>☒</w:t>
      </w:r>
    </w:p>
    <w:p>
      <w:pPr>
        <w:pStyle w:val="TextBody"/>
        <w:shd w:fill="FFFFFF" w:val="clear"/>
        <w:bidi w:val="0"/>
        <w:spacing w:before="0" w:after="0"/>
        <w:ind w:left="0" w:right="0" w:hanging="0"/>
        <w:jc w:val="righ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17" w:name="xdx_907_edei--EntityExTransitionPeriod_c"/>
      <w:bookmarkEnd w:id="17"/>
      <w:r>
        <w:rPr>
          <w:color w:val="333333"/>
          <w:sz w:val="20"/>
        </w:rPr>
        <w:t>☐</w:t>
      </w:r>
    </w:p>
    <w:p>
      <w:pPr>
        <w:pStyle w:val="TextBody"/>
        <w:shd w:fill="FFFFFF" w:val="clear"/>
        <w:bidi w:val="0"/>
        <w:spacing w:before="0" w:after="0"/>
        <w:ind w:left="0" w:right="0" w:hanging="0"/>
        <w:jc w:val="left"/>
        <w:rPr>
          <w:color w:val="333333"/>
        </w:rPr>
      </w:pPr>
      <w:r>
        <w:rPr>
          <w:color w:val="333333"/>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973" w:type="dxa"/>
        <w:jc w:val="left"/>
        <w:tblInd w:w="0" w:type="dxa"/>
        <w:tblLayout w:type="fixed"/>
        <w:tblCellMar>
          <w:top w:w="0" w:type="dxa"/>
          <w:left w:w="0" w:type="dxa"/>
          <w:bottom w:w="0" w:type="dxa"/>
          <w:right w:w="0" w:type="dxa"/>
        </w:tblCellMar>
      </w:tblPr>
      <w:tblGrid>
        <w:gridCol w:w="38"/>
        <w:gridCol w:w="965"/>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b/>
              </w:rPr>
              <w:t>Item</w:t>
            </w:r>
            <w:r>
              <w:rPr/>
              <w:t> </w:t>
            </w:r>
            <w:r>
              <w:rPr>
                <w:b/>
              </w:rPr>
              <w:t>2.05</w:t>
            </w:r>
          </w:p>
        </w:tc>
        <w:tc>
          <w:tcPr>
            <w:tcW w:w="4970" w:type="dxa"/>
            <w:tcBorders/>
            <w:vAlign w:val="center"/>
          </w:tcPr>
          <w:p>
            <w:pPr>
              <w:pStyle w:val="TableContents"/>
              <w:bidi w:val="0"/>
              <w:spacing w:before="0" w:after="283"/>
              <w:jc w:val="both"/>
              <w:rPr>
                <w:b/>
              </w:rPr>
            </w:pPr>
            <w:r>
              <w:rPr>
                <w:b/>
              </w:rPr>
              <w:t>Costs Associated with Exit or Disposal Activities.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March 14, 2026, the supervisory board of Sono Group N.V. (the “Company”) resolved to terminate all current and future funding commitments to its sole operational subsidiary, Sono Motors GmbH, and to exit the legacy solar operations conducted through Sono Motors GmbH, with immediate effect. The Company’s decision was driven by Sono Motors GmbH’s historical lack of profitability, which has resulted in the Company having to continuously provide funding to Sono Motors GmbH, and thus incur losses, and a determination by the supervisory board that there was not a clear path for Sono Motors GmbH to achieve profitability in a reasonably desirable timeframe and thus, avoid future losses by the Company. This decision was made in conjunction with the decision on March 14, 2026 by the Company’s management board, with the approval of the supervisory board, to adopt a new business strategy focused on the purchase and holding of digital assets, principally Bitcoin, by applying a covered-call yield strategy (the “Treasury Strategy”), as previously announced by the Company in its Current Report on Form 8-K filed with the U.S. Securities Exchange Commission on March 16, 2026 (the “March 16 Current Report”). The Treasury Strategy is projected to generate cash flow for the Company in the first year of its execution. The Company is also exploring other strategic alternatives to maximize shareholder value.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is currently unable to make a good faith estimate of the total costs and charges, if any, that may be incurred in connection with the cessation of funding to Sono Motors GmbH and the exit from the Company’s legacy solar business. The determination of any such costs is subject to significant uncertainties, including, among other things, the timing, scope and manner of any actions undertaken with respect to Sono Motors GmbH following the cessation of funding, as well as the extent of any obligations of the Company in connection therewith.</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Potential costs, if any, may include legal, advisory and other professional fees and expenses associated with activities relating to Sono Motors GmbH. Any such costs and expenditures, if incurred, are expected to be reduced by cash flow to the Company from the Treasury Strategy.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will amend this Current Report on Form 8-K (this “Current Report”) to disclose material costs, charges and cash expenditures to be borne directly by the Company, if and when such amounts become reasonably estimable.</w:t>
      </w:r>
    </w:p>
    <w:p>
      <w:pPr>
        <w:pStyle w:val="TextBody"/>
        <w:bidi w:val="0"/>
        <w:spacing w:before="0" w:after="0"/>
        <w:ind w:left="0" w:right="0" w:hanging="0"/>
        <w:jc w:val="left"/>
        <w:rPr/>
      </w:pPr>
      <w:r>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March 19, 2026, the Company issued a press release regarding the cessation of funding to Sono Motors GmbH and exit from the Company’s legacy solar business. A copy of that press release is filed as Exhibit 99.1 to this Current Report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previously disclosed, the Company intends to solicit the ratification by its shareholders of the engagement by the Company in the Treasury Strategy.</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Forward 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Current Report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cessation of funding to Sono Motors GmbH and exit from the Company’s legacy solar operations, including their timing and the costs, charges and cash expenditures the Company may incur as a result;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and Sono Motors GmbH; the Company’s product offerings and developments and business plans, including the decisions to cease funding to Sono Motors GmbH and exit the legacy solar business and to pursue the Treasury Strategy;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Current Report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timing, nature and amount of any costs, charges or cash expenditures incurred by the Company in connection with the cessation of funding to Sono Motors GmbH and exit from the Company’s legacy solar operations;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current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Additional Information and Where to Find It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Current Report is not a substitute for the Proxy Statement or any other document that the Company may file with the SEC or send to the Company’s shareholders in connection with the Special Meeting. This Current Report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Participants in the Solicitation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2024, as filed with the SEC on April 17, 2025, the Company’s proxy statement on Schedule 14A filed with the SEC on July 24, 2025 in connection with its 2025 annual general meeting of shareholders, and the Proxy Statement when it becomes available.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No Solicitation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Current Report shall not constitute a solicitation of a proxy, consent or authorization with respect to any securities or in respect of the matters to be noticed in the definitive Proxy Statement when it becomes available.</w:t>
      </w:r>
    </w:p>
    <w:p>
      <w:pPr>
        <w:pStyle w:val="TextBody"/>
        <w:bidi w:val="0"/>
        <w:spacing w:before="0" w:after="0"/>
        <w:ind w:left="0" w:right="0" w:hanging="0"/>
        <w:jc w:val="left"/>
        <w:rPr/>
      </w:pPr>
      <w:r>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(d) Exhibits.</w:t>
      </w:r>
      <w:r>
        <w:rPr>
          <w:sz w:val="20"/>
        </w:rPr>
        <w:t xml:space="preserve"> The following exhibits are filed with this Current Report:</w:t>
      </w:r>
    </w:p>
    <w:p>
      <w:pPr>
        <w:pStyle w:val="TextBody"/>
        <w:bidi w:val="0"/>
        <w:spacing w:before="0" w:after="0"/>
        <w:ind w:left="0" w:right="0" w:hanging="0"/>
        <w:jc w:val="left"/>
        <w:rPr/>
      </w:pPr>
      <w:r>
        <w:rPr/>
        <w:t> </w:t>
      </w:r>
    </w:p>
    <w:tbl>
      <w:tblPr>
        <w:tblW w:w="7195" w:type="dxa"/>
        <w:jc w:val="left"/>
        <w:tblInd w:w="0" w:type="dxa"/>
        <w:tblLayout w:type="fixed"/>
        <w:tblCellMar>
          <w:top w:w="0" w:type="dxa"/>
          <w:left w:w="0" w:type="dxa"/>
          <w:bottom w:w="0" w:type="dxa"/>
          <w:right w:w="0" w:type="dxa"/>
        </w:tblCellMar>
      </w:tblPr>
      <w:tblGrid>
        <w:gridCol w:w="650"/>
        <w:gridCol w:w="60"/>
        <w:gridCol w:w="6485"/>
      </w:tblGrid>
      <w:tr>
        <w:trPr/>
        <w:tc>
          <w:tcPr>
            <w:tcW w:w="650" w:type="dxa"/>
            <w:tcBorders/>
            <w:vAlign w:val="center"/>
          </w:tcPr>
          <w:p>
            <w:pPr>
              <w:pStyle w:val="TableContents"/>
              <w:bidi w:val="0"/>
              <w:spacing w:before="0" w:after="283"/>
              <w:jc w:val="left"/>
              <w:rPr>
                <w:sz w:val="20"/>
                <w:u w:val="single"/>
              </w:rPr>
            </w:pPr>
            <w:r>
              <w:rPr>
                <w:sz w:val="20"/>
                <w:u w:val="single"/>
              </w:rPr>
              <w:t>Exhibit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u w:val="single"/>
              </w:rPr>
            </w:pPr>
            <w:r>
              <w:rPr>
                <w:sz w:val="20"/>
                <w:u w:val="single"/>
              </w:rPr>
              <w:t>Description of Exhibit</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both"/>
              <w:rPr/>
            </w:pPr>
            <w:hyperlink w:anchor="exh_991.htm">
              <w:r>
                <w:rPr>
                  <w:rStyle w:val="InternetLink"/>
                  <w:sz w:val="20"/>
                </w:rPr>
                <w:t>Press release dated March 19, 2026</w:t>
              </w:r>
            </w:hyperlink>
          </w:p>
        </w:tc>
      </w:tr>
      <w:tr>
        <w:trPr/>
        <w:tc>
          <w:tcPr>
            <w:tcW w:w="65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3450" w:type="dxa"/>
        <w:jc w:val="left"/>
        <w:tblInd w:w="0" w:type="dxa"/>
        <w:tblLayout w:type="fixed"/>
        <w:tblCellMar>
          <w:top w:w="0" w:type="dxa"/>
          <w:left w:w="0" w:type="dxa"/>
          <w:bottom w:w="0" w:type="dxa"/>
          <w:right w:w="0" w:type="dxa"/>
        </w:tblCellMar>
      </w:tblPr>
      <w:tblGrid>
        <w:gridCol w:w="75"/>
        <w:gridCol w:w="305"/>
        <w:gridCol w:w="710"/>
        <w:gridCol w:w="2360"/>
      </w:tblGrid>
      <w:tr>
        <w:trPr/>
        <w:tc>
          <w:tcPr>
            <w:tcW w:w="75" w:type="dxa"/>
            <w:tcBorders/>
            <w:vAlign w:val="center"/>
          </w:tcPr>
          <w:p>
            <w:pPr>
              <w:pStyle w:val="TableContents"/>
              <w:bidi w:val="0"/>
              <w:spacing w:before="0" w:after="283"/>
              <w:jc w:val="left"/>
              <w:rPr/>
            </w:pPr>
            <w:r>
              <w:rPr/>
              <w:t> </w:t>
            </w:r>
          </w:p>
        </w:tc>
        <w:tc>
          <w:tcPr>
            <w:tcW w:w="3375" w:type="dxa"/>
            <w:gridSpan w:val="3"/>
            <w:tcBorders/>
            <w:vAlign w:val="center"/>
          </w:tcPr>
          <w:p>
            <w:pPr>
              <w:pStyle w:val="TableContents"/>
              <w:bidi w:val="0"/>
              <w:spacing w:before="0" w:after="283"/>
              <w:jc w:val="left"/>
              <w:rPr>
                <w:b/>
              </w:rPr>
            </w:pPr>
            <w:r>
              <w:rPr>
                <w:b/>
              </w:rPr>
              <w:t>Sono Group N.V.</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3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3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By</w:t>
            </w:r>
          </w:p>
        </w:tc>
        <w:tc>
          <w:tcPr>
            <w:tcW w:w="3070" w:type="dxa"/>
            <w:gridSpan w:val="2"/>
            <w:tcBorders>
              <w:bottom w:val="single" w:sz="8" w:space="0" w:color="000000"/>
            </w:tcBorders>
            <w:tcMar>
              <w:bottom w:w="28" w:type="dxa"/>
            </w:tcMar>
            <w:vAlign w:val="center"/>
          </w:tcPr>
          <w:p>
            <w:pPr>
              <w:pStyle w:val="TableContents"/>
              <w:bidi w:val="0"/>
              <w:spacing w:before="0" w:after="283"/>
              <w:jc w:val="left"/>
              <w:rPr/>
            </w:pPr>
            <w:r>
              <w:rPr/>
              <w:t>/s/ Kevin McGurn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710" w:type="dxa"/>
            <w:tcBorders/>
            <w:vAlign w:val="center"/>
          </w:tcPr>
          <w:p>
            <w:pPr>
              <w:pStyle w:val="TableContents"/>
              <w:bidi w:val="0"/>
              <w:spacing w:before="0" w:after="283"/>
              <w:jc w:val="left"/>
              <w:rPr/>
            </w:pPr>
            <w:r>
              <w:rPr/>
              <w:t xml:space="preserve">Name: </w:t>
            </w:r>
          </w:p>
        </w:tc>
        <w:tc>
          <w:tcPr>
            <w:tcW w:w="2360" w:type="dxa"/>
            <w:tcBorders/>
            <w:vAlign w:val="center"/>
          </w:tcPr>
          <w:p>
            <w:pPr>
              <w:pStyle w:val="TableContents"/>
              <w:bidi w:val="0"/>
              <w:spacing w:before="0" w:after="283"/>
              <w:jc w:val="left"/>
              <w:rPr/>
            </w:pPr>
            <w:r>
              <w:rPr/>
              <w:t>Kevin McGurn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710" w:type="dxa"/>
            <w:tcBorders/>
            <w:vAlign w:val="center"/>
          </w:tcPr>
          <w:p>
            <w:pPr>
              <w:pStyle w:val="TableContents"/>
              <w:bidi w:val="0"/>
              <w:spacing w:before="0" w:after="283"/>
              <w:jc w:val="left"/>
              <w:rPr/>
            </w:pPr>
            <w:r>
              <w:rPr/>
              <w:t>Title:</w:t>
            </w:r>
          </w:p>
        </w:tc>
        <w:tc>
          <w:tcPr>
            <w:tcW w:w="2360" w:type="dxa"/>
            <w:tcBorders/>
            <w:vAlign w:val="center"/>
          </w:tcPr>
          <w:p>
            <w:pPr>
              <w:pStyle w:val="TableContents"/>
              <w:bidi w:val="0"/>
              <w:spacing w:before="0" w:after="0"/>
              <w:ind w:left="0" w:right="0" w:hanging="0"/>
              <w:jc w:val="left"/>
              <w:rPr>
                <w:sz w:val="20"/>
              </w:rPr>
            </w:pPr>
            <w:r>
              <w:rPr>
                <w:sz w:val="20"/>
              </w:rPr>
              <w:t>CEO and 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March 19,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jc w:val="right"/>
        <w:rPr>
          <w:b/>
        </w:rPr>
      </w:pPr>
      <w:bookmarkStart w:id="18" w:name="exh_991.htm"/>
      <w:bookmarkStart w:id="19" w:name="ksexh_991"/>
      <w:bookmarkEnd w:id="18"/>
      <w:bookmarkEnd w:id="19"/>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b/>
          <w:color w:val="FFC000"/>
          <w:sz w:val="20"/>
        </w:rPr>
      </w:pPr>
      <w:r>
        <w:rPr>
          <w:b/>
          <w:color w:val="FFC000"/>
          <w:sz w:val="20"/>
        </w:rPr>
        <w:t>PRESS RELEASE</w:t>
      </w:r>
    </w:p>
    <w:p>
      <w:pPr>
        <w:pStyle w:val="TextBody"/>
        <w:bidi w:val="0"/>
        <w:spacing w:before="0" w:after="0"/>
        <w:ind w:left="0" w:right="0" w:hanging="0"/>
        <w:jc w:val="left"/>
        <w:rPr>
          <w:color w:val="002B41"/>
        </w:rPr>
      </w:pPr>
      <w:r>
        <w:rPr>
          <w:color w:val="002B41"/>
        </w:rPr>
        <w:t> </w:t>
      </w:r>
    </w:p>
    <w:p>
      <w:pPr>
        <w:pStyle w:val="TextBody"/>
        <w:bidi w:val="0"/>
        <w:spacing w:before="0" w:after="0"/>
        <w:ind w:left="0" w:right="0" w:hanging="0"/>
        <w:jc w:val="left"/>
        <w:rPr>
          <w:color w:val="002B41"/>
          <w:sz w:val="48"/>
        </w:rPr>
      </w:pPr>
      <w:r>
        <w:rPr>
          <w:color w:val="002B41"/>
          <w:sz w:val="48"/>
        </w:rPr>
        <w:t>Sono Group N.V. Announces Strategic Evolution: Adoption of Digital Asset Treasury Strategy and Exit from Legacy Solar Operations</w:t>
      </w:r>
    </w:p>
    <w:p>
      <w:pPr>
        <w:pStyle w:val="TextBody"/>
        <w:bidi w:val="0"/>
        <w:spacing w:before="0" w:after="0"/>
        <w:ind w:left="0" w:right="0" w:hanging="0"/>
        <w:jc w:val="left"/>
        <w:rPr>
          <w:b/>
          <w:color w:val="002A41"/>
          <w:sz w:val="20"/>
        </w:rPr>
      </w:pPr>
      <w:r>
        <w:rPr>
          <w:b/>
          <w:color w:val="002A41"/>
          <w:sz w:val="20"/>
        </w:rPr>
        <w:t>Board-approved transition positions the Company to pursue recurring cash flow generation and a clearer path toward long-term shareholder value, with the goal of reducing ongoing operational losses</w:t>
      </w:r>
    </w:p>
    <w:p>
      <w:pPr>
        <w:pStyle w:val="TextBody"/>
        <w:bidi w:val="0"/>
        <w:spacing w:before="0" w:after="0"/>
        <w:ind w:left="0" w:right="0" w:hanging="0"/>
        <w:jc w:val="left"/>
        <w:rPr>
          <w:color w:val="002A41"/>
        </w:rPr>
      </w:pPr>
      <w:r>
        <w:rPr>
          <w:color w:val="002A41"/>
        </w:rPr>
        <w:t> </w:t>
      </w:r>
    </w:p>
    <w:p>
      <w:pPr>
        <w:pStyle w:val="TextBody"/>
        <w:bidi w:val="0"/>
        <w:spacing w:before="0" w:after="0"/>
        <w:ind w:left="0" w:right="0" w:hanging="0"/>
        <w:jc w:val="left"/>
        <w:rPr>
          <w:sz w:val="20"/>
        </w:rPr>
      </w:pPr>
      <w:r>
        <w:rPr>
          <w:sz w:val="20"/>
        </w:rPr>
        <w:t>Munich, March 19, 2026 – Sono Group N.V. (Nasdaq: SSM) (hereafter referred to as “Sono” or the “Company”, parent company to Sono Motors GmbH, hereafter referred to as “Sono Solar” or “Subsidiary”) today announced two decisive, board-approved actions that together define a new strategic direction: the adoption of a Digital Asset Treasury ("DAT") strategy and the cessation of funding to its solar subsidiary, Sono Motors GmbH, while continuing to evaluate strategic alternatives for those operations where appropriate. These actions reflect the Company’s commitment to disciplined capital stewardship and its determination to pursue a clearer and more credible path toward potential profitability and long-term shareholder value.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Digital Asset Treasury Strategy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March 14, 2026, the Company’s management board, with supervisory board approval, formally adopted a Digital Asset Treasury strategy and policy. The Company expects to allocate a substantial portion of its treasury reserves to digital assets, primarily Bitcoin. To execute this strategy with institutional rigor, the Company has entered into an ISDA Master Agreement framework with Blockchain.com, one of the world's most established digital asset platforms, establishing the contractual infrastructure to execute derivatives and hedging transactions in connection with its digital asset holdings.</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Under the DAT strategy, the Company intends to generate recurring income from its treasury by applying a covered-call yield approach against its Bitcoin holdings. This is a commonly used income-generating strategy in institutional portfolios, allowing the Company to monetize its holdings in a disciplined, rules-based manner while retaining measured exposure to Bitcoin price appreciation.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intends to implement this strategy with disciplined risk management and will continuously evaluate market conditions and exposure levels. The Company also intends to solicit formal ratification of the DAT strategy from its shareholders through a proxy statement and duly noticed shareholder meeting, reflecting its commitment to transparency and shareholder alignment at every stage of this evolution.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Exit from Legacy Solar Operations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Following a thorough review of all available strategic pathways for Sono Motors GmbH (operating as Sono Solar), the Company’s management board, with supervisory board approval, has resolved to discontinue all current and future funding commitments to the subsidiary and to initiate the transition of legacy solar operations, while continuing to evaluate strategic alternatives for those assets where appropriate.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Sono Solar’s team built a genuinely differentiated solar-integration technology, recognized most recently with the European Transport Prize for Sustainability 2026, and demonstrated exceptional commitment through a challenging commercialization environment. The boards concluded, however, that persistent structural headwinds in the commercial vehicle solar sector, limited commercial partner traction, and the absence of a near-to-medium-term path to sustainable profitability made continued investment no longer in the best interests of the Company’s stakeholders.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transition is expected to substantially reduce operational cash outflows and is aimed at reducing recurring losses, positioning the Company's balance sheet for the next strategic phase.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The people of Sono Solar built something genuinely differentiated, a technology recognized at the highest levels of our industry. This decision is not a reflection of their efforts. It is a reflection of market realities and our fiduciary responsibility to shareholders,” said Kevin McGurn, Managing Director and CEO of Sono Group N.V. “We are choosing to stop funding losses we cannot sustain and to redirect the Company’s resources toward a strategy we believe offers a clearer and more credible path to generating cash flow and long-term value, executed with institutional discipline and the governance rigor.”</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Governance and Compliance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Both the management board and supervisory board of Sono Group N.V. have approved the DAT strategy and the cessation of funding to Sono Motors GmbH. The Company will bring the DAT strategy to shareholders for formal ratification at a shareholder meeting to be noticed in accordance with applicable law and the Company’s governance documents. The Company will continue to comply with all applicable Nasdaq Capital Market listing requirements and SEC reporting obligations throughout this transition.</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END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ABOUT SONO GROUP N.V.</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Sono Group N.V. (Nasdaq: SSM) is a Netherlands-incorporated holding company listed on the Nasdaq Capital Market. In March 2026, the Company announced a strategic realignment, repositioning its balance sheet toward digital assets and initiating the exit from its legacy solar operations. For more information about Sono Group N.V. visit sonogroupnv.com. Follow us on social media: LinkedIn, Facebook, BlueSky, Truth Social, and X.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press release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cessation of funding to Sono Motors GmbH and exit from the Company’s legacy solar operations, including their timing and the costs, charges and cash expenditures the Company may incur as a result;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and Sono Motors GmbH; the Company’s product offerings and developments and business plans, including the decisions to cease funding to Sono Motors GmbH and exit the legacy solar business and to pursue the Treasury Strategy;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press release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timing, nature and amount of any costs, charges or cash expenditures incurred by the Company in connection with the cessation of funding to Sono Motors GmbH and exit from the Company’s legacy solar operations;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current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ADDITIONAL INFORMATION AND WHERE TO FIND IT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press release is not a substitute for the Proxy Statement or any other document that the Company may file with the SEC or send to the Company’s shareholders in connection with the Special Meeting. This press release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PARTICIPANTS IN THE SOLICITATION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2024, as filed with the SEC on April 17, 2025, the Company’s proxy statement on Schedule 14A filed with the SEC on July 24, 2025 in connection with its 2025 annual general meeting of shareholders, and the Proxy Statement when it becomes available.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NO SOLICITATION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press release shall not constitute a solicitation of a proxy, consent or authorization with respect to any securities or in respect of the matters to be noticed in the definitive Proxy Statement when it becomes available.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CONTACT: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Press:</w:t>
        <w:br/>
        <w:t>press@sono-solar.com | ir.sonomotors.com/news-events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Investors:</w:t>
        <w:br/>
        <w:t>ir@sonomotors.com | ir.sonomotors.com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LinkedIn:</w:t>
        <w:br/>
        <w:t>https://www.linkedin.com/company/sonogroupnv</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3901</Words>
  <Characters>22289</Characters>
  <CharactersWithSpaces>26221</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