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3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188" w:lineRule="exact"/>
        <w:rPr>
          <w:sz w:val="24"/>
          <w:szCs w:val="24"/>
          <w:color w:val="auto"/>
        </w:rPr>
      </w:pPr>
    </w:p>
    <w:p>
      <w:pPr>
        <w:jc w:val="right"/>
        <w:spacing w:after="0" w:line="242" w:lineRule="exact"/>
        <w:tabs>
          <w:tab w:leader="none" w:pos="6520" w:val="left"/>
          <w:tab w:leader="none" w:pos="5460" w:val="left"/>
          <w:tab w:leader="none" w:pos="4380" w:val="left"/>
          <w:tab w:leader="none" w:pos="3300" w:val="left"/>
          <w:tab w:leader="none" w:pos="2220" w:val="left"/>
          <w:tab w:leader="none" w:pos="940" w:val="left"/>
        </w:tabs>
        <w:rPr>
          <w:sz w:val="20"/>
          <w:szCs w:val="20"/>
          <w:color w:val="auto"/>
        </w:rPr>
      </w:pPr>
      <w:r>
        <w:rPr>
          <w:rFonts w:ascii="Times New Roman" w:cs="Times New Roman" w:eastAsia="Times New Roman" w:hAnsi="Times New Roman"/>
          <w:sz w:val="18"/>
          <w:szCs w:val="18"/>
          <w:i w:val="1"/>
          <w:iCs w:val="1"/>
          <w:color w:val="auto"/>
        </w:rPr>
        <w:t xml:space="preserve">(Check One):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w:t>
      </w:r>
      <w:r>
        <w:rPr>
          <w:sz w:val="20"/>
          <w:szCs w:val="20"/>
          <w:color w:val="auto"/>
        </w:rPr>
        <w:tab/>
      </w:r>
      <w:r>
        <w:rPr>
          <w:rFonts w:ascii="Times New Roman" w:cs="Times New Roman" w:eastAsia="Times New Roman" w:hAnsi="Times New Roman"/>
          <w:sz w:val="18"/>
          <w:szCs w:val="18"/>
          <w:color w:val="auto"/>
        </w:rPr>
        <w:t>Form 20-F</w:t>
      </w:r>
      <w:r>
        <w:rPr>
          <w:sz w:val="20"/>
          <w:szCs w:val="20"/>
          <w:color w:val="auto"/>
        </w:rPr>
        <w:tab/>
      </w:r>
      <w:r>
        <w:rPr>
          <w:rFonts w:ascii="Times New Roman" w:cs="Times New Roman" w:eastAsia="Times New Roman" w:hAnsi="Times New Roman"/>
          <w:sz w:val="18"/>
          <w:szCs w:val="18"/>
          <w:color w:val="auto"/>
        </w:rPr>
        <w:t>Form 11-K</w:t>
      </w:r>
      <w:r>
        <w:rPr>
          <w:sz w:val="20"/>
          <w:szCs w:val="20"/>
          <w:color w:val="auto"/>
        </w:rPr>
        <w:tab/>
      </w:r>
      <w:r>
        <w:rPr>
          <w:rFonts w:ascii="Times New Roman" w:cs="Times New Roman" w:eastAsia="Times New Roman" w:hAnsi="Times New Roman"/>
          <w:sz w:val="18"/>
          <w:szCs w:val="18"/>
          <w:color w:val="auto"/>
        </w:rPr>
        <w:t>Form 10-Q</w:t>
      </w:r>
      <w:r>
        <w:rPr>
          <w:sz w:val="20"/>
          <w:szCs w:val="20"/>
          <w:color w:val="auto"/>
        </w:rPr>
        <w:tab/>
      </w:r>
      <w:r>
        <w:rPr>
          <w:rFonts w:ascii="Times New Roman" w:cs="Times New Roman" w:eastAsia="Times New Roman" w:hAnsi="Times New Roman"/>
          <w:sz w:val="18"/>
          <w:szCs w:val="18"/>
          <w:color w:val="auto"/>
        </w:rPr>
        <w:t>Form 10-D</w:t>
      </w:r>
      <w:r>
        <w:rPr>
          <w:sz w:val="20"/>
          <w:szCs w:val="20"/>
          <w:color w:val="auto"/>
        </w:rPr>
        <w:tab/>
      </w:r>
      <w:r>
        <w:rPr>
          <w:rFonts w:ascii="Times New Roman" w:cs="Times New Roman" w:eastAsia="Times New Roman" w:hAnsi="Times New Roman"/>
          <w:sz w:val="18"/>
          <w:szCs w:val="18"/>
          <w:color w:val="auto"/>
        </w:rPr>
        <w:t>Form N-CEN</w:t>
      </w:r>
      <w:r>
        <w:rPr>
          <w:sz w:val="20"/>
          <w:szCs w:val="20"/>
          <w:color w:val="auto"/>
        </w:rPr>
        <w:tab/>
      </w:r>
      <w:r>
        <w:rPr>
          <w:rFonts w:ascii="Times New Roman" w:cs="Times New Roman" w:eastAsia="Times New Roman" w:hAnsi="Times New Roman"/>
          <w:sz w:val="17"/>
          <w:szCs w:val="17"/>
          <w:color w:val="auto"/>
        </w:rPr>
        <w:t>Form N-CSR</w:t>
      </w:r>
    </w:p>
    <w:p>
      <w:pPr>
        <w:spacing w:after="0" w:line="231"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For Period Ended: December 31, 2025</w:t>
      </w:r>
    </w:p>
    <w:p>
      <w:pPr>
        <w:spacing w:after="0" w:line="184" w:lineRule="exact"/>
        <w:rPr>
          <w:sz w:val="24"/>
          <w:szCs w:val="24"/>
          <w:color w:val="auto"/>
        </w:rPr>
      </w:pPr>
    </w:p>
    <w:p>
      <w:pPr>
        <w:jc w:val="both"/>
        <w:ind w:left="3360" w:right="5300"/>
        <w:spacing w:after="0" w:line="281" w:lineRule="auto"/>
        <w:rPr>
          <w:sz w:val="24"/>
          <w:szCs w:val="24"/>
          <w:color w:val="auto"/>
        </w:rPr>
      </w:pPr>
      <w:r>
        <w:rPr>
          <w:rFonts w:ascii="Times New Roman" w:cs="Times New Roman" w:eastAsia="Times New Roman" w:hAnsi="Times New Roman"/>
          <w:sz w:val="17"/>
          <w:szCs w:val="17"/>
          <w:color w:val="auto"/>
        </w:rPr>
        <w:t>Transition Report on Form 10-K Transition Report on Form 20-F Transition Report on Form 11-K Transition Report on Form 10-Q</w:t>
      </w:r>
    </w:p>
    <w:p>
      <w:pPr>
        <w:spacing w:after="0" w:line="205"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i w:val="1"/>
          <w:iCs w:val="1"/>
          <w:color w:val="auto"/>
        </w:rPr>
        <w:t>Read Instruction (on back page) Before Preparing Form. Please Print or Type.</w:t>
      </w:r>
    </w:p>
    <w:p>
      <w:pPr>
        <w:spacing w:after="0" w:line="2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PART I-REGISTRANT INFORMATION</w:t>
      </w:r>
    </w:p>
    <w:p>
      <w:pPr>
        <w:spacing w:after="0" w:line="20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Sono Group N.V.</w:t>
      </w:r>
    </w:p>
    <w:p>
      <w:pPr>
        <w:spacing w:after="0" w:line="4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0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Waldmeisterstraße 93</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0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80935 Munich, Germany</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00"/>
          </w:cols>
          <w:pgMar w:left="320" w:top="416" w:right="57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II - RULE 12b-25 (b) AND (c)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1200" w:hanging="401"/>
        <w:spacing w:after="0"/>
        <w:tabs>
          <w:tab w:leader="none" w:pos="12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27" w:lineRule="exact"/>
        <w:rPr>
          <w:rFonts w:ascii="Times New Roman" w:cs="Times New Roman" w:eastAsia="Times New Roman" w:hAnsi="Times New Roman"/>
          <w:sz w:val="18"/>
          <w:szCs w:val="18"/>
          <w:color w:val="auto"/>
        </w:rPr>
      </w:pPr>
    </w:p>
    <w:p>
      <w:pPr>
        <w:ind w:left="1200" w:hanging="406"/>
        <w:spacing w:after="0" w:line="180" w:lineRule="auto"/>
        <w:tabs>
          <w:tab w:leader="none" w:pos="1200" w:val="left"/>
        </w:tabs>
        <w:numPr>
          <w:ilvl w:val="1"/>
          <w:numId w:val="2"/>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The subject annual report, semi-annual report, transition report on Form 10-K, Form 20-F, Form 11-K, Form N-CEN or Form N-CSR, or</w:t>
      </w:r>
    </w:p>
    <w:p>
      <w:pPr>
        <w:spacing w:after="0" w:line="2" w:lineRule="exact"/>
        <w:rPr>
          <w:rFonts w:ascii="Times New Roman" w:cs="Times New Roman" w:eastAsia="Times New Roman" w:hAnsi="Times New Roman"/>
          <w:sz w:val="25"/>
          <w:szCs w:val="25"/>
          <w:color w:val="auto"/>
          <w:vertAlign w:val="subscript"/>
        </w:rPr>
      </w:pPr>
    </w:p>
    <w:p>
      <w:pPr>
        <w:jc w:val="both"/>
        <w:ind w:left="1200" w:right="100" w:hanging="1057"/>
        <w:spacing w:after="0" w:line="200" w:lineRule="auto"/>
        <w:tabs>
          <w:tab w:leader="none" w:pos="120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 w:lineRule="exact"/>
        <w:rPr>
          <w:rFonts w:ascii="MS PGothic" w:cs="MS PGothic" w:eastAsia="MS PGothic" w:hAnsi="MS PGothic"/>
          <w:sz w:val="36"/>
          <w:szCs w:val="36"/>
          <w:color w:val="auto"/>
          <w:vertAlign w:val="subscript"/>
        </w:rPr>
      </w:pPr>
    </w:p>
    <w:p>
      <w:pPr>
        <w:ind w:left="1200" w:hanging="401"/>
        <w:spacing w:after="0"/>
        <w:tabs>
          <w:tab w:leader="none" w:pos="1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-816610</wp:posOffset>
            </wp:positionV>
            <wp:extent cx="8255" cy="8229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2960"/>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Sono Group N.V.'s (the "Registrant") management has been working to finalize the Registrant's Annual Report on Form 10-K for the fiscal year ended December 31, 2025. The Registrant experienced turnover of certain key members of its internal accounting staff, which required additional time to complete the preparation and review of the financial statements and related disclosures. In addition, subsequent to December 31, 2025, the Registrant underwent a significant strategic transformation, including the adoption of a digital asset treasury strategy, the completion of multiple financing transactions, and the initiation of its exit from the legacy solar operations. The preparation of the disclosures required in connection with these subsequent events, including the going concern analysis and the Subsequent Events note, required additional time and coordination with the Registrant's independent registered public accounting firm. As a result, the Registrant is unable to file its Annual Report on Form 10-K within the prescribed time period without unreasonable effort or expense. The Registrant expects to be able to file within the additional time allowed by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540" w:hanging="435"/>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Kevin McGurn</w:t>
            </w:r>
          </w:p>
        </w:tc>
        <w:tc>
          <w:tcPr>
            <w:tcW w:w="11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6"/>
              </w:rPr>
              <w:t>908</w:t>
            </w:r>
          </w:p>
        </w:tc>
        <w:tc>
          <w:tcPr>
            <w:tcW w:w="240" w:type="dxa"/>
            <w:vAlign w:val="bottom"/>
          </w:tcPr>
          <w:p>
            <w:pPr>
              <w:spacing w:after="0"/>
              <w:rPr>
                <w:sz w:val="20"/>
                <w:szCs w:val="20"/>
                <w:color w:val="auto"/>
              </w:rPr>
            </w:pPr>
          </w:p>
        </w:tc>
        <w:tc>
          <w:tcPr>
            <w:tcW w:w="4640" w:type="dxa"/>
            <w:vAlign w:val="bottom"/>
          </w:tcPr>
          <w:p>
            <w:pPr>
              <w:jc w:val="right"/>
              <w:ind w:right="1750"/>
              <w:spacing w:after="0"/>
              <w:rPr>
                <w:sz w:val="20"/>
                <w:szCs w:val="20"/>
                <w:color w:val="auto"/>
              </w:rPr>
            </w:pPr>
            <w:r>
              <w:rPr>
                <w:rFonts w:ascii="Times New Roman" w:cs="Times New Roman" w:eastAsia="Times New Roman" w:hAnsi="Times New Roman"/>
                <w:sz w:val="18"/>
                <w:szCs w:val="18"/>
                <w:color w:val="auto"/>
              </w:rPr>
              <w:t>538-8733</w:t>
            </w:r>
          </w:p>
        </w:tc>
      </w:tr>
      <w:tr>
        <w:trPr>
          <w:trHeight w:val="191"/>
        </w:trPr>
        <w:tc>
          <w:tcPr>
            <w:tcW w:w="45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Borders>
              <w:top w:val="single" w:sz="8" w:color="auto"/>
            </w:tcBorders>
          </w:tcPr>
          <w:p>
            <w:pPr>
              <w:jc w:val="center"/>
              <w:ind w:left="170"/>
              <w:spacing w:after="0" w:line="191" w:lineRule="exact"/>
              <w:rPr>
                <w:sz w:val="20"/>
                <w:szCs w:val="20"/>
                <w:color w:val="auto"/>
              </w:rPr>
            </w:pPr>
            <w:r>
              <w:rPr>
                <w:rFonts w:ascii="Times New Roman" w:cs="Times New Roman" w:eastAsia="Times New Roman" w:hAnsi="Times New Roman"/>
                <w:sz w:val="18"/>
                <w:szCs w:val="18"/>
                <w:color w:val="auto"/>
              </w:rPr>
              <w:t>(Area</w:t>
            </w:r>
          </w:p>
        </w:tc>
        <w:tc>
          <w:tcPr>
            <w:tcW w:w="240" w:type="dxa"/>
            <w:vAlign w:val="bottom"/>
          </w:tcPr>
          <w:p>
            <w:pPr>
              <w:spacing w:after="0"/>
              <w:rPr>
                <w:sz w:val="16"/>
                <w:szCs w:val="16"/>
                <w:color w:val="auto"/>
              </w:rPr>
            </w:pPr>
          </w:p>
        </w:tc>
        <w:tc>
          <w:tcPr>
            <w:tcW w:w="4640" w:type="dxa"/>
            <w:vAlign w:val="bottom"/>
            <w:tcBorders>
              <w:top w:val="single" w:sz="8" w:color="auto"/>
            </w:tcBorders>
          </w:tcPr>
          <w:p>
            <w:pPr>
              <w:spacing w:after="0"/>
              <w:rPr>
                <w:sz w:val="16"/>
                <w:szCs w:val="16"/>
                <w:color w:val="auto"/>
              </w:rPr>
            </w:pPr>
          </w:p>
        </w:tc>
      </w:tr>
      <w:tr>
        <w:trPr>
          <w:trHeight w:val="234"/>
        </w:trPr>
        <w:tc>
          <w:tcPr>
            <w:tcW w:w="4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(Name)</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Code)</w:t>
            </w:r>
          </w:p>
        </w:tc>
        <w:tc>
          <w:tcPr>
            <w:tcW w:w="46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98" w:lineRule="exact"/>
        <w:rPr>
          <w:sz w:val="20"/>
          <w:szCs w:val="20"/>
          <w:color w:val="auto"/>
        </w:rPr>
      </w:pPr>
    </w:p>
    <w:p>
      <w:pPr>
        <w:ind w:left="540" w:right="100" w:hanging="435"/>
        <w:spacing w:after="0" w:line="232" w:lineRule="exact"/>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Yes No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540" w:right="380" w:hanging="435"/>
        <w:spacing w:after="0" w:line="240" w:lineRule="exact"/>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Yes No</w:t>
      </w:r>
    </w:p>
    <w:p>
      <w:pPr>
        <w:spacing w:after="0" w:line="169" w:lineRule="exact"/>
        <w:rPr>
          <w:rFonts w:ascii="Times New Roman" w:cs="Times New Roman" w:eastAsia="Times New Roman" w:hAnsi="Times New Roman"/>
          <w:sz w:val="18"/>
          <w:szCs w:val="18"/>
          <w:color w:val="auto"/>
        </w:rPr>
      </w:pPr>
    </w:p>
    <w:p>
      <w:pPr>
        <w:ind w:left="540" w:right="3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61" w:lineRule="exact"/>
        <w:rPr>
          <w:rFonts w:ascii="Times New Roman" w:cs="Times New Roman" w:eastAsia="Times New Roman" w:hAnsi="Times New Roman"/>
          <w:sz w:val="18"/>
          <w:szCs w:val="18"/>
          <w:color w:val="auto"/>
        </w:rPr>
      </w:pPr>
    </w:p>
    <w:p>
      <w:pPr>
        <w:ind w:left="540" w:right="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2025, the Registrant expects to report net income of €4,015 thousand, representing a significant decrease from the net income of €65,026 thousand recorded for the year ended December 31, 2024. The decrease is primarily attributable to the non-recurrence of the one-time reconsolidation gain recorded in 2024 following the Registrant's regaining of control over its subsidiary Sono Motors GmbH upon the latter's exit from its Self-Administration Proceedings in February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-1528445</wp:posOffset>
            </wp:positionV>
            <wp:extent cx="68580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2026</w:t>
            </w:r>
          </w:p>
        </w:tc>
        <w:tc>
          <w:tcPr>
            <w:tcW w:w="24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Kevin McGurn</w:t>
            </w:r>
          </w:p>
        </w:tc>
      </w:tr>
      <w:tr>
        <w:trPr>
          <w:trHeight w:val="191"/>
        </w:trPr>
        <w:tc>
          <w:tcPr>
            <w:tcW w:w="3560" w:type="dxa"/>
            <w:vAlign w:val="bottom"/>
          </w:tcPr>
          <w:p>
            <w:pPr>
              <w:spacing w:after="0"/>
              <w:rPr>
                <w:sz w:val="16"/>
                <w:szCs w:val="16"/>
                <w:color w:val="auto"/>
              </w:rPr>
            </w:pPr>
          </w:p>
        </w:tc>
        <w:tc>
          <w:tcPr>
            <w:tcW w:w="2480" w:type="dxa"/>
            <w:vAlign w:val="bottom"/>
          </w:tcPr>
          <w:p>
            <w:pPr>
              <w:ind w:left="18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Kevin McGurn</w:t>
            </w:r>
          </w:p>
        </w:tc>
      </w:tr>
      <w:tr>
        <w:trPr>
          <w:trHeight w:val="234"/>
        </w:trPr>
        <w:tc>
          <w:tcPr>
            <w:tcW w:w="3560" w:type="dxa"/>
            <w:vAlign w:val="bottom"/>
          </w:tcPr>
          <w:p>
            <w:pPr>
              <w:spacing w:after="0"/>
              <w:rPr>
                <w:sz w:val="20"/>
                <w:szCs w:val="20"/>
                <w:color w:val="auto"/>
              </w:rPr>
            </w:pPr>
          </w:p>
        </w:tc>
        <w:tc>
          <w:tcPr>
            <w:tcW w:w="24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1"/>
    </w:lvl>
  </w:abstractNum>
  <w:abstractNum w:abstractNumId="2">
    <w:nsid w:val="625558EC"/>
    <w:multiLevelType w:val="hybridMultilevel"/>
    <w:lvl w:ilvl="0">
      <w:lvlJc w:val="left"/>
      <w:lvlText w:val="☒"/>
      <w:numFmt w:val="bullet"/>
      <w:start w:val="1"/>
    </w:lvl>
    <w:lvl w:ilvl="1">
      <w:lvlJc w:val="left"/>
      <w:lvlText w:val="(%2)"/>
      <w:numFmt w:val="lowerLetter"/>
      <w:start w:val="3"/>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2026-03-31T15:52:59Z</dcterms:created>
  <dcterms:modified xsi:type="dcterms:W3CDTF">2026-03-31T15:52:59Z</dcterms:modified>
</cp:coreProperties>
</file>