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6-K</w:t>
      </w: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For the month of November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 xml:space="preserve">Commission File Number: </w:t>
      </w:r>
      <w:r>
        <w:rPr>
          <w:rFonts w:ascii="Times New Roman" w:cs="Times New Roman" w:eastAsia="Times New Roman" w:hAnsi="Times New Roman"/>
          <w:sz w:val="18"/>
          <w:szCs w:val="18"/>
          <w:b w:val="1"/>
          <w:bCs w:val="1"/>
          <w:color w:val="333333"/>
        </w:rPr>
        <w:t>001-41066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(Registrant’s name)</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Waldmeisterstrasse 93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80935 Munich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333333"/>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333333"/>
        </w:rPr>
        <w:t xml:space="preserve">Form 20-F </w:t>
      </w:r>
      <w:r>
        <w:rPr>
          <w:rFonts w:ascii="MS PGothic" w:cs="MS PGothic" w:eastAsia="MS PGothic" w:hAnsi="MS PGothic"/>
          <w:sz w:val="18"/>
          <w:szCs w:val="18"/>
          <w:color w:val="333333"/>
        </w:rPr>
        <w:t>☒</w:t>
      </w:r>
      <w:r>
        <w:rPr>
          <w:sz w:val="20"/>
          <w:szCs w:val="20"/>
          <w:color w:val="auto"/>
        </w:rPr>
        <w:tab/>
      </w:r>
      <w:r>
        <w:rPr>
          <w:rFonts w:ascii="Times New Roman" w:cs="Times New Roman" w:eastAsia="Times New Roman" w:hAnsi="Times New Roman"/>
          <w:sz w:val="17"/>
          <w:szCs w:val="17"/>
          <w:color w:val="333333"/>
        </w:rPr>
        <w:t xml:space="preserve">Form 40-F </w:t>
      </w:r>
      <w:r>
        <w:rPr>
          <w:rFonts w:ascii="MS PGothic" w:cs="MS PGothic" w:eastAsia="MS PGothic" w:hAnsi="MS PGothic"/>
          <w:sz w:val="17"/>
          <w:szCs w:val="17"/>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540385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November 11, 2024, the Sono Group N.V. (the “Company”) issued a table containing tabulations of the votes cast at the Company’s extraordinary general meeting, held on November 7, 2024 (the “EGM”), attached hereto as Exhibit 99.1. The Company’s shareholders approved and adopted all matters submitted to them, which are described in the convening notice attached as Exhibit 99.1 to the Company’s report on Form 6-K submitted to the Securities and Exchange Commission on October 23,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Owen May to the Supervisory Board</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At the EGM, Mr. Owen May was appointed as a new member of the Company’s supervisory board as of the close of the EGM, for a period up to and including the annual general meeting of the Company in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Document</w:t>
      </w:r>
    </w:p>
    <w:p>
      <w:pPr>
        <w:spacing w:after="0" w:line="229"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on Form 6-K, including Exhibit 99.1, is hereby incorporated by reference into the Company’s registration statement on Form S-8 (File No. 333-261241), to be a part thereof from the date on which this report is submitted, to the extent not superseded by documents or reports subsequently filed or furnished.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6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Description of Exhibit</w:t>
            </w:r>
          </w:p>
        </w:tc>
        <w:tc>
          <w:tcPr>
            <w:tcW w:w="8480" w:type="dxa"/>
            <w:vAlign w:val="bottom"/>
            <w:gridSpan w:val="2"/>
          </w:tcPr>
          <w:p>
            <w:pPr>
              <w:spacing w:after="0"/>
              <w:rPr>
                <w:sz w:val="17"/>
                <w:szCs w:val="17"/>
                <w:color w:val="auto"/>
              </w:rPr>
            </w:pP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0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Tabulations of the votes cast at the Company’s extraordinary general meeting</w:t>
            </w:r>
          </w:p>
        </w:tc>
      </w:tr>
      <w:tr>
        <w:trPr>
          <w:trHeight w:val="587"/>
        </w:trPr>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3940" w:type="dxa"/>
            <w:vAlign w:val="bottom"/>
            <w:tcBorders>
              <w:top w:val="single" w:sz="8" w:color="0000EE"/>
            </w:tcBorders>
          </w:tcPr>
          <w:p>
            <w:pPr>
              <w:spacing w:after="0"/>
              <w:rPr>
                <w:sz w:val="24"/>
                <w:szCs w:val="24"/>
                <w:color w:val="auto"/>
              </w:rPr>
            </w:pPr>
          </w:p>
        </w:tc>
        <w:tc>
          <w:tcPr>
            <w:tcW w:w="454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3940" w:type="dxa"/>
            <w:vAlign w:val="bottom"/>
            <w:shd w:val="clear" w:color="auto" w:fill="000000"/>
          </w:tcPr>
          <w:p>
            <w:pPr>
              <w:spacing w:after="0"/>
              <w:rPr>
                <w:sz w:val="5"/>
                <w:szCs w:val="5"/>
                <w:color w:val="auto"/>
              </w:rPr>
            </w:pPr>
          </w:p>
        </w:tc>
        <w:tc>
          <w:tcPr>
            <w:tcW w:w="45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Name:George O'Leary</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B41"/>
        </w:rPr>
        <w:t>Sono Group N.V., Munich,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B41"/>
        </w:rPr>
        <w:t>Extraordinary General Meeting of Shareholders, 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5715</wp:posOffset>
            </wp:positionV>
            <wp:extent cx="711200" cy="771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2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Voting Results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1751330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shd w:val="clear" w:color="auto" w:fill="002B41"/>
          </w:tcPr>
          <w:p>
            <w:pPr>
              <w:ind w:left="80"/>
              <w:spacing w:after="0"/>
              <w:rPr>
                <w:sz w:val="20"/>
                <w:szCs w:val="20"/>
                <w:color w:val="auto"/>
              </w:rPr>
            </w:pPr>
            <w:r>
              <w:rPr>
                <w:rFonts w:ascii="Times New Roman" w:cs="Times New Roman" w:eastAsia="Times New Roman" w:hAnsi="Times New Roman"/>
                <w:sz w:val="18"/>
                <w:szCs w:val="18"/>
                <w:color w:val="FFFFFF"/>
              </w:rPr>
              <w:t>Agenda Item 2</w:t>
            </w:r>
          </w:p>
        </w:tc>
        <w:tc>
          <w:tcPr>
            <w:tcW w:w="9840" w:type="dxa"/>
            <w:vAlign w:val="bottom"/>
            <w:gridSpan w:val="2"/>
            <w:shd w:val="clear" w:color="auto" w:fill="002B41"/>
          </w:tcPr>
          <w:p>
            <w:pPr>
              <w:ind w:left="100"/>
              <w:spacing w:after="0"/>
              <w:rPr>
                <w:sz w:val="20"/>
                <w:szCs w:val="20"/>
                <w:color w:val="auto"/>
              </w:rPr>
            </w:pPr>
            <w:r>
              <w:rPr>
                <w:rFonts w:ascii="Times New Roman" w:cs="Times New Roman" w:eastAsia="Times New Roman" w:hAnsi="Times New Roman"/>
                <w:sz w:val="18"/>
                <w:szCs w:val="18"/>
                <w:color w:val="FFFFFF"/>
              </w:rPr>
              <w:t>Appointment of Mr. Owen May as member of the Supervisory Board (voting item) - accepted</w:t>
            </w: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9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2B41"/>
              </w:rPr>
              <w:t>Number of shares for which valid votes were cast (= 51.07% of the voting rights at record date)</w:t>
            </w: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Yes votes</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100.00% of the valid votes cast</w:t>
            </w: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No votes</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0.00% of the valid votes cast</w:t>
            </w:r>
          </w:p>
        </w:tc>
      </w:tr>
      <w:tr>
        <w:trPr>
          <w:trHeight w:val="216"/>
        </w:trPr>
        <w:tc>
          <w:tcPr>
            <w:tcW w:w="1400" w:type="dxa"/>
            <w:vAlign w:val="bottom"/>
          </w:tcPr>
          <w:p>
            <w:pPr>
              <w:spacing w:after="0"/>
              <w:rPr>
                <w:sz w:val="18"/>
                <w:szCs w:val="18"/>
                <w:color w:val="auto"/>
              </w:rPr>
            </w:pPr>
          </w:p>
        </w:tc>
        <w:tc>
          <w:tcPr>
            <w:tcW w:w="9840" w:type="dxa"/>
            <w:vAlign w:val="bottom"/>
            <w:gridSpan w:val="2"/>
          </w:tcPr>
          <w:p>
            <w:pPr>
              <w:spacing w:after="0"/>
              <w:rPr>
                <w:sz w:val="18"/>
                <w:szCs w:val="18"/>
                <w:color w:val="auto"/>
              </w:rPr>
            </w:pPr>
          </w:p>
        </w:tc>
      </w:tr>
      <w:tr>
        <w:trPr>
          <w:trHeight w:val="216"/>
        </w:trPr>
        <w:tc>
          <w:tcPr>
            <w:tcW w:w="1400" w:type="dxa"/>
            <w:vAlign w:val="bottom"/>
            <w:shd w:val="clear" w:color="auto" w:fill="002B41"/>
          </w:tcPr>
          <w:p>
            <w:pPr>
              <w:ind w:left="80"/>
              <w:spacing w:after="0"/>
              <w:rPr>
                <w:sz w:val="20"/>
                <w:szCs w:val="20"/>
                <w:color w:val="auto"/>
              </w:rPr>
            </w:pPr>
            <w:r>
              <w:rPr>
                <w:rFonts w:ascii="Times New Roman" w:cs="Times New Roman" w:eastAsia="Times New Roman" w:hAnsi="Times New Roman"/>
                <w:sz w:val="18"/>
                <w:szCs w:val="18"/>
                <w:color w:val="FFFFFF"/>
              </w:rPr>
              <w:t>Agenda Item 3</w:t>
            </w:r>
          </w:p>
        </w:tc>
        <w:tc>
          <w:tcPr>
            <w:tcW w:w="9840" w:type="dxa"/>
            <w:vAlign w:val="bottom"/>
            <w:gridSpan w:val="2"/>
            <w:shd w:val="clear" w:color="auto" w:fill="002B41"/>
          </w:tcPr>
          <w:p>
            <w:pPr>
              <w:ind w:left="100"/>
              <w:spacing w:after="0"/>
              <w:rPr>
                <w:sz w:val="20"/>
                <w:szCs w:val="20"/>
                <w:color w:val="auto"/>
              </w:rPr>
            </w:pPr>
            <w:r>
              <w:rPr>
                <w:rFonts w:ascii="Times New Roman" w:cs="Times New Roman" w:eastAsia="Times New Roman" w:hAnsi="Times New Roman"/>
                <w:sz w:val="18"/>
                <w:szCs w:val="18"/>
                <w:color w:val="FFFFFF"/>
              </w:rPr>
              <w:t>Amendment of Articles of Association part a to comply with Nasdaq rules and simplify CEO structure (voting item) - accepted</w:t>
            </w: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9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2B41"/>
              </w:rPr>
              <w:t>Number of shares for which valid votes were cast (= 51.07% of the voting rights at record date)</w:t>
            </w: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Yes votes</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100.00% of the valid votes cast</w:t>
            </w: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No votes</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0.00% of the valid votes cast</w:t>
            </w:r>
          </w:p>
        </w:tc>
      </w:tr>
      <w:tr>
        <w:trPr>
          <w:trHeight w:val="216"/>
        </w:trPr>
        <w:tc>
          <w:tcPr>
            <w:tcW w:w="1400" w:type="dxa"/>
            <w:vAlign w:val="bottom"/>
          </w:tcPr>
          <w:p>
            <w:pPr>
              <w:spacing w:after="0"/>
              <w:rPr>
                <w:sz w:val="18"/>
                <w:szCs w:val="18"/>
                <w:color w:val="auto"/>
              </w:rPr>
            </w:pPr>
          </w:p>
        </w:tc>
        <w:tc>
          <w:tcPr>
            <w:tcW w:w="9840" w:type="dxa"/>
            <w:vAlign w:val="bottom"/>
            <w:gridSpan w:val="2"/>
          </w:tcPr>
          <w:p>
            <w:pPr>
              <w:spacing w:after="0"/>
              <w:rPr>
                <w:sz w:val="18"/>
                <w:szCs w:val="18"/>
                <w:color w:val="auto"/>
              </w:rPr>
            </w:pPr>
          </w:p>
        </w:tc>
      </w:tr>
      <w:tr>
        <w:trPr>
          <w:trHeight w:val="216"/>
        </w:trPr>
        <w:tc>
          <w:tcPr>
            <w:tcW w:w="1400" w:type="dxa"/>
            <w:vAlign w:val="bottom"/>
            <w:shd w:val="clear" w:color="auto" w:fill="002B41"/>
          </w:tcPr>
          <w:p>
            <w:pPr>
              <w:ind w:left="80"/>
              <w:spacing w:after="0"/>
              <w:rPr>
                <w:sz w:val="20"/>
                <w:szCs w:val="20"/>
                <w:color w:val="auto"/>
              </w:rPr>
            </w:pPr>
            <w:r>
              <w:rPr>
                <w:rFonts w:ascii="Times New Roman" w:cs="Times New Roman" w:eastAsia="Times New Roman" w:hAnsi="Times New Roman"/>
                <w:sz w:val="18"/>
                <w:szCs w:val="18"/>
                <w:color w:val="FFFFFF"/>
              </w:rPr>
              <w:t>Agenda Item 4.1</w:t>
            </w:r>
          </w:p>
        </w:tc>
        <w:tc>
          <w:tcPr>
            <w:tcW w:w="9840" w:type="dxa"/>
            <w:vAlign w:val="bottom"/>
            <w:gridSpan w:val="2"/>
            <w:shd w:val="clear" w:color="auto" w:fill="002B41"/>
          </w:tcPr>
          <w:p>
            <w:pPr>
              <w:ind w:left="100"/>
              <w:spacing w:after="0"/>
              <w:rPr>
                <w:sz w:val="20"/>
                <w:szCs w:val="20"/>
                <w:color w:val="auto"/>
              </w:rPr>
            </w:pPr>
            <w:r>
              <w:rPr>
                <w:rFonts w:ascii="Times New Roman" w:cs="Times New Roman" w:eastAsia="Times New Roman" w:hAnsi="Times New Roman"/>
                <w:sz w:val="18"/>
                <w:szCs w:val="18"/>
                <w:color w:val="FFFFFF"/>
              </w:rPr>
              <w:t>Amend the Company's Articles of Association Part B (voting item) - accepted</w:t>
            </w: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9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2B41"/>
              </w:rPr>
              <w:t>Number of shares for which valid votes were cast (= 51.07% of the voting rights at record date)</w:t>
            </w: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Yes votes</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100.00% of the valid votes cast</w:t>
            </w: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No votes</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0.00% of the valid votes cast</w:t>
            </w:r>
          </w:p>
        </w:tc>
      </w:tr>
      <w:tr>
        <w:trPr>
          <w:trHeight w:val="783"/>
        </w:trPr>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960" w:type="dxa"/>
            <w:vAlign w:val="bottom"/>
          </w:tcPr>
          <w:p>
            <w:pPr>
              <w:spacing w:after="0"/>
              <w:rPr>
                <w:sz w:val="24"/>
                <w:szCs w:val="24"/>
                <w:color w:val="auto"/>
              </w:rPr>
            </w:pPr>
          </w:p>
        </w:tc>
      </w:tr>
      <w:tr>
        <w:trPr>
          <w:trHeight w:val="68"/>
        </w:trPr>
        <w:tc>
          <w:tcPr>
            <w:tcW w:w="140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89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980" w:type="dxa"/>
            <w:vAlign w:val="bottom"/>
            <w:gridSpan w:val="2"/>
          </w:tcPr>
          <w:p>
            <w:pPr>
              <w:ind w:left="888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351"/>
        </w:trPr>
        <w:tc>
          <w:tcPr>
            <w:tcW w:w="1400" w:type="dxa"/>
            <w:vAlign w:val="bottom"/>
          </w:tcPr>
          <w:p>
            <w:pPr>
              <w:spacing w:after="0"/>
              <w:rPr>
                <w:sz w:val="24"/>
                <w:szCs w:val="24"/>
                <w:color w:val="auto"/>
              </w:rPr>
            </w:pPr>
          </w:p>
        </w:tc>
        <w:tc>
          <w:tcPr>
            <w:tcW w:w="9840" w:type="dxa"/>
            <w:vAlign w:val="bottom"/>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00" w:type="dxa"/>
            <w:vAlign w:val="bottom"/>
            <w:shd w:val="clear" w:color="auto" w:fill="002B41"/>
          </w:tcPr>
          <w:p>
            <w:pPr>
              <w:jc w:val="right"/>
              <w:ind w:right="10"/>
              <w:spacing w:after="0" w:line="198" w:lineRule="exact"/>
              <w:rPr>
                <w:sz w:val="20"/>
                <w:szCs w:val="20"/>
                <w:color w:val="auto"/>
              </w:rPr>
            </w:pPr>
            <w:r>
              <w:rPr>
                <w:rFonts w:ascii="Times New Roman" w:cs="Times New Roman" w:eastAsia="Times New Roman" w:hAnsi="Times New Roman"/>
                <w:sz w:val="18"/>
                <w:szCs w:val="18"/>
                <w:color w:val="FFFFFF"/>
              </w:rPr>
              <w:t>Agenda Item 4.2</w:t>
            </w:r>
          </w:p>
        </w:tc>
        <w:tc>
          <w:tcPr>
            <w:tcW w:w="9840" w:type="dxa"/>
            <w:vAlign w:val="bottom"/>
            <w:gridSpan w:val="2"/>
            <w:shd w:val="clear" w:color="auto" w:fill="002B41"/>
          </w:tcPr>
          <w:p>
            <w:pPr>
              <w:ind w:left="100"/>
              <w:spacing w:after="0" w:line="198" w:lineRule="exact"/>
              <w:rPr>
                <w:sz w:val="20"/>
                <w:szCs w:val="20"/>
                <w:color w:val="auto"/>
              </w:rPr>
            </w:pPr>
            <w:r>
              <w:rPr>
                <w:rFonts w:ascii="Times New Roman" w:cs="Times New Roman" w:eastAsia="Times New Roman" w:hAnsi="Times New Roman"/>
                <w:sz w:val="18"/>
                <w:szCs w:val="18"/>
                <w:color w:val="FFFFFF"/>
              </w:rPr>
              <w:t>Approve the conversion of the YA II PN, Ltd. convertible debenture(s) into preferred shares in the capital of the Company in a ratio to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002B41"/>
          </w:tcPr>
          <w:p>
            <w:pPr>
              <w:spacing w:after="0"/>
              <w:rPr>
                <w:sz w:val="20"/>
                <w:szCs w:val="20"/>
                <w:color w:val="auto"/>
              </w:rPr>
            </w:pPr>
          </w:p>
        </w:tc>
        <w:tc>
          <w:tcPr>
            <w:tcW w:w="9840" w:type="dxa"/>
            <w:vAlign w:val="bottom"/>
            <w:gridSpan w:val="2"/>
            <w:shd w:val="clear" w:color="auto" w:fill="002B41"/>
          </w:tcPr>
          <w:p>
            <w:pPr>
              <w:ind w:left="100"/>
              <w:spacing w:after="0"/>
              <w:rPr>
                <w:sz w:val="20"/>
                <w:szCs w:val="20"/>
                <w:color w:val="auto"/>
              </w:rPr>
            </w:pPr>
            <w:r>
              <w:rPr>
                <w:rFonts w:ascii="Times New Roman" w:cs="Times New Roman" w:eastAsia="Times New Roman" w:hAnsi="Times New Roman"/>
                <w:sz w:val="18"/>
                <w:szCs w:val="18"/>
                <w:color w:val="FFFFFF"/>
              </w:rPr>
              <w:t>be determined by the Management Board (voting item) - accepted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98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2B41"/>
              </w:rPr>
              <w:t>Number of shares for which valid votes were cast (= 51.07% of the voting rights at record date)</w:t>
            </w:r>
          </w:p>
        </w:tc>
        <w:tc>
          <w:tcPr>
            <w:tcW w:w="0" w:type="dxa"/>
            <w:vAlign w:val="bottom"/>
          </w:tcPr>
          <w:p>
            <w:pPr>
              <w:spacing w:after="0"/>
              <w:rPr>
                <w:sz w:val="1"/>
                <w:szCs w:val="1"/>
                <w:color w:val="auto"/>
              </w:rPr>
            </w:pP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Yes votes</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2B41"/>
              </w:rPr>
              <w:t>100.00% of the valid votes cast</w:t>
            </w:r>
          </w:p>
        </w:tc>
        <w:tc>
          <w:tcPr>
            <w:tcW w:w="0" w:type="dxa"/>
            <w:vAlign w:val="bottom"/>
          </w:tcPr>
          <w:p>
            <w:pPr>
              <w:spacing w:after="0"/>
              <w:rPr>
                <w:sz w:val="1"/>
                <w:szCs w:val="1"/>
                <w:color w:val="auto"/>
              </w:rPr>
            </w:pP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No votes</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2B41"/>
              </w:rPr>
              <w:t>0.00% of the valid votes cast</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84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00" w:type="dxa"/>
            <w:vAlign w:val="bottom"/>
            <w:shd w:val="clear" w:color="auto" w:fill="002B41"/>
          </w:tcPr>
          <w:p>
            <w:pPr>
              <w:jc w:val="right"/>
              <w:ind w:right="10"/>
              <w:spacing w:after="0" w:line="198" w:lineRule="exact"/>
              <w:rPr>
                <w:sz w:val="20"/>
                <w:szCs w:val="20"/>
                <w:color w:val="auto"/>
              </w:rPr>
            </w:pPr>
            <w:r>
              <w:rPr>
                <w:rFonts w:ascii="Times New Roman" w:cs="Times New Roman" w:eastAsia="Times New Roman" w:hAnsi="Times New Roman"/>
                <w:sz w:val="18"/>
                <w:szCs w:val="18"/>
                <w:color w:val="FFFFFF"/>
              </w:rPr>
              <w:t>Agenda Item 4.3</w:t>
            </w:r>
          </w:p>
        </w:tc>
        <w:tc>
          <w:tcPr>
            <w:tcW w:w="9840" w:type="dxa"/>
            <w:vAlign w:val="bottom"/>
            <w:gridSpan w:val="2"/>
            <w:shd w:val="clear" w:color="auto" w:fill="002B41"/>
          </w:tcPr>
          <w:p>
            <w:pPr>
              <w:ind w:left="100"/>
              <w:spacing w:after="0" w:line="198" w:lineRule="exact"/>
              <w:rPr>
                <w:sz w:val="20"/>
                <w:szCs w:val="20"/>
                <w:color w:val="auto"/>
              </w:rPr>
            </w:pPr>
            <w:r>
              <w:rPr>
                <w:rFonts w:ascii="Times New Roman" w:cs="Times New Roman" w:eastAsia="Times New Roman" w:hAnsi="Times New Roman"/>
                <w:sz w:val="18"/>
                <w:szCs w:val="18"/>
                <w:color w:val="FFFFFF"/>
              </w:rPr>
              <w:t>Authorize the Management Board to issue preferred shares and/or grant the rights to subscribe for preferred shares to the holder of the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002B41"/>
          </w:tcPr>
          <w:p>
            <w:pPr>
              <w:spacing w:after="0"/>
              <w:rPr>
                <w:sz w:val="20"/>
                <w:szCs w:val="20"/>
                <w:color w:val="auto"/>
              </w:rPr>
            </w:pPr>
          </w:p>
        </w:tc>
        <w:tc>
          <w:tcPr>
            <w:tcW w:w="9840" w:type="dxa"/>
            <w:vAlign w:val="bottom"/>
            <w:gridSpan w:val="2"/>
            <w:shd w:val="clear" w:color="auto" w:fill="002B41"/>
          </w:tcPr>
          <w:p>
            <w:pPr>
              <w:ind w:left="100"/>
              <w:spacing w:after="0"/>
              <w:rPr>
                <w:sz w:val="20"/>
                <w:szCs w:val="20"/>
                <w:color w:val="auto"/>
              </w:rPr>
            </w:pPr>
            <w:r>
              <w:rPr>
                <w:rFonts w:ascii="Times New Roman" w:cs="Times New Roman" w:eastAsia="Times New Roman" w:hAnsi="Times New Roman"/>
                <w:sz w:val="18"/>
                <w:szCs w:val="18"/>
                <w:color w:val="FFFFFF"/>
              </w:rPr>
              <w:t>convertible debenture(s) (voting item) - accepted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98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2B41"/>
              </w:rPr>
              <w:t>Number of shares for which valid votes were cast (= 51.07% of the voting rights at record date)</w:t>
            </w:r>
          </w:p>
        </w:tc>
        <w:tc>
          <w:tcPr>
            <w:tcW w:w="0" w:type="dxa"/>
            <w:vAlign w:val="bottom"/>
          </w:tcPr>
          <w:p>
            <w:pPr>
              <w:spacing w:after="0"/>
              <w:rPr>
                <w:sz w:val="1"/>
                <w:szCs w:val="1"/>
                <w:color w:val="auto"/>
              </w:rPr>
            </w:pP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Yes votes</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2B41"/>
              </w:rPr>
              <w:t>100.00% of the valid votes cast</w:t>
            </w:r>
          </w:p>
        </w:tc>
        <w:tc>
          <w:tcPr>
            <w:tcW w:w="0" w:type="dxa"/>
            <w:vAlign w:val="bottom"/>
          </w:tcPr>
          <w:p>
            <w:pPr>
              <w:spacing w:after="0"/>
              <w:rPr>
                <w:sz w:val="1"/>
                <w:szCs w:val="1"/>
                <w:color w:val="auto"/>
              </w:rPr>
            </w:pP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No votes</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2B41"/>
              </w:rPr>
              <w:t>0.00% of the valid votes cast</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84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00" w:type="dxa"/>
            <w:vAlign w:val="bottom"/>
            <w:shd w:val="clear" w:color="auto" w:fill="002B41"/>
          </w:tcPr>
          <w:p>
            <w:pPr>
              <w:jc w:val="right"/>
              <w:ind w:right="10"/>
              <w:spacing w:after="0" w:line="198" w:lineRule="exact"/>
              <w:rPr>
                <w:sz w:val="20"/>
                <w:szCs w:val="20"/>
                <w:color w:val="auto"/>
              </w:rPr>
            </w:pPr>
            <w:r>
              <w:rPr>
                <w:rFonts w:ascii="Times New Roman" w:cs="Times New Roman" w:eastAsia="Times New Roman" w:hAnsi="Times New Roman"/>
                <w:sz w:val="18"/>
                <w:szCs w:val="18"/>
                <w:color w:val="FFFFFF"/>
              </w:rPr>
              <w:t>Agenda Item 4.4</w:t>
            </w:r>
          </w:p>
        </w:tc>
        <w:tc>
          <w:tcPr>
            <w:tcW w:w="9840" w:type="dxa"/>
            <w:vAlign w:val="bottom"/>
            <w:gridSpan w:val="2"/>
            <w:shd w:val="clear" w:color="auto" w:fill="002B41"/>
          </w:tcPr>
          <w:p>
            <w:pPr>
              <w:ind w:left="100"/>
              <w:spacing w:after="0" w:line="198" w:lineRule="exact"/>
              <w:rPr>
                <w:sz w:val="20"/>
                <w:szCs w:val="20"/>
                <w:color w:val="auto"/>
              </w:rPr>
            </w:pPr>
            <w:r>
              <w:rPr>
                <w:rFonts w:ascii="Times New Roman" w:cs="Times New Roman" w:eastAsia="Times New Roman" w:hAnsi="Times New Roman"/>
                <w:sz w:val="18"/>
                <w:szCs w:val="18"/>
                <w:color w:val="FFFFFF"/>
              </w:rPr>
              <w:t>Authorize the Management Board to exclude pre-emption rights in relation to the preferred shares and/or the granting of rights to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002B41"/>
          </w:tcPr>
          <w:p>
            <w:pPr>
              <w:spacing w:after="0"/>
              <w:rPr>
                <w:sz w:val="20"/>
                <w:szCs w:val="20"/>
                <w:color w:val="auto"/>
              </w:rPr>
            </w:pPr>
          </w:p>
        </w:tc>
        <w:tc>
          <w:tcPr>
            <w:tcW w:w="9840" w:type="dxa"/>
            <w:vAlign w:val="bottom"/>
            <w:gridSpan w:val="2"/>
            <w:shd w:val="clear" w:color="auto" w:fill="002B41"/>
          </w:tcPr>
          <w:p>
            <w:pPr>
              <w:ind w:left="100"/>
              <w:spacing w:after="0"/>
              <w:rPr>
                <w:sz w:val="20"/>
                <w:szCs w:val="20"/>
                <w:color w:val="auto"/>
              </w:rPr>
            </w:pPr>
            <w:r>
              <w:rPr>
                <w:rFonts w:ascii="Times New Roman" w:cs="Times New Roman" w:eastAsia="Times New Roman" w:hAnsi="Times New Roman"/>
                <w:sz w:val="18"/>
                <w:szCs w:val="18"/>
                <w:color w:val="FFFFFF"/>
              </w:rPr>
              <w:t>subscribe for preferred shares in respect of the convertible debenture(s) (voting item) - accepted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98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2B41"/>
              </w:rPr>
              <w:t>Number of shares for which valid votes were cast (= 51.07% of the voting rights at record date)</w:t>
            </w:r>
          </w:p>
        </w:tc>
        <w:tc>
          <w:tcPr>
            <w:tcW w:w="0" w:type="dxa"/>
            <w:vAlign w:val="bottom"/>
          </w:tcPr>
          <w:p>
            <w:pPr>
              <w:spacing w:after="0"/>
              <w:rPr>
                <w:sz w:val="1"/>
                <w:szCs w:val="1"/>
                <w:color w:val="auto"/>
              </w:rPr>
            </w:pP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Yes votes</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2B41"/>
              </w:rPr>
              <w:t>100.00% of the valid votes cast</w:t>
            </w:r>
          </w:p>
        </w:tc>
        <w:tc>
          <w:tcPr>
            <w:tcW w:w="0" w:type="dxa"/>
            <w:vAlign w:val="bottom"/>
          </w:tcPr>
          <w:p>
            <w:pPr>
              <w:spacing w:after="0"/>
              <w:rPr>
                <w:sz w:val="1"/>
                <w:szCs w:val="1"/>
                <w:color w:val="auto"/>
              </w:rPr>
            </w:pP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No votes</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2B41"/>
              </w:rPr>
              <w:t>0.00% of the valid votes cast</w:t>
            </w:r>
          </w:p>
        </w:tc>
        <w:tc>
          <w:tcPr>
            <w:tcW w:w="0" w:type="dxa"/>
            <w:vAlign w:val="bottom"/>
          </w:tcPr>
          <w:p>
            <w:pPr>
              <w:spacing w:after="0"/>
              <w:rPr>
                <w:sz w:val="1"/>
                <w:szCs w:val="1"/>
                <w:color w:val="auto"/>
              </w:rPr>
            </w:pPr>
          </w:p>
        </w:tc>
      </w:tr>
      <w:tr>
        <w:trPr>
          <w:trHeight w:val="567"/>
        </w:trPr>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40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896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shd w:val="clear" w:color="auto" w:fill="002B41"/>
          </w:tcPr>
          <w:p>
            <w:pPr>
              <w:jc w:val="right"/>
              <w:ind w:right="10"/>
              <w:spacing w:after="0"/>
              <w:rPr>
                <w:sz w:val="20"/>
                <w:szCs w:val="20"/>
                <w:color w:val="auto"/>
              </w:rPr>
            </w:pPr>
            <w:r>
              <w:rPr>
                <w:rFonts w:ascii="Times New Roman" w:cs="Times New Roman" w:eastAsia="Times New Roman" w:hAnsi="Times New Roman"/>
                <w:sz w:val="18"/>
                <w:szCs w:val="18"/>
                <w:color w:val="FFFFFF"/>
              </w:rPr>
              <w:t>Agenda Item 4.5</w:t>
            </w:r>
          </w:p>
        </w:tc>
        <w:tc>
          <w:tcPr>
            <w:tcW w:w="9840" w:type="dxa"/>
            <w:vAlign w:val="bottom"/>
            <w:gridSpan w:val="2"/>
            <w:shd w:val="clear" w:color="auto" w:fill="002B41"/>
          </w:tcPr>
          <w:p>
            <w:pPr>
              <w:ind w:left="100"/>
              <w:spacing w:after="0"/>
              <w:rPr>
                <w:sz w:val="20"/>
                <w:szCs w:val="20"/>
                <w:color w:val="auto"/>
              </w:rPr>
            </w:pPr>
            <w:r>
              <w:rPr>
                <w:rFonts w:ascii="Times New Roman" w:cs="Times New Roman" w:eastAsia="Times New Roman" w:hAnsi="Times New Roman"/>
                <w:sz w:val="18"/>
                <w:szCs w:val="18"/>
                <w:color w:val="FFFFFF"/>
              </w:rPr>
              <w:t>Effect and approve the issuance of more than 20% of the Company’s outstanding shares upon the conversion of one or more of the</w:t>
            </w:r>
          </w:p>
        </w:tc>
      </w:tr>
      <w:tr>
        <w:trPr>
          <w:trHeight w:val="234"/>
        </w:trPr>
        <w:tc>
          <w:tcPr>
            <w:tcW w:w="1400" w:type="dxa"/>
            <w:vAlign w:val="bottom"/>
            <w:shd w:val="clear" w:color="auto" w:fill="002B41"/>
          </w:tcPr>
          <w:p>
            <w:pPr>
              <w:spacing w:after="0"/>
              <w:rPr>
                <w:sz w:val="20"/>
                <w:szCs w:val="20"/>
                <w:color w:val="auto"/>
              </w:rPr>
            </w:pPr>
          </w:p>
        </w:tc>
        <w:tc>
          <w:tcPr>
            <w:tcW w:w="9840" w:type="dxa"/>
            <w:vAlign w:val="bottom"/>
            <w:gridSpan w:val="2"/>
            <w:shd w:val="clear" w:color="auto" w:fill="002B41"/>
          </w:tcPr>
          <w:p>
            <w:pPr>
              <w:ind w:left="100"/>
              <w:spacing w:after="0"/>
              <w:rPr>
                <w:sz w:val="20"/>
                <w:szCs w:val="20"/>
                <w:color w:val="auto"/>
              </w:rPr>
            </w:pPr>
            <w:r>
              <w:rPr>
                <w:rFonts w:ascii="Times New Roman" w:cs="Times New Roman" w:eastAsia="Times New Roman" w:hAnsi="Times New Roman"/>
                <w:sz w:val="18"/>
                <w:szCs w:val="18"/>
                <w:color w:val="FFFFFF"/>
              </w:rPr>
              <w:t>convertible debenture(s), in accordance with the requirement of Nasdaq Listing Rules 5635(b) and 5635(d) (voting item) - accepted</w:t>
            </w: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9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2B41"/>
              </w:rPr>
              <w:t>Number of shares for which valid votes were cast (= 51.07% of the voting rights at record date)</w:t>
            </w: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02B41"/>
              </w:rPr>
              <w:t>92,307,251</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Yes votes</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100.00% of the valid votes cast</w:t>
            </w:r>
          </w:p>
        </w:tc>
      </w:tr>
      <w:tr>
        <w:trPr>
          <w:trHeight w:val="432"/>
        </w:trPr>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No votes</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0.00% of the valid votes cast</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shd w:val="clear" w:color="auto" w:fill="002B41"/>
          </w:tcPr>
          <w:p>
            <w:pPr>
              <w:jc w:val="right"/>
              <w:ind w:right="30"/>
              <w:spacing w:after="0"/>
              <w:rPr>
                <w:sz w:val="20"/>
                <w:szCs w:val="20"/>
                <w:color w:val="auto"/>
              </w:rPr>
            </w:pPr>
            <w:r>
              <w:rPr>
                <w:rFonts w:ascii="Times New Roman" w:cs="Times New Roman" w:eastAsia="Times New Roman" w:hAnsi="Times New Roman"/>
                <w:sz w:val="18"/>
                <w:szCs w:val="18"/>
                <w:color w:val="FFFFFF"/>
              </w:rPr>
              <w:t>Agenda Item 5</w:t>
            </w:r>
          </w:p>
        </w:tc>
        <w:tc>
          <w:tcPr>
            <w:tcW w:w="9960" w:type="dxa"/>
            <w:vAlign w:val="bottom"/>
            <w:gridSpan w:val="2"/>
            <w:shd w:val="clear" w:color="auto" w:fill="002B41"/>
          </w:tcPr>
          <w:p>
            <w:pPr>
              <w:ind w:left="100"/>
              <w:spacing w:after="0"/>
              <w:rPr>
                <w:sz w:val="20"/>
                <w:szCs w:val="20"/>
                <w:color w:val="auto"/>
              </w:rPr>
            </w:pPr>
            <w:r>
              <w:rPr>
                <w:rFonts w:ascii="Times New Roman" w:cs="Times New Roman" w:eastAsia="Times New Roman" w:hAnsi="Times New Roman"/>
                <w:sz w:val="18"/>
                <w:szCs w:val="18"/>
                <w:color w:val="FFFFFF"/>
              </w:rPr>
              <w:t>Amendment Articles of Association Part C to increase authorized capital under the existing authority (voting item) – accepted</w:t>
            </w:r>
          </w:p>
        </w:tc>
      </w:tr>
      <w:tr>
        <w:trPr>
          <w:trHeight w:val="432"/>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002B41"/>
              </w:rPr>
              <w:t>92,307,251</w:t>
            </w:r>
          </w:p>
        </w:tc>
        <w:tc>
          <w:tcPr>
            <w:tcW w:w="9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2B41"/>
              </w:rPr>
              <w:t>Number of shares for which valid votes were cast (= 51.07% of the voting rights at record date)</w:t>
            </w:r>
          </w:p>
        </w:tc>
      </w:tr>
      <w:tr>
        <w:trPr>
          <w:trHeight w:val="432"/>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002B41"/>
              </w:rPr>
              <w:t>92,307,251</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Yes votes</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002B41"/>
              </w:rPr>
              <w:t>100.00% of the valid votes cast</w:t>
            </w:r>
          </w:p>
        </w:tc>
      </w:tr>
      <w:tr>
        <w:trPr>
          <w:trHeight w:val="432"/>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002B41"/>
              </w:rPr>
              <w:t>No votes</w:t>
            </w:r>
          </w:p>
        </w:tc>
        <w:tc>
          <w:tcPr>
            <w:tcW w:w="9080" w:type="dxa"/>
            <w:vAlign w:val="bottom"/>
          </w:tcPr>
          <w:p>
            <w:pPr>
              <w:ind w:left="80"/>
              <w:spacing w:after="0"/>
              <w:rPr>
                <w:sz w:val="20"/>
                <w:szCs w:val="20"/>
                <w:color w:val="auto"/>
              </w:rPr>
            </w:pPr>
            <w:r>
              <w:rPr>
                <w:rFonts w:ascii="Times New Roman" w:cs="Times New Roman" w:eastAsia="Times New Roman" w:hAnsi="Times New Roman"/>
                <w:sz w:val="18"/>
                <w:szCs w:val="18"/>
                <w:color w:val="002B41"/>
              </w:rPr>
              <w:t>0.00% of the valid votes cast</w:t>
            </w:r>
          </w:p>
        </w:tc>
      </w:tr>
      <w:tr>
        <w:trPr>
          <w:trHeight w:val="1269"/>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80" w:type="dxa"/>
            <w:vAlign w:val="bottom"/>
          </w:tcPr>
          <w:p>
            <w:pPr>
              <w:spacing w:after="0"/>
              <w:rPr>
                <w:sz w:val="24"/>
                <w:szCs w:val="24"/>
                <w:color w:val="auto"/>
              </w:rPr>
            </w:pPr>
          </w:p>
        </w:tc>
      </w:tr>
      <w:tr>
        <w:trPr>
          <w:trHeight w:val="68"/>
        </w:trPr>
        <w:tc>
          <w:tcPr>
            <w:tcW w:w="128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908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2024-11-12T09:16:15Z</dcterms:created>
  <dcterms:modified xsi:type="dcterms:W3CDTF">2024-11-12T09:16:15Z</dcterms:modified>
</cp:coreProperties>
</file>