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53"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76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Change in Registrant’s Certifying Accountants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current report on Form 6-K is furnished in connection with a change of auditor by Sono Group N.V. (the “Company”). On February 26, 2024, the Company engaged Grassi &amp; Co., CPAs, P.C. (“Grassi”) as the Company’s independent registered public accounting firm to audit the Company’s consolidated financial statements for the year ending December 31, 2023, to be ratified at the next annual general meeting of shareholders of the Company. The engagement was approved by the audit committee of the Company’s supervisory board.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each of the fiscal years ended December 31, 2021 and 2022 and in the subsequent interim period through February 26, 2024, neither the Company nor anyone on behalf of the Company has consulted with Grassi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Grassi concluded was an important factor considered by the Company in reaching a decision as to any accounting, auditing or financial reporting issue, (ii) any matter that was the subject of a disagreement (as defined in Item 16F(a)(1)(iv) of Form 20-F and the related instructions thereto) or (iii) a reportable event (as described in Item 16F(a)(1)(v) of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Name:George O'Leary</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2024</w:t>
      </w:r>
    </w:p>
    <w:sectPr>
      <w:pgSz w:w="11900" w:h="16838" w:orient="portrait"/>
      <w:cols w:equalWidth="0" w:num="1">
        <w:col w:w="10280"/>
      </w:cols>
      <w:pgMar w:left="320" w:top="68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2024-02-28T16:12:40Z</dcterms:created>
  <dcterms:modified xsi:type="dcterms:W3CDTF">2024-02-28T16:12:40Z</dcterms:modified>
</cp:coreProperties>
</file>