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b/>
          <w:color w:val="333333"/>
          <w:sz w:val="36"/>
        </w:rPr>
      </w:pPr>
      <w:bookmarkStart w:id="0" w:name="f8k_080725.htm"/>
      <w:bookmarkStart w:id="1" w:name="ksf8k_080725"/>
      <w:bookmarkEnd w:id="0"/>
      <w:bookmarkEnd w:id="1"/>
      <w:r>
        <w:rPr>
          <w:b/>
          <w:color w:val="333333"/>
          <w:sz w:val="36"/>
        </w:rPr>
        <w:t>UNITED STATES</w:t>
      </w:r>
    </w:p>
    <w:p>
      <w:pPr>
        <w:pStyle w:val="TextBody"/>
        <w:shd w:fill="FFFFFF" w:val="clear"/>
        <w:bidi w:val="0"/>
        <w:spacing w:before="0" w:after="0"/>
        <w:ind w:left="0" w:right="0" w:hanging="0"/>
        <w:jc w:val="center"/>
        <w:rPr>
          <w:b/>
          <w:color w:val="333333"/>
          <w:sz w:val="36"/>
        </w:rPr>
      </w:pPr>
      <w:r>
        <w:rPr>
          <w:b/>
          <w:color w:val="333333"/>
          <w:sz w:val="36"/>
        </w:rPr>
        <w:t>SECURITIES AND EXCHANGE COMMISSION</w:t>
      </w:r>
    </w:p>
    <w:p>
      <w:pPr>
        <w:pStyle w:val="TextBody"/>
        <w:shd w:fill="FFFFFF" w:val="clear"/>
        <w:bidi w:val="0"/>
        <w:spacing w:before="0" w:after="0"/>
        <w:ind w:left="0" w:right="0" w:hanging="0"/>
        <w:jc w:val="center"/>
        <w:rPr>
          <w:b/>
          <w:color w:val="333333"/>
          <w:sz w:val="20"/>
        </w:rPr>
      </w:pPr>
      <w:r>
        <w:rPr>
          <w:b/>
          <w:color w:val="333333"/>
          <w:sz w:val="20"/>
        </w:rPr>
        <w:t>Washington, D.C. 20549</w:t>
      </w:r>
    </w:p>
    <w:p>
      <w:pPr>
        <w:pStyle w:val="TextBody"/>
        <w:shd w:fill="FFFFFF" w:val="clear"/>
        <w:bidi w:val="0"/>
        <w:spacing w:before="0" w:after="0"/>
        <w:ind w:left="0" w:right="0" w:hanging="0"/>
        <w:jc w:val="center"/>
        <w:rPr>
          <w:color w:val="333333"/>
        </w:rPr>
      </w:pPr>
      <w:r>
        <w:rPr>
          <w:color w:val="333333"/>
        </w:rPr>
        <w:t> </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color w:val="333333"/>
          <w:sz w:val="36"/>
        </w:rPr>
      </w:pPr>
      <w:r>
        <w:rPr>
          <w:b/>
          <w:color w:val="333333"/>
          <w:sz w:val="36"/>
        </w:rPr>
        <w:t xml:space="preserve">FORM </w:t>
      </w:r>
      <w:bookmarkStart w:id="2" w:name="xdx_907_edei--DocumentType_c20250806__20"/>
      <w:bookmarkEnd w:id="2"/>
      <w:r>
        <w:rPr>
          <w:b/>
          <w:color w:val="333333"/>
          <w:sz w:val="36"/>
        </w:rPr>
        <w:t>8-K</w:t>
      </w:r>
    </w:p>
    <w:p>
      <w:pPr>
        <w:pStyle w:val="TextBody"/>
        <w:bidi w:val="0"/>
        <w:spacing w:before="0" w:after="0"/>
        <w:ind w:left="0" w:right="0" w:hanging="0"/>
        <w:jc w:val="center"/>
        <w:rPr>
          <w:color w:val="333333"/>
        </w:rPr>
      </w:pPr>
      <w:r>
        <w:rPr>
          <w:color w:val="333333"/>
        </w:rPr>
        <w:t> </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shd w:fill="FFFFFF" w:val="clear"/>
        <w:bidi w:val="0"/>
        <w:spacing w:before="0" w:after="0"/>
        <w:ind w:left="0" w:right="0" w:hanging="0"/>
        <w:jc w:val="center"/>
        <w:rPr>
          <w:b/>
          <w:color w:val="333333"/>
          <w:sz w:val="20"/>
        </w:rPr>
      </w:pPr>
      <w:r>
        <w:rPr>
          <w:b/>
          <w:color w:val="333333"/>
          <w:sz w:val="20"/>
        </w:rPr>
        <w:t>CURRENT REPORT</w:t>
      </w:r>
    </w:p>
    <w:p>
      <w:pPr>
        <w:pStyle w:val="TextBody"/>
        <w:shd w:fill="FFFFFF" w:val="clear"/>
        <w:bidi w:val="0"/>
        <w:spacing w:before="0" w:after="0"/>
        <w:ind w:left="0" w:right="0" w:hanging="0"/>
        <w:jc w:val="center"/>
        <w:rPr>
          <w:b/>
          <w:color w:val="333333"/>
          <w:sz w:val="20"/>
        </w:rPr>
      </w:pPr>
      <w:r>
        <w:rPr>
          <w:b/>
          <w:color w:val="333333"/>
          <w:sz w:val="20"/>
        </w:rPr>
        <w:t xml:space="preserve">PURSUANT TO SECTION 13 OR 15(D) </w:t>
      </w:r>
    </w:p>
    <w:p>
      <w:pPr>
        <w:pStyle w:val="TextBody"/>
        <w:shd w:fill="FFFFFF" w:val="clear"/>
        <w:bidi w:val="0"/>
        <w:spacing w:before="0" w:after="0"/>
        <w:ind w:left="0" w:right="0" w:hanging="0"/>
        <w:jc w:val="center"/>
        <w:rPr>
          <w:b/>
          <w:color w:val="333333"/>
          <w:sz w:val="20"/>
        </w:rPr>
      </w:pPr>
      <w:r>
        <w:rPr>
          <w:b/>
          <w:color w:val="333333"/>
          <w:sz w:val="20"/>
        </w:rPr>
        <w:t>OF THE SECURITIES EXCHANGE ACT OF 1934</w:t>
      </w:r>
    </w:p>
    <w:p>
      <w:pPr>
        <w:pStyle w:val="TextBody"/>
        <w:shd w:fill="FFFFFF" w:val="clear"/>
        <w:bidi w:val="0"/>
        <w:spacing w:before="0" w:after="0"/>
        <w:ind w:left="0" w:right="0" w:hanging="0"/>
        <w:jc w:val="center"/>
        <w:rPr>
          <w:color w:val="333333"/>
        </w:rPr>
      </w:pPr>
      <w:r>
        <w:rPr>
          <w:color w:val="333333"/>
        </w:rPr>
        <w:t> </w:t>
      </w:r>
    </w:p>
    <w:p>
      <w:pPr>
        <w:pStyle w:val="TextBody"/>
        <w:shd w:fill="FFFFFF" w:val="clear"/>
        <w:bidi w:val="0"/>
        <w:spacing w:before="0" w:after="0"/>
        <w:ind w:left="0" w:right="0" w:hanging="0"/>
        <w:jc w:val="center"/>
        <w:rPr>
          <w:b/>
          <w:color w:val="333333"/>
          <w:sz w:val="20"/>
        </w:rPr>
      </w:pPr>
      <w:r>
        <w:rPr>
          <w:b/>
          <w:color w:val="333333"/>
          <w:sz w:val="20"/>
        </w:rPr>
        <w:t xml:space="preserve">Date of Report (Date of earliest event reported): </w:t>
      </w:r>
      <w:bookmarkStart w:id="3" w:name="xdx_90A_edei--DocumentPeriodEndDate_c202"/>
      <w:bookmarkEnd w:id="3"/>
      <w:r>
        <w:rPr>
          <w:b/>
          <w:color w:val="333333"/>
          <w:sz w:val="20"/>
        </w:rPr>
        <w:t>August 6, 2025</w:t>
      </w:r>
    </w:p>
    <w:p>
      <w:pPr>
        <w:pStyle w:val="TextBody"/>
        <w:shd w:fill="FFFFFF" w:val="clear"/>
        <w:bidi w:val="0"/>
        <w:spacing w:before="0" w:after="0"/>
        <w:ind w:left="0" w:right="0" w:hanging="0"/>
        <w:jc w:val="center"/>
        <w:rPr>
          <w:color w:val="333333"/>
        </w:rPr>
      </w:pPr>
      <w:r>
        <w:rPr>
          <w:color w:val="333333"/>
        </w:rPr>
        <w:t> </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color w:val="333333"/>
          <w:sz w:val="20"/>
        </w:rPr>
      </w:pPr>
      <w:bookmarkStart w:id="4" w:name="xdx_90C_edei--EntityRegistrantName_c2025"/>
      <w:bookmarkEnd w:id="4"/>
      <w:r>
        <w:rPr>
          <w:b/>
          <w:color w:val="333333"/>
          <w:sz w:val="48"/>
        </w:rPr>
        <w:t>Sono Group N.V.</w:t>
        <w:br/>
      </w:r>
      <w:r>
        <w:rPr>
          <w:b/>
          <w:color w:val="333333"/>
          <w:sz w:val="20"/>
        </w:rPr>
        <w:t>(Exact name of registrant as specified in its charter)</w:t>
      </w:r>
    </w:p>
    <w:p>
      <w:pPr>
        <w:pStyle w:val="TextBody"/>
        <w:bidi w:val="0"/>
        <w:spacing w:before="0" w:after="0"/>
        <w:ind w:left="0" w:right="0" w:hanging="0"/>
        <w:jc w:val="center"/>
        <w:rPr>
          <w:color w:val="333333"/>
        </w:rPr>
      </w:pPr>
      <w:r>
        <w:rPr>
          <w:color w:val="333333"/>
        </w:rPr>
        <w:t> </w:t>
      </w:r>
    </w:p>
    <w:p>
      <w:pPr>
        <w:pStyle w:val="TextBody"/>
        <w:bidi w:val="0"/>
        <w:spacing w:before="0" w:after="0"/>
        <w:ind w:left="0" w:right="0" w:hanging="0"/>
        <w:jc w:val="center"/>
        <w:rPr>
          <w:b/>
          <w:sz w:val="20"/>
        </w:rPr>
      </w:pPr>
      <w:r>
        <w:rPr>
          <w:b/>
          <w:sz w:val="20"/>
        </w:rPr>
        <w:t>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color w:val="333333"/>
        </w:rPr>
      </w:pPr>
      <w:r>
        <w:rPr>
          <w:color w:val="333333"/>
        </w:rPr>
        <w:t> </w:t>
      </w:r>
    </w:p>
    <w:tbl>
      <w:tblPr>
        <w:tblW w:w="5910" w:type="dxa"/>
        <w:jc w:val="left"/>
        <w:tblInd w:w="0" w:type="dxa"/>
        <w:tblLayout w:type="fixed"/>
        <w:tblCellMar>
          <w:top w:w="0" w:type="dxa"/>
          <w:left w:w="0" w:type="dxa"/>
          <w:bottom w:w="0" w:type="dxa"/>
          <w:right w:w="0" w:type="dxa"/>
        </w:tblCellMar>
      </w:tblPr>
      <w:tblGrid>
        <w:gridCol w:w="2165"/>
        <w:gridCol w:w="2210"/>
        <w:gridCol w:w="1535"/>
      </w:tblGrid>
      <w:tr>
        <w:trPr/>
        <w:tc>
          <w:tcPr>
            <w:tcW w:w="2165" w:type="dxa"/>
            <w:tcBorders/>
            <w:vAlign w:val="center"/>
          </w:tcPr>
          <w:p>
            <w:pPr>
              <w:pStyle w:val="TableContents"/>
              <w:bidi w:val="0"/>
              <w:spacing w:before="0" w:after="283"/>
              <w:jc w:val="center"/>
              <w:rPr>
                <w:b/>
              </w:rPr>
            </w:pPr>
            <w:r>
              <w:rPr>
                <w:b/>
              </w:rPr>
              <w:t xml:space="preserve">The </w:t>
            </w:r>
            <w:bookmarkStart w:id="5" w:name="xdx_900_edei--EntityIncorporationStateCo"/>
            <w:bookmarkEnd w:id="5"/>
            <w:r>
              <w:rPr>
                <w:b/>
              </w:rPr>
              <w:t>Netherlands</w:t>
            </w:r>
          </w:p>
        </w:tc>
        <w:tc>
          <w:tcPr>
            <w:tcW w:w="2210" w:type="dxa"/>
            <w:tcBorders/>
            <w:vAlign w:val="center"/>
          </w:tcPr>
          <w:p>
            <w:pPr>
              <w:pStyle w:val="TableContents"/>
              <w:bidi w:val="0"/>
              <w:spacing w:before="0" w:after="283"/>
              <w:jc w:val="center"/>
              <w:rPr>
                <w:b/>
              </w:rPr>
            </w:pPr>
            <w:bookmarkStart w:id="6" w:name="xdx_90C_edei--EntityFileNumber_c20250806"/>
            <w:bookmarkEnd w:id="6"/>
            <w:r>
              <w:rPr>
                <w:b/>
              </w:rPr>
              <w:t>001-41066</w:t>
            </w:r>
          </w:p>
        </w:tc>
        <w:tc>
          <w:tcPr>
            <w:tcW w:w="1535" w:type="dxa"/>
            <w:tcBorders/>
            <w:vAlign w:val="center"/>
          </w:tcPr>
          <w:p>
            <w:pPr>
              <w:pStyle w:val="TableContents"/>
              <w:bidi w:val="0"/>
              <w:spacing w:before="0" w:after="283"/>
              <w:jc w:val="center"/>
              <w:rPr>
                <w:b/>
              </w:rPr>
            </w:pPr>
            <w:bookmarkStart w:id="7" w:name="xdx_909_edei--EntityTaxIdentificationNum"/>
            <w:bookmarkEnd w:id="7"/>
            <w:r>
              <w:rPr>
                <w:b/>
              </w:rPr>
              <w:t>98-1828632</w:t>
            </w:r>
          </w:p>
        </w:tc>
      </w:tr>
      <w:tr>
        <w:trPr/>
        <w:tc>
          <w:tcPr>
            <w:tcW w:w="2165" w:type="dxa"/>
            <w:tcBorders/>
            <w:vAlign w:val="center"/>
          </w:tcPr>
          <w:p>
            <w:pPr>
              <w:pStyle w:val="TableContents"/>
              <w:bidi w:val="0"/>
              <w:spacing w:before="0" w:after="0"/>
              <w:ind w:left="0" w:right="0" w:hanging="0"/>
              <w:jc w:val="center"/>
              <w:rPr>
                <w:color w:val="333333"/>
                <w:sz w:val="20"/>
              </w:rPr>
            </w:pPr>
            <w:r>
              <w:rPr>
                <w:color w:val="333333"/>
                <w:sz w:val="20"/>
              </w:rPr>
              <w:t>(State or other jurisdiction</w:t>
              <w:br/>
              <w:t>of incorporation)</w:t>
            </w:r>
          </w:p>
        </w:tc>
        <w:tc>
          <w:tcPr>
            <w:tcW w:w="2210" w:type="dxa"/>
            <w:tcBorders/>
            <w:vAlign w:val="center"/>
          </w:tcPr>
          <w:p>
            <w:pPr>
              <w:pStyle w:val="TableContents"/>
              <w:bidi w:val="0"/>
              <w:spacing w:before="0" w:after="0"/>
              <w:ind w:left="0" w:right="0" w:hanging="0"/>
              <w:jc w:val="center"/>
              <w:rPr>
                <w:color w:val="333333"/>
                <w:sz w:val="20"/>
              </w:rPr>
            </w:pPr>
            <w:r>
              <w:rPr>
                <w:color w:val="333333"/>
                <w:sz w:val="20"/>
              </w:rPr>
              <w:t>(Commission File Number)</w:t>
            </w:r>
          </w:p>
        </w:tc>
        <w:tc>
          <w:tcPr>
            <w:tcW w:w="1535" w:type="dxa"/>
            <w:tcBorders/>
            <w:vAlign w:val="center"/>
          </w:tcPr>
          <w:p>
            <w:pPr>
              <w:pStyle w:val="TableContents"/>
              <w:bidi w:val="0"/>
              <w:spacing w:before="0" w:after="0"/>
              <w:ind w:left="0" w:right="0" w:hanging="0"/>
              <w:jc w:val="center"/>
              <w:rPr>
                <w:color w:val="333333"/>
                <w:sz w:val="20"/>
              </w:rPr>
            </w:pPr>
            <w:r>
              <w:rPr>
                <w:color w:val="333333"/>
                <w:sz w:val="20"/>
              </w:rPr>
              <w:t>(IRS Employer</w:t>
              <w:br/>
              <w:t>Identification No.)</w:t>
            </w:r>
          </w:p>
        </w:tc>
      </w:tr>
    </w:tbl>
    <w:p>
      <w:pPr>
        <w:pStyle w:val="TextBody"/>
        <w:bidi w:val="0"/>
        <w:spacing w:before="0" w:after="0"/>
        <w:ind w:left="0" w:right="0" w:hanging="0"/>
        <w:jc w:val="left"/>
        <w:rPr>
          <w:color w:val="333333"/>
        </w:rPr>
      </w:pPr>
      <w:r>
        <w:rPr>
          <w:color w:val="333333"/>
        </w:rPr>
        <w:t> </w:t>
      </w:r>
    </w:p>
    <w:tbl>
      <w:tblPr>
        <w:tblW w:w="5215" w:type="dxa"/>
        <w:jc w:val="left"/>
        <w:tblInd w:w="0" w:type="dxa"/>
        <w:tblLayout w:type="fixed"/>
        <w:tblCellMar>
          <w:top w:w="0" w:type="dxa"/>
          <w:left w:w="0" w:type="dxa"/>
          <w:bottom w:w="0" w:type="dxa"/>
          <w:right w:w="0" w:type="dxa"/>
        </w:tblCellMar>
      </w:tblPr>
      <w:tblGrid>
        <w:gridCol w:w="4295"/>
        <w:gridCol w:w="920"/>
      </w:tblGrid>
      <w:tr>
        <w:trPr/>
        <w:tc>
          <w:tcPr>
            <w:tcW w:w="4295" w:type="dxa"/>
            <w:tcBorders/>
            <w:vAlign w:val="center"/>
          </w:tcPr>
          <w:p>
            <w:pPr>
              <w:pStyle w:val="TableContents"/>
              <w:bidi w:val="0"/>
              <w:spacing w:before="0" w:after="283"/>
              <w:jc w:val="center"/>
              <w:rPr>
                <w:b/>
              </w:rPr>
            </w:pPr>
            <w:bookmarkStart w:id="8" w:name="xdx_90B_edei--EntityAddressAddressLine1_"/>
            <w:bookmarkEnd w:id="8"/>
            <w:r>
              <w:rPr>
                <w:b/>
              </w:rPr>
              <w:t xml:space="preserve">Waldmeisterstrasse 93, </w:t>
            </w:r>
            <w:bookmarkStart w:id="9" w:name="xdx_905_edei--EntityAddressCityOrTown_c2"/>
            <w:bookmarkEnd w:id="9"/>
            <w:r>
              <w:rPr>
                <w:b/>
              </w:rPr>
              <w:t xml:space="preserve">Munich, </w:t>
            </w:r>
            <w:bookmarkStart w:id="10" w:name="xdx_908_edei--EntityAddressCountry_c2025"/>
            <w:bookmarkEnd w:id="10"/>
            <w:r>
              <w:rPr>
                <w:b/>
              </w:rPr>
              <w:t>Germany</w:t>
            </w:r>
          </w:p>
        </w:tc>
        <w:tc>
          <w:tcPr>
            <w:tcW w:w="920" w:type="dxa"/>
            <w:tcBorders/>
            <w:vAlign w:val="center"/>
          </w:tcPr>
          <w:p>
            <w:pPr>
              <w:pStyle w:val="TableContents"/>
              <w:bidi w:val="0"/>
              <w:spacing w:before="0" w:after="283"/>
              <w:jc w:val="center"/>
              <w:rPr>
                <w:b/>
              </w:rPr>
            </w:pPr>
            <w:bookmarkStart w:id="11" w:name="xdx_90B_edei--EntityAddressPostalZipCode"/>
            <w:bookmarkEnd w:id="11"/>
            <w:r>
              <w:rPr>
                <w:b/>
              </w:rPr>
              <w:t xml:space="preserve">80935 </w:t>
            </w:r>
          </w:p>
        </w:tc>
      </w:tr>
      <w:tr>
        <w:trPr/>
        <w:tc>
          <w:tcPr>
            <w:tcW w:w="4295" w:type="dxa"/>
            <w:tcBorders/>
            <w:vAlign w:val="center"/>
          </w:tcPr>
          <w:p>
            <w:pPr>
              <w:pStyle w:val="TableContents"/>
              <w:bidi w:val="0"/>
              <w:spacing w:before="0" w:after="0"/>
              <w:ind w:left="540" w:right="0" w:hanging="0"/>
              <w:jc w:val="center"/>
              <w:rPr>
                <w:color w:val="333333"/>
                <w:sz w:val="20"/>
              </w:rPr>
            </w:pPr>
            <w:r>
              <w:rPr>
                <w:color w:val="333333"/>
                <w:sz w:val="20"/>
              </w:rPr>
              <w:t>(Address of principal executive offices)</w:t>
            </w:r>
          </w:p>
        </w:tc>
        <w:tc>
          <w:tcPr>
            <w:tcW w:w="920" w:type="dxa"/>
            <w:tcBorders/>
            <w:vAlign w:val="center"/>
          </w:tcPr>
          <w:p>
            <w:pPr>
              <w:pStyle w:val="TableContents"/>
              <w:bidi w:val="0"/>
              <w:spacing w:before="0" w:after="0"/>
              <w:ind w:left="90" w:right="0" w:hanging="0"/>
              <w:jc w:val="center"/>
              <w:rPr>
                <w:color w:val="333333"/>
                <w:sz w:val="20"/>
              </w:rPr>
            </w:pPr>
            <w:r>
              <w:rPr>
                <w:color w:val="333333"/>
                <w:sz w:val="20"/>
              </w:rPr>
              <w:t>(Zip Code)</w:t>
            </w:r>
          </w:p>
        </w:tc>
      </w:tr>
    </w:tbl>
    <w:p>
      <w:pPr>
        <w:pStyle w:val="TextBody"/>
        <w:bidi w:val="0"/>
        <w:spacing w:before="0" w:after="0"/>
        <w:ind w:left="0" w:right="0" w:hanging="0"/>
        <w:jc w:val="center"/>
        <w:rPr>
          <w:color w:val="333333"/>
        </w:rPr>
      </w:pPr>
      <w:r>
        <w:rPr>
          <w:color w:val="333333"/>
        </w:rPr>
        <w:t> </w:t>
      </w:r>
    </w:p>
    <w:p>
      <w:pPr>
        <w:pStyle w:val="TextBody"/>
        <w:bidi w:val="0"/>
        <w:spacing w:before="0" w:after="0"/>
        <w:ind w:left="0" w:right="0" w:hanging="0"/>
        <w:jc w:val="center"/>
        <w:rPr>
          <w:color w:val="333333"/>
        </w:rPr>
      </w:pPr>
      <w:r>
        <w:rPr>
          <w:color w:val="333333"/>
        </w:rPr>
        <w:t> </w:t>
      </w:r>
    </w:p>
    <w:p>
      <w:pPr>
        <w:pStyle w:val="TextBody"/>
        <w:bidi w:val="0"/>
        <w:spacing w:before="0" w:after="0"/>
        <w:ind w:left="0" w:right="0" w:hanging="0"/>
        <w:jc w:val="center"/>
        <w:rPr>
          <w:b/>
          <w:color w:val="333333"/>
          <w:sz w:val="20"/>
        </w:rPr>
      </w:pPr>
      <w:bookmarkStart w:id="12" w:name="xdx_905_edei--CountryRegion_c20250806__2"/>
      <w:bookmarkEnd w:id="12"/>
      <w:r>
        <w:rPr>
          <w:b/>
          <w:color w:val="333333"/>
          <w:sz w:val="20"/>
        </w:rPr>
        <w:t xml:space="preserve">+49 </w:t>
      </w:r>
      <w:bookmarkStart w:id="13" w:name="xdx_90D_edei--CityAreaCode_c20250806__20"/>
      <w:bookmarkEnd w:id="13"/>
      <w:r>
        <w:rPr>
          <w:b/>
          <w:color w:val="333333"/>
          <w:sz w:val="20"/>
        </w:rPr>
        <w:t xml:space="preserve">(0)89 </w:t>
      </w:r>
      <w:bookmarkStart w:id="14" w:name="xdx_90A_edei--LocalPhoneNumber_c20250806"/>
      <w:bookmarkEnd w:id="14"/>
      <w:r>
        <w:rPr>
          <w:b/>
          <w:color w:val="333333"/>
          <w:sz w:val="20"/>
        </w:rPr>
        <w:t>4520 5818</w:t>
      </w:r>
    </w:p>
    <w:p>
      <w:pPr>
        <w:pStyle w:val="TextBody"/>
        <w:bidi w:val="0"/>
        <w:spacing w:before="0" w:after="0"/>
        <w:ind w:left="0" w:right="0" w:hanging="0"/>
        <w:jc w:val="center"/>
        <w:rPr>
          <w:color w:val="333333"/>
          <w:sz w:val="20"/>
        </w:rPr>
      </w:pPr>
      <w:r>
        <w:rPr>
          <w:color w:val="333333"/>
          <w:sz w:val="20"/>
        </w:rPr>
        <w:t>(Registrant's telephone number, including area code)</w:t>
      </w:r>
    </w:p>
    <w:p>
      <w:pPr>
        <w:pStyle w:val="TextBody"/>
        <w:bidi w:val="0"/>
        <w:spacing w:before="0" w:after="0"/>
        <w:ind w:left="0" w:right="0" w:hanging="0"/>
        <w:jc w:val="center"/>
        <w:rPr>
          <w:color w:val="333333"/>
        </w:rPr>
      </w:pPr>
      <w:r>
        <w:rPr>
          <w:color w:val="333333"/>
        </w:rPr>
        <w:t> </w:t>
      </w:r>
    </w:p>
    <w:p>
      <w:pPr>
        <w:pStyle w:val="TextBody"/>
        <w:shd w:fill="FFFFFF" w:val="clear"/>
        <w:bidi w:val="0"/>
        <w:spacing w:before="0" w:after="0"/>
        <w:ind w:left="0" w:right="0" w:hanging="0"/>
        <w:jc w:val="center"/>
        <w:rPr>
          <w:b/>
          <w:sz w:val="20"/>
        </w:rPr>
      </w:pPr>
      <w:r>
        <w:rPr>
          <w:b/>
          <w:sz w:val="20"/>
        </w:rPr>
        <w:t>__________________________</w:t>
      </w:r>
    </w:p>
    <w:p>
      <w:pPr>
        <w:pStyle w:val="TextBody"/>
        <w:shd w:fill="FFFFFF" w:val="clear"/>
        <w:bidi w:val="0"/>
        <w:spacing w:before="0" w:after="0"/>
        <w:ind w:left="0" w:right="0" w:hanging="0"/>
        <w:jc w:val="center"/>
        <w:rPr/>
      </w:pPr>
      <w:r>
        <w:rPr/>
        <w:t> </w:t>
      </w:r>
    </w:p>
    <w:p>
      <w:pPr>
        <w:pStyle w:val="TextBody"/>
        <w:shd w:fill="FFFFFF" w:val="clear"/>
        <w:bidi w:val="0"/>
        <w:spacing w:before="0" w:after="0"/>
        <w:ind w:left="0" w:right="0" w:hanging="0"/>
        <w:jc w:val="left"/>
        <w:rPr>
          <w:color w:val="333333"/>
          <w:sz w:val="20"/>
        </w:rPr>
      </w:pPr>
      <w:r>
        <w:rPr>
          <w:color w:val="333333"/>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olor w:val="333333"/>
        </w:rPr>
      </w:pPr>
      <w:r>
        <w:rPr>
          <w:color w:val="333333"/>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3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shd w:fill="FFFFFF" w:val="clear"/>
        <w:bidi w:val="0"/>
        <w:spacing w:before="0" w:after="0"/>
        <w:ind w:left="0" w:right="0" w:hanging="0"/>
        <w:jc w:val="left"/>
        <w:rPr>
          <w:color w:val="333333"/>
        </w:rPr>
      </w:pPr>
      <w:r>
        <w:rPr>
          <w:color w:val="333333"/>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7_edei--SolicitingMaterial_c2025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shd w:fill="FFFFFF" w:val="clear"/>
        <w:bidi w:val="0"/>
        <w:spacing w:before="0" w:after="0"/>
        <w:ind w:left="0" w:right="0" w:hanging="0"/>
        <w:jc w:val="left"/>
        <w:rPr>
          <w:color w:val="333333"/>
        </w:rPr>
      </w:pPr>
      <w:r>
        <w:rPr>
          <w:color w:val="333333"/>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shd w:fill="FFFFFF" w:val="clear"/>
        <w:bidi w:val="0"/>
        <w:spacing w:before="0" w:after="0"/>
        <w:ind w:left="0" w:right="0" w:hanging="0"/>
        <w:jc w:val="left"/>
        <w:rPr>
          <w:color w:val="333333"/>
        </w:rPr>
      </w:pPr>
      <w:r>
        <w:rPr>
          <w:color w:val="333333"/>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B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sz w:val="20"/>
        </w:rPr>
      </w:pPr>
      <w:r>
        <w:rPr>
          <w:color w:val="333333"/>
          <w:sz w:val="20"/>
        </w:rPr>
        <w:t>Securities registered pursuant to Section 12(b) of the Act:</w:t>
      </w:r>
    </w:p>
    <w:p>
      <w:pPr>
        <w:pStyle w:val="TextBody"/>
        <w:shd w:fill="FFFFFF" w:val="clear"/>
        <w:bidi w:val="0"/>
        <w:spacing w:before="0" w:after="0"/>
        <w:ind w:left="0" w:right="0" w:hanging="0"/>
        <w:jc w:val="left"/>
        <w:rPr>
          <w:color w:val="333333"/>
        </w:rPr>
      </w:pPr>
      <w:r>
        <w:rPr>
          <w:color w:val="333333"/>
        </w:rPr>
        <w:t> </w:t>
      </w:r>
    </w:p>
    <w:tbl>
      <w:tblPr>
        <w:tblW w:w="6615" w:type="dxa"/>
        <w:jc w:val="left"/>
        <w:tblInd w:w="-10" w:type="dxa"/>
        <w:tblLayout w:type="fixed"/>
        <w:tblCellMar>
          <w:top w:w="28" w:type="dxa"/>
          <w:left w:w="28" w:type="dxa"/>
          <w:bottom w:w="28" w:type="dxa"/>
          <w:right w:w="2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color w:val="333333"/>
                <w:sz w:val="20"/>
              </w:rPr>
            </w:pPr>
            <w:r>
              <w:rPr>
                <w:color w:val="333333"/>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olor w:val="333333"/>
                <w:sz w:val="20"/>
              </w:rPr>
            </w:pPr>
            <w:r>
              <w:rPr>
                <w:color w:val="333333"/>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color w:val="333333"/>
                <w:sz w:val="20"/>
              </w:rPr>
            </w:pPr>
            <w:r>
              <w:rPr>
                <w:color w:val="333333"/>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olor w:val="333333"/>
                <w:sz w:val="20"/>
              </w:rPr>
            </w:pPr>
            <w:r>
              <w:rPr>
                <w:color w:val="333333"/>
                <w:sz w:val="20"/>
              </w:rPr>
              <w:t>Not Applicable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333333"/>
                <w:sz w:val="20"/>
              </w:rPr>
            </w:pPr>
            <w:r>
              <w:rPr>
                <w:color w:val="333333"/>
                <w:sz w:val="20"/>
              </w:rPr>
              <w:t>Not Applicable</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333333"/>
                <w:sz w:val="20"/>
              </w:rPr>
            </w:pPr>
            <w:r>
              <w:rPr>
                <w:color w:val="333333"/>
                <w:sz w:val="20"/>
              </w:rPr>
              <w:t>Not Applicable</w:t>
            </w:r>
          </w:p>
        </w:tc>
      </w:tr>
    </w:tbl>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left"/>
        <w:rPr>
          <w:color w:val="333333"/>
          <w:sz w:val="20"/>
        </w:rPr>
      </w:pPr>
      <w:r>
        <w:rPr>
          <w:color w:val="333333"/>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olor w:val="333333"/>
        </w:rPr>
      </w:pPr>
      <w:r>
        <w:rPr>
          <w:color w:val="333333"/>
        </w:rPr>
        <w:t> </w:t>
      </w:r>
    </w:p>
    <w:p>
      <w:pPr>
        <w:pStyle w:val="TextBody"/>
        <w:shd w:fill="FFFFFF" w:val="clear"/>
        <w:bidi w:val="0"/>
        <w:spacing w:before="0" w:after="0"/>
        <w:ind w:left="0" w:right="0" w:hanging="0"/>
        <w:jc w:val="right"/>
        <w:rPr>
          <w:color w:val="333333"/>
          <w:sz w:val="20"/>
        </w:rPr>
      </w:pPr>
      <w:r>
        <w:rPr>
          <w:color w:val="333333"/>
          <w:sz w:val="20"/>
        </w:rPr>
        <w:t xml:space="preserve">Emerging growth company </w:t>
      </w:r>
      <w:bookmarkStart w:id="19" w:name="xdx_902_edei--EntityEmergingGrowthCompan"/>
      <w:bookmarkEnd w:id="19"/>
      <w:r>
        <w:rPr>
          <w:color w:val="333333"/>
          <w:sz w:val="20"/>
        </w:rPr>
        <w:t>☒</w:t>
      </w:r>
    </w:p>
    <w:p>
      <w:pPr>
        <w:pStyle w:val="TextBody"/>
        <w:shd w:fill="FFFFFF" w:val="clear"/>
        <w:bidi w:val="0"/>
        <w:spacing w:before="0" w:after="0"/>
        <w:ind w:left="0" w:right="0" w:hanging="0"/>
        <w:jc w:val="right"/>
        <w:rPr>
          <w:color w:val="333333"/>
        </w:rPr>
      </w:pPr>
      <w:r>
        <w:rPr>
          <w:color w:val="333333"/>
        </w:rPr>
        <w:t> </w:t>
      </w:r>
    </w:p>
    <w:p>
      <w:pPr>
        <w:pStyle w:val="TextBody"/>
        <w:shd w:fill="FFFFFF" w:val="clear"/>
        <w:bidi w:val="0"/>
        <w:spacing w:before="0" w:after="0"/>
        <w:ind w:left="0" w:right="0" w:hanging="0"/>
        <w:jc w:val="left"/>
        <w:rPr>
          <w:color w:val="333333"/>
          <w:sz w:val="20"/>
        </w:rPr>
      </w:pPr>
      <w:r>
        <w:rPr>
          <w:color w:val="333333"/>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8_edei--EntityExTransitionPeriod_c"/>
      <w:bookmarkEnd w:id="20"/>
      <w:r>
        <w:rPr>
          <w:color w:val="333333"/>
          <w:sz w:val="20"/>
        </w:rPr>
        <w:t>☐</w:t>
      </w:r>
    </w:p>
    <w:p>
      <w:pPr>
        <w:pStyle w:val="TextBody"/>
        <w:shd w:fill="FFFFFF" w:val="clear"/>
        <w:bidi w:val="0"/>
        <w:spacing w:before="0" w:after="0"/>
        <w:ind w:left="0" w:right="0" w:hanging="0"/>
        <w:jc w:val="left"/>
        <w:rPr>
          <w:color w:val="333333"/>
        </w:rPr>
      </w:pPr>
      <w:r>
        <w:rPr>
          <w:color w:val="333333"/>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1.01 Entry into a Material Definitive Agreement.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information under Item 3.02 below is incorporated by reference into this Item 1.01.</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b/>
          <w:sz w:val="20"/>
        </w:rPr>
        <w:t>Item</w:t>
      </w:r>
      <w:r>
        <w:rPr>
          <w:sz w:val="20"/>
        </w:rPr>
        <w:t> </w:t>
      </w:r>
      <w:r>
        <w:rPr>
          <w:b/>
          <w:sz w:val="20"/>
        </w:rPr>
        <w:t>3.02 Unregistered Sales of Equity Securities.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As previously disclosed, Sono Group N.V. (the “Company”) and YA II PN, Ltd. (“Yorkville”), entered into (i) a securities purchase agreement, dated December 30, 2024 (as amended, the “Securities Purchase Agreement”), pursuant to which the Company agreed to sell and issue to Yorkville a new convertible debenture (the “Debenture”) in the aggregate principal amount of $5,000,000 and (ii) an exchange agreement, dated December 30, 2024 (as amended, the “Exchange Agreement”), pursuant to which the Company agreed to issue shares of preferred stock of the Company to Yorkville in exchange for the surrender and cancellation of all of the debentures held by Yorkville. The obligations of the parties under the Securities Purchase Agreement and the Exchange Agreement are subject to certain conditions and limitations, including the Company’s receipt of notice from Nasdaq that the Company has met all the applicable requirements for listing of the Company’s ordinary shares (the “Ordinary Shares”) on the Nasdaq Capital Market. The Company and Yorkville subsequently entered into six Omnibus Amendments to Transaction Documents, respectively dated February 12, 2025 (the “First Omnibus Amendment”), March 7, 2025 (the “Second Omnibus Amendment”), March 25, 2025 (the “Third Omnibus Amendment”), April 24, 2025 (the “Fourth Omnibus Amendment”), May 26, 2025 (the “Fifth Omnibus Amendment) and July 6, 2025 (the “Sixth Omnibus Amendment”), pursuant to which the Company and Yorkville agreed to modify certain terms of the Securities Purchase Agreement and the Exchange Agreement.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August 6, 2025, the Company and Yorkville entered into a seventh Omnibus Amendment to Transaction Documents (the “First New Omnibus Amendment”) and an eighth Omnibus Amendment to Transaction Documents (the “Second New Omnibus Amendment”), pursuant to which the parties agreed to modify the terms of the Securities Purchase Agreement, the Exchange Agreement and certain convertible debentures previously issued by the Company.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First New Omnibus Amendment, the parties agreed to extend the maturity date from August 1, 2025 to September 1, 2025 for the four convertible debentures previously issued by the Company, including the (1) Convertible Debenture issued on December 7, 2022 in the original principal amount of $11.1 million (“Debenture SEV-1”), (2) Convertible Debenture issued on December 8, 2022 in the original principal amount of $10.0 million (“Debenture SEV-2”), (3) Convertible Debenture issued on December 20, 2022 in the original principal amount of $10.0 million (“Debenture SEV-3”), and (4) Convertible Debenture issued on February 5, 2024 in the original principal amount of $4,317,600 (“Debenture SEV-4,” and collectively with Debenture SEV-1, Debenture SEV-2, and Debenture SEV-3, the “Maturing Debentures”).</w:t>
        <w:br/>
        <w:br/>
        <w:t>Pursuant to the First New Omnibus Amendment, the parties also agreed to extend the termination dates of the Securities Purchase Agreement and the Exchange Agreement to September 1, 2025.</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Second New Omnibus Amendment, the parties agreed to modify the terms of the Securities Purchase Agreement to, among other things, provide for an immediate advance by Yorkville to the Company of $190,000 in the form of a secured convertible debenture in the aggregate principal amount of $190,000 (the “Fifth Debenture”). As previously disclosed, a prior advance of $1,000,000 was funded on February 12, 2025 in connection with the First Omnibus Amendment in the form of a secured convertible debenture in the aggregate principal amount of $1,000,000 (the “First Debenture”), a second advance was funded on March 25, 2025 in connection with the Third Omnibus Amendment in the form of a secured convertible debenture in the aggregate principal amount of $1,000,000 (the “Second Debenture”), a third advance was funded on April 24, 2025 in connection with the Fourth Omnibus Amendment in the form of a secured convertible debenture in the aggregate principal amount of $500,000 (the “Third Debenture”) and a fourth advance was funded on May 26, 2025 in connection with the Fifth Omnibus Amendment in the form of a secured convertible debenture in the aggregate principal amount of $750,000 (the “Fourth Debenture” and together with the First Debenture, the Second Debenture, the Third Debenture and the Fifth Debenture, the “Advance Debentures”). As a result of the issuance of the Advance Debentures, and pursuant to the Second New Omnibus Amendment, the Debenture to be issued to Yorkville, upon the satisfaction of all of the conditions set forth in the Securities Purchase Agreement, will have an aggregate principal amount of $1,560,000. Under the terms of the Second New Omnibus Amendment, Debenture 6 (as defined in the Exchange Agreement), will collectively consist of the Debenture and the Advance Debentures for purposes of the transactions contemplated by the Exchange Agreement.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Fifth Debenture will mature on August 6, 2026, which maturity date may be extended at the option of Yorkville. Further, interest accrues on the outstanding principal balance of the Fourth Debenture at an annual rate of 12%, which will increase to an annual rate of 18% upon an Event of Default (as defined in the Fifth Debenture) for so long as such Event of Default remains uncured. Yorkville will have the right to convert the Fifth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Date”); provided that the Variable Conversion Date may not be lower than the Floor Price (as defined in the Fifth Debenture) then in effect or the nominal value of one Ordinary Share. Net proceeds to the Company from the Fifith Debenture were $190,000.</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foregoing description of the First New Omnibus Amendment and the Second New Omnibus Amendment and the Fifth Debenture does not purport to be complete and is qualified in its entirety by the terms of the First New Omnibus Amendment, the Second New Omnibus Amendment and the Fifth Debenture, which are attached hereto as Exhibits 10.1, 10.2 and 10.3, respectively, and are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 Exhibits. The following exhibit is filed with this Current Report on Form 8-K:</w:t>
      </w:r>
    </w:p>
    <w:p>
      <w:pPr>
        <w:pStyle w:val="TextBody"/>
        <w:bidi w:val="0"/>
        <w:spacing w:before="0" w:after="0"/>
        <w:ind w:left="0" w:right="0" w:hanging="0"/>
        <w:jc w:val="left"/>
        <w:rPr/>
      </w:pPr>
      <w:r>
        <w:rPr/>
        <w:t> </w:t>
      </w:r>
    </w:p>
    <w:tbl>
      <w:tblPr>
        <w:tblW w:w="8433" w:type="dxa"/>
        <w:jc w:val="left"/>
        <w:tblInd w:w="0" w:type="dxa"/>
        <w:tblLayout w:type="fixed"/>
        <w:tblCellMar>
          <w:top w:w="0" w:type="dxa"/>
          <w:left w:w="0" w:type="dxa"/>
          <w:bottom w:w="0" w:type="dxa"/>
          <w:right w:w="0" w:type="dxa"/>
        </w:tblCellMar>
      </w:tblPr>
      <w:tblGrid>
        <w:gridCol w:w="38"/>
        <w:gridCol w:w="77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u w:val="single"/>
              </w:rPr>
            </w:pPr>
            <w:r>
              <w:rPr>
                <w:u w:val="single"/>
              </w:rPr>
              <w:t xml:space="preserve">Exhibit </w:t>
            </w:r>
          </w:p>
        </w:tc>
        <w:tc>
          <w:tcPr>
            <w:tcW w:w="7625" w:type="dxa"/>
            <w:tcBorders/>
            <w:vAlign w:val="center"/>
          </w:tcPr>
          <w:p>
            <w:pPr>
              <w:pStyle w:val="TableContents"/>
              <w:bidi w:val="0"/>
              <w:spacing w:before="0" w:after="283"/>
              <w:jc w:val="left"/>
              <w:rPr>
                <w:u w:val="single"/>
              </w:rPr>
            </w:pPr>
            <w:r>
              <w:rPr>
                <w:u w:val="single"/>
              </w:rPr>
              <w:t>Description of Exhibit</w:t>
            </w:r>
          </w:p>
        </w:tc>
      </w:tr>
      <w:tr>
        <w:trPr/>
        <w:tc>
          <w:tcPr>
            <w:tcW w:w="3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hyperlink w:anchor="exh_101.htm">
              <w:r>
                <w:rPr>
                  <w:rStyle w:val="InternetLink"/>
                  <w:shd w:fill="FFFFFF" w:val="clear"/>
                </w:rPr>
                <w:t>10.1</w:t>
              </w:r>
            </w:hyperlink>
          </w:p>
        </w:tc>
        <w:tc>
          <w:tcPr>
            <w:tcW w:w="7625" w:type="dxa"/>
            <w:tcBorders/>
            <w:vAlign w:val="center"/>
          </w:tcPr>
          <w:p>
            <w:pPr>
              <w:pStyle w:val="TableContents"/>
              <w:bidi w:val="0"/>
              <w:spacing w:before="0" w:after="283"/>
              <w:jc w:val="left"/>
              <w:rPr/>
            </w:pPr>
            <w:hyperlink w:anchor="exh_101.htm">
              <w:r>
                <w:rPr>
                  <w:rStyle w:val="InternetLink"/>
                  <w:shd w:fill="FFFFFF" w:val="clear"/>
                </w:rPr>
                <w:t>Seventh Omnibus Amendment to Transaction Documents dated August 6, 2025</w:t>
              </w:r>
            </w:hyperlink>
          </w:p>
        </w:tc>
      </w:tr>
      <w:tr>
        <w:trPr/>
        <w:tc>
          <w:tcPr>
            <w:tcW w:w="3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hyperlink w:anchor="exh_102.htm">
              <w:r>
                <w:rPr>
                  <w:rStyle w:val="InternetLink"/>
                  <w:shd w:fill="FFFFFF" w:val="clear"/>
                </w:rPr>
                <w:t>10.2</w:t>
              </w:r>
            </w:hyperlink>
          </w:p>
        </w:tc>
        <w:tc>
          <w:tcPr>
            <w:tcW w:w="7625" w:type="dxa"/>
            <w:tcBorders/>
            <w:vAlign w:val="center"/>
          </w:tcPr>
          <w:p>
            <w:pPr>
              <w:pStyle w:val="TableContents"/>
              <w:bidi w:val="0"/>
              <w:spacing w:before="0" w:after="283"/>
              <w:jc w:val="left"/>
              <w:rPr/>
            </w:pPr>
            <w:hyperlink w:anchor="exh_102.htm">
              <w:r>
                <w:rPr>
                  <w:rStyle w:val="InternetLink"/>
                  <w:shd w:fill="FFFFFF" w:val="clear"/>
                </w:rPr>
                <w:t>Eighth Omnibus Amendment to Transaction Documents dated August 6, 2025</w:t>
              </w:r>
            </w:hyperlink>
          </w:p>
        </w:tc>
      </w:tr>
      <w:tr>
        <w:trPr/>
        <w:tc>
          <w:tcPr>
            <w:tcW w:w="3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hyperlink w:anchor="exh_103.htm">
              <w:r>
                <w:rPr>
                  <w:rStyle w:val="InternetLink"/>
                  <w:shd w:fill="FFFFFF" w:val="clear"/>
                </w:rPr>
                <w:t>10.3</w:t>
              </w:r>
            </w:hyperlink>
          </w:p>
        </w:tc>
        <w:tc>
          <w:tcPr>
            <w:tcW w:w="7625" w:type="dxa"/>
            <w:tcBorders/>
            <w:vAlign w:val="center"/>
          </w:tcPr>
          <w:p>
            <w:pPr>
              <w:pStyle w:val="TableContents"/>
              <w:bidi w:val="0"/>
              <w:spacing w:before="0" w:after="283"/>
              <w:jc w:val="left"/>
              <w:rPr/>
            </w:pPr>
            <w:hyperlink w:anchor="exh_103.htm">
              <w:r>
                <w:rPr>
                  <w:rStyle w:val="InternetLink"/>
                  <w:shd w:fill="FFFFFF" w:val="clear"/>
                </w:rPr>
                <w:t>Secured Convertible Debenture dated</w:t>
              </w:r>
            </w:hyperlink>
            <w:hyperlink w:anchor="exh_103.htm">
              <w:r>
                <w:rPr>
                  <w:rStyle w:val="InternetLink"/>
                </w:rPr>
                <w:t xml:space="preserve"> August 6, 2025</w:t>
              </w:r>
            </w:hyperlink>
          </w:p>
        </w:tc>
      </w:tr>
      <w:tr>
        <w:trPr/>
        <w:tc>
          <w:tcPr>
            <w:tcW w:w="3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104</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2505" w:type="dxa"/>
        <w:jc w:val="left"/>
        <w:tblInd w:w="0" w:type="dxa"/>
        <w:tblLayout w:type="fixed"/>
        <w:tblCellMar>
          <w:top w:w="0" w:type="dxa"/>
          <w:left w:w="0" w:type="dxa"/>
          <w:bottom w:w="0" w:type="dxa"/>
          <w:right w:w="0" w:type="dxa"/>
        </w:tblCellMar>
      </w:tblPr>
      <w:tblGrid>
        <w:gridCol w:w="75"/>
        <w:gridCol w:w="260"/>
        <w:gridCol w:w="590"/>
        <w:gridCol w:w="1580"/>
      </w:tblGrid>
      <w:tr>
        <w:trPr/>
        <w:tc>
          <w:tcPr>
            <w:tcW w:w="75" w:type="dxa"/>
            <w:tcBorders/>
            <w:vAlign w:val="center"/>
          </w:tcPr>
          <w:p>
            <w:pPr>
              <w:pStyle w:val="TableContents"/>
              <w:bidi w:val="0"/>
              <w:spacing w:before="0" w:after="283"/>
              <w:jc w:val="left"/>
              <w:rPr/>
            </w:pPr>
            <w:r>
              <w:rPr/>
              <w:t> </w:t>
            </w:r>
          </w:p>
        </w:tc>
        <w:tc>
          <w:tcPr>
            <w:tcW w:w="2430" w:type="dxa"/>
            <w:gridSpan w:val="3"/>
            <w:tcBorders/>
            <w:vAlign w:val="center"/>
          </w:tcPr>
          <w:p>
            <w:pPr>
              <w:pStyle w:val="TableContents"/>
              <w:bidi w:val="0"/>
              <w:spacing w:before="0" w:after="283"/>
              <w:jc w:val="left"/>
              <w:rPr>
                <w:b/>
                <w:sz w:val="20"/>
              </w:rPr>
            </w:pPr>
            <w:r>
              <w:rPr>
                <w:b/>
                <w:sz w:val="20"/>
              </w:rPr>
              <w:t>Sono Group N.V.</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21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21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20"/>
              </w:rPr>
            </w:pPr>
            <w:r>
              <w:rPr>
                <w:sz w:val="20"/>
              </w:rPr>
              <w:t>By</w:t>
            </w:r>
          </w:p>
        </w:tc>
        <w:tc>
          <w:tcPr>
            <w:tcW w:w="2170" w:type="dxa"/>
            <w:gridSpan w:val="2"/>
            <w:tcBorders>
              <w:bottom w:val="single" w:sz="8" w:space="0" w:color="000000"/>
            </w:tcBorders>
            <w:tcMar>
              <w:bottom w:w="28" w:type="dxa"/>
            </w:tcMar>
            <w:vAlign w:val="center"/>
          </w:tcPr>
          <w:p>
            <w:pPr>
              <w:pStyle w:val="TableContents"/>
              <w:bidi w:val="0"/>
              <w:spacing w:before="0" w:after="283"/>
              <w:jc w:val="left"/>
              <w:rPr/>
            </w:pPr>
            <w:r>
              <w:rPr/>
              <w:t>  </w:t>
            </w:r>
            <w:r>
              <w:rPr>
                <w:sz w:val="20"/>
              </w:rPr>
              <w:t>/s/ George O’Leary</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580" w:type="dxa"/>
            <w:tcBorders/>
            <w:vAlign w:val="center"/>
          </w:tcPr>
          <w:p>
            <w:pPr>
              <w:pStyle w:val="TableContents"/>
              <w:bidi w:val="0"/>
              <w:spacing w:before="0" w:after="283"/>
              <w:jc w:val="left"/>
              <w:rPr>
                <w:sz w:val="20"/>
              </w:rPr>
            </w:pPr>
            <w:r>
              <w:rPr>
                <w:sz w:val="20"/>
              </w:rPr>
              <w:t>George O’Leary</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left"/>
              <w:rPr>
                <w:sz w:val="20"/>
              </w:rPr>
            </w:pPr>
            <w:r>
              <w:rPr>
                <w:sz w:val="20"/>
              </w:rPr>
              <w:t>Title:</w:t>
            </w:r>
          </w:p>
        </w:tc>
        <w:tc>
          <w:tcPr>
            <w:tcW w:w="1580" w:type="dxa"/>
            <w:tcBorders/>
            <w:vAlign w:val="center"/>
          </w:tcPr>
          <w:p>
            <w:pPr>
              <w:pStyle w:val="TableContents"/>
              <w:bidi w:val="0"/>
              <w:spacing w:before="0" w:after="0"/>
              <w:ind w:left="0" w:right="0" w:hanging="0"/>
              <w:jc w:val="left"/>
              <w:rPr>
                <w:sz w:val="20"/>
              </w:rPr>
            </w:pPr>
            <w:r>
              <w:rPr>
                <w:sz w:val="20"/>
              </w:rPr>
              <w:t>Managing Director</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c>
          <w:tcPr>
            <w:tcW w:w="590" w:type="dxa"/>
            <w:tcBorders/>
            <w:vAlign w:val="center"/>
          </w:tcPr>
          <w:p>
            <w:pPr>
              <w:pStyle w:val="TableContents"/>
              <w:bidi w:val="0"/>
              <w:spacing w:before="0" w:after="283"/>
              <w:jc w:val="right"/>
              <w:rPr/>
            </w:pPr>
            <w:r>
              <w:rPr/>
              <w:t> </w:t>
            </w:r>
          </w:p>
        </w:tc>
        <w:tc>
          <w:tcPr>
            <w:tcW w:w="15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August 7, 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283"/>
        <w:jc w:val="left"/>
        <w:rPr/>
      </w:pPr>
      <w:r>
        <w:rPr/>
        <w:t> </w:t>
      </w:r>
    </w:p>
    <w:p>
      <w:pPr>
        <w:pStyle w:val="TextBody"/>
        <w:bidi w:val="0"/>
        <w:jc w:val="right"/>
        <w:rPr>
          <w:b/>
        </w:rPr>
      </w:pPr>
      <w:bookmarkStart w:id="21" w:name="exh_101.htm"/>
      <w:bookmarkStart w:id="22" w:name="ksexh_101"/>
      <w:bookmarkEnd w:id="21"/>
      <w:bookmarkEnd w:id="22"/>
      <w:r>
        <w:rPr>
          <w:b/>
        </w:rPr>
        <w:t>Exhibit 10.1</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OMNIBUS AMENDMENT TO TRANSACTION DOCUMENTS</w:t>
      </w:r>
    </w:p>
    <w:p>
      <w:pPr>
        <w:pStyle w:val="TextBody"/>
        <w:bidi w:val="0"/>
        <w:spacing w:before="0" w:after="0"/>
        <w:ind w:left="0" w:right="0" w:hanging="0"/>
        <w:jc w:val="left"/>
        <w:rPr/>
      </w:pPr>
      <w:r>
        <w:rPr/>
        <w:t> </w:t>
      </w:r>
    </w:p>
    <w:p>
      <w:pPr>
        <w:pStyle w:val="TextBody"/>
        <w:bidi w:val="0"/>
        <w:spacing w:before="0" w:after="0"/>
        <w:ind w:left="0" w:right="0" w:firstLine="941"/>
        <w:jc w:val="both"/>
        <w:rPr>
          <w:sz w:val="20"/>
        </w:rPr>
      </w:pPr>
      <w:r>
        <w:rPr>
          <w:sz w:val="20"/>
        </w:rPr>
        <w:t>This Omnibus Amendment to Transaction Documents (this “</w:t>
      </w:r>
      <w:r>
        <w:rPr>
          <w:sz w:val="20"/>
          <w:u w:val="single"/>
        </w:rPr>
        <w:t>Amendment</w:t>
      </w:r>
      <w:r>
        <w:rPr>
          <w:sz w:val="20"/>
        </w:rPr>
        <w:t>” or “</w:t>
      </w:r>
      <w:r>
        <w:rPr>
          <w:sz w:val="20"/>
          <w:u w:val="single"/>
        </w:rPr>
        <w:t>Agreement</w:t>
      </w:r>
      <w:r>
        <w:rPr>
          <w:sz w:val="20"/>
        </w:rPr>
        <w:t>”) is entered into as of August 6, 2025, by and between Sono Group N.V., a Dutch public limited liability company (the “</w:t>
      </w:r>
      <w:r>
        <w:rPr>
          <w:sz w:val="20"/>
          <w:u w:val="single"/>
        </w:rPr>
        <w:t>Company</w:t>
      </w:r>
      <w:r>
        <w:rPr>
          <w:sz w:val="20"/>
        </w:rPr>
        <w:t>”) and YA II PN, LTD., a Cayman Islands exempt limited partnership (the “</w:t>
      </w:r>
      <w:r>
        <w:rPr>
          <w:sz w:val="20"/>
          <w:u w:val="single"/>
        </w:rPr>
        <w:t>Investor</w:t>
      </w:r>
      <w:r>
        <w:rPr>
          <w:sz w:val="20"/>
        </w:rPr>
        <w:t>”), with reference to (1) the Exchange Agreement entered into on December 30, 2024 between the Company to the Investor (“</w:t>
      </w:r>
      <w:r>
        <w:rPr>
          <w:sz w:val="20"/>
          <w:u w:val="single"/>
        </w:rPr>
        <w:t>Exchange Agreement</w:t>
      </w:r>
      <w:r>
        <w:rPr>
          <w:sz w:val="20"/>
        </w:rPr>
        <w:t>”); (2) the Securities Purchase Agreement entered into on December 30, 2024 between the Company and the Investor (the “</w:t>
      </w:r>
      <w:r>
        <w:rPr>
          <w:sz w:val="20"/>
          <w:u w:val="single"/>
        </w:rPr>
        <w:t>Securities Purchase Agreement</w:t>
      </w:r>
      <w:r>
        <w:rPr>
          <w:sz w:val="20"/>
        </w:rPr>
        <w:t>”); (3) the Funding Commitment Letter entered into on November 17, 2023, as amended from time to time, between the Company and the Investor (the “</w:t>
      </w:r>
      <w:r>
        <w:rPr>
          <w:sz w:val="20"/>
          <w:u w:val="single"/>
        </w:rPr>
        <w:t>Funding Commitment Letter</w:t>
      </w:r>
      <w:r>
        <w:rPr>
          <w:sz w:val="20"/>
        </w:rPr>
        <w:t>”);</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b/>
          <w:sz w:val="20"/>
        </w:rPr>
        <w:t>WHEREAS</w:t>
      </w:r>
      <w:r>
        <w:rPr>
          <w:sz w:val="20"/>
        </w:rPr>
        <w:t>, as of July 31, 2025, the Investor is the holder of the following convertible debentures (among others) that have a maturity date of August 1, 2025: (1) Convertible Debenture issued on December 7, 2022 in the original principal amount of $11.1 million (“</w:t>
      </w:r>
      <w:r>
        <w:rPr>
          <w:sz w:val="20"/>
          <w:u w:val="single"/>
        </w:rPr>
        <w:t>Debenture SEV-1</w:t>
      </w:r>
      <w:r>
        <w:rPr>
          <w:sz w:val="20"/>
        </w:rPr>
        <w:t>”), (2) Convertible Debenture issued on December 8, 2022 in the original principal amount of $10.0 million (“</w:t>
      </w:r>
      <w:r>
        <w:rPr>
          <w:sz w:val="20"/>
          <w:u w:val="single"/>
        </w:rPr>
        <w:t>Debenture SEV-2</w:t>
      </w:r>
      <w:r>
        <w:rPr>
          <w:sz w:val="20"/>
        </w:rPr>
        <w:t>”), (3) Convertible Debenture issued on December 20, 2022 in the original principal amount of $10.0 million (“</w:t>
      </w:r>
      <w:r>
        <w:rPr>
          <w:sz w:val="20"/>
          <w:u w:val="single"/>
        </w:rPr>
        <w:t>Debenture SEV-3</w:t>
      </w:r>
      <w:r>
        <w:rPr>
          <w:sz w:val="20"/>
        </w:rPr>
        <w:t>”), and (4) Convertible Debenture issued on February 5, 2024 in the original principal amount of $4,317,600 (“</w:t>
      </w:r>
      <w:r>
        <w:rPr>
          <w:sz w:val="20"/>
          <w:u w:val="single"/>
        </w:rPr>
        <w:t>Debenture SEV-4</w:t>
      </w:r>
      <w:r>
        <w:rPr>
          <w:sz w:val="20"/>
        </w:rPr>
        <w:t>,” and collectively with Debenture SEV-1, Debenture SEV-2, and Debenture SEV-3, the “</w:t>
      </w:r>
      <w:r>
        <w:rPr>
          <w:sz w:val="20"/>
          <w:u w:val="single"/>
        </w:rPr>
        <w:t>Maturing Debentures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720"/>
        <w:jc w:val="both"/>
        <w:rPr>
          <w:sz w:val="20"/>
        </w:rPr>
      </w:pPr>
      <w:r>
        <w:rPr>
          <w:b/>
          <w:sz w:val="20"/>
        </w:rPr>
        <w:t>WHEREAS</w:t>
      </w:r>
      <w:r>
        <w:rPr>
          <w:sz w:val="20"/>
        </w:rPr>
        <w:t>, in connection with the Company’s efforts to satisfy all the applicable requirements for the listing of its Ordinary Shares on the Nasdaq Capital Market (“</w:t>
      </w:r>
      <w:r>
        <w:rPr>
          <w:sz w:val="20"/>
          <w:u w:val="single"/>
        </w:rPr>
        <w:t>Nasdaq</w:t>
      </w:r>
      <w:r>
        <w:rPr>
          <w:sz w:val="20"/>
        </w:rPr>
        <w:t>”), the Company has requested an extension to the deadline to satisfy the conditions set forth in the Exchange Agreement, and pursuant to the terms and conditions of this Amendment, the Investor agrees to such extension.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b/>
          <w:sz w:val="20"/>
        </w:rPr>
        <w:t>WHEREAS,</w:t>
      </w:r>
      <w:r>
        <w:rPr>
          <w:sz w:val="20"/>
        </w:rPr>
        <w:t xml:space="preserve"> pursuant to the Securities Purchase Agreement, the Investor shall have the right to terminate its obligation to purchase Convertible Debentures thereunder if the closing has not occurred by a certain date, and the Company has requested an extension to such date, and pursuant to the terms and conditions of this Amendment, the Investor agrees to such extension.</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By this Amendment, the Company and Lender have agreed to the following terms:</w:t>
      </w:r>
    </w:p>
    <w:p>
      <w:pPr>
        <w:pStyle w:val="TextBody"/>
        <w:bidi w:val="0"/>
        <w:spacing w:before="0" w:after="0"/>
        <w:ind w:left="0" w:right="0" w:firstLine="360"/>
        <w:jc w:val="left"/>
        <w:rPr/>
      </w:pPr>
      <w:r>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1.</w:t>
            </w:r>
          </w:p>
        </w:tc>
        <w:tc>
          <w:tcPr>
            <w:tcW w:w="9972" w:type="dxa"/>
            <w:tcBorders/>
            <w:vAlign w:val="center"/>
          </w:tcPr>
          <w:p>
            <w:pPr>
              <w:pStyle w:val="TableContents"/>
              <w:bidi w:val="0"/>
              <w:spacing w:before="0" w:after="283"/>
              <w:jc w:val="both"/>
              <w:rPr/>
            </w:pPr>
            <w:r>
              <w:rPr>
                <w:b/>
                <w:u w:val="single"/>
              </w:rPr>
              <w:t>Modifications to the Securities Purchase Agreement, Exchange Agreement, and Maturing Debentures</w:t>
            </w:r>
            <w:r>
              <w:rPr>
                <w:b/>
              </w:rPr>
              <w:t>.</w:t>
            </w:r>
            <w:r>
              <w:rPr/>
              <w:t> </w:t>
            </w:r>
          </w:p>
        </w:tc>
      </w:tr>
    </w:tbl>
    <w:p>
      <w:pPr>
        <w:pStyle w:val="TextBody"/>
        <w:bidi w:val="0"/>
        <w:spacing w:before="0" w:after="0"/>
        <w:ind w:left="36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The Investor agrees that the termination date with respect to the obligations of the Investor under the Securities Purchase Agreement set forth in Section 8 thereof shall be extended to September 1, 2025.</w:t>
            </w:r>
          </w:p>
        </w:tc>
      </w:tr>
    </w:tbl>
    <w:p>
      <w:pPr>
        <w:pStyle w:val="TextBody"/>
        <w:bidi w:val="0"/>
        <w:spacing w:before="0" w:after="0"/>
        <w:ind w:left="144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The Investor agrees that the termination date with respect to the obligations of the Investor under the Exchange Agreement set forth in Section 6 thereof shall be extended to September 1, 2025.</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The Investor agrees that the Maturity Date of the Matured Debentures shall be extended to September 1, 2025.</w:t>
            </w:r>
          </w:p>
        </w:tc>
      </w:tr>
    </w:tbl>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2.</w:t>
            </w:r>
          </w:p>
        </w:tc>
        <w:tc>
          <w:tcPr>
            <w:tcW w:w="10004" w:type="dxa"/>
            <w:tcBorders/>
            <w:vAlign w:val="center"/>
          </w:tcPr>
          <w:p>
            <w:pPr>
              <w:pStyle w:val="TableContents"/>
              <w:bidi w:val="0"/>
              <w:spacing w:before="0" w:after="283"/>
              <w:jc w:val="both"/>
              <w:rPr/>
            </w:pPr>
            <w:r>
              <w:rPr>
                <w:b/>
              </w:rPr>
              <w:t>This Agreement One of the Transaction Documents</w:t>
            </w:r>
            <w:r>
              <w:rPr/>
              <w:t>.  From and after the date hereof, this Agreement is and shall be deemed a “Transaction Document” as used in the Securities Purchase Agreement and the Exchange Agreement.</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both"/>
              <w:rPr/>
            </w:pPr>
            <w:r>
              <w:rPr>
                <w:b/>
              </w:rPr>
              <w:t>Miscellaneous</w:t>
            </w:r>
            <w:r>
              <w:rPr/>
              <w:t>. This Agreement shall be governed by and construed in accordance with the laws of the State of New York. This Agreement may be executed in counterparts, each of which, when so executed, shall be deemed an original, but all such counterparts, taken together, shall constitute one and the same instrument. Delivery of an executed counterpart of this Agreement by telefacsimile or electronically shall be equally as effective as delivery of a manually executed counterpart of this Agreement.</w:t>
            </w:r>
          </w:p>
        </w:tc>
      </w:tr>
    </w:tbl>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both"/>
        <w:rPr>
          <w:sz w:val="20"/>
        </w:rPr>
      </w:pPr>
      <w:r>
        <w:rPr>
          <w:b/>
          <w:sz w:val="20"/>
        </w:rPr>
        <w:t>IN WITNESS WHEREOF</w:t>
      </w:r>
      <w:r>
        <w:rPr>
          <w:sz w:val="20"/>
        </w:rPr>
        <w:t>, the Company and Investor have caused this this Omnibus Amendment to Transaction Documents to be duly executed by a duly authorized officer as of the date first written above.</w:t>
      </w:r>
    </w:p>
    <w:p>
      <w:pPr>
        <w:pStyle w:val="TextBody"/>
        <w:bidi w:val="0"/>
        <w:spacing w:before="0" w:after="0"/>
        <w:ind w:left="0" w:right="0" w:firstLine="36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350" w:type="dxa"/>
        <w:jc w:val="left"/>
        <w:tblInd w:w="0" w:type="dxa"/>
        <w:tblLayout w:type="fixed"/>
        <w:tblCellMar>
          <w:top w:w="0" w:type="dxa"/>
          <w:left w:w="0" w:type="dxa"/>
          <w:bottom w:w="0" w:type="dxa"/>
          <w:right w:w="0" w:type="dxa"/>
        </w:tblCellMar>
      </w:tblPr>
      <w:tblGrid>
        <w:gridCol w:w="75"/>
        <w:gridCol w:w="710"/>
        <w:gridCol w:w="4565"/>
      </w:tblGrid>
      <w:tr>
        <w:trPr/>
        <w:tc>
          <w:tcPr>
            <w:tcW w:w="75" w:type="dxa"/>
            <w:tcBorders/>
            <w:vAlign w:val="center"/>
          </w:tcPr>
          <w:p>
            <w:pPr>
              <w:pStyle w:val="TableContents"/>
              <w:bidi w:val="0"/>
              <w:spacing w:before="0" w:after="283"/>
              <w:jc w:val="left"/>
              <w:rPr/>
            </w:pPr>
            <w:r>
              <w:rPr/>
              <w:t> </w:t>
            </w:r>
          </w:p>
        </w:tc>
        <w:tc>
          <w:tcPr>
            <w:tcW w:w="5275" w:type="dxa"/>
            <w:gridSpan w:val="2"/>
            <w:tcBorders/>
            <w:vAlign w:val="center"/>
          </w:tcPr>
          <w:p>
            <w:pPr>
              <w:pStyle w:val="TableContents"/>
              <w:bidi w:val="0"/>
              <w:spacing w:before="0" w:after="283"/>
              <w:jc w:val="left"/>
              <w:rPr>
                <w:b/>
              </w:rPr>
            </w:pPr>
            <w:r>
              <w:rPr>
                <w:b/>
              </w:rPr>
              <w:t>COMPANY:</w:t>
            </w:r>
          </w:p>
        </w:tc>
      </w:tr>
      <w:tr>
        <w:trPr/>
        <w:tc>
          <w:tcPr>
            <w:tcW w:w="75" w:type="dxa"/>
            <w:tcBorders/>
            <w:vAlign w:val="center"/>
          </w:tcPr>
          <w:p>
            <w:pPr>
              <w:pStyle w:val="TableContents"/>
              <w:bidi w:val="0"/>
              <w:spacing w:before="0" w:after="283"/>
              <w:jc w:val="left"/>
              <w:rPr/>
            </w:pPr>
            <w:r>
              <w:rPr/>
              <w:t> </w:t>
            </w:r>
          </w:p>
        </w:tc>
        <w:tc>
          <w:tcPr>
            <w:tcW w:w="5275" w:type="dxa"/>
            <w:gridSpan w:val="2"/>
            <w:tcBorders/>
            <w:vAlign w:val="center"/>
          </w:tcPr>
          <w:p>
            <w:pPr>
              <w:pStyle w:val="TableContents"/>
              <w:bidi w:val="0"/>
              <w:spacing w:before="0" w:after="283"/>
              <w:jc w:val="left"/>
              <w:rPr>
                <w:b/>
              </w:rPr>
            </w:pPr>
            <w:r>
              <w:rPr>
                <w:b/>
              </w:rPr>
              <w:t>SONO GROUP N.V.</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45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565" w:type="dxa"/>
            <w:tcBorders>
              <w:bottom w:val="single" w:sz="8" w:space="0" w:color="000000"/>
            </w:tcBorders>
            <w:tcMar>
              <w:bottom w:w="28" w:type="dxa"/>
            </w:tcMar>
            <w:vAlign w:val="center"/>
          </w:tcPr>
          <w:p>
            <w:pPr>
              <w:pStyle w:val="TableContents"/>
              <w:bidi w:val="0"/>
              <w:spacing w:before="0" w:after="283"/>
              <w:jc w:val="left"/>
              <w:rPr/>
            </w:pPr>
            <w:r>
              <w:rPr/>
              <w:t>George O’Leary</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4565" w:type="dxa"/>
            <w:tcBorders/>
            <w:vAlign w:val="center"/>
          </w:tcPr>
          <w:p>
            <w:pPr>
              <w:pStyle w:val="TableContents"/>
              <w:bidi w:val="0"/>
              <w:spacing w:before="0" w:after="283"/>
              <w:jc w:val="left"/>
              <w:rPr/>
            </w:pPr>
            <w:r>
              <w:rPr/>
              <w:t>George O’Leary</w:t>
            </w:r>
          </w:p>
        </w:tc>
      </w:tr>
      <w:tr>
        <w:trPr/>
        <w:tc>
          <w:tcPr>
            <w:tcW w:w="75" w:type="dxa"/>
            <w:tcBorders/>
            <w:vAlign w:val="center"/>
          </w:tcPr>
          <w:p>
            <w:pPr>
              <w:pStyle w:val="TableContents"/>
              <w:bidi w:val="0"/>
              <w:spacing w:before="0" w:after="283"/>
              <w:ind w:left="0" w:right="0" w:hanging="628"/>
              <w:jc w:val="left"/>
              <w:rPr/>
            </w:pPr>
            <w:r>
              <w:rPr/>
              <w:t> </w:t>
            </w:r>
          </w:p>
        </w:tc>
        <w:tc>
          <w:tcPr>
            <w:tcW w:w="710" w:type="dxa"/>
            <w:tcBorders/>
            <w:vAlign w:val="center"/>
          </w:tcPr>
          <w:p>
            <w:pPr>
              <w:pStyle w:val="TableContents"/>
              <w:bidi w:val="0"/>
              <w:spacing w:before="0" w:after="283"/>
              <w:jc w:val="left"/>
              <w:rPr/>
            </w:pPr>
            <w:r>
              <w:rPr/>
              <w:t>Title:</w:t>
              <w:tab/>
            </w:r>
          </w:p>
        </w:tc>
        <w:tc>
          <w:tcPr>
            <w:tcW w:w="4565" w:type="dxa"/>
            <w:tcBorders/>
            <w:vAlign w:val="center"/>
          </w:tcPr>
          <w:p>
            <w:pPr>
              <w:pStyle w:val="TableContents"/>
              <w:bidi w:val="0"/>
              <w:spacing w:before="0" w:after="283"/>
              <w:jc w:val="left"/>
              <w:rPr/>
            </w:pPr>
            <w:r>
              <w:rPr/>
              <w:t>Chief Executive Officer and Managing Director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229" w:type="dxa"/>
        <w:jc w:val="left"/>
        <w:tblInd w:w="0" w:type="dxa"/>
        <w:tblLayout w:type="fixed"/>
        <w:tblCellMar>
          <w:top w:w="0" w:type="dxa"/>
          <w:left w:w="0" w:type="dxa"/>
          <w:bottom w:w="0" w:type="dxa"/>
          <w:right w:w="0" w:type="dxa"/>
        </w:tblCellMar>
      </w:tblPr>
      <w:tblGrid>
        <w:gridCol w:w="75"/>
        <w:gridCol w:w="1073"/>
        <w:gridCol w:w="2081"/>
      </w:tblGrid>
      <w:tr>
        <w:trPr/>
        <w:tc>
          <w:tcPr>
            <w:tcW w:w="75"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b/>
              </w:rPr>
            </w:pPr>
            <w:r>
              <w:rPr>
                <w:b/>
              </w:rPr>
              <w:t>INVESTOR:</w:t>
            </w:r>
          </w:p>
        </w:tc>
      </w:tr>
      <w:tr>
        <w:trPr/>
        <w:tc>
          <w:tcPr>
            <w:tcW w:w="75"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0"/>
              <w:ind w:left="0" w:right="0" w:hanging="0"/>
              <w:jc w:val="left"/>
              <w:rPr>
                <w:b/>
                <w:sz w:val="20"/>
              </w:rPr>
            </w:pPr>
            <w:r>
              <w:rPr>
                <w:b/>
                <w:sz w:val="20"/>
              </w:rPr>
              <w:t>YA II PN, LTD.</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0"/>
              <w:ind w:left="0" w:right="0" w:hanging="0"/>
              <w:jc w:val="left"/>
              <w:rPr>
                <w:sz w:val="20"/>
              </w:rPr>
            </w:pPr>
            <w:r>
              <w:rPr>
                <w:sz w:val="20"/>
              </w:rPr>
              <w:t>By: Yorkville Advisors Global, LP</w:t>
            </w:r>
          </w:p>
          <w:p>
            <w:pPr>
              <w:pStyle w:val="TableContents"/>
              <w:bidi w:val="0"/>
              <w:spacing w:before="0" w:after="0"/>
              <w:ind w:left="0" w:right="0" w:hanging="0"/>
              <w:jc w:val="left"/>
              <w:rPr>
                <w:sz w:val="20"/>
              </w:rPr>
            </w:pPr>
            <w:r>
              <w:rPr>
                <w:sz w:val="20"/>
              </w:rPr>
              <w:t>Its: Investment Manger</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By: Yorkville Advisors Global II, LLC</w:t>
            </w:r>
          </w:p>
          <w:p>
            <w:pPr>
              <w:pStyle w:val="TableContents"/>
              <w:bidi w:val="0"/>
              <w:spacing w:before="0" w:after="0"/>
              <w:ind w:left="0" w:right="0" w:hanging="0"/>
              <w:jc w:val="left"/>
              <w:rPr>
                <w:sz w:val="20"/>
              </w:rPr>
            </w:pPr>
            <w:r>
              <w:rPr>
                <w:sz w:val="20"/>
              </w:rPr>
              <w:t>Its: General Partner</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left"/>
              <w:rPr/>
            </w:pPr>
            <w:r>
              <w:rPr/>
              <w:t>By:</w:t>
            </w:r>
          </w:p>
        </w:tc>
        <w:tc>
          <w:tcPr>
            <w:tcW w:w="2081" w:type="dxa"/>
            <w:tcBorders>
              <w:bottom w:val="single" w:sz="8" w:space="0" w:color="000000"/>
            </w:tcBorders>
            <w:tcMar>
              <w:bottom w:w="28" w:type="dxa"/>
            </w:tcMar>
            <w:vAlign w:val="center"/>
          </w:tcPr>
          <w:p>
            <w:pPr>
              <w:pStyle w:val="TableContents"/>
              <w:bidi w:val="0"/>
              <w:spacing w:before="0" w:after="283"/>
              <w:jc w:val="left"/>
              <w:rPr/>
            </w:pPr>
            <w:r>
              <w:rPr/>
              <w:t>Michael Rosselli</w:t>
            </w:r>
          </w:p>
        </w:tc>
      </w:tr>
      <w:tr>
        <w:trPr/>
        <w:tc>
          <w:tcPr>
            <w:tcW w:w="75"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left"/>
              <w:rPr/>
            </w:pPr>
            <w:r>
              <w:rPr/>
              <w:t xml:space="preserve">Name:   </w:t>
            </w:r>
          </w:p>
        </w:tc>
        <w:tc>
          <w:tcPr>
            <w:tcW w:w="2081" w:type="dxa"/>
            <w:tcBorders/>
            <w:vAlign w:val="center"/>
          </w:tcPr>
          <w:p>
            <w:pPr>
              <w:pStyle w:val="TableContents"/>
              <w:bidi w:val="0"/>
              <w:spacing w:before="0" w:after="283"/>
              <w:jc w:val="left"/>
              <w:rPr/>
            </w:pPr>
            <w:r>
              <w:rPr/>
              <w:t>Michael Rosselli</w:t>
              <w:tab/>
            </w:r>
          </w:p>
        </w:tc>
      </w:tr>
      <w:tr>
        <w:trPr/>
        <w:tc>
          <w:tcPr>
            <w:tcW w:w="75"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left"/>
              <w:rPr/>
            </w:pPr>
            <w:r>
              <w:rPr/>
              <w:t>Title:    </w:t>
            </w:r>
          </w:p>
        </w:tc>
        <w:tc>
          <w:tcPr>
            <w:tcW w:w="2081" w:type="dxa"/>
            <w:tcBorders/>
            <w:vAlign w:val="center"/>
          </w:tcPr>
          <w:p>
            <w:pPr>
              <w:pStyle w:val="TableContents"/>
              <w:bidi w:val="0"/>
              <w:spacing w:before="0" w:after="283"/>
              <w:jc w:val="left"/>
              <w:rPr/>
            </w:pPr>
            <w:r>
              <w:rPr/>
              <w:t>Partner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b/>
        </w:rPr>
      </w:pPr>
      <w:bookmarkStart w:id="23" w:name="exh_102.htm"/>
      <w:bookmarkStart w:id="24" w:name="ksexh_102"/>
      <w:bookmarkEnd w:id="23"/>
      <w:bookmarkEnd w:id="24"/>
      <w:r>
        <w:rPr>
          <w:b/>
        </w:rPr>
        <w:t>Exhibit 10.2</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OMNIBUS AMENDMENT TO TRANSACTION DOCUMENTS</w:t>
      </w:r>
    </w:p>
    <w:p>
      <w:pPr>
        <w:pStyle w:val="TextBody"/>
        <w:bidi w:val="0"/>
        <w:spacing w:before="0" w:after="0"/>
        <w:ind w:left="0" w:right="0" w:hanging="0"/>
        <w:jc w:val="left"/>
        <w:rPr/>
      </w:pPr>
      <w:r>
        <w:rPr/>
        <w:t> </w:t>
      </w:r>
    </w:p>
    <w:p>
      <w:pPr>
        <w:pStyle w:val="TextBody"/>
        <w:bidi w:val="0"/>
        <w:spacing w:before="0" w:after="0"/>
        <w:ind w:left="0" w:right="0" w:firstLine="941"/>
        <w:jc w:val="both"/>
        <w:rPr>
          <w:sz w:val="20"/>
        </w:rPr>
      </w:pPr>
      <w:r>
        <w:rPr>
          <w:sz w:val="20"/>
        </w:rPr>
        <w:t>This Omnibus Amendment to Transaction Documents (this “</w:t>
      </w:r>
      <w:r>
        <w:rPr>
          <w:sz w:val="20"/>
          <w:u w:val="single"/>
        </w:rPr>
        <w:t>Amendment</w:t>
      </w:r>
      <w:r>
        <w:rPr>
          <w:sz w:val="20"/>
        </w:rPr>
        <w:t>” or “</w:t>
      </w:r>
      <w:r>
        <w:rPr>
          <w:sz w:val="20"/>
          <w:u w:val="single"/>
        </w:rPr>
        <w:t>Agreement</w:t>
      </w:r>
      <w:r>
        <w:rPr>
          <w:sz w:val="20"/>
        </w:rPr>
        <w:t>”) is entered into as of August 6, 2025 by and between Sono Group N.V., a Dutch public limited liability company (the “</w:t>
      </w:r>
      <w:r>
        <w:rPr>
          <w:sz w:val="20"/>
          <w:u w:val="single"/>
        </w:rPr>
        <w:t>Company</w:t>
      </w:r>
      <w:r>
        <w:rPr>
          <w:sz w:val="20"/>
        </w:rPr>
        <w:t>”) and YA II PN, LTD., a Cayman Islands exempt limited partnership (the “</w:t>
      </w:r>
      <w:r>
        <w:rPr>
          <w:sz w:val="20"/>
          <w:u w:val="single"/>
        </w:rPr>
        <w:t>Investor</w:t>
      </w:r>
      <w:r>
        <w:rPr>
          <w:sz w:val="20"/>
        </w:rPr>
        <w:t>”), with reference to (1) the Exchange Agreement entered into on December 30, 2024 between the Company to the Investor (“</w:t>
      </w:r>
      <w:r>
        <w:rPr>
          <w:sz w:val="20"/>
          <w:u w:val="single"/>
        </w:rPr>
        <w:t>Exchange Agreement</w:t>
      </w:r>
      <w:r>
        <w:rPr>
          <w:sz w:val="20"/>
        </w:rPr>
        <w:t>”); and (2) the Securities Purchase Agreement entered into on December 30, 2024 between the Company and the Investor (the “</w:t>
      </w:r>
      <w:r>
        <w:rPr>
          <w:sz w:val="20"/>
          <w:u w:val="single"/>
        </w:rPr>
        <w:t>Securities Purchase Agreement</w:t>
      </w:r>
      <w:r>
        <w:rPr>
          <w:sz w:val="20"/>
        </w:rPr>
        <w:t>”), each as previously amended.</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b/>
          <w:sz w:val="20"/>
        </w:rPr>
        <w:t>WHEREAS</w:t>
      </w:r>
      <w:r>
        <w:rPr>
          <w:sz w:val="20"/>
        </w:rPr>
        <w:t>, pursuant to the Securities Purchase Agreement, the Investor shall advance to the Company $5,000,000, which shall be evidenced by a convertible debenture in the form attached thereto (the “</w:t>
      </w:r>
      <w:r>
        <w:rPr>
          <w:sz w:val="20"/>
          <w:u w:val="single"/>
        </w:rPr>
        <w:t>Convertible Debenture</w:t>
      </w:r>
      <w:r>
        <w:rPr>
          <w:sz w:val="20"/>
        </w:rPr>
        <w:t>”) in the aggregate principal amount of $5,000,000, upon the satisfaction of the terms and conditions set forth therein, which conditions have not yet been satisfied;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b/>
          <w:sz w:val="20"/>
        </w:rPr>
        <w:t>WHEREAS</w:t>
      </w:r>
      <w:r>
        <w:rPr>
          <w:sz w:val="20"/>
        </w:rPr>
        <w:t>, on February 12, 2025, the Company requested, and the Investor agreed to, an advance of $1,000,000 of the $5,000,000, and, on such date the Investor advanced $1,000,000 to the Company and the Company issued to the Investor a Convertible Debenture in the principal amount of $1,000,000 (“</w:t>
      </w:r>
      <w:r>
        <w:rPr>
          <w:sz w:val="20"/>
          <w:u w:val="single"/>
        </w:rPr>
        <w:t>Debenture No. SEV-6a</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b/>
          <w:sz w:val="20"/>
        </w:rPr>
        <w:t>WHEREAS</w:t>
      </w:r>
      <w:r>
        <w:rPr>
          <w:sz w:val="20"/>
        </w:rPr>
        <w:t>, on March 25, 2025, the Company requested, and the Investor agreed to, an advance of an additional $1,000,000 of the $5,000,000, and, on such date the Investor advanced $1,000,000 to the Company and the Company issued to the Investor a Convertible Debenture in the principal amount of $1,000,000 (“</w:t>
      </w:r>
      <w:r>
        <w:rPr>
          <w:sz w:val="20"/>
          <w:u w:val="single"/>
        </w:rPr>
        <w:t>Debenture No. SEV-6b</w:t>
      </w:r>
      <w:r>
        <w:rPr>
          <w:sz w:val="20"/>
        </w:rPr>
        <w:t>”); and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b/>
          <w:sz w:val="20"/>
        </w:rPr>
        <w:t>WHEREAS</w:t>
      </w:r>
      <w:r>
        <w:rPr>
          <w:sz w:val="20"/>
        </w:rPr>
        <w:t>, on April 24, 2025, the Company requested, and the Investor agreed to, an advance of an additional $500,000 of the $5,000,000, and, on such date the Investor advanced $500,000 to the Company and the Company issued to the Investor a Convertible Debenture in the principal amount of $500,000 (“</w:t>
      </w:r>
      <w:r>
        <w:rPr>
          <w:sz w:val="20"/>
          <w:u w:val="single"/>
        </w:rPr>
        <w:t>Debenture No. SEV-6c</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b/>
          <w:sz w:val="20"/>
        </w:rPr>
        <w:t>WHEREAS</w:t>
      </w:r>
      <w:r>
        <w:rPr>
          <w:sz w:val="20"/>
        </w:rPr>
        <w:t>, on May 27, 2025, the Company requested, and the Investor agreed to, an advance of an additional $750,000 of the $5,000,000, and, on such date the Investor advanced $750,000 to the Company and the Company issued to the Investor a Convertible Debenture in the principal amount of $750,000 (“</w:t>
      </w:r>
      <w:r>
        <w:rPr>
          <w:sz w:val="20"/>
          <w:u w:val="single"/>
        </w:rPr>
        <w:t>Debenture No. SEV-6d</w:t>
      </w:r>
      <w:r>
        <w:rPr>
          <w:sz w:val="20"/>
        </w:rPr>
        <w:t>”); and</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b/>
          <w:sz w:val="20"/>
        </w:rPr>
        <w:t>WHEREAS</w:t>
      </w:r>
      <w:r>
        <w:rPr>
          <w:sz w:val="20"/>
        </w:rPr>
        <w:t>, the Company has requested, and the Investor has agreed to, an additional advance of $190,000 of the $5,000,000 on the date hereof, with the remaining $1,560,000 to be advanced upon the satisfaction of all of the conditions set forth in the Securities Purchase Agreement.</w:t>
      </w:r>
    </w:p>
    <w:p>
      <w:pPr>
        <w:pStyle w:val="TextBody"/>
        <w:bidi w:val="0"/>
        <w:spacing w:before="0" w:after="0"/>
        <w:ind w:left="0" w:right="0" w:firstLine="720"/>
        <w:jc w:val="both"/>
        <w:rPr/>
      </w:pPr>
      <w:r>
        <w:rPr/>
        <w:t> </w:t>
      </w:r>
    </w:p>
    <w:p>
      <w:pPr>
        <w:pStyle w:val="TextBody"/>
        <w:bidi w:val="0"/>
        <w:spacing w:before="0" w:after="0"/>
        <w:ind w:left="0" w:right="0" w:hanging="0"/>
        <w:jc w:val="left"/>
        <w:rPr>
          <w:sz w:val="20"/>
        </w:rPr>
      </w:pPr>
      <w:r>
        <w:rPr>
          <w:sz w:val="20"/>
        </w:rPr>
        <w:t>By this Amendment, the Company and Lender have agreed to the following terms:</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8"/>
        <w:gridCol w:w="363"/>
        <w:gridCol w:w="9774"/>
      </w:tblGrid>
      <w:tr>
        <w:trPr/>
        <w:tc>
          <w:tcPr>
            <w:tcW w:w="6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1.</w:t>
            </w:r>
          </w:p>
        </w:tc>
        <w:tc>
          <w:tcPr>
            <w:tcW w:w="9774" w:type="dxa"/>
            <w:tcBorders/>
            <w:vAlign w:val="center"/>
          </w:tcPr>
          <w:p>
            <w:pPr>
              <w:pStyle w:val="TableContents"/>
              <w:bidi w:val="0"/>
              <w:spacing w:before="0" w:after="283"/>
              <w:jc w:val="both"/>
              <w:rPr/>
            </w:pPr>
            <w:r>
              <w:rPr>
                <w:b/>
                <w:u w:val="single"/>
              </w:rPr>
              <w:t>Modifications to the Securities Purchase Agreement</w:t>
            </w:r>
            <w:r>
              <w:rPr>
                <w:b/>
              </w:rPr>
              <w:t>.</w:t>
            </w:r>
            <w:r>
              <w:rPr/>
              <w:t> </w:t>
            </w:r>
          </w:p>
        </w:tc>
      </w:tr>
    </w:tbl>
    <w:p>
      <w:pPr>
        <w:pStyle w:val="TextBody"/>
        <w:bidi w:val="0"/>
        <w:spacing w:before="0" w:after="0"/>
        <w:ind w:left="36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Subject to the satisfaction of the conditions set forth in Section 6 and 7 of the Securities Purchase Agreement, as modified by this Agreement, the parties hereby agree that on the date hereof, the Investor shall advance to the Company the principal amount of $190,000 and the Company shall issue and deliver to the Investor a Convertible Debenture, duly executed on behalf of the Company, with an aggregate principal amount of $1900,000 (the “</w:t>
            </w:r>
            <w:r>
              <w:rPr>
                <w:u w:val="single"/>
              </w:rPr>
              <w:t>Fifth Convertible Debenture</w:t>
            </w:r>
            <w:r>
              <w:rPr/>
              <w:t>”).</w:t>
            </w:r>
          </w:p>
        </w:tc>
      </w:tr>
    </w:tbl>
    <w:p>
      <w:pPr>
        <w:pStyle w:val="TextBody"/>
        <w:bidi w:val="0"/>
        <w:spacing w:before="0" w:after="0"/>
        <w:ind w:left="144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Solely in connection with the closing of the issuance of the Fifth Convertible Debenture, the Investor waives the satisfaction of the conditions set forth in Section 7(d) of the Securities Purchase Agreement.</w:t>
            </w:r>
          </w:p>
        </w:tc>
      </w:tr>
    </w:tbl>
    <w:p>
      <w:pPr>
        <w:pStyle w:val="TextBody"/>
        <w:bidi w:val="0"/>
        <w:spacing w:before="0" w:after="0"/>
        <w:ind w:left="72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left"/>
              <w:rPr/>
            </w:pPr>
            <w:r>
              <w:rPr/>
              <w:t>The remaining terms and conditions with respect to the issuance and sale of the Convertible Debenture set forth in the Securities Purchase Agreement shall remain in full force and effect, except that the principal amount of the Convertible Debenture shall be reduced to $1,560,000 as a result of the issuance of the Fifth Convertible Debenture, Debenture No. SEV-6a., Debenture No. SEV-6b, Debenture No. SEV-6c, and Debenture SEV-6d.</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2.</w:t>
            </w:r>
          </w:p>
        </w:tc>
        <w:tc>
          <w:tcPr>
            <w:tcW w:w="10023" w:type="dxa"/>
            <w:tcBorders/>
            <w:vAlign w:val="center"/>
          </w:tcPr>
          <w:p>
            <w:pPr>
              <w:pStyle w:val="TableContents"/>
              <w:bidi w:val="0"/>
              <w:spacing w:before="0" w:after="283"/>
              <w:jc w:val="both"/>
              <w:rPr/>
            </w:pPr>
            <w:r>
              <w:rPr>
                <w:b/>
              </w:rPr>
              <w:t>Exchange Agreement.</w:t>
            </w:r>
            <w:r>
              <w:rPr/>
              <w:t xml:space="preserve"> In connection with the Exchange Agreement, the Convertible Debenture in the principal amount of $5,000,000 (referred to as “Debenture 6” therein) shall be exchanged for Preferred Shares (as defined in the Exchange Agreement), subject to the satisfaction of the conditions precedent set forth therein. The parties hereby agree that from and after the issuance of the Fifth Convertible Debenture contemplated by this Agreement, for the purposes of the Exchange Agreement, “Debenture 6” shall consist of each of Debenture No. SEV-6a, Debenture No. SEV-6b, Debenture No. SEV-6c, Debenture No. SEV-6e, and the Fifth Convertible Debenture, and the remaining Convertible Debenture to be issued pursuant to the Securities Purchase Agreement in the principal amount of $1,560,000, each of which shall be part of the exchange of debentures for Preferred Shares as contemplated by the Exchange Agreement.</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3.</w:t>
            </w:r>
          </w:p>
        </w:tc>
        <w:tc>
          <w:tcPr>
            <w:tcW w:w="10020" w:type="dxa"/>
            <w:tcBorders/>
            <w:vAlign w:val="center"/>
          </w:tcPr>
          <w:p>
            <w:pPr>
              <w:pStyle w:val="TableContents"/>
              <w:bidi w:val="0"/>
              <w:spacing w:before="0" w:after="283"/>
              <w:jc w:val="both"/>
              <w:rPr/>
            </w:pPr>
            <w:r>
              <w:rPr>
                <w:b/>
              </w:rPr>
              <w:t>Effect; Continuing Validity.</w:t>
            </w:r>
            <w:r>
              <w:rPr/>
              <w:t>  The Securities Purchase Agreement and the Exchange Agreement are amended to the extent necessary to give effect to this Agreement, and the terms of this Agreement shall supersede any contrary terms. Except as specifically set forth herein, the terms and conditions of the Securities Purchase Agreement and the Exchange Agreement shall remain unmodified and are hereby ratified by the parties. This Agreement in no way acts as a release or relinquishment of, and in no way affects, the liens, security interests and rights created by or arising under the Securities Purchase Agreement and the Exchange Agreement.</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4.</w:t>
            </w:r>
          </w:p>
        </w:tc>
        <w:tc>
          <w:tcPr>
            <w:tcW w:w="10000" w:type="dxa"/>
            <w:tcBorders/>
            <w:vAlign w:val="center"/>
          </w:tcPr>
          <w:p>
            <w:pPr>
              <w:pStyle w:val="TableContents"/>
              <w:bidi w:val="0"/>
              <w:spacing w:before="0" w:after="283"/>
              <w:jc w:val="both"/>
              <w:rPr/>
            </w:pPr>
            <w:r>
              <w:rPr>
                <w:b/>
              </w:rPr>
              <w:t>This Agreement One of the Transaction Documents</w:t>
            </w:r>
            <w:r>
              <w:rPr/>
              <w:t>.  From and after the date hereof, this Agreement is and shall be deemed a “Transaction Document” as used in the Securities Purchase Agreement.</w:t>
            </w:r>
          </w:p>
        </w:tc>
      </w:tr>
    </w:tbl>
    <w:p>
      <w:pPr>
        <w:pStyle w:val="TextBody"/>
        <w:bidi w:val="0"/>
        <w:spacing w:before="0" w:after="0"/>
        <w:ind w:left="72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5.</w:t>
            </w:r>
          </w:p>
        </w:tc>
        <w:tc>
          <w:tcPr>
            <w:tcW w:w="10016" w:type="dxa"/>
            <w:tcBorders/>
            <w:vAlign w:val="center"/>
          </w:tcPr>
          <w:p>
            <w:pPr>
              <w:pStyle w:val="TableContents"/>
              <w:bidi w:val="0"/>
              <w:spacing w:before="0" w:after="283"/>
              <w:jc w:val="both"/>
              <w:rPr/>
            </w:pPr>
            <w:r>
              <w:rPr>
                <w:b/>
              </w:rPr>
              <w:t>Miscellaneous</w:t>
            </w:r>
            <w:r>
              <w:rPr/>
              <w:t>. This Agreement shall be governed by and construed in accordance with the laws of the State of New York. This Agreement may be executed in counterparts, each of which, when so executed, shall be deemed an original, but all such counterparts, taken together, shall constitute one and the same instrument. Delivery of an executed counterpart of this Agreement by telefacsimile or electronically shall be equally as effective as delivery of a manually executed counterpart of this Agreement.</w:t>
            </w:r>
          </w:p>
        </w:tc>
      </w:tr>
    </w:tbl>
    <w:p>
      <w:pPr>
        <w:pStyle w:val="TextBody"/>
        <w:bidi w:val="0"/>
        <w:spacing w:before="0" w:after="0"/>
        <w:ind w:left="360" w:right="0" w:hanging="36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both"/>
        <w:rPr>
          <w:sz w:val="20"/>
        </w:rPr>
      </w:pPr>
      <w:r>
        <w:rPr>
          <w:b/>
          <w:sz w:val="20"/>
        </w:rPr>
        <w:t>IN WITNESS WHEREOF</w:t>
      </w:r>
      <w:r>
        <w:rPr>
          <w:sz w:val="20"/>
        </w:rPr>
        <w:t>, the Company and Investor have caused this this Omnibus Amendment to Transaction Documents to be duly executed by a duly authorized officer as of the date first written above.</w:t>
      </w:r>
    </w:p>
    <w:p>
      <w:pPr>
        <w:pStyle w:val="TextBody"/>
        <w:bidi w:val="0"/>
        <w:spacing w:before="0" w:after="0"/>
        <w:ind w:left="0" w:right="0" w:firstLine="36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350" w:type="dxa"/>
        <w:jc w:val="left"/>
        <w:tblInd w:w="0" w:type="dxa"/>
        <w:tblLayout w:type="fixed"/>
        <w:tblCellMar>
          <w:top w:w="0" w:type="dxa"/>
          <w:left w:w="0" w:type="dxa"/>
          <w:bottom w:w="0" w:type="dxa"/>
          <w:right w:w="0" w:type="dxa"/>
        </w:tblCellMar>
      </w:tblPr>
      <w:tblGrid>
        <w:gridCol w:w="75"/>
        <w:gridCol w:w="710"/>
        <w:gridCol w:w="4565"/>
      </w:tblGrid>
      <w:tr>
        <w:trPr/>
        <w:tc>
          <w:tcPr>
            <w:tcW w:w="75" w:type="dxa"/>
            <w:tcBorders/>
            <w:vAlign w:val="center"/>
          </w:tcPr>
          <w:p>
            <w:pPr>
              <w:pStyle w:val="TableContents"/>
              <w:bidi w:val="0"/>
              <w:spacing w:before="0" w:after="283"/>
              <w:jc w:val="left"/>
              <w:rPr/>
            </w:pPr>
            <w:r>
              <w:rPr/>
              <w:t> </w:t>
            </w:r>
          </w:p>
        </w:tc>
        <w:tc>
          <w:tcPr>
            <w:tcW w:w="5275" w:type="dxa"/>
            <w:gridSpan w:val="2"/>
            <w:tcBorders/>
            <w:vAlign w:val="center"/>
          </w:tcPr>
          <w:p>
            <w:pPr>
              <w:pStyle w:val="TableContents"/>
              <w:bidi w:val="0"/>
              <w:spacing w:before="0" w:after="283"/>
              <w:jc w:val="left"/>
              <w:rPr>
                <w:b/>
              </w:rPr>
            </w:pPr>
            <w:r>
              <w:rPr>
                <w:b/>
              </w:rPr>
              <w:t>COMPANY:</w:t>
            </w:r>
          </w:p>
        </w:tc>
      </w:tr>
      <w:tr>
        <w:trPr/>
        <w:tc>
          <w:tcPr>
            <w:tcW w:w="75" w:type="dxa"/>
            <w:tcBorders/>
            <w:vAlign w:val="center"/>
          </w:tcPr>
          <w:p>
            <w:pPr>
              <w:pStyle w:val="TableContents"/>
              <w:bidi w:val="0"/>
              <w:spacing w:before="0" w:after="283"/>
              <w:jc w:val="left"/>
              <w:rPr/>
            </w:pPr>
            <w:r>
              <w:rPr/>
              <w:t> </w:t>
            </w:r>
          </w:p>
        </w:tc>
        <w:tc>
          <w:tcPr>
            <w:tcW w:w="5275" w:type="dxa"/>
            <w:gridSpan w:val="2"/>
            <w:tcBorders/>
            <w:vAlign w:val="center"/>
          </w:tcPr>
          <w:p>
            <w:pPr>
              <w:pStyle w:val="TableContents"/>
              <w:bidi w:val="0"/>
              <w:spacing w:before="0" w:after="283"/>
              <w:jc w:val="left"/>
              <w:rPr>
                <w:b/>
              </w:rPr>
            </w:pPr>
            <w:r>
              <w:rPr>
                <w:b/>
              </w:rPr>
              <w:t>SONO GROUP N.V.</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45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565" w:type="dxa"/>
            <w:tcBorders>
              <w:bottom w:val="single" w:sz="8" w:space="0" w:color="000000"/>
            </w:tcBorders>
            <w:tcMar>
              <w:bottom w:w="28" w:type="dxa"/>
            </w:tcMar>
            <w:vAlign w:val="center"/>
          </w:tcPr>
          <w:p>
            <w:pPr>
              <w:pStyle w:val="TableContents"/>
              <w:bidi w:val="0"/>
              <w:spacing w:before="0" w:after="283"/>
              <w:jc w:val="left"/>
              <w:rPr/>
            </w:pPr>
            <w:r>
              <w:rPr/>
              <w:t>George O’Leary</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4565" w:type="dxa"/>
            <w:tcBorders/>
            <w:vAlign w:val="center"/>
          </w:tcPr>
          <w:p>
            <w:pPr>
              <w:pStyle w:val="TableContents"/>
              <w:bidi w:val="0"/>
              <w:spacing w:before="0" w:after="283"/>
              <w:jc w:val="left"/>
              <w:rPr/>
            </w:pPr>
            <w:r>
              <w:rPr/>
              <w:t>George O’Leary</w:t>
            </w:r>
          </w:p>
        </w:tc>
      </w:tr>
      <w:tr>
        <w:trPr/>
        <w:tc>
          <w:tcPr>
            <w:tcW w:w="75" w:type="dxa"/>
            <w:tcBorders/>
            <w:vAlign w:val="center"/>
          </w:tcPr>
          <w:p>
            <w:pPr>
              <w:pStyle w:val="TableContents"/>
              <w:bidi w:val="0"/>
              <w:spacing w:before="0" w:after="283"/>
              <w:ind w:left="0" w:right="0" w:hanging="628"/>
              <w:jc w:val="left"/>
              <w:rPr/>
            </w:pPr>
            <w:r>
              <w:rPr/>
              <w:t> </w:t>
            </w:r>
          </w:p>
        </w:tc>
        <w:tc>
          <w:tcPr>
            <w:tcW w:w="710" w:type="dxa"/>
            <w:tcBorders/>
            <w:vAlign w:val="center"/>
          </w:tcPr>
          <w:p>
            <w:pPr>
              <w:pStyle w:val="TableContents"/>
              <w:bidi w:val="0"/>
              <w:spacing w:before="0" w:after="283"/>
              <w:jc w:val="left"/>
              <w:rPr/>
            </w:pPr>
            <w:r>
              <w:rPr/>
              <w:t>Title:</w:t>
              <w:tab/>
            </w:r>
          </w:p>
        </w:tc>
        <w:tc>
          <w:tcPr>
            <w:tcW w:w="4565" w:type="dxa"/>
            <w:tcBorders/>
            <w:vAlign w:val="center"/>
          </w:tcPr>
          <w:p>
            <w:pPr>
              <w:pStyle w:val="TableContents"/>
              <w:bidi w:val="0"/>
              <w:spacing w:before="0" w:after="283"/>
              <w:jc w:val="left"/>
              <w:rPr/>
            </w:pPr>
            <w:r>
              <w:rPr/>
              <w:t>Chief Executive Officer and Managing Director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229" w:type="dxa"/>
        <w:jc w:val="left"/>
        <w:tblInd w:w="0" w:type="dxa"/>
        <w:tblLayout w:type="fixed"/>
        <w:tblCellMar>
          <w:top w:w="0" w:type="dxa"/>
          <w:left w:w="0" w:type="dxa"/>
          <w:bottom w:w="0" w:type="dxa"/>
          <w:right w:w="0" w:type="dxa"/>
        </w:tblCellMar>
      </w:tblPr>
      <w:tblGrid>
        <w:gridCol w:w="75"/>
        <w:gridCol w:w="1047"/>
        <w:gridCol w:w="2107"/>
      </w:tblGrid>
      <w:tr>
        <w:trPr/>
        <w:tc>
          <w:tcPr>
            <w:tcW w:w="75"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b/>
              </w:rPr>
            </w:pPr>
            <w:r>
              <w:rPr>
                <w:b/>
              </w:rPr>
              <w:t>INVESTOR:</w:t>
            </w:r>
          </w:p>
        </w:tc>
      </w:tr>
      <w:tr>
        <w:trPr/>
        <w:tc>
          <w:tcPr>
            <w:tcW w:w="75"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0"/>
              <w:ind w:left="0" w:right="0" w:hanging="0"/>
              <w:jc w:val="left"/>
              <w:rPr>
                <w:b/>
                <w:sz w:val="20"/>
              </w:rPr>
            </w:pPr>
            <w:r>
              <w:rPr>
                <w:b/>
                <w:sz w:val="20"/>
              </w:rPr>
              <w:t>YA II PN, LTD.</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0"/>
              <w:ind w:left="0" w:right="0" w:hanging="0"/>
              <w:jc w:val="left"/>
              <w:rPr>
                <w:sz w:val="20"/>
              </w:rPr>
            </w:pPr>
            <w:r>
              <w:rPr>
                <w:sz w:val="20"/>
              </w:rPr>
              <w:t>By: Yorkville Advisors Global, LP</w:t>
            </w:r>
          </w:p>
          <w:p>
            <w:pPr>
              <w:pStyle w:val="TableContents"/>
              <w:bidi w:val="0"/>
              <w:spacing w:before="0" w:after="0"/>
              <w:ind w:left="0" w:right="0" w:hanging="0"/>
              <w:jc w:val="left"/>
              <w:rPr>
                <w:sz w:val="20"/>
              </w:rPr>
            </w:pPr>
            <w:r>
              <w:rPr>
                <w:sz w:val="20"/>
              </w:rPr>
              <w:t>Its: Investment Manger</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By: Yorkville Advisors Global II, LLC</w:t>
            </w:r>
          </w:p>
          <w:p>
            <w:pPr>
              <w:pStyle w:val="TableContents"/>
              <w:bidi w:val="0"/>
              <w:spacing w:before="0" w:after="0"/>
              <w:ind w:left="0" w:right="0" w:hanging="0"/>
              <w:jc w:val="left"/>
              <w:rPr>
                <w:sz w:val="20"/>
              </w:rPr>
            </w:pPr>
            <w:r>
              <w:rPr>
                <w:sz w:val="20"/>
              </w:rPr>
              <w:t>Its: General Partner</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By:</w:t>
            </w:r>
          </w:p>
        </w:tc>
        <w:tc>
          <w:tcPr>
            <w:tcW w:w="2107" w:type="dxa"/>
            <w:tcBorders>
              <w:bottom w:val="single" w:sz="8" w:space="0" w:color="000000"/>
            </w:tcBorders>
            <w:tcMar>
              <w:bottom w:w="28" w:type="dxa"/>
            </w:tcMar>
            <w:vAlign w:val="center"/>
          </w:tcPr>
          <w:p>
            <w:pPr>
              <w:pStyle w:val="TableContents"/>
              <w:bidi w:val="0"/>
              <w:spacing w:before="0" w:after="283"/>
              <w:jc w:val="left"/>
              <w:rPr/>
            </w:pPr>
            <w:r>
              <w:rPr/>
              <w:t>Michael Rosselli</w:t>
              <w:tab/>
              <w:t xml:space="preserve"> </w:t>
            </w:r>
          </w:p>
        </w:tc>
      </w:tr>
      <w:tr>
        <w:trPr/>
        <w:tc>
          <w:tcPr>
            <w:tcW w:w="75"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 xml:space="preserve">Name:   </w:t>
            </w:r>
          </w:p>
        </w:tc>
        <w:tc>
          <w:tcPr>
            <w:tcW w:w="2107" w:type="dxa"/>
            <w:tcBorders/>
            <w:vAlign w:val="center"/>
          </w:tcPr>
          <w:p>
            <w:pPr>
              <w:pStyle w:val="TableContents"/>
              <w:bidi w:val="0"/>
              <w:spacing w:before="0" w:after="283"/>
              <w:jc w:val="left"/>
              <w:rPr/>
            </w:pPr>
            <w:r>
              <w:rPr/>
              <w:t>Michael Rosselli</w:t>
              <w:tab/>
            </w:r>
          </w:p>
        </w:tc>
      </w:tr>
      <w:tr>
        <w:trPr/>
        <w:tc>
          <w:tcPr>
            <w:tcW w:w="75"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Title:    </w:t>
            </w:r>
          </w:p>
        </w:tc>
        <w:tc>
          <w:tcPr>
            <w:tcW w:w="2107" w:type="dxa"/>
            <w:tcBorders/>
            <w:vAlign w:val="center"/>
          </w:tcPr>
          <w:p>
            <w:pPr>
              <w:pStyle w:val="TableContents"/>
              <w:bidi w:val="0"/>
              <w:spacing w:before="0" w:after="283"/>
              <w:jc w:val="left"/>
              <w:rPr/>
            </w:pPr>
            <w:r>
              <w:rPr/>
              <w:t>Partner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b/>
        </w:rPr>
      </w:pPr>
      <w:bookmarkStart w:id="25" w:name="exh_103.htm"/>
      <w:bookmarkStart w:id="26" w:name="ksexh_103"/>
      <w:bookmarkEnd w:id="25"/>
      <w:bookmarkEnd w:id="26"/>
      <w:r>
        <w:rPr>
          <w:b/>
        </w:rPr>
        <w:t>Exhibit 10.3</w:t>
      </w:r>
      <w:r>
        <w:br w:type="page"/>
      </w:r>
    </w:p>
    <w:p>
      <w:pPr>
        <w:pStyle w:val="TextBody"/>
        <w:bidi w:val="0"/>
        <w:spacing w:before="0" w:after="283"/>
        <w:jc w:val="left"/>
        <w:rPr/>
      </w:pPr>
      <w:r>
        <w:rPr/>
        <w:t> </w:t>
      </w:r>
    </w:p>
    <w:p>
      <w:pPr>
        <w:pStyle w:val="TextBody"/>
        <w:bidi w:val="0"/>
        <w:spacing w:before="0" w:after="0"/>
        <w:ind w:left="0" w:right="0" w:hanging="0"/>
        <w:jc w:val="both"/>
        <w:rPr>
          <w:b/>
          <w:sz w:val="20"/>
        </w:rPr>
      </w:pPr>
      <w:r>
        <w:rPr>
          <w:b/>
          <w:sz w:val="20"/>
        </w:rPr>
        <w:t>NEITHER THIS SECURED DEBENTURE NOR THE SECURITIES INTO WHICH THIS DEBENTURE IS CONVERTIBLE HAVE BEEN REGISTERED WITH THE SECURITIES AND EXCHANGE COMMISSION OR THE SECURITIES COMMISSION OF ANY STATE. THESE SECURITIES HAVE BEEN SOLD IN RELIANCE UPON AN EXEMPTION FROM REGISTRATION UNDER THE SECURITIES ACT OF 1933, AS AMENDED (THE “</w:t>
      </w:r>
      <w:r>
        <w:rPr>
          <w:b/>
          <w:sz w:val="20"/>
          <w:u w:val="single"/>
        </w:rPr>
        <w:t>SECURITIES ACT</w:t>
      </w:r>
      <w:r>
        <w:rPr>
          <w:b/>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pStyle w:val="TextBody"/>
        <w:bidi w:val="0"/>
        <w:spacing w:before="0" w:after="0"/>
        <w:ind w:left="0" w:right="0" w:hanging="0"/>
        <w:jc w:val="both"/>
        <w:rPr/>
      </w:pPr>
      <w:r>
        <w:rPr/>
        <w:t> </w:t>
      </w:r>
    </w:p>
    <w:p>
      <w:pPr>
        <w:pStyle w:val="TextBody"/>
        <w:bidi w:val="0"/>
        <w:spacing w:before="0" w:after="0"/>
        <w:ind w:left="0" w:right="0" w:hanging="0"/>
        <w:jc w:val="center"/>
        <w:rPr>
          <w:b/>
          <w:smallCaps/>
          <w:sz w:val="20"/>
        </w:rPr>
      </w:pPr>
      <w:r>
        <w:rPr>
          <w:b/>
          <w:smallCaps/>
          <w:sz w:val="20"/>
        </w:rPr>
        <w:t>sono group n.v.</w:t>
      </w:r>
    </w:p>
    <w:p>
      <w:pPr>
        <w:pStyle w:val="TextBody"/>
        <w:bidi w:val="0"/>
        <w:spacing w:before="0" w:after="0"/>
        <w:ind w:left="0" w:right="0" w:hanging="0"/>
        <w:jc w:val="center"/>
        <w:rPr>
          <w:b/>
          <w:smallCaps/>
          <w:sz w:val="20"/>
        </w:rPr>
      </w:pPr>
      <w:r>
        <w:rPr>
          <w:b/>
          <w:smallCaps/>
          <w:sz w:val="20"/>
        </w:rPr>
        <w:t>Secured Convertible Debenture</w:t>
      </w:r>
    </w:p>
    <w:p>
      <w:pPr>
        <w:pStyle w:val="TextBody"/>
        <w:bidi w:val="0"/>
        <w:spacing w:before="0" w:after="0"/>
        <w:ind w:left="0" w:right="0" w:hanging="0"/>
        <w:jc w:val="center"/>
        <w:rPr/>
      </w:pPr>
      <w:r>
        <w:rPr/>
        <w:t> </w:t>
      </w:r>
    </w:p>
    <w:tbl>
      <w:tblPr>
        <w:tblW w:w="2765" w:type="dxa"/>
        <w:jc w:val="left"/>
        <w:tblInd w:w="0" w:type="dxa"/>
        <w:tblLayout w:type="fixed"/>
        <w:tblCellMar>
          <w:top w:w="0" w:type="dxa"/>
          <w:left w:w="0" w:type="dxa"/>
          <w:bottom w:w="0" w:type="dxa"/>
          <w:right w:w="0" w:type="dxa"/>
        </w:tblCellMar>
      </w:tblPr>
      <w:tblGrid>
        <w:gridCol w:w="2765"/>
      </w:tblGrid>
      <w:tr>
        <w:trPr/>
        <w:tc>
          <w:tcPr>
            <w:tcW w:w="2765" w:type="dxa"/>
            <w:tcBorders/>
            <w:vAlign w:val="center"/>
          </w:tcPr>
          <w:p>
            <w:pPr>
              <w:pStyle w:val="TableContents"/>
              <w:bidi w:val="0"/>
              <w:spacing w:before="0" w:after="283"/>
              <w:jc w:val="both"/>
              <w:rPr>
                <w:b/>
                <w:sz w:val="20"/>
              </w:rPr>
            </w:pPr>
            <w:r>
              <w:rPr>
                <w:b/>
                <w:sz w:val="20"/>
              </w:rPr>
              <w:t>Principal Amount: USD 190,000</w:t>
            </w:r>
          </w:p>
        </w:tc>
      </w:tr>
    </w:tbl>
    <w:p>
      <w:pPr>
        <w:pStyle w:val="TextBody"/>
        <w:bidi w:val="0"/>
        <w:spacing w:before="0" w:after="0"/>
        <w:ind w:left="0" w:right="0" w:hanging="0"/>
        <w:jc w:val="both"/>
        <w:rPr>
          <w:b/>
          <w:sz w:val="20"/>
        </w:rPr>
      </w:pPr>
      <w:r>
        <w:rPr>
          <w:b/>
          <w:sz w:val="20"/>
        </w:rPr>
        <w:t>Debenture Issuance Date: August 6, 2025</w:t>
      </w:r>
    </w:p>
    <w:p>
      <w:pPr>
        <w:pStyle w:val="TextBody"/>
        <w:bidi w:val="0"/>
        <w:spacing w:before="0" w:after="0"/>
        <w:ind w:left="0" w:right="0" w:hanging="0"/>
        <w:jc w:val="both"/>
        <w:rPr>
          <w:b/>
          <w:sz w:val="20"/>
        </w:rPr>
      </w:pPr>
      <w:r>
        <w:rPr>
          <w:b/>
          <w:sz w:val="20"/>
        </w:rPr>
        <w:t>Debenture Number: SEV-6e</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b/>
          <w:sz w:val="20"/>
        </w:rPr>
        <w:t>FOR VALUE RECEIVED, SONO GROUP N.V.</w:t>
      </w:r>
      <w:r>
        <w:rPr>
          <w:sz w:val="20"/>
        </w:rPr>
        <w:t>, a Dutch public limited liability company (the “</w:t>
      </w:r>
      <w:r>
        <w:rPr>
          <w:sz w:val="20"/>
          <w:u w:val="single"/>
        </w:rPr>
        <w:t>Company</w:t>
      </w:r>
      <w:r>
        <w:rPr>
          <w:sz w:val="20"/>
        </w:rPr>
        <w:t xml:space="preserve">”), hereby promises to pay to the order of </w:t>
      </w:r>
      <w:r>
        <w:rPr>
          <w:b/>
          <w:sz w:val="20"/>
        </w:rPr>
        <w:t>YA II PN, Ltd.</w:t>
      </w:r>
      <w:r>
        <w:rPr>
          <w:sz w:val="20"/>
        </w:rPr>
        <w:t>, or its registered assigns (the “</w:t>
      </w:r>
      <w:r>
        <w:rPr>
          <w:sz w:val="20"/>
          <w:u w:val="single"/>
        </w:rPr>
        <w:t>Holder</w:t>
      </w:r>
      <w:r>
        <w:rPr>
          <w:sz w:val="20"/>
        </w:rPr>
        <w:t>”), the amount set out above as the principal amount (as reduced or increased pursuant to the terms hereof pursuant to redemption, conversion or otherwise, the “</w:t>
      </w:r>
      <w:r>
        <w:rPr>
          <w:sz w:val="20"/>
          <w:u w:val="single"/>
        </w:rPr>
        <w:t>Principal</w:t>
      </w:r>
      <w:r>
        <w:rPr>
          <w:sz w:val="20"/>
        </w:rPr>
        <w:t>”) when due, whether upon the Maturity Date (as defined below), acceleration, redemption or otherwise (in each case in accordance with the terms hereof) and to pay interest (“</w:t>
      </w:r>
      <w:r>
        <w:rPr>
          <w:sz w:val="20"/>
          <w:u w:val="single"/>
        </w:rPr>
        <w:t>Interest</w:t>
      </w:r>
      <w:r>
        <w:rPr>
          <w:sz w:val="20"/>
        </w:rPr>
        <w:t>”) on any outstanding Principal at the applicable Interest Rate from the date set out above as the Debenture Issuance Date (the “</w:t>
      </w:r>
      <w:r>
        <w:rPr>
          <w:sz w:val="20"/>
          <w:u w:val="single"/>
        </w:rPr>
        <w:t>Issuance Date</w:t>
      </w:r>
      <w:r>
        <w:rPr>
          <w:sz w:val="20"/>
        </w:rPr>
        <w:t>”) until the same becomes due and payable, whether upon the Maturity Date or acceleration, conversion, redemption or otherwise (in each case in accordance with the terms hereof). This Secured Convertible Debenture (including all debentures issued in exchange, transfer or replacement hereof, this “</w:t>
      </w:r>
      <w:r>
        <w:rPr>
          <w:sz w:val="20"/>
          <w:u w:val="single"/>
        </w:rPr>
        <w:t>Debenture</w:t>
      </w:r>
      <w:r>
        <w:rPr>
          <w:sz w:val="20"/>
        </w:rPr>
        <w:t>”) was originally issued pursuant to the Securities Purchase Agreement dated as of December 30, 2024, as it may be amended from time to time (the “</w:t>
      </w:r>
      <w:r>
        <w:rPr>
          <w:sz w:val="20"/>
          <w:u w:val="single"/>
        </w:rPr>
        <w:t>Securities Purchase Agreement</w:t>
      </w:r>
      <w:r>
        <w:rPr>
          <w:sz w:val="20"/>
        </w:rPr>
        <w:t>”) between the Company and the Holder. All Obligations owed by the Company to the Holder under this Debenture and each other Transaction Document are guaranteed by the Guarantors pursuant to the Guaranty and secured by the Company and the Guarantors pursuant to the Security Documents. Certain capitalized terms used herein are defined in Section 14.</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(1)           </w:t>
      </w:r>
      <w:r>
        <w:rPr>
          <w:sz w:val="20"/>
          <w:u w:val="single"/>
        </w:rPr>
        <w:t>GENERAL TERMS</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(a)            </w:t>
      </w:r>
      <w:r>
        <w:rPr>
          <w:sz w:val="20"/>
          <w:u w:val="single"/>
        </w:rPr>
        <w:t>Maturity Date</w:t>
      </w:r>
      <w:r>
        <w:rPr>
          <w:sz w:val="20"/>
        </w:rPr>
        <w:t>. On the Maturity Date, the Company shall pay to the Holder an amount in cash representing all outstanding Principal, accrued and unpaid Interest, and any other amounts outstanding pursuant to the terms of this Debenture. The “</w:t>
      </w:r>
      <w:r>
        <w:rPr>
          <w:sz w:val="20"/>
          <w:u w:val="single"/>
        </w:rPr>
        <w:t>Maturity Date</w:t>
      </w:r>
      <w:r>
        <w:rPr>
          <w:sz w:val="20"/>
        </w:rPr>
        <w:t>” shall be August 6, 2026, as may be extended at the option of the Holder. Other than as specifically permitted by this Debenture, the Company may not prepay or redeem any portion of the outstanding Principal and accrued and unpaid Interest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(b)            </w:t>
      </w:r>
      <w:r>
        <w:rPr>
          <w:sz w:val="20"/>
          <w:u w:val="single"/>
        </w:rPr>
        <w:t>Interest Rate and Payment of Interest</w:t>
      </w:r>
      <w:r>
        <w:rPr>
          <w:sz w:val="20"/>
        </w:rPr>
        <w:t>. Interest shall accrue on the outstanding Principal balance hereof at an annual rate equal to 12% (“</w:t>
      </w:r>
      <w:r>
        <w:rPr>
          <w:sz w:val="20"/>
          <w:u w:val="single"/>
        </w:rPr>
        <w:t>Interest Rate</w:t>
      </w:r>
      <w:r>
        <w:rPr>
          <w:sz w:val="20"/>
        </w:rPr>
        <w:t>”), which Interest Rate shall increase to an annual rate of 18% upon an Event of Default for so long as it remains uncured. Interest shall be calculated based on a 365-day year and the actual number of days elapsed, to the extent permitted by applicable law.</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(2)           </w:t>
      </w:r>
      <w:r>
        <w:rPr>
          <w:sz w:val="20"/>
          <w:u w:val="single"/>
        </w:rPr>
        <w:t>PAYMENTS</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(a)            </w:t>
      </w:r>
      <w:r>
        <w:rPr>
          <w:sz w:val="20"/>
          <w:u w:val="single"/>
        </w:rPr>
        <w:t>RESERVED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(b)            </w:t>
      </w:r>
      <w:r>
        <w:rPr>
          <w:sz w:val="20"/>
          <w:u w:val="single"/>
        </w:rPr>
        <w:t>Early Redemption</w:t>
      </w:r>
      <w:r>
        <w:rPr>
          <w:sz w:val="20"/>
        </w:rPr>
        <w:t>. The Company at its option shall have the right, but not the obligation, to redeem (“</w:t>
      </w:r>
      <w:r>
        <w:rPr>
          <w:sz w:val="20"/>
          <w:u w:val="single"/>
        </w:rPr>
        <w:t>Optional Redemption</w:t>
      </w:r>
      <w:r>
        <w:rPr>
          <w:sz w:val="20"/>
        </w:rPr>
        <w:t xml:space="preserve">”) early a portion or all amounts outstanding under this Debenture as described in this Section; </w:t>
      </w:r>
      <w:r>
        <w:rPr>
          <w:i/>
          <w:sz w:val="20"/>
        </w:rPr>
        <w:t>provided</w:t>
      </w:r>
      <w:r>
        <w:rPr>
          <w:sz w:val="20"/>
        </w:rPr>
        <w:t xml:space="preserve"> that (i) the trading price of the Ordinary Shares is less than the Fixed Conversion Price and (ii) the Company provides the Holder with at least five (5) Business Days’ prior written notice (each, a “</w:t>
      </w:r>
      <w:r>
        <w:rPr>
          <w:sz w:val="20"/>
          <w:u w:val="single"/>
        </w:rPr>
        <w:t>Redemption Notice</w:t>
      </w:r>
      <w:r>
        <w:rPr>
          <w:sz w:val="20"/>
        </w:rPr>
        <w:t>”) of its desire to exercise an Optional Redemption. Each Redemption Notice shall be irrevocable and shall specify the outstanding balance of the Secured Convertible Debenture to be redeemed and the applicable Redemption Premium. The “</w:t>
      </w:r>
      <w:r>
        <w:rPr>
          <w:sz w:val="20"/>
          <w:u w:val="single"/>
        </w:rPr>
        <w:t>Redemption Amount</w:t>
      </w:r>
      <w:r>
        <w:rPr>
          <w:sz w:val="20"/>
        </w:rPr>
        <w:t>” shall be equal to the outstanding Principal balance being redeemed by the Company, plus the applicable Redemption Premium, plus all accrued and unpaid interest. After receipt of the Redemption Notice, the Holder shall have five (5) Business Days to elect to convert all or any portion of the Debenture. On the 6th Business Day after the Redemption Notice, the Company shall deliver to the Holder the Redemption Amount with respect to the Principal amount redeemed after giving effect to conversions effected during the five (5) Business Day period.</w:t>
      </w:r>
    </w:p>
    <w:p>
      <w:pPr>
        <w:pStyle w:val="TextBody"/>
        <w:bidi w:val="0"/>
        <w:spacing w:before="0" w:after="0"/>
        <w:ind w:left="0" w:right="0" w:firstLine="216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(3)            </w:t>
      </w:r>
      <w:r>
        <w:rPr>
          <w:sz w:val="20"/>
          <w:u w:val="single"/>
        </w:rPr>
        <w:t>EVENTS OF DEFAULT</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(a)            An “</w:t>
      </w:r>
      <w:r>
        <w:rPr>
          <w:sz w:val="20"/>
          <w:u w:val="single"/>
        </w:rPr>
        <w:t>Event of Default</w:t>
      </w:r>
      <w:r>
        <w:rPr>
          <w:sz w:val="20"/>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w:t>
      </w:r>
    </w:p>
    <w:p>
      <w:pPr>
        <w:pStyle w:val="TextBody"/>
        <w:bidi w:val="0"/>
        <w:spacing w:before="0" w:after="0"/>
        <w:ind w:left="0" w:right="0" w:hanging="0"/>
        <w:jc w:val="both"/>
        <w:rPr/>
      </w:pPr>
      <w:r>
        <w:rPr/>
        <w:t> </w:t>
      </w:r>
    </w:p>
    <w:p>
      <w:pPr>
        <w:pStyle w:val="TextBody"/>
        <w:bidi w:val="0"/>
        <w:spacing w:before="0" w:after="0"/>
        <w:ind w:left="0" w:right="0" w:firstLine="2880"/>
        <w:jc w:val="both"/>
        <w:rPr>
          <w:sz w:val="20"/>
        </w:rPr>
      </w:pPr>
      <w:r>
        <w:rPr>
          <w:sz w:val="20"/>
        </w:rPr>
        <w:t>(i)               the Company’s or any Guarantor’s failure to pay to the Holder any amount of Principal, Redemption Premium, Interest, or other amounts when and as due under this Debenture or any other Transaction Document;</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              The Company, any Subsidiary of the Company, or any Guarantor shall commence, or there shall be commenced against the Company, any Subsidiary of the Company, or any Guarantor under any applicable bankruptcy or insolvency laws as now or hereafter in effect or any successor thereto, or the Company, any Subsidiary of the Company, or any Guarantor commences any other proceeding under any reorganization, arrangement, adjustment of debt, relief of debtors, dissolution, insolvency or liquidation or similar law of any jurisdiction whether now or hereafter in effect relating to the Company, any Subsidiary of the Company, or any Guarantor and any such bankruptcy, insolvency or other proceeding which remains undismissed for a period of sixty one (61) days; or the Company, any Subsidiary of the Company, or any Guarantor is adjudicated insolvent or bankrupt; or any order of relief or other order approving any such case or proceeding is entered; or the Company, any Subsidiary of the Company, or any Guarantor suffers any appointment of any custodian, private or court appointed receiver or the like for it or all or substantially all of its property which continues undischarged or unstayed for a period of sixty one (61) days; or the Company, any Subsidiary of the Company, or any Guarantor makes a general assignment of all or substantially all of its assets for the benefit of creditors; or the Company, any Subsidiary of the Company, or any Guarantor shall fail to pay, or shall state that it is unable to pay, or shall be unable to pay, its debts generally as they become due; or the Company, any Subsidiary of the Company, or any Guarantor shall call a meeting of its creditors with a view to arranging a composition, adjustment or restructuring of its debts; or the Company, any Subsidiary of the Company, or any Guarantor shall by any act or failure to act expressly indicate its consent to, approval of or acquiescence in any of the foregoing; or any corporate or other action is taken by the Company, any Subsidiary of the Company, or any Guarantor for the purpose of effecting any of the foregoing;</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(iii)             The Company, any Subsidiary of the Company, or any Guarantor shall default in any of its obligations under any obligation or any promissory note,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any Subsidiary of the Company, or any Guarantor in an amount exceeding EUR 200,000, whether such indebtedness now exists or shall hereafter be created and such default shall result in such indebtedness becoming or being declared due and payable and such default is not thereafter cured within five (5) Business Days;</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(iv)              The Company, any Subsidiary of the Company or any Guarantor shall be a party to any Change of Control Transaction (as defined in Section 14) unless in connection with such Change of Control Transaction this Debenture is retired;</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(v)             The Company’s (A) failure to issue and deliver the required number of Ordinary Shares to the Holder within four (4) Business Days after the applicable Share Delivery Date or (B) notice, written or oral, to any holder of the Debenture, including by way of public announcement, at any time, of its intention not to comply with a request for conversion of the Debenture into Ordinary Shares that is tendered in accordance with the provisions of the Debenture, other than pursuant to Section 4(c);</w:t>
      </w:r>
    </w:p>
    <w:p>
      <w:pPr>
        <w:pStyle w:val="TextBody"/>
        <w:bidi w:val="0"/>
        <w:spacing w:before="0" w:after="0"/>
        <w:ind w:left="0" w:right="0" w:firstLine="288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2880"/>
        <w:jc w:val="both"/>
        <w:rPr>
          <w:sz w:val="20"/>
        </w:rPr>
      </w:pPr>
      <w:r>
        <w:rPr>
          <w:sz w:val="20"/>
        </w:rPr>
        <w:t>(vi)            The Company shall fail for any reason to deliver the payment in cash pursuant to a Buy-In (as defined in Section 4(b)(ii) herein) within five Business Days after such payment is due;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(vii)           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 For purposes hereof, “</w:t>
      </w:r>
      <w:r>
        <w:rPr>
          <w:sz w:val="20"/>
          <w:u w:val="single"/>
        </w:rPr>
        <w:t>Periodic Reports</w:t>
      </w:r>
      <w:r>
        <w:rPr>
          <w:sz w:val="20"/>
        </w:rPr>
        <w:t xml:space="preserve">” means the Company’s (i) Annual Report on Form 10-K for the fiscal year ending December 31, 2024, (ii) any current report to be filed on Form 8-K, and (iii) all other reports required to be filed by the Company with the Commission under applicable laws and regulations (including, without limitation, Regulation S-K) for so long as any amounts are outstanding under this Debenture; </w:t>
      </w:r>
      <w:r>
        <w:rPr>
          <w:i/>
          <w:sz w:val="20"/>
        </w:rPr>
        <w:t>provided</w:t>
      </w:r>
      <w:r>
        <w:rPr>
          <w:sz w:val="20"/>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(viii)              Any representation or warranty made or deemed made by the Company, any Subsidiary of the Company or any Guarantor in any Transaction Document shall prove to have been incorrect in any material respect (or, in the case of any such representation or warranty already qualified by materiality, such representation or warranty shall prove to have been incorrect) when made or deemed made;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(ix)               Any material provision of any Transaction Document, at any time after its execution and delivery and for any reason other than as expressly permitted hereunder or thereunder or satisfaction in full of all Obligations, ceases to be in full force and effect; or the Company or any other Person contests in writing the validity or enforceability of any provision of any Transaction Document; or the Company or any Guarantor denies in writing that it has any or further liability or obligation under any Transaction Document, or purports in writing to revoke, terminate (other than in line with the relevant termination provisions) or rescind any Transaction Document;</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(x)             The Company or any Guarantor shall fail to observe or perform any material covenant, agreement or warranty contained in, or otherwise commit any material breach or default of any provision of this Debenture (except as may be covered by Section (3)(a)(i) through (3)(a)(ix) hereof) or any other Transaction Document (as defined in Section 14) which is not cured or remedied within the time prescribed (if any);</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(xi)        Any Event of Default (as defined in the Other Debentures or in any Transaction Document other than this Debenture) occurs respect to any Other Debentures held by the Holder or any breach of any material term of any other debenture, note, or instrument held by the Holder in the Company or any agreement between or among the Company and the Holder; or</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(xii)       any Security Document (including this Debenture) covering a material portion of the Collateral shall cease to create a valid and perfected lien, with the priority required by the Security Documents (including this Debenture) on and security interest in any material portion of the Collateral covered thereby.</w:t>
      </w:r>
    </w:p>
    <w:p>
      <w:pPr>
        <w:pStyle w:val="TextBody"/>
        <w:bidi w:val="0"/>
        <w:spacing w:before="0" w:after="0"/>
        <w:ind w:left="0" w:right="0" w:firstLine="2880"/>
        <w:jc w:val="both"/>
        <w:rPr/>
      </w:pPr>
      <w:r>
        <w:rPr/>
        <w:t>  </w:t>
      </w:r>
    </w:p>
    <w:p>
      <w:pPr>
        <w:pStyle w:val="TextBody"/>
        <w:bidi w:val="0"/>
        <w:spacing w:before="0" w:after="0"/>
        <w:ind w:left="0" w:right="0" w:firstLine="2160"/>
        <w:jc w:val="both"/>
        <w:rPr>
          <w:sz w:val="20"/>
        </w:rPr>
      </w:pPr>
      <w:r>
        <w:rPr>
          <w:sz w:val="20"/>
        </w:rPr>
        <w:t xml:space="preserve">(b)           During the time that any portion of this Debenture is outstanding, if any Event of Default has occurred and has not been cured within the applicable cure period, if any, (other than an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become at the Holder's election given by notice pursuant to Section 7, immediately due and payable in cash; </w:t>
      </w:r>
      <w:r>
        <w:rPr>
          <w:sz w:val="20"/>
          <w:u w:val="single"/>
        </w:rPr>
        <w:t>provided</w:t>
      </w:r>
      <w:r>
        <w:rPr>
          <w:sz w:val="20"/>
        </w:rPr>
        <w:t xml:space="preserve"> that, in case of any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at the Conversion Rate, on one or more occasions all or part of the Conversion Amount in accordance with Section 4 hereof (subject to the beneficial ownership limitations set out in Section (4)(c)) at any time after (x) an Event of Default (provided that such Event of Default is continuing) or (y) the Maturity Date. The Holder need not provide, and the Company hereby waives, any presentment, demand, protest or other notice of any kind (other than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(4)           </w:t>
      </w:r>
      <w:r>
        <w:rPr>
          <w:sz w:val="20"/>
          <w:u w:val="single"/>
        </w:rPr>
        <w:t>CONVERSION OF DEBENTURE</w:t>
      </w:r>
      <w:r>
        <w:rPr>
          <w:sz w:val="20"/>
        </w:rPr>
        <w:t>. This Debenture shall be convertible into Ordinary Shares, on the terms and conditions set forth in this Section 4.</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(a)            </w:t>
      </w:r>
      <w:r>
        <w:rPr>
          <w:sz w:val="20"/>
          <w:u w:val="single"/>
        </w:rPr>
        <w:t>Conversion Right</w:t>
      </w:r>
      <w:r>
        <w:rPr>
          <w:sz w:val="20"/>
        </w:rPr>
        <w:t>. Subject to the limitations of Section (4)(c), at any time or times on or after the Issuance Date, the Holder shall be entitled to convert any portion of the outstanding and unpaid Conversion Amount (as defined below) into fully paid and non-assessable (meaning that the holders of the Ordinary Shares will not by reason of merely being such a holder, be subject to assessment or calls by the Company or its creditors for further payment on such Ordinary Shares) Ordinary Shares in accordance with Section (4)(b), at the Conversion Rate (as defined below). The number of Ordinary Shares issuable upon conversion of any Conversion Amount pursuant to this Section (4)(a) shall be determined by dividing (x) such Conversion Amount by (y) the Conversion Price (the “</w:t>
      </w:r>
      <w:r>
        <w:rPr>
          <w:sz w:val="20"/>
          <w:u w:val="single"/>
        </w:rPr>
        <w:t>Conversion Rate</w:t>
      </w:r>
      <w:r>
        <w:rPr>
          <w:sz w:val="20"/>
        </w:rPr>
        <w:t>”).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issuance tax, stamp duties and similar documentary taxes that may be payable with respect to the issuance and delivery of Ordinary Shares upon conversion of any Conversion Amount.</w:t>
      </w:r>
    </w:p>
    <w:p>
      <w:pPr>
        <w:pStyle w:val="TextBody"/>
        <w:bidi w:val="0"/>
        <w:spacing w:before="0" w:after="0"/>
        <w:ind w:left="0" w:right="0" w:firstLine="2160"/>
        <w:jc w:val="both"/>
        <w:rPr/>
      </w:pPr>
      <w:r>
        <w:rPr/>
        <w:t> </w:t>
      </w:r>
    </w:p>
    <w:p>
      <w:pPr>
        <w:pStyle w:val="TextBody"/>
        <w:bidi w:val="0"/>
        <w:spacing w:before="0" w:after="0"/>
        <w:ind w:left="0" w:right="0" w:firstLine="2880"/>
        <w:jc w:val="left"/>
        <w:rPr/>
      </w:pPr>
      <w:r>
        <w:rPr/>
        <w:t> </w:t>
      </w:r>
      <w:r>
        <w:rPr>
          <w:sz w:val="20"/>
        </w:rPr>
        <w:t>(i)             “</w:t>
      </w:r>
      <w:r>
        <w:rPr>
          <w:sz w:val="20"/>
          <w:u w:val="single"/>
        </w:rPr>
        <w:t>Conversion Amount</w:t>
      </w:r>
      <w:r>
        <w:rPr>
          <w:sz w:val="20"/>
        </w:rPr>
        <w:t>” means the portion of the Principal and/or accrued Interest to be converted, redeemed or otherwise with respect to which this determination is being made.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             “</w:t>
      </w:r>
      <w:r>
        <w:rPr>
          <w:sz w:val="20"/>
          <w:u w:val="single"/>
        </w:rPr>
        <w:t>Conversion Price</w:t>
      </w:r>
      <w:r>
        <w:rPr>
          <w:sz w:val="20"/>
        </w:rPr>
        <w:t>” means, as of any Conversion Date (as defined below) or other date of determination the lower of (i) a price per Ordinary Share equal to USD 18.75 (the “</w:t>
      </w:r>
      <w:r>
        <w:rPr>
          <w:sz w:val="20"/>
          <w:u w:val="single"/>
        </w:rPr>
        <w:t>Fixed Conversion Price</w:t>
      </w:r>
      <w:r>
        <w:rPr>
          <w:sz w:val="20"/>
        </w:rPr>
        <w:t>”), or (ii) 85% of the lowest daily VWAP of the Ordinary Shares during the seven (7) consecutive Trading Days immediately preceding the Conversion Date or other date of determination (the “</w:t>
      </w:r>
      <w:r>
        <w:rPr>
          <w:sz w:val="20"/>
          <w:u w:val="single"/>
        </w:rPr>
        <w:t>Variable Conversion Price</w:t>
      </w:r>
      <w:r>
        <w:rPr>
          <w:sz w:val="20"/>
        </w:rPr>
        <w:t>”), provided that the Variable Conversion Price shall not be lower than the Floor Price then in effect; provided, further, that under no circumstances, will the Conversion Price per Ordinary Share be less than the nominal value of one Ordinary Share (translated into USD on the applicable Share Delivery Date (as defined below)). The Conversion Price shall be adjusted from time to time pursuant to the other terms and conditions of this Debenture.</w:t>
      </w:r>
    </w:p>
    <w:p>
      <w:pPr>
        <w:pStyle w:val="TextBody"/>
        <w:bidi w:val="0"/>
        <w:spacing w:before="0" w:after="0"/>
        <w:ind w:left="0" w:right="0" w:firstLine="2880"/>
        <w:jc w:val="both"/>
        <w:rPr/>
      </w:pPr>
      <w:r>
        <w:rPr/>
        <w:t> </w:t>
      </w:r>
    </w:p>
    <w:p>
      <w:pPr>
        <w:pStyle w:val="TextBody"/>
        <w:bidi w:val="0"/>
        <w:spacing w:before="0" w:after="0"/>
        <w:ind w:left="0" w:right="0" w:firstLine="2160"/>
        <w:jc w:val="both"/>
        <w:rPr>
          <w:sz w:val="20"/>
        </w:rPr>
      </w:pPr>
      <w:r>
        <w:rPr>
          <w:sz w:val="20"/>
        </w:rPr>
        <w:t>(b)            </w:t>
      </w:r>
      <w:r>
        <w:rPr>
          <w:sz w:val="20"/>
          <w:u w:val="single"/>
        </w:rPr>
        <w:t>Mechanics of Conversion</w:t>
      </w:r>
      <w:r>
        <w:rPr>
          <w:sz w:val="20"/>
        </w:rPr>
        <w:t>.</w:t>
      </w:r>
    </w:p>
    <w:p>
      <w:pPr>
        <w:pStyle w:val="TextBody"/>
        <w:bidi w:val="0"/>
        <w:spacing w:before="0" w:after="0"/>
        <w:ind w:left="0" w:right="0" w:firstLine="2160"/>
        <w:jc w:val="both"/>
        <w:rPr/>
      </w:pPr>
      <w:r>
        <w:rPr/>
        <w:t> </w:t>
      </w:r>
    </w:p>
    <w:p>
      <w:pPr>
        <w:pStyle w:val="TextBody"/>
        <w:bidi w:val="0"/>
        <w:spacing w:before="0" w:after="0"/>
        <w:ind w:left="0" w:right="0" w:firstLine="2880"/>
        <w:jc w:val="both"/>
        <w:rPr>
          <w:sz w:val="20"/>
        </w:rPr>
      </w:pPr>
      <w:r>
        <w:rPr>
          <w:sz w:val="20"/>
        </w:rPr>
        <w:t xml:space="preserve">(i)               </w:t>
      </w:r>
      <w:r>
        <w:rPr>
          <w:sz w:val="20"/>
          <w:u w:val="single"/>
        </w:rPr>
        <w:t>Optional Conversion</w:t>
      </w:r>
      <w:r>
        <w:rPr>
          <w:sz w:val="20"/>
        </w:rPr>
        <w:t>. To convert any Conversion Amount into Ordinary Shares on any date (a “</w:t>
      </w:r>
      <w:r>
        <w:rPr>
          <w:sz w:val="20"/>
          <w:u w:val="single"/>
        </w:rPr>
        <w:t>Conversion Date</w:t>
      </w:r>
      <w:r>
        <w:rPr>
          <w:sz w:val="20"/>
        </w:rPr>
        <w:t xml:space="preserve">”), the Holder shall (A) transmit by email (or otherwise deliver), for receipt on or prior to 11:59 p.m., New York Time, on such date, a copy of an executed notice of conversion in the form attached hereto as </w:t>
      </w:r>
      <w:r>
        <w:rPr>
          <w:sz w:val="20"/>
          <w:u w:val="single"/>
        </w:rPr>
        <w:t>Exhibit I</w:t>
      </w:r>
      <w:r>
        <w:rPr>
          <w:sz w:val="20"/>
        </w:rPr>
        <w:t xml:space="preserve"> (the “</w:t>
      </w:r>
      <w:r>
        <w:rPr>
          <w:sz w:val="20"/>
          <w:u w:val="single"/>
        </w:rPr>
        <w:t>Conversion Notice</w:t>
      </w:r>
      <w:r>
        <w:rPr>
          <w:sz w:val="20"/>
        </w:rPr>
        <w:t>”) to the Company and (B) if required by Section (4)(b)(iii), surrender this Debenture to a nationally recognized overnight delivery service for delivery to the Company (or an indemnification undertaking reasonably satisfactory to the Company with respect to this Debenture in the case of its loss, theft or destruction). On or before the third (3rd) Trading Day following the date of receipt of a Conversion Notice (the “</w:t>
      </w:r>
      <w:r>
        <w:rPr>
          <w:sz w:val="20"/>
          <w:u w:val="single"/>
        </w:rPr>
        <w:t>Share Delivery Date</w:t>
      </w:r>
      <w:r>
        <w:rPr>
          <w:sz w:val="20"/>
        </w:rPr>
        <w:t>”), the Company shall (X) if legends are not required to be placed on certificates of Ordinary Shares and provided that the Transfer Agent is participating in the Depository Trust Company's (“</w:t>
      </w:r>
      <w:r>
        <w:rPr>
          <w:sz w:val="20"/>
          <w:u w:val="single"/>
        </w:rPr>
        <w:t>DTC</w:t>
      </w:r>
      <w:r>
        <w:rPr>
          <w:sz w:val="20"/>
        </w:rPr>
        <w:t>”) Fast Automated Securities Transfer Program, credit such aggregate number of Ordinary Shares to which the Holder shall be entitled to the Holder's or its designee's balance account with DTC through its Deposit Withdrawal Agent Commission system or (Y) if the Transfer Agent is not participating in the DTC Fast Automated Securities Transfer Program, issue and deliver to the address as specified in the Conversion Notice, a certificate, registered Ordinary Shares in the name of the Holder or its designee, for the number of Ordinary Shares to which the Holder shall be entitled which certificates shall not bear any restrictive legends unless required pursuant to rules and regulations of the Commission.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Ordinary Shares issuable upon a conversion of this Debenture shall be treated for all purposes as the record holder or holders of such Ordinary Shares upon the transmission of a Conversion Notice. In connection with any conversion of a Conversion Amount into Ordinary Shares on a Conversion Date, the Company shall, on the relevant Share Delivery Date, set off (</w:t>
      </w:r>
      <w:r>
        <w:rPr>
          <w:i/>
          <w:sz w:val="20"/>
        </w:rPr>
        <w:t>verrekenen</w:t>
      </w:r>
      <w:r>
        <w:rPr>
          <w:sz w:val="20"/>
        </w:rPr>
        <w:t>) its debt under the relevant Debenture(s) to pay such Conversion Amount against its receivable from the Holder to pay up in full, and satisfy the issue price, for the relevant Ordinary Shares issuable upon such conversion (and, for that purpose, such issue price shall be the same amount as the Conversion Amount).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2880"/>
        <w:jc w:val="both"/>
        <w:rPr>
          <w:sz w:val="20"/>
        </w:rPr>
      </w:pPr>
      <w:r>
        <w:rPr>
          <w:sz w:val="20"/>
        </w:rPr>
        <w:t xml:space="preserve">(ii)              </w:t>
      </w:r>
      <w:r>
        <w:rPr>
          <w:sz w:val="20"/>
          <w:u w:val="single"/>
        </w:rPr>
        <w:t>Company's Failure to Timely Convert</w:t>
      </w:r>
      <w:r>
        <w:rPr>
          <w:sz w:val="20"/>
        </w:rPr>
        <w:t>. If within three (3) Trading Days after the Company's receipt of an email copy of a Conversion Notice the Company shall fail to issue and deliver a certificate to the Holder or credit the Holder's balance account with DTC for the number of Ordinary Shares to which the Holder is entitled upon its conversion of any Conversion Amount, and if on or after such Trading Day the Holder purchases (in an open market transaction or otherwise) Ordinary Shares to deliver in satisfaction of a sale by the Holder of Ordinary Shares issuable upon such conversion that the Holder anticipated receiving from the Company (a “</w:t>
      </w:r>
      <w:r>
        <w:rPr>
          <w:sz w:val="20"/>
          <w:u w:val="single"/>
        </w:rPr>
        <w:t>Buy-In</w:t>
      </w:r>
      <w:r>
        <w:rPr>
          <w:sz w:val="20"/>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Ordinary Shares so purchased (the “</w:t>
      </w:r>
      <w:r>
        <w:rPr>
          <w:sz w:val="20"/>
          <w:u w:val="single"/>
        </w:rPr>
        <w:t>Buy-In Price</w:t>
      </w:r>
      <w:r>
        <w:rPr>
          <w:sz w:val="20"/>
        </w:rPr>
        <w:t>”), at which point the Company's obligation to deliver such certificate (and to issue such Ordinary Shares) shall terminate, or (ii) promptly honor its obligation to deliver to the Holder a certificate or certificates representing such Ordinary Shares and pay cash to the Holder in an amount equal to the excess (if any) of the Buy-In Price over the product of (A) such number of Ordinary Shares, times (B) the Closing Price on the Conversion Date.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 xml:space="preserve">(iii)             </w:t>
      </w:r>
      <w:r>
        <w:rPr>
          <w:sz w:val="20"/>
          <w:u w:val="single"/>
        </w:rPr>
        <w:t>Book-Entry</w:t>
      </w:r>
      <w:r>
        <w:rPr>
          <w:sz w:val="20"/>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conversion.</w:t>
      </w:r>
    </w:p>
    <w:p>
      <w:pPr>
        <w:pStyle w:val="TextBody"/>
        <w:bidi w:val="0"/>
        <w:spacing w:before="0" w:after="0"/>
        <w:ind w:left="0" w:right="0" w:hanging="0"/>
        <w:jc w:val="both"/>
        <w:rPr/>
      </w:pPr>
      <w:r>
        <w:rPr/>
        <w:t> </w:t>
      </w:r>
    </w:p>
    <w:p>
      <w:pPr>
        <w:pStyle w:val="TextBody"/>
        <w:bidi w:val="0"/>
        <w:spacing w:before="0" w:after="0"/>
        <w:ind w:left="0" w:right="0" w:firstLine="2160"/>
        <w:jc w:val="left"/>
        <w:rPr>
          <w:sz w:val="20"/>
        </w:rPr>
      </w:pPr>
      <w:r>
        <w:rPr>
          <w:sz w:val="20"/>
        </w:rPr>
        <w:t>(c)            </w:t>
      </w:r>
      <w:r>
        <w:rPr>
          <w:sz w:val="20"/>
          <w:u w:val="single"/>
        </w:rPr>
        <w:t>Limitations on Conversions</w:t>
      </w:r>
      <w:r>
        <w:rPr>
          <w:sz w:val="20"/>
        </w:rPr>
        <w:t>.</w:t>
      </w:r>
    </w:p>
    <w:p>
      <w:pPr>
        <w:pStyle w:val="TextBody"/>
        <w:bidi w:val="0"/>
        <w:spacing w:before="0" w:after="0"/>
        <w:ind w:left="0" w:right="0" w:firstLine="2160"/>
        <w:jc w:val="left"/>
        <w:rPr/>
      </w:pPr>
      <w:r>
        <w:rPr/>
        <w:t> </w:t>
      </w:r>
    </w:p>
    <w:p>
      <w:pPr>
        <w:pStyle w:val="TextBody"/>
        <w:bidi w:val="0"/>
        <w:spacing w:before="0" w:after="0"/>
        <w:ind w:left="0" w:right="0" w:firstLine="2880"/>
        <w:jc w:val="both"/>
        <w:rPr>
          <w:sz w:val="20"/>
        </w:rPr>
      </w:pPr>
      <w:r>
        <w:rPr>
          <w:sz w:val="20"/>
        </w:rPr>
        <w:t xml:space="preserve">(i)               </w:t>
      </w:r>
      <w:r>
        <w:rPr>
          <w:sz w:val="20"/>
          <w:u w:val="single"/>
        </w:rPr>
        <w:t>Beneficial Ownership</w:t>
      </w:r>
      <w:r>
        <w:rPr>
          <w:sz w:val="20"/>
        </w:rPr>
        <w:t>. The Holder shall not have the right to convert any portion of this Debenture or receive Ordinary Shares hereunder to the extent that after giving effect to such conversion or receipt of such Ordinary Shares, the Holder, together with any affiliate thereof, would beneficially own (as determined in accordance with Section 13(d) of the Exchange Act and the rules promulgated thereunder) in excess of 4.99% of the number of Ordinary Shares outstanding immediately after giving effect to such conversion or receipt of shares as payment of interest. Since the Holder will not be obligated to report to the Company the number of Ordinary Shares it may hold at the time of a conversion hereunder, unless the conversion at issue would result in the issuance of Ordinary Shares in excess of 4.99% of the then outstanding Ordinary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(4)(a) and, any Principal amount tendered for conversion in excess of the permitted amount hereunder shall remain outstanding under this Debenture. The provisions of this Section may be waived by the Holder upon not less than 65 days prior notice to the Company.</w:t>
      </w:r>
    </w:p>
    <w:p>
      <w:pPr>
        <w:pStyle w:val="TextBody"/>
        <w:bidi w:val="0"/>
        <w:spacing w:before="0" w:after="0"/>
        <w:ind w:left="0" w:right="0" w:firstLine="2880"/>
        <w:jc w:val="both"/>
        <w:rPr/>
      </w:pPr>
      <w:r>
        <w:rPr/>
        <w:t>  </w:t>
      </w:r>
    </w:p>
    <w:p>
      <w:pPr>
        <w:pStyle w:val="TextBody"/>
        <w:bidi w:val="0"/>
        <w:spacing w:before="0" w:after="0"/>
        <w:ind w:left="0" w:right="0" w:firstLine="2160"/>
        <w:jc w:val="left"/>
        <w:rPr>
          <w:sz w:val="20"/>
        </w:rPr>
      </w:pPr>
      <w:r>
        <w:rPr>
          <w:sz w:val="20"/>
        </w:rPr>
        <w:t xml:space="preserve">(d)            </w:t>
      </w:r>
      <w:r>
        <w:rPr>
          <w:sz w:val="20"/>
          <w:u w:val="single"/>
        </w:rPr>
        <w:t>Other Provisions</w:t>
      </w:r>
      <w:r>
        <w:rPr>
          <w:sz w:val="20"/>
        </w:rPr>
        <w:t>.</w:t>
      </w:r>
    </w:p>
    <w:p>
      <w:pPr>
        <w:pStyle w:val="TextBody"/>
        <w:bidi w:val="0"/>
        <w:spacing w:before="0" w:after="0"/>
        <w:ind w:left="0" w:right="0" w:firstLine="2160"/>
        <w:jc w:val="left"/>
        <w:rPr/>
      </w:pPr>
      <w:r>
        <w:rPr/>
        <w:t> </w:t>
      </w:r>
    </w:p>
    <w:p>
      <w:pPr>
        <w:pStyle w:val="TextBody"/>
        <w:bidi w:val="0"/>
        <w:spacing w:before="0" w:after="0"/>
        <w:ind w:left="0" w:right="0" w:firstLine="2880"/>
        <w:jc w:val="both"/>
        <w:rPr>
          <w:sz w:val="20"/>
        </w:rPr>
      </w:pPr>
      <w:r>
        <w:rPr>
          <w:sz w:val="20"/>
        </w:rPr>
        <w:t>(i)                All calculations under this Section (4) shall be rounded to the nearest $0.0001 or whole share.</w:t>
      </w:r>
    </w:p>
    <w:p>
      <w:pPr>
        <w:pStyle w:val="TextBody"/>
        <w:bidi w:val="0"/>
        <w:spacing w:before="0" w:after="0"/>
        <w:ind w:left="0" w:right="0" w:firstLine="288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2880"/>
        <w:jc w:val="both"/>
        <w:rPr>
          <w:sz w:val="20"/>
        </w:rPr>
      </w:pPr>
      <w:r>
        <w:rPr>
          <w:sz w:val="20"/>
        </w:rPr>
        <w:t>(ii)              The Company covenants that the number of Ordinary Shares comprised in the Company's authorized share capital but unissued and not otherwise reserved for issuance (including (i) in relation to equity or debt securities convertible into or exchangeable or exercisable for or that can be settled in Ordinary Shares (other than the Debenture and the Other Debentures) and (ii) Ordinary Shares remaining available for issuance under the Company's equity incentive plans) shall be not less than the maximum number of Ordinary Shares issuable upon conversion of this Debenture and the Other Debentures (assuming for purposes hereof that (x) each debenture is convertible at the Floor Price stated therein as of the date of determination, (y) any such conversion shall not take into account any limitations on the conversion of each debenture set forth herein, including the Floor Price (the “</w:t>
      </w:r>
      <w:r>
        <w:rPr>
          <w:sz w:val="20"/>
          <w:u w:val="single"/>
        </w:rPr>
        <w:t>Required Reserve Amount</w:t>
      </w:r>
      <w:r>
        <w:rPr>
          <w:sz w:val="20"/>
        </w:rPr>
        <w:t>”), provided that at no time shall the number of Ordinary Shares reserved pursuant to this section 4(d)(ii) be reduced other than proportionally with respect to all Ordinary Shares in connection with any conversion (other than pursuant to the conversion of this Debenture and the Other Debentures in accordance with their terms) and/or cancellation, or reverse stock split. If at any time the number of Ordinary Shares reserved pursuant to this section 4(d)(ii) becomes less than the Required Reserve Amount, the Company will promptly take all corporate action necessary to propose to its general meeting of shareholders an increase of its authorized share capital necessary to meet the Company's obligations pursuant to this Debenture, recommending that shareholders vote in favor of such an increase. The Company covenants that, upon issuance in accordance with conversion of this Debenture in accordance with its terms, the Ordinary Shares, when issued, will be validly issued, fully paid and non-assessable (meaning that the holders of the Ordinary Shares will not by reason of merely being such a holder, be subject to assessment or calls by the Company or its creditors for further payment on such Ordinary Shares).</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(iii)              Nothing herein shall limit the Holder's right to pursue actual damages or declare an Event of Default pursuant to Section (3) herein for the Company’s failure to deliver certificates representing Ordinary Shares upon conversion within the period specified herein and the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 xml:space="preserve">(iv)             </w:t>
      </w:r>
      <w:r>
        <w:rPr>
          <w:sz w:val="20"/>
          <w:u w:val="single"/>
        </w:rPr>
        <w:t>Legal Opinions</w:t>
      </w:r>
      <w:r>
        <w:rPr>
          <w:sz w:val="20"/>
        </w:rPr>
        <w:t>. The Company is obligated to cause its legal counsel to deliver legal opinions to the Company’s transfer agent or registrar, as may be required in connection with any legend removal upon the expiration of any holding period or other requirement for which the Underlying Shares may bear legends restricting the transfer thereof.</w:t>
      </w:r>
    </w:p>
    <w:p>
      <w:pPr>
        <w:pStyle w:val="TextBody"/>
        <w:bidi w:val="0"/>
        <w:spacing w:before="0" w:after="0"/>
        <w:ind w:left="0" w:right="0" w:firstLine="2880"/>
        <w:jc w:val="both"/>
        <w:rPr/>
      </w:pPr>
      <w:r>
        <w:rPr/>
        <w:t> </w:t>
      </w:r>
    </w:p>
    <w:p>
      <w:pPr>
        <w:pStyle w:val="TextBody"/>
        <w:bidi w:val="0"/>
        <w:spacing w:before="0" w:after="0"/>
        <w:ind w:left="0" w:right="0" w:firstLine="2160"/>
        <w:jc w:val="both"/>
        <w:rPr>
          <w:sz w:val="20"/>
        </w:rPr>
      </w:pPr>
      <w:r>
        <w:rPr>
          <w:sz w:val="20"/>
        </w:rPr>
        <w:t>(e)            </w:t>
      </w:r>
      <w:r>
        <w:rPr>
          <w:sz w:val="20"/>
          <w:u w:val="single"/>
        </w:rPr>
        <w:t>Adjustment of Conversion Price upon Subdivision or Combination of Ordinary Shares</w:t>
      </w:r>
      <w:r>
        <w:rPr>
          <w:sz w:val="20"/>
        </w:rPr>
        <w:t>. If the Company, at any time while this Debenture is outstanding, shall (a) pay a stock dividend or otherwise make a distribution or distributions on its Ordinary Shares or any other equity or equity equivalent securities payable in Ordinary Shares, (b) subdivide outstanding Ordinary Shares into a larger number of shares, (c) combine (including by way of reverse stock split) outstanding Ordinary Shares into a smaller number of shares, or (d) issue by reclassification of shares of the Ordinary Shares any shares of capital stock of the Company, then each of the Fixed Conversion Price and the Floor Price shall be multiplied by a fraction of which the numerator shall be the number of Ordinary Shares (excluding treasury shares, if any) outstanding before such event and of which the denominator shall be the number of Ordinary Shares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(f)             </w:t>
      </w:r>
      <w:r>
        <w:rPr>
          <w:sz w:val="20"/>
          <w:u w:val="single"/>
        </w:rPr>
        <w:t>Other Corporate Events</w:t>
      </w:r>
      <w:r>
        <w:rPr>
          <w:sz w:val="20"/>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sz w:val="20"/>
          <w:u w:val="single"/>
        </w:rPr>
        <w:t>Corporate Event</w:t>
      </w:r>
      <w:r>
        <w:rPr>
          <w:sz w:val="20"/>
        </w:rPr>
        <w:t>”), the Company shall make appropriate provision to ensure that the Holder will thereafter have the right to receive upon a conversion of this Debenture,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Debenture)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Debenture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shall apply similarly and equally to successive Corporate Events and shall be applied without regard to any limitations on the conversion or redemption of this Debenture. Notwithstanding the foregoing, the Company shall have the right to pay in cash the Principal amount of this Debenture, together with interest and other amounts owing in respect thereof, immediately prior to the consummation of the Fundamental Transaction in accordance with the early redemption provisions set forth in Section 2(b).</w:t>
      </w:r>
    </w:p>
    <w:p>
      <w:pPr>
        <w:pStyle w:val="TextBody"/>
        <w:bidi w:val="0"/>
        <w:spacing w:before="0" w:after="0"/>
        <w:ind w:left="0" w:right="0" w:firstLine="216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2160"/>
        <w:jc w:val="both"/>
        <w:rPr>
          <w:sz w:val="20"/>
        </w:rPr>
      </w:pPr>
      <w:r>
        <w:rPr>
          <w:sz w:val="20"/>
        </w:rPr>
        <w:t>(g)            Whenever the Conversion Price is adjusted pursuant to Section 4 hereof, the Company shall promptly provide the Holder with a written notice setting forth the Conversion Price after such adjustment and setting forth a brief statement of the facts requiring such adjustment.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(h)            In case of any (1) merger or consolidation of the Company or any Subsidiary of the Company with or into another Person, or (2) sale by the Company or any Subsidiary of the Company of more than one-half of the assets of the Company in one or a series of related transactions, the Holder shall have the right to (A) exercise any rights under Section (3)(b), (B) convert the aggregate amount of this Debenture then outstanding into the shares of stock and other securities, cash and property receivable upon or deemed to be held by holders of Ordinary Shares following such merger, consolidation or sale, and the Holder shall be entitled upon such event or series of related events to receive such amount of securities, cash and property as the Ordinary Shares into which such aggregate outstanding amount of this Debenture could have been converted immediately prior to such merger, consolidation or sales, would have been entitled to receive, or (C) in the case of a merger or consolidation, require the surviving entity to issue to the Holder a convertible Debenture with a Principal amount equal to the aggregate Principal amount of this Debenture then held by the Holder, plus all accrued and unpaid interest and other amounts owing thereon, which such newly issued convertible Debenture shall have terms identical (including with respect to conversion) to the terms of this Debenture, and shall be entitled to all of the rights and privileges of the Holder of this Debenture set forth herein and the agreements pursuant to which this Debenture was issued. In the case of clause (C), the conversion price applicable for the newly issued shares of convertible preferred stock or convertible debentures shall be based upon the amount of securities, cash and property that each share of Ordinary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(5)           </w:t>
      </w:r>
      <w:r>
        <w:rPr>
          <w:sz w:val="20"/>
          <w:u w:val="single"/>
        </w:rPr>
        <w:t>REISSUANCE OF THIS DEBENTURE</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(a)            </w:t>
      </w:r>
      <w:r>
        <w:rPr>
          <w:sz w:val="20"/>
          <w:u w:val="single"/>
        </w:rPr>
        <w:t>Transfer</w:t>
      </w:r>
      <w:r>
        <w:rPr>
          <w:sz w:val="20"/>
        </w:rPr>
        <w:t>. If this Debenture is to be transferred, the Holder shall surrender this Debenture to the Company, whereupon the Company will forthwith issue and deliver upon the order of the Holder a new Debenture (in accordance with Section (7)(d)),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(7)(d)) to the Holder representing the outstanding Principal not being transferred. The Holder and any assignee, by acceptance of this Debenture, acknowledge and agree that, by reason of the provisions of Section (4)(b)(iii) following conversion or redemption of any portion of this Debenture, the outstanding Principal represented by this Debenture may be less than the Principal stated on the face of this Debenture.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(b)            </w:t>
      </w:r>
      <w:r>
        <w:rPr>
          <w:sz w:val="20"/>
          <w:u w:val="single"/>
        </w:rPr>
        <w:t>Lost, Stolen or Mutilated Debenture</w:t>
      </w:r>
      <w:r>
        <w:rPr>
          <w:sz w:val="20"/>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Section (5)(d)) representing the outstanding Principal.</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(c)            </w:t>
      </w:r>
      <w:r>
        <w:rPr>
          <w:sz w:val="20"/>
          <w:u w:val="single"/>
        </w:rPr>
        <w:t>Debenture Exchangeable for Different Denominations</w:t>
      </w:r>
      <w:r>
        <w:rPr>
          <w:sz w:val="20"/>
        </w:rPr>
        <w:t>. This Debenture is exchangeable, upon the surrender hereof by the Holder at the principal office of the Company, for a new Debenture or Debentures (in accordance with Section (5)(d)) representing in the aggregate the outstanding Principal of this Debenture, and each such new Debenture will represent such portion of such outstanding Principal as is designated by the Holder at the time of such surrender.</w:t>
      </w:r>
    </w:p>
    <w:p>
      <w:pPr>
        <w:pStyle w:val="TextBody"/>
        <w:bidi w:val="0"/>
        <w:spacing w:before="0" w:after="0"/>
        <w:ind w:left="0" w:right="0" w:firstLine="216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2160"/>
        <w:jc w:val="both"/>
        <w:rPr>
          <w:sz w:val="20"/>
        </w:rPr>
      </w:pPr>
      <w:r>
        <w:rPr>
          <w:sz w:val="20"/>
        </w:rPr>
        <w:t>(d)            </w:t>
      </w:r>
      <w:r>
        <w:rPr>
          <w:sz w:val="20"/>
          <w:u w:val="single"/>
        </w:rPr>
        <w:t>Issuance of New Debentures</w:t>
      </w:r>
      <w:r>
        <w:rPr>
          <w:sz w:val="20"/>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(5)(a) or Section (5)(c),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 (v) shall represent accrued and unpaid Interest from the Issuance Date.</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(6)           </w:t>
      </w:r>
      <w:r>
        <w:rPr>
          <w:sz w:val="20"/>
          <w:u w:val="single"/>
        </w:rPr>
        <w:t>NOTICES</w:t>
      </w:r>
      <w:r>
        <w:rPr>
          <w:sz w:val="20"/>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express courier service, in each case, properly addressed to the party to receive the same and (B) receipt, when sent by electronic mail. The addresses and e-mail addresses for such communications shall be:</w:t>
      </w:r>
    </w:p>
    <w:p>
      <w:pPr>
        <w:pStyle w:val="TextBody"/>
        <w:bidi w:val="0"/>
        <w:spacing w:before="0" w:after="0"/>
        <w:ind w:left="0" w:right="0" w:firstLine="1440"/>
        <w:jc w:val="both"/>
        <w:rPr/>
      </w:pPr>
      <w:r>
        <w:rPr/>
        <w:t> </w:t>
      </w:r>
    </w:p>
    <w:tbl>
      <w:tblPr>
        <w:tblW w:w="7660" w:type="dxa"/>
        <w:jc w:val="left"/>
        <w:tblInd w:w="0" w:type="dxa"/>
        <w:tblLayout w:type="fixed"/>
        <w:tblCellMar>
          <w:top w:w="0" w:type="dxa"/>
          <w:left w:w="0" w:type="dxa"/>
          <w:bottom w:w="0" w:type="dxa"/>
          <w:right w:w="0" w:type="dxa"/>
        </w:tblCellMar>
      </w:tblPr>
      <w:tblGrid>
        <w:gridCol w:w="4070"/>
        <w:gridCol w:w="3590"/>
      </w:tblGrid>
      <w:tr>
        <w:trPr/>
        <w:tc>
          <w:tcPr>
            <w:tcW w:w="4070" w:type="dxa"/>
            <w:tcBorders/>
            <w:vAlign w:val="center"/>
          </w:tcPr>
          <w:p>
            <w:pPr>
              <w:pStyle w:val="TableContents"/>
              <w:bidi w:val="0"/>
              <w:spacing w:before="0" w:after="283"/>
              <w:jc w:val="left"/>
              <w:rPr/>
            </w:pPr>
            <w:r>
              <w:rPr/>
              <w:t> </w:t>
            </w:r>
            <w:r>
              <w:rPr/>
              <w:t>If to the Company, to:</w:t>
            </w:r>
          </w:p>
        </w:tc>
        <w:tc>
          <w:tcPr>
            <w:tcW w:w="3590" w:type="dxa"/>
            <w:tcBorders/>
            <w:vAlign w:val="center"/>
          </w:tcPr>
          <w:p>
            <w:pPr>
              <w:pStyle w:val="TableContents"/>
              <w:bidi w:val="0"/>
              <w:spacing w:before="0" w:after="283"/>
              <w:jc w:val="left"/>
              <w:rPr/>
            </w:pPr>
            <w:r>
              <w:rPr/>
              <w:t>Sono Group N.V.</w:t>
            </w:r>
          </w:p>
        </w:tc>
      </w:tr>
      <w:tr>
        <w:trPr/>
        <w:tc>
          <w:tcPr>
            <w:tcW w:w="40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ind w:left="0" w:right="0" w:hanging="0"/>
              <w:jc w:val="left"/>
              <w:rPr>
                <w:sz w:val="20"/>
              </w:rPr>
            </w:pPr>
            <w:r>
              <w:rPr>
                <w:sz w:val="20"/>
              </w:rPr>
              <w:t>Waldmeisterstraße 93</w:t>
            </w:r>
          </w:p>
          <w:p>
            <w:pPr>
              <w:pStyle w:val="TableContents"/>
              <w:bidi w:val="0"/>
              <w:spacing w:before="0" w:after="0"/>
              <w:ind w:left="0" w:right="0" w:hanging="0"/>
              <w:jc w:val="left"/>
              <w:rPr>
                <w:sz w:val="20"/>
              </w:rPr>
            </w:pPr>
            <w:r>
              <w:rPr>
                <w:sz w:val="20"/>
              </w:rPr>
              <w:t>80935 Munich</w:t>
            </w:r>
          </w:p>
          <w:p>
            <w:pPr>
              <w:pStyle w:val="TableContents"/>
              <w:bidi w:val="0"/>
              <w:spacing w:before="0" w:after="0"/>
              <w:ind w:left="0" w:right="0" w:hanging="0"/>
              <w:jc w:val="left"/>
              <w:rPr>
                <w:sz w:val="20"/>
              </w:rPr>
            </w:pPr>
            <w:r>
              <w:rPr>
                <w:sz w:val="20"/>
              </w:rPr>
              <w:t>Germany</w:t>
            </w:r>
          </w:p>
        </w:tc>
      </w:tr>
      <w:tr>
        <w:trPr/>
        <w:tc>
          <w:tcPr>
            <w:tcW w:w="40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xml:space="preserve">Attn: Legal Department </w:t>
            </w:r>
          </w:p>
        </w:tc>
      </w:tr>
      <w:tr>
        <w:trPr/>
        <w:tc>
          <w:tcPr>
            <w:tcW w:w="40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Email: legal@sonomotors.com</w:t>
            </w:r>
          </w:p>
        </w:tc>
      </w:tr>
      <w:tr>
        <w:trPr/>
        <w:tc>
          <w:tcPr>
            <w:tcW w:w="40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ind w:left="0" w:right="0" w:hanging="0"/>
              <w:jc w:val="left"/>
              <w:rPr>
                <w:sz w:val="20"/>
              </w:rPr>
            </w:pPr>
            <w:r>
              <w:rPr>
                <w:sz w:val="20"/>
              </w:rPr>
              <w:t>with a copy (which shall not constitute notice) to:</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3590" w:type="dxa"/>
            <w:tcBorders/>
            <w:vAlign w:val="center"/>
          </w:tcPr>
          <w:p>
            <w:pPr>
              <w:pStyle w:val="TableContents"/>
              <w:bidi w:val="0"/>
              <w:spacing w:before="0" w:after="0"/>
              <w:ind w:left="0" w:right="0" w:hanging="0"/>
              <w:jc w:val="left"/>
              <w:rPr>
                <w:sz w:val="20"/>
              </w:rPr>
            </w:pPr>
            <w:r>
              <w:rPr>
                <w:sz w:val="20"/>
              </w:rPr>
              <w:t>DLA Piper Nederland N.V.</w:t>
            </w:r>
          </w:p>
          <w:p>
            <w:pPr>
              <w:pStyle w:val="TableContents"/>
              <w:bidi w:val="0"/>
              <w:spacing w:before="0" w:after="0"/>
              <w:ind w:left="0" w:right="0" w:hanging="0"/>
              <w:jc w:val="left"/>
              <w:rPr>
                <w:sz w:val="20"/>
              </w:rPr>
            </w:pPr>
            <w:r>
              <w:rPr>
                <w:sz w:val="20"/>
              </w:rPr>
              <w:t>Strawinskyhuis Prinses</w:t>
            </w:r>
          </w:p>
          <w:p>
            <w:pPr>
              <w:pStyle w:val="TableContents"/>
              <w:bidi w:val="0"/>
              <w:spacing w:before="0" w:after="0"/>
              <w:ind w:left="0" w:right="0" w:hanging="0"/>
              <w:jc w:val="left"/>
              <w:rPr>
                <w:sz w:val="20"/>
              </w:rPr>
            </w:pPr>
            <w:r>
              <w:rPr>
                <w:sz w:val="20"/>
              </w:rPr>
              <w:t>Amaliaplein 3 1077 XS Amsterdam</w:t>
            </w:r>
          </w:p>
          <w:p>
            <w:pPr>
              <w:pStyle w:val="TableContents"/>
              <w:bidi w:val="0"/>
              <w:spacing w:before="0" w:after="0"/>
              <w:ind w:left="0" w:right="0" w:hanging="0"/>
              <w:jc w:val="left"/>
              <w:rPr>
                <w:sz w:val="20"/>
              </w:rPr>
            </w:pPr>
            <w:r>
              <w:rPr>
                <w:sz w:val="20"/>
              </w:rPr>
              <w:t>Netherlands</w:t>
            </w:r>
          </w:p>
          <w:p>
            <w:pPr>
              <w:pStyle w:val="TableContents"/>
              <w:bidi w:val="0"/>
              <w:spacing w:before="0" w:after="0"/>
              <w:ind w:left="0" w:right="0" w:hanging="0"/>
              <w:jc w:val="left"/>
              <w:rPr>
                <w:sz w:val="20"/>
              </w:rPr>
            </w:pPr>
            <w:r>
              <w:rPr>
                <w:sz w:val="20"/>
              </w:rPr>
              <w:t>+31 (0)20 541 98 88</w:t>
            </w:r>
          </w:p>
          <w:p>
            <w:pPr>
              <w:pStyle w:val="TableContents"/>
              <w:bidi w:val="0"/>
              <w:spacing w:before="0" w:after="0"/>
              <w:ind w:left="0" w:right="0" w:hanging="0"/>
              <w:jc w:val="left"/>
              <w:rPr>
                <w:sz w:val="20"/>
              </w:rPr>
            </w:pPr>
            <w:r>
              <w:rPr>
                <w:sz w:val="20"/>
              </w:rPr>
              <w:t>Attention: Pabe Suurd</w:t>
            </w:r>
          </w:p>
          <w:p>
            <w:pPr>
              <w:pStyle w:val="TableContents"/>
              <w:bidi w:val="0"/>
              <w:spacing w:before="0" w:after="0"/>
              <w:ind w:left="0" w:right="0" w:hanging="0"/>
              <w:jc w:val="left"/>
              <w:rPr>
                <w:sz w:val="20"/>
              </w:rPr>
            </w:pPr>
            <w:r>
              <w:rPr>
                <w:sz w:val="20"/>
              </w:rPr>
              <w:t>E-Mail: Pabe.Suurd@dlapiper.com</w:t>
            </w:r>
          </w:p>
        </w:tc>
      </w:tr>
      <w:tr>
        <w:trPr/>
        <w:tc>
          <w:tcPr>
            <w:tcW w:w="40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If to the Holder:</w:t>
            </w:r>
          </w:p>
        </w:tc>
        <w:tc>
          <w:tcPr>
            <w:tcW w:w="3590" w:type="dxa"/>
            <w:tcBorders/>
            <w:vAlign w:val="center"/>
          </w:tcPr>
          <w:p>
            <w:pPr>
              <w:pStyle w:val="TableContents"/>
              <w:bidi w:val="0"/>
              <w:spacing w:before="0" w:after="283"/>
              <w:jc w:val="left"/>
              <w:rPr/>
            </w:pPr>
            <w:r>
              <w:rPr/>
              <w:t>YA II PN, Ltd</w:t>
            </w:r>
          </w:p>
        </w:tc>
      </w:tr>
      <w:tr>
        <w:trPr/>
        <w:tc>
          <w:tcPr>
            <w:tcW w:w="40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ind w:left="0" w:right="0" w:hanging="0"/>
              <w:jc w:val="left"/>
              <w:rPr>
                <w:sz w:val="20"/>
              </w:rPr>
            </w:pPr>
            <w:r>
              <w:rPr>
                <w:sz w:val="20"/>
              </w:rPr>
              <w:t>c/o Yorkville Advisors Global, LLC</w:t>
            </w:r>
          </w:p>
          <w:p>
            <w:pPr>
              <w:pStyle w:val="TableContents"/>
              <w:bidi w:val="0"/>
              <w:spacing w:before="0" w:after="0"/>
              <w:ind w:left="0" w:right="0" w:hanging="0"/>
              <w:jc w:val="left"/>
              <w:rPr>
                <w:sz w:val="20"/>
              </w:rPr>
            </w:pPr>
            <w:r>
              <w:rPr>
                <w:sz w:val="20"/>
              </w:rPr>
              <w:t>1012 Springfield Avenue</w:t>
            </w:r>
          </w:p>
        </w:tc>
      </w:tr>
      <w:tr>
        <w:trPr/>
        <w:tc>
          <w:tcPr>
            <w:tcW w:w="40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Mountainside, NJ 07092</w:t>
            </w:r>
          </w:p>
        </w:tc>
      </w:tr>
      <w:tr>
        <w:trPr/>
        <w:tc>
          <w:tcPr>
            <w:tcW w:w="40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Attention: Mark Angelo</w:t>
            </w:r>
          </w:p>
        </w:tc>
      </w:tr>
      <w:tr>
        <w:trPr/>
        <w:tc>
          <w:tcPr>
            <w:tcW w:w="40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Telephone: 201-985-8300</w:t>
            </w:r>
          </w:p>
        </w:tc>
      </w:tr>
      <w:tr>
        <w:trPr/>
        <w:tc>
          <w:tcPr>
            <w:tcW w:w="40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Email:  Legal@yorkvilleadvisors.com</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email or receipt from a nationally recognized overnight delivery service in accordance with clause (i), (ii) or (iii) above, respectively.</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(7)           Except as expressly provided herein, no provision of this Debenture shall alter or impair the obligations of the Company, which are absolute and unconditional, to pay the Principal of, interest and other charges (if any) on, this Debenture at the time, place, and rate, and in the coin or currency, herein prescribed. This Debenture is a direct obligation of the Company. As long as this Debenture is outstanding, the Company shall not and shall cause its Subsidiaries not to, without the consent of the Holder, (i) amend its articles of association so as to materially and adversely affect any rights of the Holder; (ii) repay, repurchase or offer to repay, repurchase or otherwise acquire Ordinary Shares or other equity securities; or (iii) enter into any agreement with respect to any of the foregoing.</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(8)           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Ordinary Shares in accordance with the terms hereof.</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(9)           After the Issuance Date, without the Holder’s consent, the Company will not and will not permit any of its Subsidiaries to, directly or indirectly, enter into, create, incur, assume or suffer to exist any indebtedness or any security interests or liens of any kind, on or with respect to any of its property or assets now owned or hereafter acquired or any interest therein or any income or profits therefrom.</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(10) </w:t>
      </w:r>
      <w:r>
        <w:rPr>
          <w:sz w:val="20"/>
          <w:u w:val="single"/>
        </w:rPr>
        <w:t>CHOICE OF LAW; VENUE</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2880"/>
        <w:jc w:val="both"/>
        <w:rPr>
          <w:sz w:val="20"/>
        </w:rPr>
      </w:pPr>
      <w:r>
        <w:rPr>
          <w:sz w:val="20"/>
        </w:rPr>
        <w:t>This Debenture shall be governed by and construed in accordance with the laws of the State of New York, without giving effect to conflicts of laws thereof. Each of the parties consents to the jurisdiction of the Supreme Court of the State of New York located in the City of New York, Borough of Manhattan, and the U.S. District Court for the Southern District of New York in connection with any dispute arising under this Debenture and hereby waives, to the maximum extent permitted by law, any objection, including any objection based on forum non conveniens to the bringing of any such proceeding in such jurisdictions. THE PARTIES HEREBY KNOWINGLY, VOLUNTARILY AND INTENTIONALLY WAIVE THE RIGHT ANY OF THEM MAY HAVE TO A TRIAL BY JURY IN RESPECT OF ANY LITIGATION BASED HEREON OR ARISING OUT OF, UNDER OR IN CONNECTION WITH THIS AGREEMENT OR ANY TRANSACTION DOCUMENT OR ANY COURSE OF CONDUCT, COURSE OF DEALING, STATEMENTS (WHETHER VERBAL OR WRITTEN) OR ACTIONS OF ANY PARTY. THIS PROVISION IS A MATERIAL INDUCEMENT FOR THE PARTIES’ ACCEPTANCE OF THIS AGREEMENT.</w:t>
      </w:r>
    </w:p>
    <w:p>
      <w:pPr>
        <w:pStyle w:val="TextBody"/>
        <w:bidi w:val="0"/>
        <w:spacing w:before="0" w:after="0"/>
        <w:ind w:left="0" w:right="0" w:firstLine="2880"/>
        <w:jc w:val="both"/>
        <w:rPr/>
      </w:pPr>
      <w:r>
        <w:rPr/>
        <w:t> </w:t>
      </w:r>
    </w:p>
    <w:p>
      <w:pPr>
        <w:pStyle w:val="TextBody"/>
        <w:bidi w:val="0"/>
        <w:spacing w:before="0" w:after="0"/>
        <w:ind w:left="0" w:right="0" w:firstLine="1440"/>
        <w:jc w:val="both"/>
        <w:rPr>
          <w:sz w:val="20"/>
        </w:rPr>
      </w:pPr>
      <w:r>
        <w:rPr>
          <w:sz w:val="20"/>
        </w:rPr>
        <w:t>(11)         If the Company or any Guarantor fails to materially comply with the terms of this Debenture and/or any other Transaction Documents, then, to the extent reasonably incurred and documented, the Company shall reimburse the Holder for all fees, costs and expenses, including, without limitation, attorneys’ fees and expenses incurred by the Holder in any action in connection with this Debenture and/or any other Transaction Document,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(12)         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(13)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(14)         Whenever any payment or other obligation hereunder shall be due on a day other than a Business Day, such payment shall be made on the next succeeding Business Day.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(15)         </w:t>
      </w:r>
      <w:r>
        <w:rPr>
          <w:sz w:val="20"/>
          <w:u w:val="single"/>
        </w:rPr>
        <w:t>CERTAIN DEFINITIONS.</w:t>
      </w:r>
      <w:r>
        <w:rPr>
          <w:sz w:val="20"/>
        </w:rPr>
        <w:t xml:space="preserve"> For purposes of this Debenture, the following terms shall have the following meanings:</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(a)            “</w:t>
      </w:r>
      <w:r>
        <w:rPr>
          <w:sz w:val="20"/>
          <w:u w:val="single"/>
        </w:rPr>
        <w:t>Bloomberg</w:t>
      </w:r>
      <w:r>
        <w:rPr>
          <w:sz w:val="20"/>
        </w:rPr>
        <w:t>” means Bloomberg Financial Markets.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(b)            “</w:t>
      </w:r>
      <w:r>
        <w:rPr>
          <w:sz w:val="20"/>
          <w:u w:val="single"/>
        </w:rPr>
        <w:t>Business Day</w:t>
      </w:r>
      <w:r>
        <w:rPr>
          <w:sz w:val="20"/>
        </w:rPr>
        <w:t>” means any day except Saturday, Sunday and any day which shall be a federal legal holiday in the United States or a day on which banking institutions are authorized or required by law or other government action to close.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(c)            “</w:t>
      </w:r>
      <w:r>
        <w:rPr>
          <w:sz w:val="20"/>
          <w:u w:val="single"/>
        </w:rPr>
        <w:t>Change of Control Transaction</w:t>
      </w:r>
      <w:r>
        <w:rPr>
          <w:sz w:val="20"/>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management board or supervisory board of the Company (other than as due to the death or disability of a member of the management board or supervisory board) which is not approved by a majority of those individuals who are members of the management board or supervisory board on the date hereof (or by those individuals who are serving as members of the board of directors on any date whose nomination to the management board or supervisory board was approved by a majority of the members of the management board or supervisory board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(d)            “</w:t>
      </w:r>
      <w:r>
        <w:rPr>
          <w:sz w:val="20"/>
          <w:u w:val="single"/>
        </w:rPr>
        <w:t>Closing Price</w:t>
      </w:r>
      <w:r>
        <w:rPr>
          <w:sz w:val="20"/>
        </w:rPr>
        <w:t>” means the price per share in the last reported trade of the Ordinary Shares on a Primary Market or on the exchange or over-the-counter market on which the Ordinary Shares is then listed as quoted by Bloomberg.</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(e)            “</w:t>
      </w:r>
      <w:r>
        <w:rPr>
          <w:sz w:val="20"/>
          <w:u w:val="single"/>
        </w:rPr>
        <w:t>Collateral</w:t>
      </w:r>
      <w:r>
        <w:rPr>
          <w:sz w:val="20"/>
        </w:rPr>
        <w:t>” has the meaning given to such term in the Security Agreement and the Pledge Agreement.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(e)            “</w:t>
      </w:r>
      <w:r>
        <w:rPr>
          <w:sz w:val="20"/>
          <w:u w:val="single"/>
        </w:rPr>
        <w:t>Commission</w:t>
      </w:r>
      <w:r>
        <w:rPr>
          <w:sz w:val="20"/>
        </w:rPr>
        <w:t>” means the Securities and Exchange Commission.</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(f)            “</w:t>
      </w:r>
      <w:r>
        <w:rPr>
          <w:sz w:val="20"/>
          <w:u w:val="single"/>
        </w:rPr>
        <w:t>Exchange Act</w:t>
      </w:r>
      <w:r>
        <w:rPr>
          <w:sz w:val="20"/>
        </w:rPr>
        <w:t>” means the Securities Exchange Act of 1934, as amended.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(g)             “</w:t>
      </w:r>
      <w:r>
        <w:rPr>
          <w:sz w:val="20"/>
          <w:u w:val="single"/>
        </w:rPr>
        <w:t>Floor Price</w:t>
      </w:r>
      <w:r>
        <w:rPr>
          <w:sz w:val="20"/>
        </w:rPr>
        <w:t>” solely with respect to the Variable Conversion Price, shall mean a price per share equal to 20% of the Closing Price on the Trading Day immediately prior to the Issuance Date of this Debenture. Notwithstanding the foregoing, the Company may reduce the Floor Price to any amounts set forth in a written notice to the Holder; provided that such reduction shall be irrevocable and shall not be subject to increase thereafter.</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(h)            “</w:t>
      </w:r>
      <w:r>
        <w:rPr>
          <w:sz w:val="20"/>
          <w:u w:val="single"/>
        </w:rPr>
        <w:t>Fundamental Transaction</w:t>
      </w:r>
      <w:r>
        <w:rPr>
          <w:sz w:val="20"/>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Ordinary Shares are permitted to tender or exchange their shares for other securities, cash or property, or (4) the Company effects any reclassification of the Ordinary Shares or any compulsory share exchange pursuant to which the Ordinary Shares is effectively converted into or exchanged for other securities, cash or property.</w:t>
      </w:r>
    </w:p>
    <w:p>
      <w:pPr>
        <w:pStyle w:val="TextBody"/>
        <w:bidi w:val="0"/>
        <w:spacing w:before="0" w:after="0"/>
        <w:ind w:left="0" w:right="0" w:firstLine="216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2160"/>
        <w:jc w:val="both"/>
        <w:rPr>
          <w:sz w:val="20"/>
        </w:rPr>
      </w:pPr>
      <w:r>
        <w:rPr>
          <w:sz w:val="20"/>
        </w:rPr>
        <w:t>(i)            “</w:t>
      </w:r>
      <w:r>
        <w:rPr>
          <w:sz w:val="20"/>
          <w:u w:val="single"/>
        </w:rPr>
        <w:t>Guarantors</w:t>
      </w:r>
      <w:r>
        <w:rPr>
          <w:sz w:val="20"/>
        </w:rPr>
        <w:t>” means each of the guarantors from time to time party to the Guaranty.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(j)            “</w:t>
      </w:r>
      <w:r>
        <w:rPr>
          <w:sz w:val="20"/>
          <w:u w:val="single"/>
        </w:rPr>
        <w:t>Guaranty</w:t>
      </w:r>
      <w:r>
        <w:rPr>
          <w:sz w:val="20"/>
        </w:rPr>
        <w:t>” means that certain Guaranty Agreement, dated as of June 20, 2024, made by each of the Guarantors party thereto from time to time in favor of the Holder, as may be amended, restated, supplemented or otherwise modified from time to time.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(k)            “</w:t>
      </w:r>
      <w:r>
        <w:rPr>
          <w:sz w:val="20"/>
          <w:u w:val="single"/>
        </w:rPr>
        <w:t>Obligations</w:t>
      </w:r>
      <w:r>
        <w:rPr>
          <w:sz w:val="20"/>
        </w:rPr>
        <w:t>” means all of the Company’s and each Guarantor’s now existing and hereafter created or arising obligations, indebtedness and liabilities of any kind (whether primary or secondary, conditional or unconditional, contingent or noncontingent, joint or several) owed to the Holder, whether existing, created, incurred or arising in the Company’s or such Guarantor’s capacity as a borrower, guarantor, indemnitor, customer, purchaser, lessee, licensee, applicant, counterparty, debtor or other obligor, including (a) any loan amount, principal, interest (including interest accruing during the pendency of any bankruptcy, insolvency, receivership or other similar proceeding, regardless of whether allowed or allowable in such proceeding), fee, charge, indemnification obligation, reimbursement obligation, royalty, premium, cost, expense, price, rent or other amount owed by the Company or such Guarantor to the Holder at any time, including future advances, protective advances and other financial accommodations, (b) any obligations, indebtedness or liabilities of the Company and the Guarantors to the Holder under any Transaction Document at any time, and (c) any of the foregoing that may have been, or that may be, acquired by the Holder from any third party, the Company or any Guarantor at any time.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(l)             “</w:t>
      </w:r>
      <w:r>
        <w:rPr>
          <w:sz w:val="20"/>
          <w:u w:val="single"/>
        </w:rPr>
        <w:t>Ordinary Shares</w:t>
      </w:r>
      <w:r>
        <w:rPr>
          <w:sz w:val="20"/>
        </w:rPr>
        <w:t>” means the Ordinary Shares, nominal value €0.06, of the Company and shares of any other class into which such shares may hereafter be changed or reclassified.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(m)            “</w:t>
      </w:r>
      <w:r>
        <w:rPr>
          <w:sz w:val="20"/>
          <w:u w:val="single"/>
        </w:rPr>
        <w:t>Other Debentures</w:t>
      </w:r>
      <w:r>
        <w:rPr>
          <w:sz w:val="20"/>
        </w:rPr>
        <w:t>” means (i) the convertible debenture issued on December 7, 2022 in the original principal amount of USD 11,100,000 and designated as “SEV-1,” (ii) the convertible debenture issued on December 8, 2022 in the original principal amount of USD 10,000,000 and designated as “SEV-2,”(iii) the convertible debenture issued on December 20, 2022 in the original principal amount of USD 10,000,000 and designated as “SEV-3,” (iv) the convertible debenture issued on February 5, 2024 in the original principal amount of USD 4,317,600 and designated as “SEV-4,” (v) the convertible debenture issued on August 30, 2024 in the original principal amount of USD 3,338,100 and designated as “SEV-5,” (vi) the convertible debenture issued on February 12, 2025 in the original principal amount of USD 1,000,000 and designated as “SEV-6a,” (vii) the convertible debenture issued on March 25, 2025 in the original principal amount of USD 1,000,000 and designated as “SEV-6b,” (viii) the convertible debenture issued on April 24, 2025 in the original principal amount of USD 500,000 and designated as “SEV-6c,” and (ix) the convertible debenture issued on May 27, 2025 in the original principal amount of USD 750,000 and designated as “SEV-6d.”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(m)           “</w:t>
      </w:r>
      <w:r>
        <w:rPr>
          <w:sz w:val="20"/>
          <w:u w:val="single"/>
        </w:rPr>
        <w:t>Person</w:t>
      </w:r>
      <w:r>
        <w:rPr>
          <w:sz w:val="20"/>
        </w:rPr>
        <w:t>” means a corporation, an association, a partnership, organization, a business, an individual, a government or political subdivision thereof or a governmental agency.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(n)            “</w:t>
      </w:r>
      <w:r>
        <w:rPr>
          <w:sz w:val="20"/>
          <w:u w:val="single"/>
        </w:rPr>
        <w:t>Pledge Agreement</w:t>
      </w:r>
      <w:r>
        <w:rPr>
          <w:sz w:val="20"/>
        </w:rPr>
        <w:t>” means that certain Pledge Agreement, dated as of February 5, 2024, by the Company and the Guarantors from time to time party thereto in favor of the Holder, as may be amended, restated, supplemented or otherwise modified from time to time.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(o)            “</w:t>
      </w:r>
      <w:r>
        <w:rPr>
          <w:sz w:val="20"/>
          <w:u w:val="single"/>
        </w:rPr>
        <w:t>Primary Market</w:t>
      </w:r>
      <w:r>
        <w:rPr>
          <w:sz w:val="20"/>
        </w:rPr>
        <w:t>” means any of OTCQB, The New York Stock Exchange, the Nasdaq Global Market or the Nasdaq Global Select Market, and any successor to any of the foregoing markets or exchanges.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(p)            “</w:t>
      </w:r>
      <w:r>
        <w:rPr>
          <w:sz w:val="20"/>
          <w:u w:val="single"/>
        </w:rPr>
        <w:t>Redemption Premium</w:t>
      </w:r>
      <w:r>
        <w:rPr>
          <w:sz w:val="20"/>
        </w:rPr>
        <w:t>” means four percent (4%) of the Principal amount being redeemed or paid.</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(q)            “</w:t>
      </w:r>
      <w:r>
        <w:rPr>
          <w:sz w:val="20"/>
          <w:u w:val="single"/>
        </w:rPr>
        <w:t>Securities Act</w:t>
      </w:r>
      <w:r>
        <w:rPr>
          <w:sz w:val="20"/>
        </w:rPr>
        <w:t>” means the Securities Act of 1933, as amended, and the rules and regulations promulgated thereunder.</w:t>
      </w:r>
    </w:p>
    <w:p>
      <w:pPr>
        <w:pStyle w:val="TextBody"/>
        <w:bidi w:val="0"/>
        <w:spacing w:before="0" w:after="0"/>
        <w:ind w:left="0" w:right="0" w:firstLine="216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2160"/>
        <w:jc w:val="both"/>
        <w:rPr>
          <w:sz w:val="20"/>
        </w:rPr>
      </w:pPr>
      <w:r>
        <w:rPr>
          <w:sz w:val="20"/>
        </w:rPr>
        <w:t>(r)            “</w:t>
      </w:r>
      <w:r>
        <w:rPr>
          <w:sz w:val="20"/>
          <w:u w:val="single"/>
        </w:rPr>
        <w:t>Security Agreement</w:t>
      </w:r>
      <w:r>
        <w:rPr>
          <w:sz w:val="20"/>
        </w:rPr>
        <w:t>” means that certain Security Agreement, dated as of February 5, 2024, by the Company and the Guarantors from time to time party thereto in favor of the Holder, as may be amended, restated, supplemented or otherwise modified from time to time.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(s)            “</w:t>
      </w:r>
      <w:r>
        <w:rPr>
          <w:sz w:val="20"/>
          <w:u w:val="single"/>
        </w:rPr>
        <w:t>Security Documents</w:t>
      </w:r>
      <w:r>
        <w:rPr>
          <w:sz w:val="20"/>
        </w:rPr>
        <w:t>” means, collectively, the Security Agreement, the Pledge Agreement, and any other security agreements, pledge agreements or other similar agreements delivered to the Holder, the Guaranty and each of the other agreements, instruments or documents that creates a lien or guaranty in favor of the Holder.</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(t)            “</w:t>
      </w:r>
      <w:r>
        <w:rPr>
          <w:sz w:val="20"/>
          <w:u w:val="single"/>
        </w:rPr>
        <w:t>Subsidiary</w:t>
      </w:r>
      <w:r>
        <w:rPr>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(u)             “</w:t>
      </w:r>
      <w:r>
        <w:rPr>
          <w:sz w:val="20"/>
          <w:u w:val="single"/>
        </w:rPr>
        <w:t>Trading Day</w:t>
      </w:r>
      <w:r>
        <w:rPr>
          <w:sz w:val="20"/>
        </w:rPr>
        <w:t>” means a day on which the Ordinary Shares are quoted or traded on a Primary Market on which the Ordinary Shares are then quoted or listed; provided, that in the event that the Ordinary Shares are not listed or quoted, then Trading Day shall mean a Business Day.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(v)            “</w:t>
      </w:r>
      <w:r>
        <w:rPr>
          <w:sz w:val="20"/>
          <w:u w:val="single"/>
        </w:rPr>
        <w:t>Transaction Document</w:t>
      </w:r>
      <w:r>
        <w:rPr>
          <w:sz w:val="20"/>
        </w:rPr>
        <w:t>” means, each of, the Securities Purchase Agreement, the Registration Rights Agreement, the Other Debentures, the Security Documents and any and all documents, agreements, instruments or other items executed or delivered in connection with any of the foregoing.</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(w)            “</w:t>
      </w:r>
      <w:r>
        <w:rPr>
          <w:sz w:val="20"/>
          <w:u w:val="single"/>
        </w:rPr>
        <w:t>Underlying Shares</w:t>
      </w:r>
      <w:r>
        <w:rPr>
          <w:sz w:val="20"/>
        </w:rPr>
        <w:t>” means the Ordinary Shares issuable upon conversion of this Debenture or as payment of interest in accordance with the terms hereof.</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(x)           “</w:t>
      </w:r>
      <w:r>
        <w:rPr>
          <w:sz w:val="20"/>
          <w:u w:val="single"/>
        </w:rPr>
        <w:t>VWAP</w:t>
      </w:r>
      <w:r>
        <w:rPr>
          <w:sz w:val="20"/>
        </w:rPr>
        <w:t>” means, for any security as of any date, the daily dollar volume-weighted average price for such security on the Primary Market during regular trading hours as reported by Bloomberg through its “Historical Prices - Px Table with Average Daily Volume” functions.</w:t>
      </w:r>
    </w:p>
    <w:p>
      <w:pPr>
        <w:pStyle w:val="TextBody"/>
        <w:bidi w:val="0"/>
        <w:spacing w:before="0" w:after="0"/>
        <w:ind w:left="0" w:right="0" w:firstLine="2160"/>
        <w:jc w:val="both"/>
        <w:rPr/>
      </w:pPr>
      <w:r>
        <w:rPr/>
        <w:t> </w:t>
      </w:r>
    </w:p>
    <w:p>
      <w:pPr>
        <w:pStyle w:val="TextBody"/>
        <w:bidi w:val="0"/>
        <w:spacing w:before="0" w:after="0"/>
        <w:ind w:left="0" w:right="0" w:hanging="0"/>
        <w:jc w:val="center"/>
        <w:rPr>
          <w:b/>
          <w:sz w:val="20"/>
        </w:rPr>
      </w:pPr>
      <w:r>
        <w:rPr>
          <w:b/>
          <w:sz w:val="20"/>
        </w:rPr>
        <w:t>[Signature Page Follows]</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b/>
          <w:sz w:val="20"/>
        </w:rPr>
        <w:t>IN WITNESS WHEREOF</w:t>
      </w:r>
      <w:r>
        <w:rPr>
          <w:sz w:val="20"/>
        </w:rPr>
        <w:t>, the Company has caused this Secured Convertible Debenture to be duly executed by a duly authorized officer as of the date set forth above.</w:t>
      </w:r>
    </w:p>
    <w:p>
      <w:pPr>
        <w:pStyle w:val="TextBody"/>
        <w:bidi w:val="0"/>
        <w:spacing w:before="0" w:after="0"/>
        <w:ind w:left="0" w:right="0" w:firstLine="720"/>
        <w:jc w:val="both"/>
        <w:rPr/>
      </w:pPr>
      <w:r>
        <w:rPr/>
        <w:t> </w:t>
      </w:r>
    </w:p>
    <w:tbl>
      <w:tblPr>
        <w:tblW w:w="2260" w:type="dxa"/>
        <w:jc w:val="left"/>
        <w:tblInd w:w="0" w:type="dxa"/>
        <w:tblLayout w:type="fixed"/>
        <w:tblCellMar>
          <w:top w:w="0" w:type="dxa"/>
          <w:left w:w="0" w:type="dxa"/>
          <w:bottom w:w="0" w:type="dxa"/>
          <w:right w:w="0" w:type="dxa"/>
        </w:tblCellMar>
      </w:tblPr>
      <w:tblGrid>
        <w:gridCol w:w="80"/>
        <w:gridCol w:w="2180"/>
      </w:tblGrid>
      <w:tr>
        <w:trPr/>
        <w:tc>
          <w:tcPr>
            <w:tcW w:w="8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b/>
              </w:rPr>
            </w:pPr>
            <w:r>
              <w:rPr>
                <w:b/>
              </w:rPr>
              <w:t>COMPANY:</w:t>
            </w:r>
          </w:p>
        </w:tc>
      </w:tr>
      <w:tr>
        <w:trPr/>
        <w:tc>
          <w:tcPr>
            <w:tcW w:w="8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b/>
              </w:rPr>
            </w:pPr>
            <w:r>
              <w:rPr>
                <w:b/>
              </w:rPr>
              <w:t>SONO GROUP N.V.</w:t>
            </w:r>
          </w:p>
        </w:tc>
      </w:tr>
    </w:tbl>
    <w:p>
      <w:pPr>
        <w:pStyle w:val="TextBody"/>
        <w:bidi w:val="0"/>
        <w:spacing w:before="0" w:after="0"/>
        <w:ind w:left="0" w:right="0" w:hanging="0"/>
        <w:jc w:val="left"/>
        <w:rPr/>
      </w:pPr>
      <w:r>
        <w:rPr/>
        <w:t> </w:t>
      </w:r>
    </w:p>
    <w:tbl>
      <w:tblPr>
        <w:tblW w:w="2395" w:type="dxa"/>
        <w:jc w:val="left"/>
        <w:tblInd w:w="0" w:type="dxa"/>
        <w:tblLayout w:type="fixed"/>
        <w:tblCellMar>
          <w:top w:w="0" w:type="dxa"/>
          <w:left w:w="0" w:type="dxa"/>
          <w:bottom w:w="0" w:type="dxa"/>
          <w:right w:w="0" w:type="dxa"/>
        </w:tblCellMar>
      </w:tblPr>
      <w:tblGrid>
        <w:gridCol w:w="75"/>
        <w:gridCol w:w="365"/>
        <w:gridCol w:w="195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955" w:type="dxa"/>
            <w:tcBorders>
              <w:bottom w:val="single" w:sz="8" w:space="0" w:color="000000"/>
            </w:tcBorders>
            <w:tcMar>
              <w:bottom w:w="28" w:type="dxa"/>
            </w:tcMar>
            <w:vAlign w:val="center"/>
          </w:tcPr>
          <w:p>
            <w:pPr>
              <w:pStyle w:val="TableContents"/>
              <w:bidi w:val="0"/>
              <w:spacing w:before="0" w:after="283"/>
              <w:jc w:val="both"/>
              <w:rPr/>
            </w:pPr>
            <w:r>
              <w:rPr/>
              <w:t> </w:t>
            </w:r>
            <w:r>
              <w:rPr/>
              <w:t>George G. O’Leary</w:t>
            </w:r>
          </w:p>
        </w:tc>
      </w:tr>
    </w:tbl>
    <w:p>
      <w:pPr>
        <w:pStyle w:val="TextBody"/>
        <w:bidi w:val="0"/>
        <w:spacing w:before="0" w:after="0"/>
        <w:ind w:left="0" w:right="0" w:hanging="0"/>
        <w:jc w:val="left"/>
        <w:rPr/>
      </w:pPr>
      <w:r>
        <w:rPr/>
        <w:t> </w:t>
      </w:r>
    </w:p>
    <w:tbl>
      <w:tblPr>
        <w:tblW w:w="3430" w:type="dxa"/>
        <w:jc w:val="left"/>
        <w:tblInd w:w="0" w:type="dxa"/>
        <w:tblLayout w:type="fixed"/>
        <w:tblCellMar>
          <w:top w:w="0" w:type="dxa"/>
          <w:left w:w="0" w:type="dxa"/>
          <w:bottom w:w="0" w:type="dxa"/>
          <w:right w:w="0" w:type="dxa"/>
        </w:tblCellMar>
      </w:tblPr>
      <w:tblGrid>
        <w:gridCol w:w="80"/>
        <w:gridCol w:w="3350"/>
      </w:tblGrid>
      <w:tr>
        <w:trPr/>
        <w:tc>
          <w:tcPr>
            <w:tcW w:w="8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Name: George G. O’Leary</w:t>
            </w:r>
          </w:p>
        </w:tc>
      </w:tr>
      <w:tr>
        <w:trPr/>
        <w:tc>
          <w:tcPr>
            <w:tcW w:w="8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Title: CEO and Managing Director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I</w:t>
        <w:br/>
      </w:r>
      <w:r>
        <w:rPr>
          <w:b/>
          <w:sz w:val="20"/>
          <w:u w:val="single"/>
        </w:rPr>
        <w:t>CONVERSION NOTICE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(To be executed by the Holder in order to Convert the Debenture)</w:t>
      </w:r>
    </w:p>
    <w:p>
      <w:pPr>
        <w:pStyle w:val="TextBody"/>
        <w:bidi w:val="0"/>
        <w:spacing w:before="0" w:after="0"/>
        <w:ind w:left="0" w:right="0" w:hanging="0"/>
        <w:jc w:val="center"/>
        <w:rPr/>
      </w:pPr>
      <w:r>
        <w:rPr/>
        <w:t> </w:t>
      </w:r>
    </w:p>
    <w:p>
      <w:pPr>
        <w:pStyle w:val="TextBody"/>
        <w:bidi w:val="0"/>
        <w:spacing w:before="0" w:after="0"/>
        <w:ind w:left="0" w:right="0" w:hanging="0"/>
        <w:jc w:val="left"/>
        <w:rPr>
          <w:b/>
          <w:sz w:val="20"/>
        </w:rPr>
      </w:pPr>
      <w:r>
        <w:rPr>
          <w:b/>
          <w:sz w:val="20"/>
        </w:rPr>
        <w:t>TO: SONO GROUP N.V.</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Via Email: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The undersigned hereby irrevocably elects to convert a portion of the outstanding and unpaid Conversion Amount of Debenture No. SEV-6e into Ordinary Shares of </w:t>
      </w:r>
      <w:r>
        <w:rPr>
          <w:b/>
          <w:sz w:val="20"/>
        </w:rPr>
        <w:t>SONO GROUP N.V.</w:t>
      </w:r>
      <w:r>
        <w:rPr>
          <w:sz w:val="20"/>
        </w:rPr>
        <w:t>, according to the conditions stated therein, as of the Conversion Date written below.</w:t>
      </w:r>
    </w:p>
    <w:p>
      <w:pPr>
        <w:pStyle w:val="TextBody"/>
        <w:bidi w:val="0"/>
        <w:spacing w:before="0" w:after="0"/>
        <w:ind w:left="0" w:right="0" w:firstLine="720"/>
        <w:jc w:val="both"/>
        <w:rPr/>
      </w:pPr>
      <w:r>
        <w:rPr/>
        <w:t> </w:t>
      </w:r>
    </w:p>
    <w:tbl>
      <w:tblPr>
        <w:tblW w:w="9920" w:type="dxa"/>
        <w:jc w:val="left"/>
        <w:tblInd w:w="0" w:type="dxa"/>
        <w:tblLayout w:type="fixed"/>
        <w:tblCellMar>
          <w:top w:w="0" w:type="dxa"/>
          <w:left w:w="0" w:type="dxa"/>
          <w:bottom w:w="0" w:type="dxa"/>
          <w:right w:w="0" w:type="dxa"/>
        </w:tblCellMar>
      </w:tblPr>
      <w:tblGrid>
        <w:gridCol w:w="9920"/>
      </w:tblGrid>
      <w:tr>
        <w:trPr/>
        <w:tc>
          <w:tcPr>
            <w:tcW w:w="9920" w:type="dxa"/>
            <w:tcBorders/>
            <w:vAlign w:val="center"/>
          </w:tcPr>
          <w:p>
            <w:pPr>
              <w:pStyle w:val="TableContents"/>
              <w:bidi w:val="0"/>
              <w:spacing w:before="0" w:after="283"/>
              <w:jc w:val="left"/>
              <w:rPr>
                <w:b/>
              </w:rPr>
            </w:pPr>
            <w:r>
              <w:rPr>
                <w:b/>
              </w:rPr>
              <w:t>Conversion Date:</w:t>
            </w:r>
          </w:p>
        </w:tc>
      </w:tr>
      <w:tr>
        <w:trPr/>
        <w:tc>
          <w:tcPr>
            <w:tcW w:w="9920" w:type="dxa"/>
            <w:tcBorders/>
            <w:vAlign w:val="center"/>
          </w:tcPr>
          <w:p>
            <w:pPr>
              <w:pStyle w:val="TableContents"/>
              <w:bidi w:val="0"/>
              <w:spacing w:before="0" w:after="283"/>
              <w:jc w:val="left"/>
              <w:rPr>
                <w:b/>
              </w:rPr>
            </w:pPr>
            <w:r>
              <w:rPr>
                <w:b/>
              </w:rPr>
              <w:t>Principal Amount to be Converted:</w:t>
            </w:r>
          </w:p>
        </w:tc>
      </w:tr>
      <w:tr>
        <w:trPr/>
        <w:tc>
          <w:tcPr>
            <w:tcW w:w="9920" w:type="dxa"/>
            <w:tcBorders/>
            <w:vAlign w:val="center"/>
          </w:tcPr>
          <w:p>
            <w:pPr>
              <w:pStyle w:val="TableContents"/>
              <w:bidi w:val="0"/>
              <w:spacing w:before="0" w:after="283"/>
              <w:jc w:val="left"/>
              <w:rPr>
                <w:b/>
              </w:rPr>
            </w:pPr>
            <w:r>
              <w:rPr>
                <w:b/>
              </w:rPr>
              <w:t>Accrued Interest to be Converted:</w:t>
            </w:r>
          </w:p>
        </w:tc>
      </w:tr>
      <w:tr>
        <w:trPr/>
        <w:tc>
          <w:tcPr>
            <w:tcW w:w="9920" w:type="dxa"/>
            <w:tcBorders/>
            <w:vAlign w:val="center"/>
          </w:tcPr>
          <w:p>
            <w:pPr>
              <w:pStyle w:val="TableContents"/>
              <w:bidi w:val="0"/>
              <w:spacing w:before="0" w:after="283"/>
              <w:jc w:val="left"/>
              <w:rPr>
                <w:b/>
              </w:rPr>
            </w:pPr>
            <w:r>
              <w:rPr>
                <w:b/>
              </w:rPr>
              <w:t>Total Conversion Amount to be converted:</w:t>
            </w:r>
          </w:p>
        </w:tc>
      </w:tr>
      <w:tr>
        <w:trPr/>
        <w:tc>
          <w:tcPr>
            <w:tcW w:w="9920" w:type="dxa"/>
            <w:tcBorders/>
            <w:vAlign w:val="center"/>
          </w:tcPr>
          <w:p>
            <w:pPr>
              <w:pStyle w:val="TableContents"/>
              <w:bidi w:val="0"/>
              <w:spacing w:before="0" w:after="283"/>
              <w:jc w:val="left"/>
              <w:rPr>
                <w:b/>
              </w:rPr>
            </w:pPr>
            <w:r>
              <w:rPr>
                <w:b/>
              </w:rPr>
              <w:t xml:space="preserve">Fixed Conversion Price: </w:t>
            </w:r>
          </w:p>
        </w:tc>
      </w:tr>
      <w:tr>
        <w:trPr/>
        <w:tc>
          <w:tcPr>
            <w:tcW w:w="9920" w:type="dxa"/>
            <w:tcBorders/>
            <w:vAlign w:val="center"/>
          </w:tcPr>
          <w:p>
            <w:pPr>
              <w:pStyle w:val="TableContents"/>
              <w:bidi w:val="0"/>
              <w:spacing w:before="0" w:after="283"/>
              <w:jc w:val="left"/>
              <w:rPr>
                <w:b/>
              </w:rPr>
            </w:pPr>
            <w:r>
              <w:rPr>
                <w:b/>
              </w:rPr>
              <w:t>Variable Conversion Price:</w:t>
            </w:r>
          </w:p>
        </w:tc>
      </w:tr>
      <w:tr>
        <w:trPr/>
        <w:tc>
          <w:tcPr>
            <w:tcW w:w="9920" w:type="dxa"/>
            <w:tcBorders/>
            <w:vAlign w:val="center"/>
          </w:tcPr>
          <w:p>
            <w:pPr>
              <w:pStyle w:val="TableContents"/>
              <w:bidi w:val="0"/>
              <w:spacing w:before="0" w:after="283"/>
              <w:jc w:val="left"/>
              <w:rPr>
                <w:b/>
              </w:rPr>
            </w:pPr>
            <w:r>
              <w:rPr>
                <w:b/>
              </w:rPr>
              <w:t>Applicable Conversion Price:</w:t>
            </w:r>
          </w:p>
        </w:tc>
      </w:tr>
      <w:tr>
        <w:trPr/>
        <w:tc>
          <w:tcPr>
            <w:tcW w:w="9920" w:type="dxa"/>
            <w:tcBorders/>
            <w:vAlign w:val="center"/>
          </w:tcPr>
          <w:p>
            <w:pPr>
              <w:pStyle w:val="TableContents"/>
              <w:bidi w:val="0"/>
              <w:spacing w:before="0" w:after="283"/>
              <w:jc w:val="left"/>
              <w:rPr>
                <w:b/>
              </w:rPr>
            </w:pPr>
            <w:r>
              <w:rPr>
                <w:b/>
              </w:rPr>
              <w:t>Number of Ordinary Shares to be issued:</w:t>
            </w:r>
          </w:p>
        </w:tc>
      </w:tr>
      <w:tr>
        <w:trPr/>
        <w:tc>
          <w:tcPr>
            <w:tcW w:w="9920" w:type="dxa"/>
            <w:tcBorders/>
            <w:vAlign w:val="center"/>
          </w:tcPr>
          <w:p>
            <w:pPr>
              <w:pStyle w:val="TableContents"/>
              <w:bidi w:val="0"/>
              <w:spacing w:before="0" w:after="283"/>
              <w:jc w:val="left"/>
              <w:rPr>
                <w:b/>
              </w:rPr>
            </w:pPr>
            <w:r>
              <w:rPr>
                <w:b/>
              </w:rPr>
              <w:t>Please issue the Ordinary Shares in the following name and deliver them to the following account:</w:t>
            </w:r>
          </w:p>
        </w:tc>
      </w:tr>
    </w:tbl>
    <w:p>
      <w:pPr>
        <w:pStyle w:val="TextBody"/>
        <w:bidi w:val="0"/>
        <w:spacing w:before="0" w:after="0"/>
        <w:ind w:left="0" w:right="0" w:hanging="0"/>
        <w:jc w:val="left"/>
        <w:rPr/>
      </w:pPr>
      <w:r>
        <w:rPr/>
        <w:t> </w:t>
      </w:r>
    </w:p>
    <w:tbl>
      <w:tblPr>
        <w:tblW w:w="3310" w:type="dxa"/>
        <w:jc w:val="left"/>
        <w:tblInd w:w="0" w:type="dxa"/>
        <w:tblLayout w:type="fixed"/>
        <w:tblCellMar>
          <w:top w:w="0" w:type="dxa"/>
          <w:left w:w="0" w:type="dxa"/>
          <w:bottom w:w="0" w:type="dxa"/>
          <w:right w:w="0" w:type="dxa"/>
        </w:tblCellMar>
      </w:tblPr>
      <w:tblGrid>
        <w:gridCol w:w="3230"/>
        <w:gridCol w:w="80"/>
      </w:tblGrid>
      <w:tr>
        <w:trPr/>
        <w:tc>
          <w:tcPr>
            <w:tcW w:w="3230" w:type="dxa"/>
            <w:tcBorders/>
            <w:vAlign w:val="center"/>
          </w:tcPr>
          <w:p>
            <w:pPr>
              <w:pStyle w:val="TableContents"/>
              <w:bidi w:val="0"/>
              <w:spacing w:before="0" w:after="283"/>
              <w:jc w:val="left"/>
              <w:rPr>
                <w:b/>
              </w:rPr>
            </w:pPr>
            <w:r>
              <w:rPr>
                <w:b/>
              </w:rPr>
              <w:t>Issue to:</w:t>
            </w:r>
          </w:p>
        </w:tc>
        <w:tc>
          <w:tcPr>
            <w:tcW w:w="8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b/>
              </w:rPr>
            </w:pPr>
            <w:r>
              <w:rPr>
                <w:b/>
              </w:rPr>
              <w:t>Broker DTC Participant Code:</w:t>
            </w:r>
          </w:p>
        </w:tc>
        <w:tc>
          <w:tcPr>
            <w:tcW w:w="8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b/>
              </w:rPr>
            </w:pPr>
            <w:r>
              <w:rPr>
                <w:b/>
              </w:rPr>
              <w:t>Account Number:</w:t>
            </w:r>
          </w:p>
        </w:tc>
        <w:tc>
          <w:tcPr>
            <w:tcW w:w="8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b/>
              </w:rPr>
            </w:pPr>
            <w:r>
              <w:rPr>
                <w:b/>
              </w:rPr>
              <w:t>Authorized Signature:</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b/>
              </w:rPr>
            </w:pPr>
            <w:r>
              <w:rPr>
                <w:b/>
              </w:rPr>
              <w:t>Name:</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b/>
              </w:rPr>
            </w:pPr>
            <w:r>
              <w:rPr>
                <w:b/>
              </w:rPr>
              <w:t>Title:</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11898</Words>
  <Characters>63065</Characters>
  <CharactersWithSpaces>75966</CharactersWithSpaces>
  <Paragraphs>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