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Sono Group N.V.</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Netherlands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Waldmeisterstrasse 93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Munich, Germany 80935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type w:val="continuous"/>
        </w:sectPr>
      </w:pP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90"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1.01.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2.03.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previously disclosed, Sono Group N.V. (the “Company”) and YA II PN, Ltd. (“Yorkville”), entered into (i) a securities purchase agreement, dated December 30, 2024 (as amended, the “Securities Purchase Agreement”), pursuant to which the Company agreed to sell and issue to Yorkville a new convertible debenture (the “Debenture”) in the aggregate principal amount of $5,000,000 and (ii) an exchange agreement, dated December 30, 2024 (as amended, the “Exchange Agreement”), pursuant to which the Company agreed to issue shares of preferred stock of the Company to Yorkville in exchange for the surrender and cancellation of all of the debentures held by Yorkville. The obligations of the parties under the Securities Purchase Agreement and the Exchange Agreement are subject to certain conditions and limitations, including the Company’s receipt of notice from Nasdaq that the Company has met all the applicable requirements for listing of the Company’s ordinary shares (the “Ordinary Shares”) on the Nasdaq Capital Market. The Company and Yorkville subsequently entered into two Omnibus Amendments to Transaction Documents, respectively dated February 12, 2025 (the “First Omnibus Amendment”) and March 7, 2025, pursuant to which the Company and Yorkville agreed to modify certain terms of the Securities Purchase Agreement and the Exchange Agreement.</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25, 2025, the Company and Yorkville entered into a thirdOmnibus Amendment to Transaction Documents (the “New Omnibus Amendment”), pursuant to which the parties agreed to modify the terms of the Securities Purchase Agreement to, among other things, provide for an immediate advance by Yorkville to the Company of $1,000,000 in the form of a secured convertible debenture in the aggregate principal amount of $1,000,000 (the “Second Debenture”). As previously disclosed, a prior advance of $1,000,000 was funded on February 12, 2025 in connection with the First Omnibus Amendment in the form of a secured convertible debenture in the aggregate principal amount of $1,000,000 (the “First Debenture”). As a result of the issuance of the First Debenture and the Second Debenture, and pursuant to the New Omnibus Amendment, the Debenture to be issued to Yorkville, upon the satisfaction of all of the conditions set forth in the Securities Purchase Agreement, will have an aggregate principal amount of $3,000,000. Under the terms of the New Omnibus Amendment, Debenture 6 (as defined in the Exchange Agreement), will collectively consist of the Debenture, the First Debenture and the Second Debenture for purposes of the transactions contemplated by the Exchange Agreement.</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Second Debenture will mature on March 24, 2026, which maturity date may be extended at the option of Yorkville. Further, interest accrues on the outstanding principal balance of the Second Debenture at an annual rate of 12%, which will increase to an annual rate of 18% upon an Event of Default (as defined in the Second Debenture) for so long as such Event of Default remains uncured. Yorkville will have the right to convert the Second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Second Debenture) then in effect or the nominal value of one Ordinary Share. Net proceeds to the Company from the Second Debenture were $1,000,000.</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Debenture and New Omnibus Amendment does not purport to be complete and is qualified in its entirety by the terms of the Second Debenture and New Omnibus Amendment, which are attached hereto as Exhibits 10.1 and 10.2, respectively, and are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24, 2025, the Company issued a press release announcing the signing of a new co-marketing agreement between Sono Motors GmbH, a wholly-owned subsidiary of the Company, and Merlin Solar Technologies, Inc. A copy of the press release is attached hereto as Exhibit 99.1 and is incorporated herein by reference.</w:t>
      </w:r>
    </w:p>
    <w:p>
      <w:pPr>
        <w:spacing w:after="0" w:line="1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1993, as amended, or the Exchange Act, except as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Exhibit</w:t>
        <w:tab/>
        <w:t>Description of Exhibit</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Secured Convertible Debenture dated March 25, 2025</w:t>
      </w:r>
    </w:p>
    <w:p>
      <w:pPr>
        <w:spacing w:after="0" w:line="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7"/>
          <w:szCs w:val="17"/>
          <w:u w:val="single" w:color="auto"/>
          <w:color w:val="0000EE"/>
        </w:rPr>
        <w:t>Omnibus Amendment to Transaction Documents</w:t>
      </w:r>
    </w:p>
    <w:p>
      <w:pPr>
        <w:spacing w:after="0" w:line="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24, 2025</w:t>
      </w:r>
    </w:p>
    <w:p>
      <w:pPr>
        <w:spacing w:after="0" w:line="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39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Sono Group N.V.</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2025</w:t>
            </w:r>
          </w:p>
        </w:tc>
        <w:tc>
          <w:tcPr>
            <w:tcW w:w="3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By: /s/ George O'Leary</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2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6"/>
              </w:rPr>
              <w:t>George O'Leary</w:t>
            </w: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Managing Director</w:t>
            </w:r>
          </w:p>
        </w:tc>
      </w:tr>
    </w:tbl>
    <w:p>
      <w:pPr>
        <w:sectPr>
          <w:pgSz w:w="11900" w:h="16838" w:orient="portrait"/>
          <w:cols w:equalWidth="0" w:num="1">
            <w:col w:w="11200"/>
          </w:cols>
          <w:pgMar w:left="320" w:top="536" w:right="379" w:bottom="1440" w:gutter="0" w:footer="0" w:header="0"/>
        </w:sectPr>
      </w:pPr>
    </w:p>
    <w:bookmarkStart w:id="3" w:name="page4"/>
    <w:bookmarkEnd w:id="3"/>
    <w:p>
      <w:pPr>
        <w:ind w:left="10360"/>
        <w:spacing w:after="0"/>
        <w:rPr>
          <w:sz w:val="20"/>
          <w:szCs w:val="20"/>
          <w:color w:val="auto"/>
        </w:rPr>
      </w:pPr>
      <w:r>
        <w:rPr>
          <w:rFonts w:ascii="Times New Roman" w:cs="Times New Roman" w:eastAsia="Times New Roman" w:hAnsi="Times New Roman"/>
          <w:sz w:val="17"/>
          <w:szCs w:val="17"/>
          <w:u w:val="single" w:color="auto"/>
          <w:color w:val="auto"/>
        </w:rPr>
        <w:t>Exhibit 10.1</w:t>
      </w:r>
    </w:p>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SECURED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SECURED CONVERTIBLE DEBENTURE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USD 1,000,000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Issuance Date: March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Number: SEV-6b</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FOR VALUE RECEIVED, SONO GROUP N.V.</w:t>
      </w:r>
      <w:r>
        <w:rPr>
          <w:rFonts w:ascii="Times New Roman" w:cs="Times New Roman" w:eastAsia="Times New Roman" w:hAnsi="Times New Roman"/>
          <w:sz w:val="18"/>
          <w:szCs w:val="18"/>
          <w:color w:val="auto"/>
        </w:rPr>
        <w:t>,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order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principal amount (as reduced or increased pursuant to the terms hereof pursuant to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when due, whether upon the Maturity Date (as defined below), acceleration, redemption or otherwise (in each case in accordance with the terms hereof)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from the date set out above as the Debenture Issuance Date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until the same becomes due and payable, whether upon the Maturity Date or acceleration, conversion, redemption or otherwise (in each case in accordance with the terms hereof). This Secured Convertible Debenture (including all debentures issued in exchange, transfer or replacement hereof,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was originally issued pursuant to the Securities Purchase Agreement dated as of December 30, 2024, as it may be amended from time to time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between the Company and the Holder. All Obligations owed by the Company to the Holder under this Debenture and each other Transaction Document are guaranteed by the Guarantors pursuant to the Guaranty and secured by the Company and the Guarantors pursuant to the Security Documents. Certain capitalized terms used herein are defined in Section 14.</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GENERAL TERMS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March 24, 2026, as may be extended at the option of the Holder. Other than as specifically permitted by this Debenture, the Company may not prepay or redeem any portion of the outstanding Principal and accrued and unpaid Interest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12%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an Event of Default for so long as it remains uncured. Interest shall be calculated based on a 365-day year and the actual number of days elapsed, to the extent permitted by applicable law.</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Early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 portion or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trading price of the Ordinary Shares is less than the Fixed Conversion Price and (ii) the Company provides the Holder with at least five (5) Business Days’ prior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Each Redemption Notice shall be irrevocable and shall specify the outstanding balance of the Secured Convertible Debenture to be redeemed and the applicable Redemption Premium.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30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wherever used herein, means any one of the following events (whatever the reason and whether 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voluntary or involuntary or effected by operation of law or pursuant to any judgment, decree or order of any court, or any order, rule or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administrative or governmental body):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               the Company’s or any Guarantor’s failure to pay to the Holder any amount of Principal, Redemption Premium, Interest, or other amounts when and as due under this Debenture or any other Transaction Document;</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              The Company, any Subsidiary of the Company, or any Guarantor shall commence, or there shall be commenced against the Company, any Subsidiary of the Company, or any Guarantor under any applicable bankruptcy or insolvency laws as now or hereafter in effect or any successor thereto, or the Company, any Subsidiary of the Company, or any Guarantor commences any other proceeding under any reorganization, arrangement, adjustment of debt, relief of debtors, dissolution, insolvency or liquidation or similar law of any jurisdiction whether now or hereafter in effect relating to the Company, any Subsidiary of the Company, or any Guarantor and any such bankruptcy, insolvency or other proceeding which remains undismissed for a period of sixty one (61) days; or the Company, any Subsidiary of the Company, or any Guarantor is adjudicated insolvent or bankrupt; or any order of relief or other order approving any such case or proceeding is entered; or the Company, any Subsidiary of the Company, or any Guarantor suffers any appointment of any custodian, private or court appointed receiver or the like for it or all or substantially all of its property which continues undischarged or unstayed for a period of sixty one (61) days; or the Company, any Subsidiary of the Company, or any Guarantor makes a general assignment of all or substantially all of its assets for the benefit of creditors; or the Company, any Subsidiary of the Company, or any Guarantor shall fail to pay, or shall state that it is unable to pay, or shall be unable to pay, its debts generally as they become due; or the Company, any Subsidiary of the Company, or any Guarantor shall call a meeting of its creditors with a view to arranging a composition, adjustment or restructuring of its debts; or the Company, any Subsidiary of the Company, or any Guarantor shall by any act or failure to act expressly indicate its consent to, approval of or acquiescence in any of the foregoing; or any corporate or other action is taken by the Company, any Subsidiary of the Company, or any Guarantor for the purpose of effecting any of the foregoing;</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(iii)             The Company, any Subsidiary of the Company, or any Guarantor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or any Guarantor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2592"/>
        <w:spacing w:after="0" w:line="250" w:lineRule="auto"/>
        <w:rPr>
          <w:sz w:val="20"/>
          <w:szCs w:val="20"/>
          <w:color w:val="auto"/>
        </w:rPr>
      </w:pPr>
      <w:r>
        <w:rPr>
          <w:rFonts w:ascii="Times New Roman" w:cs="Times New Roman" w:eastAsia="Times New Roman" w:hAnsi="Times New Roman"/>
          <w:sz w:val="18"/>
          <w:szCs w:val="18"/>
          <w:color w:val="auto"/>
        </w:rPr>
        <w:t>(iv)              The Company, any Subsidiary of the Company or any Guarantor shall be a party to any Change of Control Transaction (as defined in Section 14) unless in connection with such Change of Control Transaction this Debenture is retired;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             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(vi)            The Company shall fail for any reason to deliver the payment in cash pursuant to a Buy-In (as defined in Section 4(b)(ii) herein) within five Business Days after such payment is due;</w:t>
      </w: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(viii)              Any representation or warranty made or deemed made by the Company, any Subsidiary of the Company or any Guarantor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(x)             The Company or any Guarantor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spacing w:after="0" w:line="186" w:lineRule="exact"/>
        <w:rPr>
          <w:sz w:val="20"/>
          <w:szCs w:val="20"/>
          <w:color w:val="auto"/>
        </w:rPr>
      </w:pPr>
    </w:p>
    <w:p>
      <w:pPr>
        <w:jc w:val="both"/>
        <w:ind w:firstLine="2600"/>
        <w:spacing w:after="0" w:line="266" w:lineRule="auto"/>
        <w:tabs>
          <w:tab w:leader="none" w:pos="3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spacing w:after="0" w:line="175" w:lineRule="exact"/>
        <w:rPr>
          <w:rFonts w:ascii="Times New Roman" w:cs="Times New Roman" w:eastAsia="Times New Roman" w:hAnsi="Times New Roman"/>
          <w:sz w:val="18"/>
          <w:szCs w:val="18"/>
          <w:color w:val="auto"/>
        </w:rPr>
      </w:pPr>
    </w:p>
    <w:p>
      <w:pPr>
        <w:jc w:val="both"/>
        <w:ind w:firstLine="2600"/>
        <w:spacing w:after="0" w:line="257" w:lineRule="auto"/>
        <w:tabs>
          <w:tab w:leader="none" w:pos="3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(including this Debenture) covering a material portion of the Collateral shall cease to create a valid and perfected lien, with the priority required by the Security Documents (including this Debenture) on and security interest in any material portion of the Collateral covered thereby.</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left="130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CONVERSION OF DEBENTURE</w:t>
      </w:r>
      <w:r>
        <w:rPr>
          <w:rFonts w:ascii="Times New Roman" w:cs="Times New Roman" w:eastAsia="Times New Roman" w:hAnsi="Times New Roman"/>
          <w:sz w:val="17"/>
          <w:szCs w:val="17"/>
          <w:color w:val="auto"/>
        </w:rPr>
        <w:t>. This Debenture shall be convertible into Ordinary Shares, on the terms and conditions set forth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spacing w:after="0" w:line="193" w:lineRule="exact"/>
        <w:rPr>
          <w:sz w:val="20"/>
          <w:szCs w:val="20"/>
          <w:color w:val="auto"/>
        </w:rPr>
      </w:pPr>
    </w:p>
    <w:p>
      <w:pPr>
        <w:ind w:right="220" w:firstLine="2592"/>
        <w:spacing w:after="0" w:line="261"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and/or accrued Interest to be converted, redeemed or otherwise with respect to which this determination is being made.</w:t>
      </w: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(as defined below) or other date of determination the lower of (i) a price per Ordinary Share equal to USD 18.75 (the “</w:t>
      </w:r>
      <w:r>
        <w:rPr>
          <w:rFonts w:ascii="Times New Roman" w:cs="Times New Roman" w:eastAsia="Times New Roman" w:hAnsi="Times New Roman"/>
          <w:sz w:val="18"/>
          <w:szCs w:val="18"/>
          <w:u w:val="single" w:color="auto"/>
          <w:color w:val="auto"/>
        </w:rPr>
        <w:t>Fixed Conversion Price</w:t>
      </w:r>
      <w:r>
        <w:rPr>
          <w:rFonts w:ascii="Times New Roman" w:cs="Times New Roman" w:eastAsia="Times New Roman" w:hAnsi="Times New Roman"/>
          <w:sz w:val="18"/>
          <w:szCs w:val="18"/>
          <w:color w:val="auto"/>
        </w:rPr>
        <w:t>”), or (ii) 85% of the lowest daily VWAP of the Ordinary Shares during the seven (7)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Mechanics of Conversion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Ordinary Shares on any date (a “</w:t>
      </w:r>
      <w:r>
        <w:rPr>
          <w:rFonts w:ascii="Times New Roman" w:cs="Times New Roman" w:eastAsia="Times New Roman" w:hAnsi="Times New Roman"/>
          <w:sz w:val="18"/>
          <w:szCs w:val="18"/>
          <w:u w:val="single" w:color="auto"/>
          <w:color w:val="auto"/>
        </w:rPr>
        <w:t>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Holder shall (A) transmit by email (or otherwise deliver), for receipt on or prior to 11:59 p.m., New York Time, on such date, a copy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 Company and (B) if required by Section (4)(b)(iii),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 this Debenture to a nationally recognized overnight delivery service for delivery to the Company (or an indemnification undertaking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Company with respect to this Debenture in the case of its loss, theft or destruction). On or before the third (3rd) Trading Day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receipt of a Conversion Notice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Company shall (X) if legends are not required to be placed on certificates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and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credit such aggregate number of Ordinary Shares to which the Holder shall be entitled to the Holder's or its designee's balance account with DTC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its Deposit Withdrawal Agent Commission system or (Y) if the Transfer Agent is not participating in the DTC Fast Automated Securities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issue and deliver to the address as specified in the Conversion Notice, a certificate, registered Ordinary Shares in the name of the Holder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 for the number of Ordinary Shares to which the Holder shall be entitled which certificates shall not bear any restrictive legends unless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rules and regulations of the Commission. If this Debenture is physically surrendered for conversion and the outstanding Principal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Debenture is greater than the Principal portion of the Conversion Amount being converted, then the Company shall as soon as practicable and in no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than three (3) Business Days after receipt of this Debenture and at its own expense, issue and deliver to the holder a new Debenture representing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not converted. The Person or Persons entitled to receive the Ordinary Shares issuable upon a conversion of this Debenture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 for all purposes as the record holder or holders of such Ordinary Shares upon the transmission of a Conversion Notice.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a Conversion Amount into Ordinary Shares on a Conversion Date, the Company shall, on the relevant Share Delivery Date, set 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verrekenen</w:t>
      </w:r>
      <w:r>
        <w:rPr>
          <w:rFonts w:ascii="Times New Roman" w:cs="Times New Roman" w:eastAsia="Times New Roman" w:hAnsi="Times New Roman"/>
          <w:sz w:val="18"/>
          <w:szCs w:val="18"/>
          <w:color w:val="auto"/>
        </w:rPr>
        <w:t>) its debt under the relevant Debenture(s) to pay such Conversion Amount against its receivable from the Holder to pay up in full, and satisfy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 price, for the relevant Ordinary Shares issuable upon such conversion (and, for that purpose, such issue price shall be the same amount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2592"/>
        <w:spacing w:after="0" w:line="267"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Company's Failure to Timely Convert</w:t>
      </w:r>
      <w:r>
        <w:rPr>
          <w:rFonts w:ascii="Times New Roman" w:cs="Times New Roman" w:eastAsia="Times New Roman" w:hAnsi="Times New Roman"/>
          <w:sz w:val="17"/>
          <w:szCs w:val="17"/>
          <w:color w:val="auto"/>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cs="Times New Roman" w:eastAsia="Times New Roman" w:hAnsi="Times New Roman"/>
          <w:sz w:val="17"/>
          <w:szCs w:val="17"/>
          <w:u w:val="single" w:color="auto"/>
          <w:color w:val="auto"/>
        </w:rPr>
        <w:t>Buy-In Price</w:t>
      </w:r>
      <w:r>
        <w:rPr>
          <w:rFonts w:ascii="Times New Roman" w:cs="Times New Roman" w:eastAsia="Times New Roman" w:hAnsi="Times New Roman"/>
          <w:sz w:val="17"/>
          <w:szCs w:val="17"/>
          <w:color w:val="auto"/>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w:t>
      </w:r>
    </w:p>
    <w:p>
      <w:pPr>
        <w:spacing w:after="0" w:line="5"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Ordinary Shares, times (B) the Closing Price on the Conversion Date.</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2"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Limitations on Conversions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65"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All calculations under this Section (4) shall be rounded to the nearest $0.0001 or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2592"/>
        <w:spacing w:after="0" w:line="251" w:lineRule="auto"/>
        <w:rPr>
          <w:sz w:val="20"/>
          <w:szCs w:val="20"/>
          <w:color w:val="auto"/>
        </w:rPr>
      </w:pPr>
      <w:r>
        <w:rPr>
          <w:rFonts w:ascii="Times New Roman" w:cs="Times New Roman" w:eastAsia="Times New Roman" w:hAnsi="Times New Roman"/>
          <w:sz w:val="18"/>
          <w:szCs w:val="18"/>
          <w:color w:val="auto"/>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1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Adjustment of Conversion Price upon Subdivision or Combination of Ordinary Shares</w:t>
      </w:r>
      <w:r>
        <w:rPr>
          <w:rFonts w:ascii="Times New Roman" w:cs="Times New Roman" w:eastAsia="Times New Roman" w:hAnsi="Times New Roman"/>
          <w:sz w:val="17"/>
          <w:szCs w:val="17"/>
          <w:color w:val="auto"/>
        </w:rPr>
        <w:t>. If the Company, at any time while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Debenture is outstanding, shall (a) pay a stock dividend or otherwise make a distribution or distributions on its Ordinary Shares or any other equity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equivalent securities payable in Ordinary Shares, (b) subdivide outstanding Ordinary Shares into a larger number of shares, (c) combine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reverse stock split) outstanding Ordinary Shares into a smaller number of shares, or (d) issue by reclassification of shares of the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shares of capital stock of the Company, then each of the Fixed Conversion Price and the Floor Price shall be multiplied by a fraction of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 shall be the number of Ordinary Shares (excluding treasury shares, if any) outstanding before such event and of which the denominator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Ordinary Shares outstanding after such event. Any adjustment made pursuant to this Section shall become effective immediately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for the determination of stockholders entitled to receive such dividend or distribution and shall become effective immediately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 the case of a subdivision, combination or re-classification.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firstLine="1944"/>
        <w:spacing w:after="0" w:line="276" w:lineRule="auto"/>
        <w:rPr>
          <w:sz w:val="20"/>
          <w:szCs w:val="20"/>
          <w:color w:val="auto"/>
        </w:rPr>
      </w:pPr>
      <w:r>
        <w:rPr>
          <w:rFonts w:ascii="Times New Roman" w:cs="Times New Roman" w:eastAsia="Times New Roman" w:hAnsi="Times New Roman"/>
          <w:sz w:val="17"/>
          <w:szCs w:val="17"/>
          <w:color w:val="auto"/>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(h)            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REISSUANCE OF THIS DEBENTURE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If to the Company, to:</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Sono Group N.V.</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Waldmeisterstraße 93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80935 Munich</w:t>
            </w:r>
          </w:p>
        </w:tc>
        <w:tc>
          <w:tcPr>
            <w:tcW w:w="0" w:type="dxa"/>
            <w:vAlign w:val="bottom"/>
          </w:tcPr>
          <w:p>
            <w:pPr>
              <w:spacing w:after="0"/>
              <w:rPr>
                <w:sz w:val="1"/>
                <w:szCs w:val="1"/>
                <w:color w:val="auto"/>
              </w:rPr>
            </w:pPr>
          </w:p>
        </w:tc>
      </w:tr>
      <w:tr>
        <w:trPr>
          <w:trHeight w:val="216"/>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Attn: Legal Department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Email: legal@sonomotors.com</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DLA Piper Nederland N.V.</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Strawinskyhuis Prinses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Amaliaplein 3 1077 XS Amsterdam</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 (0)20 541 98 88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Attention: Pabe Suurd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E-Mail: Pabe.Suurd@dlapiper.com</w:t>
            </w:r>
          </w:p>
        </w:tc>
        <w:tc>
          <w:tcPr>
            <w:tcW w:w="0" w:type="dxa"/>
            <w:vAlign w:val="bottom"/>
          </w:tcPr>
          <w:p>
            <w:pPr>
              <w:spacing w:after="0"/>
              <w:rPr>
                <w:sz w:val="1"/>
                <w:szCs w:val="1"/>
                <w:color w:val="auto"/>
              </w:rPr>
            </w:pPr>
          </w:p>
        </w:tc>
      </w:tr>
      <w:tr>
        <w:trPr>
          <w:trHeight w:val="41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YA II PN, Ltd</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 Yorkville Advisors Global, LLC</w:t>
            </w:r>
          </w:p>
        </w:tc>
        <w:tc>
          <w:tcPr>
            <w:tcW w:w="0" w:type="dxa"/>
            <w:vAlign w:val="bottom"/>
          </w:tcPr>
          <w:p>
            <w:pPr>
              <w:spacing w:after="0"/>
              <w:rPr>
                <w:sz w:val="1"/>
                <w:szCs w:val="1"/>
                <w:color w:val="auto"/>
              </w:rPr>
            </w:pPr>
          </w:p>
        </w:tc>
      </w:tr>
      <w:tr>
        <w:trPr>
          <w:trHeight w:val="216"/>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1012 Springfield Avenue</w:t>
            </w: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Mountainside, NJ 07092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Attention: Mark Angelo</w:t>
            </w:r>
          </w:p>
        </w:tc>
        <w:tc>
          <w:tcPr>
            <w:tcW w:w="0" w:type="dxa"/>
            <w:vAlign w:val="bottom"/>
          </w:tcPr>
          <w:p>
            <w:pPr>
              <w:spacing w:after="0"/>
              <w:rPr>
                <w:sz w:val="1"/>
                <w:szCs w:val="1"/>
                <w:color w:val="auto"/>
              </w:rPr>
            </w:pPr>
          </w:p>
        </w:tc>
      </w:t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Telephone: 201-985-8300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Email:  Legal@yorkvilleadvisors.com</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3"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   </w:t>
      </w:r>
    </w:p>
    <w:p>
      <w:pPr>
        <w:spacing w:after="0" w:line="20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spacing w:after="0" w:line="186" w:lineRule="exact"/>
        <w:rPr>
          <w:sz w:val="20"/>
          <w:szCs w:val="20"/>
          <w:color w:val="auto"/>
        </w:rPr>
      </w:pPr>
    </w:p>
    <w:p>
      <w:pPr>
        <w:ind w:left="1640" w:hanging="336"/>
        <w:spacing w:after="0"/>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Debenture shall be governed by and construed in accordance with the laws of the State of New York, without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spacing w:after="0" w:line="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(12)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  </w:t>
      </w:r>
    </w:p>
    <w:p>
      <w:pPr>
        <w:spacing w:after="0" w:line="20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(14)         Whenever any payment or other obligation hereunder shall be due on a day other than a Business Day, such payment shall be made on the next succeeding Business Day.</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  </w:t>
      </w:r>
    </w:p>
    <w:p>
      <w:pPr>
        <w:spacing w:after="0" w:line="210"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Ordinary Shares on a Primary Market or on the exchange or over-the-counter market on which the Ordinary Shares is then listed as quoted by Bloomberg.</w:t>
      </w:r>
    </w:p>
    <w:p>
      <w:pPr>
        <w:spacing w:after="0" w:line="181" w:lineRule="exact"/>
        <w:rPr>
          <w:sz w:val="20"/>
          <w:szCs w:val="20"/>
          <w:color w:val="auto"/>
        </w:rPr>
      </w:pPr>
    </w:p>
    <w:p>
      <w:pPr>
        <w:ind w:left="2460" w:hanging="508"/>
        <w:spacing w:after="0"/>
        <w:tabs>
          <w:tab w:leader="none" w:pos="2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such term in the Security Agreement and the Pledge Agreement.</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solely with respect to the Variable Conversion Price, shall mean a price per share equal to 20% of the</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Closing Price on the Trading Day immediately prior to the Issuance Date of this Debenture. Notwithstanding the foregoing, the Company may reduce the Floor Price to any amounts set forth in a written notice to the Holder; provided that such reduction shall be irrevocable and shall not be subject to increase thereafter.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2440" w:hanging="488"/>
        <w:spacing w:after="0"/>
        <w:tabs>
          <w:tab w:leader="none" w:pos="2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each of the guarantors from time to time party to the Guaranty.</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952"/>
        <w:spacing w:after="0" w:line="260" w:lineRule="auto"/>
        <w:tabs>
          <w:tab w:leader="none" w:pos="2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that certain Guaranty Agreement, dated as of June 20, 2024, made by each of the Guarantors party thereto from time to time in favor of the Holder, as may be amended, restated, supplemented or otherwise modified from time to time.</w:t>
      </w:r>
    </w:p>
    <w:p>
      <w:pPr>
        <w:spacing w:after="0" w:line="181" w:lineRule="exact"/>
        <w:rPr>
          <w:sz w:val="20"/>
          <w:szCs w:val="20"/>
          <w:color w:val="auto"/>
        </w:rPr>
      </w:pPr>
    </w:p>
    <w:p>
      <w:pPr>
        <w:jc w:val="both"/>
        <w:ind w:firstLine="1944"/>
        <w:spacing w:after="0" w:line="267"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nominal value €0.06, of the Company and shares of any other class into which such shares may hereafter be changed or reclassified.</w:t>
      </w:r>
    </w:p>
    <w:p>
      <w:pPr>
        <w:spacing w:after="0" w:line="181" w:lineRule="exact"/>
        <w:rPr>
          <w:sz w:val="20"/>
          <w:szCs w:val="20"/>
          <w:color w:val="auto"/>
        </w:rPr>
      </w:pPr>
    </w:p>
    <w:p>
      <w:pPr>
        <w:jc w:val="both"/>
        <w:ind w:firstLine="1952"/>
        <w:spacing w:after="0" w:line="256" w:lineRule="auto"/>
        <w:tabs>
          <w:tab w:leader="none" w:pos="25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(i) the convertible debenture issued on December 7, 2022 in the original principal amount of USD 11,100,000 and designated as “SEV-1,” (ii) the convertible debenture issued on December 8, 2022 in the original principal amount of USD 10,000,000 and designated as “SEV-2,”(iii) the convertible debenture issued on December 20, 2022 in the original principal amount of USD 10,000,000 and designated as “SEV-3,” (iv) the convertible debenture issued on February 5, 2024 in the original principal amount of USD 4,317,600 and designated as “SEV-4,” (v) the convertible debenture issued on August 30, 2024 in the original principal amount of USD 3,338,100 and designated as “SEV-5,” and (vi) the convertible debenture issued on February 12, 2025 in the original principal amount of USD 1,000,000 and designated as “SEV-6a.”</w:t>
      </w:r>
    </w:p>
    <w:p>
      <w:pPr>
        <w:spacing w:after="0" w:line="187" w:lineRule="exact"/>
        <w:rPr>
          <w:sz w:val="20"/>
          <w:szCs w:val="20"/>
          <w:color w:val="auto"/>
        </w:rPr>
      </w:pPr>
    </w:p>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2" w:lineRule="exact"/>
        <w:rPr>
          <w:sz w:val="20"/>
          <w:szCs w:val="20"/>
          <w:color w:val="auto"/>
        </w:rPr>
      </w:pPr>
    </w:p>
    <w:p>
      <w:pPr>
        <w:ind w:firstLine="1952"/>
        <w:spacing w:after="0" w:line="261" w:lineRule="auto"/>
        <w:tabs>
          <w:tab w:leader="none" w:pos="26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means that certain Pledge Agreement, dated as of February 5, 2024, by the Company and the Guarantors from time to time party thereto in favor of the Holder, as may be amended, restated, supplemented or otherwise modified from time to time.</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Primary Market</w:t>
      </w:r>
      <w:r>
        <w:rPr>
          <w:rFonts w:ascii="Times New Roman" w:cs="Times New Roman" w:eastAsia="Times New Roman" w:hAnsi="Times New Roman"/>
          <w:sz w:val="18"/>
          <w:szCs w:val="18"/>
          <w:color w:val="auto"/>
        </w:rPr>
        <w:t>” means any of OTCQB, The New York Stock Exchange, the Nasdaq Global Market or the Nasdaq Global Select Market, and any successor to any of the foregoing markets or exchanges.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four percent (4%) of the Principal amount being redeemed or paid.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7" w:lineRule="exact"/>
        <w:rPr>
          <w:sz w:val="20"/>
          <w:szCs w:val="20"/>
          <w:color w:val="auto"/>
        </w:rPr>
      </w:pPr>
    </w:p>
    <w:p>
      <w:pPr>
        <w:ind w:firstLine="1952"/>
        <w:spacing w:after="0" w:line="282" w:lineRule="auto"/>
        <w:tabs>
          <w:tab w:leader="none" w:pos="25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Security Agreement, dated as of February 5, 2024, by the Company and the Guarantors from time to time party thereto in favor of the Holder, as may be amended, restated, supplemented or otherwise modified from time to time.</w:t>
      </w:r>
    </w:p>
    <w:p>
      <w:pPr>
        <w:spacing w:after="0" w:line="16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collectively, the Security Agreement, the Pledge Agreement, and any other security agreements, pledge agreements or other similar agreements delivered to the Holder, the Guaranty and each of the other agreements, instruments or documents that creates a lien or guaranty in favor of the Holder.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each of, the Securities Purchase Agreement, the Registration Rights Agreement, the Other Debentures, the Security Documents and any and all documents, agreements, instruments or other items executed or delivered in connection with any of the foregoing.</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Ordinary Shares issuable upon conversion of this Debenture or as payment of interest in accordance with the terms hereof.</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Secured Convertible Debenture to be duly executed by a duly authorized officer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set forth above.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39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color w:val="auto"/>
              </w:rPr>
              <w:t>By: /s/ George O’Leary</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Name: George G. O’Leary</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Title: CEO and Managing Director</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8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40" w:type="dxa"/>
            <w:vAlign w:val="bottom"/>
            <w:shd w:val="clear" w:color="auto" w:fill="000000"/>
          </w:tcPr>
          <w:p>
            <w:pPr>
              <w:spacing w:after="0"/>
              <w:rPr>
                <w:sz w:val="5"/>
                <w:szCs w:val="5"/>
                <w:color w:val="auto"/>
              </w:rPr>
            </w:pPr>
          </w:p>
        </w:tc>
        <w:tc>
          <w:tcPr>
            <w:tcW w:w="3120" w:type="dxa"/>
            <w:vAlign w:val="bottom"/>
            <w:shd w:val="clear" w:color="auto" w:fill="000000"/>
          </w:tcPr>
          <w:p>
            <w:pPr>
              <w:spacing w:after="0"/>
              <w:rPr>
                <w:sz w:val="5"/>
                <w:szCs w:val="5"/>
                <w:color w:val="auto"/>
              </w:rPr>
            </w:pPr>
          </w:p>
        </w:tc>
        <w:tc>
          <w:tcPr>
            <w:tcW w:w="52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SONO GROUP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SEV-6b into Ordinary Shares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according to the conditions stated therein, as of the Conversion Date written below.</w:t>
      </w:r>
    </w:p>
    <w:p>
      <w:pPr>
        <w:sectPr>
          <w:pgSz w:w="11900" w:h="16838" w:orient="portrait"/>
          <w:cols w:equalWidth="0" w:num="1">
            <w:col w:w="11240"/>
          </w:cols>
          <w:pgMar w:left="320" w:top="576" w:right="339" w:bottom="1440" w:gutter="0" w:footer="0" w:header="0"/>
        </w:sectPr>
      </w:pP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Date: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to be Converted: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Interest to be Converted: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Conversion Amount to be converted: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Conversion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Conversion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Conversion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Ordinary Shares to be issued: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1" w:lineRule="exact"/>
        <w:rPr>
          <w:sz w:val="20"/>
          <w:szCs w:val="20"/>
          <w:color w:val="auto"/>
        </w:rPr>
      </w:pPr>
    </w:p>
    <w:p>
      <w:pPr>
        <w:sectPr>
          <w:pgSz w:w="11900" w:h="16838" w:orient="portrait"/>
          <w:cols w:equalWidth="0" w:num="2">
            <w:col w:w="4020" w:space="720"/>
            <w:col w:w="6500"/>
          </w:cols>
          <w:pgMar w:left="320" w:top="57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Please issue the Ordinary Shares in the following name and deliver them to the following account: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60" w:type="dxa"/>
            <w:vAlign w:val="bottom"/>
          </w:tcPr>
          <w:p>
            <w:pPr>
              <w:spacing w:after="0"/>
              <w:rPr>
                <w:sz w:val="17"/>
                <w:szCs w:val="17"/>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to:</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391"/>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tc>
        <w:tc>
          <w:tcPr>
            <w:tcW w:w="7860" w:type="dxa"/>
            <w:vAlign w:val="bottom"/>
            <w:tcBorders>
              <w:bottom w:val="single" w:sz="8" w:color="auto"/>
            </w:tcBorders>
          </w:tcPr>
          <w:p>
            <w:pPr>
              <w:spacing w:after="0"/>
              <w:rPr>
                <w:sz w:val="24"/>
                <w:szCs w:val="24"/>
                <w:color w:val="auto"/>
              </w:rPr>
            </w:pPr>
          </w:p>
        </w:tc>
      </w:tr>
      <w:tr>
        <w:trPr>
          <w:trHeight w:val="311"/>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60" w:type="dxa"/>
            <w:vAlign w:val="bottom"/>
            <w:tcBorders>
              <w:bottom w:val="single" w:sz="8" w:color="auto"/>
            </w:tcBorders>
          </w:tcPr>
          <w:p>
            <w:pPr>
              <w:spacing w:after="0"/>
              <w:rPr>
                <w:sz w:val="24"/>
                <w:szCs w:val="24"/>
                <w:color w:val="auto"/>
              </w:rPr>
            </w:pPr>
          </w:p>
        </w:tc>
      </w:tr>
      <w:tr>
        <w:trPr>
          <w:trHeight w:val="31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860" w:type="dxa"/>
            <w:vAlign w:val="bottom"/>
            <w:tcBorders>
              <w:bottom w:val="single" w:sz="8" w:color="auto"/>
            </w:tcBorders>
          </w:tcPr>
          <w:p>
            <w:pPr>
              <w:spacing w:after="0"/>
              <w:rPr>
                <w:sz w:val="24"/>
                <w:szCs w:val="24"/>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86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68"/>
        </w:trPr>
        <w:tc>
          <w:tcPr>
            <w:tcW w:w="3380" w:type="dxa"/>
            <w:vAlign w:val="bottom"/>
            <w:shd w:val="clear" w:color="auto" w:fill="000000"/>
          </w:tcPr>
          <w:p>
            <w:pPr>
              <w:spacing w:after="0"/>
              <w:rPr>
                <w:sz w:val="5"/>
                <w:szCs w:val="5"/>
                <w:color w:val="auto"/>
              </w:rPr>
            </w:pPr>
          </w:p>
        </w:tc>
        <w:tc>
          <w:tcPr>
            <w:tcW w:w="78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type w:val="continuous"/>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AMENDMENT TO TRANSACTION DOCUMENTS</w:t>
      </w:r>
    </w:p>
    <w:p>
      <w:pPr>
        <w:spacing w:after="0" w:line="229" w:lineRule="exact"/>
        <w:rPr>
          <w:sz w:val="20"/>
          <w:szCs w:val="20"/>
          <w:color w:val="auto"/>
        </w:rPr>
      </w:pPr>
    </w:p>
    <w:p>
      <w:pPr>
        <w:jc w:val="both"/>
        <w:ind w:firstLine="847"/>
        <w:spacing w:after="0" w:line="258" w:lineRule="auto"/>
        <w:rPr>
          <w:sz w:val="20"/>
          <w:szCs w:val="20"/>
          <w:color w:val="auto"/>
        </w:rPr>
      </w:pPr>
      <w:r>
        <w:rPr>
          <w:rFonts w:ascii="Times New Roman" w:cs="Times New Roman" w:eastAsia="Times New Roman" w:hAnsi="Times New Roman"/>
          <w:sz w:val="18"/>
          <w:szCs w:val="18"/>
          <w:color w:val="auto"/>
        </w:rPr>
        <w:t>This Omnibus Amendment to Transaction Documents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March 25, 2025 by and between Sono Group N.V.,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YA II PN, LTD.,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with reference to (1) the Exchange Agreement entered into on December 30, 2024 between the Company to the Investor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(2) the Securities Purchase Agreement entered into on December 30, 2024 between the Company and the Investor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each as previously amended.</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Securities Purchase Agreement, the Investor shall advance to the Company $5,000,000, which shall be evidenced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convertible debenture in the form attached thereto (the “</w:t>
      </w:r>
      <w:r>
        <w:rPr>
          <w:rFonts w:ascii="Times New Roman" w:cs="Times New Roman" w:eastAsia="Times New Roman" w:hAnsi="Times New Roman"/>
          <w:sz w:val="18"/>
          <w:szCs w:val="18"/>
          <w:u w:val="single" w:color="auto"/>
          <w:color w:val="auto"/>
        </w:rPr>
        <w:t>Convertible Debenture</w:t>
      </w:r>
      <w:r>
        <w:rPr>
          <w:rFonts w:ascii="Times New Roman" w:cs="Times New Roman" w:eastAsia="Times New Roman" w:hAnsi="Times New Roman"/>
          <w:sz w:val="18"/>
          <w:szCs w:val="18"/>
          <w:color w:val="auto"/>
        </w:rPr>
        <w:t>”) in the aggregate principal amount of $5,000,000, upon the satisfaction of the terms and conditions set forth therein, which conditions have not yet been satisfied;</w:t>
      </w:r>
    </w:p>
    <w:p>
      <w:pPr>
        <w:spacing w:after="0" w:line="16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February 12, 2025, the Company requested, and the Investor agreed to, an advance of $1,000,000 of the $5,000,000, and,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Investor advanced $1,000,000 to the Company and the Company issued to the Investor a Convertible Debenture in the principal amount of $1,000,000 (“</w:t>
      </w:r>
      <w:r>
        <w:rPr>
          <w:rFonts w:ascii="Times New Roman" w:cs="Times New Roman" w:eastAsia="Times New Roman" w:hAnsi="Times New Roman"/>
          <w:sz w:val="18"/>
          <w:szCs w:val="18"/>
          <w:u w:val="single" w:color="auto"/>
          <w:color w:val="auto"/>
        </w:rPr>
        <w:t>Debenture No. SEV-6a</w:t>
      </w:r>
      <w:r>
        <w:rPr>
          <w:rFonts w:ascii="Times New Roman" w:cs="Times New Roman" w:eastAsia="Times New Roman" w:hAnsi="Times New Roman"/>
          <w:sz w:val="18"/>
          <w:szCs w:val="18"/>
          <w:color w:val="auto"/>
        </w:rPr>
        <w:t>”); and</w:t>
      </w:r>
    </w:p>
    <w:p>
      <w:pPr>
        <w:spacing w:after="0" w:line="15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and the Investor has agreed to, an additional advance of $1,000,000 of the $5,000,000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with the remaining $3,000,000 to be advanced upon the satisfaction of all of the conditions set forth in the Securities Purchase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Amendment, the Company and Lender have agreed to the following terms:</w:t>
      </w:r>
    </w:p>
    <w:p>
      <w:pPr>
        <w:spacing w:after="0" w:line="15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to the Securities Purchase Agreement</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color w:val="auto"/>
        </w:rPr>
      </w:pPr>
    </w:p>
    <w:p>
      <w:pPr>
        <w:jc w:val="both"/>
        <w:ind w:left="580" w:hanging="235"/>
        <w:spacing w:after="0" w:line="261" w:lineRule="auto"/>
        <w:tabs>
          <w:tab w:leader="none" w:pos="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conditions set forth in Section 6 and 7 of the Securities Purchase Agreement, as modified by this Agreement, the parties hereby agree that on the date hereof, the Investor shall advance to the Company the principal amount of $1,000,000 and the Company shall issue and deliver to the Investor a Convertible Debenture, duly executed on behalf of the Company, with an aggregate principal amount of $1,000,000 (the “</w:t>
      </w:r>
      <w:r>
        <w:rPr>
          <w:rFonts w:ascii="Times New Roman" w:cs="Times New Roman" w:eastAsia="Times New Roman" w:hAnsi="Times New Roman"/>
          <w:sz w:val="18"/>
          <w:szCs w:val="18"/>
          <w:u w:val="single" w:color="auto"/>
          <w:color w:val="auto"/>
        </w:rPr>
        <w:t>Second Convertible Debenture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580" w:hanging="235"/>
        <w:spacing w:after="0" w:line="282" w:lineRule="auto"/>
        <w:tabs>
          <w:tab w:leader="none" w:pos="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the closing of the issuance of the Second Convertible Debenture, the Investor waives the satisfaction of the conditions set forth in Section 7(d) and 7(i) of the Securities Purchase Agreement.</w:t>
      </w:r>
    </w:p>
    <w:p>
      <w:pPr>
        <w:spacing w:after="0" w:line="161" w:lineRule="exact"/>
        <w:rPr>
          <w:rFonts w:ascii="Times New Roman" w:cs="Times New Roman" w:eastAsia="Times New Roman" w:hAnsi="Times New Roman"/>
          <w:sz w:val="18"/>
          <w:szCs w:val="18"/>
          <w:color w:val="auto"/>
        </w:rPr>
      </w:pPr>
    </w:p>
    <w:p>
      <w:pPr>
        <w:jc w:val="both"/>
        <w:ind w:left="580" w:hanging="235"/>
        <w:spacing w:after="0" w:line="266" w:lineRule="auto"/>
        <w:tabs>
          <w:tab w:leader="none" w:pos="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terms and conditions with respect to the issuance and sale of the Convertible Debenture set forth in the Securities Purchase Agreement shall remain in full force and effect, except that the principal amount of the Convertible Debenture shall be reduced to $3,000,000 as a result of the issuance of the Second Convertible Debenture and Debenture No. SEV-6a.</w:t>
      </w:r>
    </w:p>
    <w:p>
      <w:pPr>
        <w:spacing w:after="0" w:line="15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Exchange Agreement. </w:t>
      </w:r>
      <w:r>
        <w:rPr>
          <w:rFonts w:ascii="Times New Roman" w:cs="Times New Roman" w:eastAsia="Times New Roman" w:hAnsi="Times New Roman"/>
          <w:sz w:val="18"/>
          <w:szCs w:val="18"/>
          <w:color w:val="auto"/>
        </w:rPr>
        <w:t>In connection with the Exchange Agreement, the Convertible Debenture in the principal amount of $5,000,000 (referred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 6” therein) shall be exchanged for Preferred Shares (as defined in the Exchange Agreement), subject to the satisfaction of the conditions precedent set forth therein. The parties hereby agree that from and after the issuance of the Second Convertible Debenture contemplated by this Agreement, for the purposes of the Exchange Agreement, “Debenture 6” shall consist of each of Debenture No. SEV-6a, the Second Convertible Debenture, and the remaining Convertible Debenture to be issued pursuant to the Securities Purchase Agreement in the principal amount of $3,000,000, each of which shall be part of the exchange of debentures for Preferred Shares as contemplated by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left="332" w:hanging="332"/>
        <w:spacing w:after="0" w:line="255"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Continuing Validity. </w:t>
      </w:r>
      <w:r>
        <w:rPr>
          <w:rFonts w:ascii="Times New Roman" w:cs="Times New Roman" w:eastAsia="Times New Roman" w:hAnsi="Times New Roman"/>
          <w:sz w:val="18"/>
          <w:szCs w:val="18"/>
          <w:color w:val="auto"/>
        </w:rPr>
        <w:t>The Securities Purchase Agreement and the Exchange Agreement are amended to the extent necessary to give effect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terms of this Agreement shall supersede any contrary terms. Except as specifically set forth herein, the terms and conditions of the Securities Purchase Agreement and the Exchange Agreement shall remain unmodified and are hereby ratified by the parties. This Agreement in no way acts as a release or relinquishment of, and in no way affects, the liens, security interests and rights created by or arising under the Securities Purchase Agreement and the Exchange Agreement.</w:t>
      </w:r>
    </w:p>
    <w:p>
      <w:pPr>
        <w:spacing w:after="0" w:line="169" w:lineRule="exact"/>
        <w:rPr>
          <w:rFonts w:ascii="Times New Roman" w:cs="Times New Roman" w:eastAsia="Times New Roman" w:hAnsi="Times New Roman"/>
          <w:sz w:val="18"/>
          <w:szCs w:val="18"/>
          <w:color w:val="auto"/>
        </w:rPr>
      </w:pPr>
    </w:p>
    <w:p>
      <w:pPr>
        <w:ind w:left="332" w:right="20" w:hanging="332"/>
        <w:spacing w:after="0" w:line="271"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One of the Transaction Documents</w:t>
      </w:r>
      <w:r>
        <w:rPr>
          <w:rFonts w:ascii="Times New Roman" w:cs="Times New Roman" w:eastAsia="Times New Roman" w:hAnsi="Times New Roman"/>
          <w:sz w:val="18"/>
          <w:szCs w:val="18"/>
          <w:color w:val="auto"/>
        </w:rPr>
        <w:t>. From and after the date hereof, this Agreement is and shall be deemed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as used in the Securities Purchase Agreement.</w:t>
      </w:r>
    </w:p>
    <w:p>
      <w:pPr>
        <w:spacing w:after="0" w:line="153" w:lineRule="exact"/>
        <w:rPr>
          <w:rFonts w:ascii="Times New Roman" w:cs="Times New Roman" w:eastAsia="Times New Roman" w:hAnsi="Times New Roman"/>
          <w:sz w:val="18"/>
          <w:szCs w:val="18"/>
          <w:color w:val="auto"/>
        </w:rPr>
      </w:pPr>
    </w:p>
    <w:p>
      <w:pPr>
        <w:jc w:val="both"/>
        <w:ind w:left="332" w:hanging="332"/>
        <w:spacing w:after="0" w:line="257"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Agreement shall be governed by and construed in accordance with the laws of the State of New York. This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642620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576" w:right="339" w:bottom="1440" w:gutter="0" w:footer="0" w:header="0"/>
        </w:sectPr>
      </w:pPr>
    </w:p>
    <w:bookmarkStart w:id="19" w:name="page20"/>
    <w:bookmarkEnd w:id="19"/>
    <w:p>
      <w:pPr>
        <w:ind w:firstLine="324"/>
        <w:spacing w:after="0" w:line="271"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Investor have caused this this Omnibus Amendment to Transaction Documents to be duly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duly authorized officer as of the date first written above.</w:t>
      </w:r>
    </w:p>
    <w:p>
      <w:pPr>
        <w:spacing w:after="0" w:line="16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/s/ George O’Leary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-7620</wp:posOffset>
            </wp:positionV>
            <wp:extent cx="1757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Chief Executive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0" w:name="page21"/>
    <w:bookmarkEnd w:id="20"/>
    <w:p>
      <w:pPr>
        <w:ind w:left="44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Investment Manger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Yorkville Advisors Global II, LLC</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Michael Rosselli                                                     </w:t>
      </w:r>
      <w:r>
        <w:rPr>
          <w:rFonts w:ascii="Times New Roman" w:cs="Times New Roman" w:eastAsia="Times New Roman" w:hAnsi="Times New Roman"/>
          <w:sz w:val="13"/>
          <w:szCs w:val="13"/>
          <w:color w:val="auto"/>
        </w:rPr>
        <w:t> </w:t>
      </w:r>
    </w:p>
    <w:p>
      <w:pPr>
        <w:spacing w:after="0" w:line="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Michael Rosselli</w:t>
      </w:r>
    </w:p>
    <w:p>
      <w:pPr>
        <w:spacing w:after="0" w:line="9" w:lineRule="exact"/>
        <w:rPr>
          <w:sz w:val="20"/>
          <w:szCs w:val="20"/>
          <w:color w:val="auto"/>
        </w:rPr>
      </w:pPr>
    </w:p>
    <w:p>
      <w:pPr>
        <w:ind w:left="4400"/>
        <w:spacing w:after="0"/>
        <w:tabs>
          <w:tab w:leader="none" w:pos="4940" w:val="left"/>
        </w:tabs>
        <w:rPr>
          <w:sz w:val="20"/>
          <w:szCs w:val="20"/>
          <w:color w:val="auto"/>
        </w:rPr>
      </w:pPr>
      <w:r>
        <w:rPr>
          <w:rFonts w:ascii="Times New Roman" w:cs="Times New Roman" w:eastAsia="Times New Roman" w:hAnsi="Times New Roman"/>
          <w:sz w:val="18"/>
          <w:szCs w:val="18"/>
          <w:color w:val="auto"/>
        </w:rPr>
        <w:t>Title:</w:t>
        <w:tab/>
        <w:t>Partner</w:t>
      </w:r>
    </w:p>
    <w:p>
      <w:pPr>
        <w:sectPr>
          <w:pgSz w:w="11900" w:h="16838" w:orient="portrait"/>
          <w:cols w:equalWidth="0" w:num="1">
            <w:col w:w="9019"/>
          </w:cols>
          <w:pgMar w:left="1440" w:top="576" w:right="1440" w:bottom="1440" w:gutter="0" w:footer="0" w:header="0"/>
        </w:sectPr>
      </w:pPr>
    </w:p>
    <w:bookmarkStart w:id="21" w:name="page22"/>
    <w:bookmarkEnd w:id="21"/>
    <w:p>
      <w:pPr>
        <w:spacing w:after="0" w:line="71"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Sono Group N.V. and Merlin Solar Technologies Announce Partnership to Expand Global Solar Solutions</w:t>
      </w:r>
    </w:p>
    <w:p>
      <w:pPr>
        <w:spacing w:after="0" w:line="12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Two-Way Distribution and Co-Marketing Agreement Leverages Complementary Technologies for Enhanced Customer Value and Worldwide Reach</w:t>
      </w:r>
    </w:p>
    <w:p>
      <w:pPr>
        <w:spacing w:after="0" w:line="15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MUNICH, Germany, and SAN JOSE, Calif., March 24, 2025 (GLOBE NEWSWIRE) -- The solar technology company Sono Group N.V. (OTCQB: SEVCF) (hereafter referred to as “Sono Group” or “Sono”, parent company to Sono Motors GmbH or “Sono Motors”) and Merlin Solar Technologies, Inc. (hereafter referred to as “Merlin Solar Technologies” or “Merlin”) today announced the signing of a new partnership between Sono Motors and Merlin, designed to expand each company’s global market presence and strengthen their collective product offerings. Under the terms of the agreement, Sono Group will include Merlin’s solar panels in its product portfolio throughout Europe, while Merlin will include Sono’s proprietary solar charge controllers and associated collaterals as part of Merlin’s suite of Mobile Power Solutions —across North and South America.</w:t>
      </w:r>
    </w:p>
    <w:p>
      <w:pPr>
        <w:spacing w:after="0" w:line="21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By combining Sono Group’s expertise in integrated solar technology solutions - including its advanced hardware, software, and proprietary charging capabilities - with Merlin’s portfolio of high-efficiency panels and integrated Mobile Power Systems, the partnership aims to deliver significant synergies. Together, the companies will offer a comprehensive range of high-performance solar solutions for diverse industries worldwide, with favorable terms designed to ensure competitive offerings for both companies’ respective customer bases.</w:t>
      </w:r>
    </w:p>
    <w:p>
      <w:pPr>
        <w:spacing w:after="0" w:line="20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“Through this landmark agreement, we are merging the strengths of both our organizations to accelerate the adoption of clean and efficient solar technologies,” said George O’Leary, Managing Director and CEO of Sono Group N.V. “Merlin’s forward-thinking approach to solar panel innovation &amp; integrated Mobile Power Systems aligns perfectly with our mission to put solar on every commercial vehicle. We are excited to expand our reach in North and South America and to offer Merlin’s state-of-the-art solar panels to our European customers.”</w:t>
      </w:r>
    </w:p>
    <w:p>
      <w:pPr>
        <w:spacing w:after="0" w:line="204"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22"/>
          <w:szCs w:val="22"/>
          <w:color w:val="auto"/>
        </w:rPr>
        <w:t>“This partnership with Sono Group brings together two complementary product lines that offer our customers greater choice, efficiency, and reliability,” said Kendall Combs, CEO of Merlin Solar Technologies, Inc. “Sono’s proprietary solar charge controller sets a new standard for integrated solar solutions, while Merlin’s advanced solar panels &amp; proven Mobile Power Systems are renowned for their durability, high efficiency, and cutting-edge design. By collaborating under one co-marketing agreement, we can more effectively serve customers in multiple regions and continue to pioneer sustainable energy solutions worldwide.”</w:t>
      </w: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Through this agreement, both Sono Group and Merlin Solar Technologies anticipate delivering enhanced value to their respective customers, supporting global sustainability goals, and driving the next generation of solar innovation world-wide.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SONO GROUP N.V.</w:t>
      </w:r>
    </w:p>
    <w:p>
      <w:pPr>
        <w:spacing w:after="0" w:line="20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1"/>
          <w:szCs w:val="21"/>
          <w:color w:val="auto"/>
        </w:rPr>
        <w:t>Sono Group N.V. (OTCQB: SEVCF) and its wholly owned subsidiary Sono Motors GmbH are on a pioneering mission to accelerate the revolution of mobility by making every commercial vehicle solar. Our disruptive solar technology has been developed to enable seamless integration into all types of commercial vehicles to reduce the impact of CO2 emissions and pave the way for climate-friendly mobility. For more information about Sono Group N.V., Sono Motors, and their solar solutions, visit sonogroupnv.com and sonomotors.com. Follow us on social media: LinkedIn, Facebook, BlueSky, Truth Social, and X.</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MERLIN SOLAR TECHNOLOGIES, INC.</w:t>
      </w:r>
    </w:p>
    <w:p>
      <w:pPr>
        <w:spacing w:after="0" w:line="2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Merlin Solar Technologies, Inc. is a leading innovator in next-generation solar panel design, engineering, and manufacturing. Based in San Jose, California, Merlin’s patented technology delivers rugged, high-efficiency solar panels and integrated solar solutions designed for a wide range of applications, including transportation, building integration, marine, and off-grid installations. By focusing on durability, reliability, and performance, Merlin Solar is dedicated to advancing the renewable energy industry with solutions that address real-world needs. For more information, visit merlinsolar.com.</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This press release may contain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Company and its subsidiary Sono Motors GmbH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w:t>
      </w:r>
    </w:p>
    <w:p>
      <w:pPr>
        <w:sectPr>
          <w:pgSz w:w="11900" w:h="16909" w:orient="portrait"/>
          <w:cols w:equalWidth="0" w:num="1">
            <w:col w:w="11240"/>
          </w:cols>
          <w:pgMar w:left="320" w:top="108" w:right="339" w:bottom="0" w:gutter="0" w:footer="0" w:header="0"/>
        </w:sectPr>
      </w:pPr>
    </w:p>
    <w:bookmarkStart w:id="22" w:name="page23"/>
    <w:bookmarkEnd w:id="22"/>
    <w:p>
      <w:pPr>
        <w:spacing w:after="0" w:line="232" w:lineRule="auto"/>
        <w:rPr>
          <w:sz w:val="20"/>
          <w:szCs w:val="20"/>
          <w:color w:val="auto"/>
        </w:rPr>
      </w:pPr>
      <w:r>
        <w:rPr>
          <w:rFonts w:ascii="Times New Roman" w:cs="Times New Roman" w:eastAsia="Times New Roman" w:hAnsi="Times New Roman"/>
          <w:sz w:val="22"/>
          <w:szCs w:val="22"/>
          <w:color w:val="auto"/>
        </w:rPr>
        <w:t>not limited to, risks, uncertainties and assumptions with respect to: the Company’s ability to uplist to the Nasdaq Capital Market, including meeting the initial listing requirements; the Company’s ability to satisfy the conditions precedent set forth in its recent securities purchase agreement (“Securities Purchase Agreement”) and exchange agreement (“Exchange Agreement”) entered into with YA II PN, Ltd. (“Yorkville”); the timing of closing the transactions contemplated by the Securities Purchase Agreement and the Exchange Agreement; the impact of the transactions contemplated by the Exchange Agreement and Securities Purchase Agreement on the Company’s operating results; our ability to maintain relationships with creditors, suppliers, service providers, customers, employees and other third parties in light of the performance and credit risks associated with our constrained liquidity position and capital structure; our ability to comply with OTCQB continuing standards; our ability to achieve our stated goals; our strategies, plan, objectives and goals, including, among others, the successful implementation and management of the pivot of our business to exclusively retrofitting and integrating our solar technology onto third party vehicles; our ability to raise the additional funding required beyond the investment from Yorkville to further develop and commercialize our solar technology and business as well as to continue as a going concern. For additional information concerning some of the risks, uncertainties and assumptions that could affect our forward-looking statements, please refer to our filings with the U.S. Securities and Exchange Commission (“SEC”), including our Annual Report on Form 20-F for the year ended December 31, 2023, 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SONO GROUP N.V.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 press@sonomotors.com | ir.sonomotors.com/news-events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 ir@sonomotors.com | ir.sonomotors.com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LinkedIn: https://www.linkedin.com/company/sonogroupnv</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MERLIN SOLAR TECHNOLOGIES,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LinkedIn: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https://www.linkedin.com/company/merlin-solar/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Roman"/>
      <w:start w:val="1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lowerRoman"/>
      <w:start w:val="5"/>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lowerLetter"/>
      <w:start w:val="5"/>
    </w:lvl>
  </w:abstractNum>
  <w:abstractNum w:abstractNumId="6">
    <w:nsid w:val="12200854"/>
    <w:multiLevelType w:val="hybridMultilevel"/>
    <w:lvl w:ilvl="0">
      <w:lvlJc w:val="left"/>
      <w:lvlText w:val="(%1)"/>
      <w:numFmt w:val="lowerLetter"/>
      <w:start w:val="9"/>
    </w:lvl>
  </w:abstractNum>
  <w:abstractNum w:abstractNumId="7">
    <w:nsid w:val="4DB127F8"/>
    <w:multiLevelType w:val="hybridMultilevel"/>
    <w:lvl w:ilvl="0">
      <w:lvlJc w:val="left"/>
      <w:lvlText w:val="(%1)"/>
      <w:numFmt w:val="lowerLetter"/>
      <w:start w:val="13"/>
    </w:lvl>
  </w:abstractNum>
  <w:abstractNum w:abstractNumId="8">
    <w:nsid w:val="216231B"/>
    <w:multiLevelType w:val="hybridMultilevel"/>
    <w:lvl w:ilvl="0">
      <w:lvlJc w:val="left"/>
      <w:lvlText w:val="(%1)"/>
      <w:numFmt w:val="lowerLetter"/>
      <w:start w:val="14"/>
    </w:lvl>
  </w:abstractNum>
  <w:abstractNum w:abstractNumId="9">
    <w:nsid w:val="1F16E9E8"/>
    <w:multiLevelType w:val="hybridMultilevel"/>
    <w:lvl w:ilvl="0">
      <w:lvlJc w:val="left"/>
      <w:lvlText w:val="(%1)"/>
      <w:numFmt w:val="lowerLetter"/>
      <w:start w:val="18"/>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2025-03-26T16:03:49Z</dcterms:created>
  <dcterms:modified xsi:type="dcterms:W3CDTF">2025-03-26T16:03:49Z</dcterms:modified>
</cp:coreProperties>
</file>