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17, 2025</w:t>
      </w:r>
    </w:p>
    <w:p>
      <w:pPr>
        <w:spacing w:after="0" w:line="3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Sono Group N.V.</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ectPr>
          <w:pgSz w:w="11900" w:h="16838" w:orient="portrait"/>
          <w:cols w:equalWidth="0" w:num="1">
            <w:col w:w="11240"/>
          </w:cols>
          <w:pgMar w:left="320" w:top="200" w:right="339" w:bottom="1440" w:gutter="0" w:footer="0" w:header="0"/>
        </w:sectPr>
      </w:pPr>
    </w:p>
    <w:p>
      <w:pPr>
        <w:spacing w:after="0" w:line="203"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001-41066</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98-1828632</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200" w:right="339" w:bottom="1440" w:gutter="0" w:footer="0" w:header="0"/>
          <w:type w:val="continuous"/>
        </w:sectPr>
      </w:pPr>
    </w:p>
    <w:p>
      <w:pPr>
        <w:spacing w:after="0" w:line="14"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Waldmeisterstrasse 93, Munich, Germany</w:t>
      </w:r>
    </w:p>
    <w:p>
      <w:pPr>
        <w:spacing w:after="0" w:line="4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80935</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200" w:right="339" w:bottom="1440" w:gutter="0" w:footer="0" w:header="0"/>
          <w:type w:val="continuous"/>
        </w:sectPr>
      </w:pP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 (0)89 4520 5818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ectPr>
          <w:pgSz w:w="11900" w:h="16838" w:orient="portrait"/>
          <w:cols w:equalWidth="0" w:num="1">
            <w:col w:w="11240"/>
          </w:cols>
          <w:pgMar w:left="320" w:top="200"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7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Trading Symbol(s)</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0"/>
        </w:trPr>
        <w:tc>
          <w:tcPr>
            <w:tcW w:w="37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3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Not Applicable</w:t>
            </w:r>
          </w:p>
        </w:tc>
      </w:tr>
    </w:tbl>
    <w:p>
      <w:pPr>
        <w:spacing w:after="0" w:line="198"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Items.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April 16, 2025, Sono Group N.V. (the “Company”) furnished an unaudited pro forma condensed consolidated balance sheet and statement of income as of and for the twelve months ended December 31, 2024 (the “Pro Forma Financial Information”) as part of the Company’s application for listing on the Nasdaq Capital Market (“Nasdaq”).</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Pro Forma Financial Information gives effect to the transactions contemplated by the following previously-disclosed agreements: (i) the securities purchase agreement (the “Securities Purchase Agreement”) entered into between the Company and YA II PN, Ltd. (“Yorkville”) on December 30, 2024, pursuant to which Yorkville committed to provide limited financing to the Company in the amount of $5,000,000 (the “Yorkville Commitment”) in the form of a new convertible debenture (the “Commitment Debenture”), subject to certain conditions and limitations, including the Company’s receipt of notice from Nasdaq that the Company has met all the applicable requirements for listing of the Company’s ordinary shares on Nasdaq, (ii) the exchange agreement (the “Exchange Agreement”) entered into between the Company and Yorkville on December 30, 2024, pursuant to which the Company agreed, subject to the satisfactions of certain conditions precedent, to issue 1,242 shares of preferred stock of the Company, each with a nominal value of €300 (the “Preferred Shares”), to Yorkville solely in exchange for the surrender and cancellation of all of the debentures held by Yorkville, including the Commitment Debenture, if issued, and the Advance Debentures (as defined below), (iii) the omnibus amendment to transaction documents entered into between the Company and Yorkville on February 12, 2025 (the “First Omnibus Amendment”), which provided for, among other things, an immediate advance of $1,000,000 of the Yorkville Commitment in the form of a $1,000,000 secured convertible debenture (the “First Advance Debenture”), (iv) the omnibus amendment to transaction documents entered into between the Company and Yorkville on March 7, 2025 (the “Second Omnibus Amendment”), which, among other things, modified the terms of the Exchange Agreement to amend the floor price provided for in the Exchange Agreement and (v) the omnibus amendment to transaction documents entered into between the Company and Yorkville on March 25, 2025 (the “Third Omnibus Amendment” and together with the First Omnibus Amendment and the Second Omnibus Amendment, the “Omnibus Amendments”), which provided for, among other things, a second immediate advance of $1,000,000 of the Yorkville Commitment in the form of a $1,000,000 secured convertible debenture (the “Second Advance Debenture” and together with the First Advance Debenture, the “Advance Debentures”).</w:t>
      </w:r>
    </w:p>
    <w:p>
      <w:pPr>
        <w:spacing w:after="0" w:line="19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Additional information and background on the Securities Purchase Agreement, the Exchange Agreement, the Omnibus Amendments and the other agreements and transactions related thereto may be found in the Company’s Form 6-K filed with the Securities and Exchange Commission (“SEC”) on December 30, 2024 and the Company’s Form 8-Ks filed with the SEC on February 13, 2025, March 7, 2025 and March 26, 2025.The Company’s listing application has not been approved by Nasdaq, and there is no assurance that the Company will be able to meet the Nasdaq listing requirements or that its listing application will be approved by Nasdaq.</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91"/>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60" w:type="dxa"/>
            <w:vAlign w:val="bottom"/>
          </w:tcPr>
          <w:p>
            <w:pPr>
              <w:spacing w:after="0"/>
              <w:rPr>
                <w:sz w:val="24"/>
                <w:szCs w:val="24"/>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Sono Group N.V. pro forma condensed consolidated balance sheet and statement of income as of and for the twelve months ended</w:t>
            </w:r>
          </w:p>
        </w:tc>
      </w:tr>
      <w:tr>
        <w:trPr>
          <w:trHeight w:val="196"/>
        </w:trPr>
        <w:tc>
          <w:tcPr>
            <w:tcW w:w="32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December 31, 2024</w:t>
            </w:r>
          </w:p>
        </w:tc>
        <w:tc>
          <w:tcPr>
            <w:tcW w:w="7960" w:type="dxa"/>
            <w:vAlign w:val="bottom"/>
            <w:tcBorders>
              <w:top w:val="single" w:sz="8" w:color="0000EE"/>
            </w:tcBorders>
            <w:gridSpan w:val="2"/>
          </w:tcPr>
          <w:p>
            <w:pPr>
              <w:spacing w:after="0"/>
              <w:rPr>
                <w:sz w:val="17"/>
                <w:szCs w:val="17"/>
                <w:color w:val="auto"/>
              </w:rPr>
            </w:pPr>
          </w:p>
        </w:tc>
        <w:tc>
          <w:tcPr>
            <w:tcW w:w="560" w:type="dxa"/>
            <w:vAlign w:val="bottom"/>
          </w:tcPr>
          <w:p>
            <w:pPr>
              <w:spacing w:after="0"/>
              <w:rPr>
                <w:sz w:val="17"/>
                <w:szCs w:val="17"/>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33"/>
        </w:trPr>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4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By /s/ 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George O’Leary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17, 2025</w:t>
      </w:r>
    </w:p>
    <w:p>
      <w:pPr>
        <w:sectPr>
          <w:pgSz w:w="11900" w:h="16838" w:orient="portrait"/>
          <w:cols w:equalWidth="0" w:num="1">
            <w:col w:w="11200"/>
          </w:cols>
          <w:pgMar w:left="320" w:top="792"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156845</wp:posOffset>
            </wp:positionV>
            <wp:extent cx="3754755" cy="21342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5475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left="940" w:right="2040"/>
        <w:spacing w:after="0" w:line="267" w:lineRule="auto"/>
        <w:rPr>
          <w:sz w:val="20"/>
          <w:szCs w:val="20"/>
          <w:color w:val="auto"/>
        </w:rPr>
      </w:pPr>
      <w:r>
        <w:rPr>
          <w:rFonts w:ascii="Times New Roman" w:cs="Times New Roman" w:eastAsia="Times New Roman" w:hAnsi="Times New Roman"/>
          <w:sz w:val="25"/>
          <w:szCs w:val="25"/>
          <w:b w:val="1"/>
          <w:bCs w:val="1"/>
          <w:color w:val="002B41"/>
        </w:rPr>
        <w:t>Sono Group N.V. pro forma condensed consolidated Balance Sheet and Statement of Income as of and for the twelve months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1157605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2</w:t>
            </w:r>
          </w:p>
        </w:tc>
      </w:tr>
      <w:tr>
        <w:trPr>
          <w:trHeight w:val="540"/>
        </w:trPr>
        <w:tc>
          <w:tcPr>
            <w:tcW w:w="111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r>
      <w:tr>
        <w:trPr>
          <w:trHeight w:val="392"/>
        </w:trPr>
        <w:tc>
          <w:tcPr>
            <w:tcW w:w="180" w:type="dxa"/>
            <w:vAlign w:val="bottom"/>
          </w:tcPr>
          <w:p>
            <w:pPr>
              <w:spacing w:after="0"/>
              <w:rPr>
                <w:sz w:val="24"/>
                <w:szCs w:val="24"/>
                <w:color w:val="auto"/>
              </w:rPr>
            </w:pPr>
          </w:p>
        </w:tc>
        <w:tc>
          <w:tcPr>
            <w:tcW w:w="55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Proforma Preliminary Condensed Consolidated Statements of Income (Loss)</w:t>
            </w:r>
          </w:p>
        </w:tc>
        <w:tc>
          <w:tcPr>
            <w:tcW w:w="5440" w:type="dxa"/>
            <w:vAlign w:val="bottom"/>
          </w:tcPr>
          <w:p>
            <w:pPr>
              <w:spacing w:after="0"/>
              <w:rPr>
                <w:sz w:val="24"/>
                <w:szCs w:val="24"/>
                <w:color w:val="auto"/>
              </w:rPr>
            </w:pP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3</w:t>
            </w:r>
          </w:p>
        </w:tc>
      </w:tr>
      <w:tr>
        <w:trPr>
          <w:trHeight w:val="277"/>
        </w:trPr>
        <w:tc>
          <w:tcPr>
            <w:tcW w:w="180" w:type="dxa"/>
            <w:vAlign w:val="bottom"/>
          </w:tcPr>
          <w:p>
            <w:pPr>
              <w:spacing w:after="0"/>
              <w:rPr>
                <w:sz w:val="24"/>
                <w:szCs w:val="24"/>
                <w:color w:val="auto"/>
              </w:rPr>
            </w:pPr>
          </w:p>
        </w:tc>
        <w:tc>
          <w:tcPr>
            <w:tcW w:w="109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Proforma Preliminary Condensed Consolidated Balance Sheets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4</w:t>
            </w:r>
          </w:p>
        </w:tc>
      </w:tr>
      <w:tr>
        <w:trPr>
          <w:trHeight w:val="277"/>
        </w:trPr>
        <w:tc>
          <w:tcPr>
            <w:tcW w:w="180" w:type="dxa"/>
            <w:vAlign w:val="bottom"/>
          </w:tcPr>
          <w:p>
            <w:pPr>
              <w:spacing w:after="0"/>
              <w:rPr>
                <w:sz w:val="24"/>
                <w:szCs w:val="24"/>
                <w:color w:val="auto"/>
              </w:rPr>
            </w:pPr>
          </w:p>
        </w:tc>
        <w:tc>
          <w:tcPr>
            <w:tcW w:w="39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 xml:space="preserve">A. New Issuance of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5 Million Debenture Adjustment</w:t>
            </w:r>
          </w:p>
        </w:tc>
        <w:tc>
          <w:tcPr>
            <w:tcW w:w="640" w:type="dxa"/>
            <w:vAlign w:val="bottom"/>
            <w:tcBorders>
              <w:top w:val="single" w:sz="8" w:color="0000EE"/>
            </w:tcBorders>
          </w:tcPr>
          <w:p>
            <w:pPr>
              <w:spacing w:after="0"/>
              <w:rPr>
                <w:sz w:val="24"/>
                <w:szCs w:val="24"/>
                <w:color w:val="auto"/>
              </w:rPr>
            </w:pPr>
          </w:p>
        </w:tc>
        <w:tc>
          <w:tcPr>
            <w:tcW w:w="6420" w:type="dxa"/>
            <w:vAlign w:val="bottom"/>
            <w:gridSpan w:val="2"/>
          </w:tcPr>
          <w:p>
            <w:pPr>
              <w:spacing w:after="0"/>
              <w:rPr>
                <w:sz w:val="24"/>
                <w:szCs w:val="24"/>
                <w:color w:val="auto"/>
              </w:rPr>
            </w:pPr>
          </w:p>
        </w:tc>
        <w:tc>
          <w:tcPr>
            <w:tcW w:w="8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5</w:t>
            </w:r>
          </w:p>
        </w:tc>
      </w:tr>
      <w:tr>
        <w:trPr>
          <w:trHeight w:val="277"/>
        </w:trPr>
        <w:tc>
          <w:tcPr>
            <w:tcW w:w="180" w:type="dxa"/>
            <w:vAlign w:val="bottom"/>
          </w:tcPr>
          <w:p>
            <w:pPr>
              <w:spacing w:after="0"/>
              <w:rPr>
                <w:sz w:val="24"/>
                <w:szCs w:val="24"/>
                <w:color w:val="auto"/>
              </w:rPr>
            </w:pPr>
          </w:p>
        </w:tc>
        <w:tc>
          <w:tcPr>
            <w:tcW w:w="109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B. Conversion of all existing debt to preferred equity</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5</w:t>
            </w:r>
          </w:p>
        </w:tc>
      </w:tr>
      <w:tr>
        <w:trPr>
          <w:trHeight w:val="2863"/>
        </w:trPr>
        <w:tc>
          <w:tcPr>
            <w:tcW w:w="180" w:type="dxa"/>
            <w:vAlign w:val="bottom"/>
            <w:tcBorders>
              <w:bottom w:val="single" w:sz="8" w:color="auto"/>
            </w:tcBorders>
          </w:tcPr>
          <w:p>
            <w:pPr>
              <w:spacing w:after="0"/>
              <w:rPr>
                <w:sz w:val="24"/>
                <w:szCs w:val="24"/>
                <w:color w:val="auto"/>
              </w:rPr>
            </w:pPr>
          </w:p>
        </w:tc>
        <w:tc>
          <w:tcPr>
            <w:tcW w:w="382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Proforma Condensed Consolidated Statements of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711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71183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20" w:type="dxa"/>
            <w:vAlign w:val="bottom"/>
            <w:shd w:val="clear" w:color="auto" w:fill="A6A6A6"/>
          </w:tcPr>
          <w:p>
            <w:pPr>
              <w:spacing w:after="0"/>
              <w:rPr>
                <w:sz w:val="19"/>
                <w:szCs w:val="19"/>
                <w:color w:val="auto"/>
              </w:rPr>
            </w:pPr>
          </w:p>
        </w:tc>
        <w:tc>
          <w:tcPr>
            <w:tcW w:w="194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Twelve months ended</w:t>
            </w:r>
          </w:p>
        </w:tc>
        <w:tc>
          <w:tcPr>
            <w:tcW w:w="3560" w:type="dxa"/>
            <w:vAlign w:val="bottom"/>
            <w:gridSpan w:val="2"/>
            <w:shd w:val="clear" w:color="auto" w:fill="A6A6A6"/>
          </w:tcPr>
          <w:p>
            <w:pPr>
              <w:jc w:val="right"/>
              <w:ind w:right="658"/>
              <w:spacing w:after="0"/>
              <w:rPr>
                <w:sz w:val="20"/>
                <w:szCs w:val="20"/>
                <w:color w:val="auto"/>
              </w:rPr>
            </w:pPr>
            <w:r>
              <w:rPr>
                <w:rFonts w:ascii="Times New Roman" w:cs="Times New Roman" w:eastAsia="Times New Roman" w:hAnsi="Times New Roman"/>
                <w:sz w:val="18"/>
                <w:szCs w:val="18"/>
                <w:b w:val="1"/>
                <w:bCs w:val="1"/>
                <w:color w:val="FFFFFF"/>
              </w:rPr>
              <w:t>Pro Forma Adjustments</w:t>
            </w:r>
          </w:p>
        </w:tc>
        <w:tc>
          <w:tcPr>
            <w:tcW w:w="280" w:type="dxa"/>
            <w:vAlign w:val="bottom"/>
            <w:shd w:val="clear" w:color="auto" w:fill="A6A6A6"/>
          </w:tcPr>
          <w:p>
            <w:pPr>
              <w:spacing w:after="0"/>
              <w:rPr>
                <w:sz w:val="19"/>
                <w:szCs w:val="19"/>
                <w:color w:val="auto"/>
              </w:rPr>
            </w:pPr>
          </w:p>
        </w:tc>
        <w:tc>
          <w:tcPr>
            <w:tcW w:w="184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Pro Forma Combined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A6A6A6"/>
          </w:tcPr>
          <w:p>
            <w:pPr>
              <w:spacing w:after="0"/>
              <w:rPr>
                <w:sz w:val="17"/>
                <w:szCs w:val="17"/>
                <w:color w:val="auto"/>
              </w:rPr>
            </w:pPr>
          </w:p>
        </w:tc>
        <w:tc>
          <w:tcPr>
            <w:tcW w:w="1940" w:type="dxa"/>
            <w:vAlign w:val="bottom"/>
            <w:vMerge w:val="continue"/>
            <w:shd w:val="clear" w:color="auto" w:fill="A6A6A6"/>
          </w:tcPr>
          <w:p>
            <w:pPr>
              <w:spacing w:after="0"/>
              <w:rPr>
                <w:sz w:val="17"/>
                <w:szCs w:val="17"/>
                <w:color w:val="auto"/>
              </w:rPr>
            </w:pPr>
          </w:p>
        </w:tc>
        <w:tc>
          <w:tcPr>
            <w:tcW w:w="182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mUSD 5 New</w:t>
            </w:r>
          </w:p>
        </w:tc>
        <w:tc>
          <w:tcPr>
            <w:tcW w:w="1740" w:type="dxa"/>
            <w:vAlign w:val="bottom"/>
            <w:shd w:val="clear" w:color="auto" w:fill="A6A6A6"/>
          </w:tcPr>
          <w:p>
            <w:pPr>
              <w:jc w:val="center"/>
              <w:ind w:left="198"/>
              <w:spacing w:after="0" w:line="202" w:lineRule="exact"/>
              <w:rPr>
                <w:sz w:val="20"/>
                <w:szCs w:val="20"/>
                <w:color w:val="auto"/>
              </w:rPr>
            </w:pPr>
            <w:r>
              <w:rPr>
                <w:rFonts w:ascii="Times New Roman" w:cs="Times New Roman" w:eastAsia="Times New Roman" w:hAnsi="Times New Roman"/>
                <w:sz w:val="18"/>
                <w:szCs w:val="18"/>
                <w:b w:val="1"/>
                <w:bCs w:val="1"/>
                <w:color w:val="FFFFFF"/>
              </w:rPr>
              <w:t>Debt to Equity</w:t>
            </w:r>
          </w:p>
        </w:tc>
        <w:tc>
          <w:tcPr>
            <w:tcW w:w="280" w:type="dxa"/>
            <w:vAlign w:val="bottom"/>
            <w:shd w:val="clear" w:color="auto" w:fill="A6A6A6"/>
          </w:tcPr>
          <w:p>
            <w:pPr>
              <w:spacing w:after="0"/>
              <w:rPr>
                <w:sz w:val="17"/>
                <w:szCs w:val="17"/>
                <w:color w:val="auto"/>
              </w:rPr>
            </w:pPr>
          </w:p>
        </w:tc>
        <w:tc>
          <w:tcPr>
            <w:tcW w:w="1840" w:type="dxa"/>
            <w:vAlign w:val="bottom"/>
            <w:vMerge w:val="continue"/>
            <w:shd w:val="clear" w:color="auto" w:fill="A6A6A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3620" w:type="dxa"/>
            <w:vAlign w:val="bottom"/>
            <w:shd w:val="clear" w:color="auto" w:fill="A6A6A6"/>
          </w:tcPr>
          <w:p>
            <w:pPr>
              <w:spacing w:after="0"/>
              <w:rPr>
                <w:sz w:val="10"/>
                <w:szCs w:val="10"/>
                <w:color w:val="auto"/>
              </w:rPr>
            </w:pPr>
          </w:p>
        </w:tc>
        <w:tc>
          <w:tcPr>
            <w:tcW w:w="194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December 31, 2024</w:t>
            </w:r>
          </w:p>
        </w:tc>
        <w:tc>
          <w:tcPr>
            <w:tcW w:w="1820" w:type="dxa"/>
            <w:vAlign w:val="bottom"/>
            <w:vMerge w:val="continue"/>
            <w:shd w:val="clear" w:color="auto" w:fill="A6A6A6"/>
          </w:tcPr>
          <w:p>
            <w:pPr>
              <w:spacing w:after="0"/>
              <w:rPr>
                <w:sz w:val="10"/>
                <w:szCs w:val="10"/>
                <w:color w:val="auto"/>
              </w:rPr>
            </w:pPr>
          </w:p>
        </w:tc>
        <w:tc>
          <w:tcPr>
            <w:tcW w:w="1740" w:type="dxa"/>
            <w:vAlign w:val="bottom"/>
            <w:vMerge w:val="restart"/>
            <w:shd w:val="clear" w:color="auto" w:fill="A6A6A6"/>
          </w:tcPr>
          <w:p>
            <w:pPr>
              <w:jc w:val="center"/>
              <w:ind w:left="218"/>
              <w:spacing w:after="0"/>
              <w:rPr>
                <w:sz w:val="20"/>
                <w:szCs w:val="20"/>
                <w:color w:val="auto"/>
              </w:rPr>
            </w:pPr>
            <w:r>
              <w:rPr>
                <w:rFonts w:ascii="Times New Roman" w:cs="Times New Roman" w:eastAsia="Times New Roman" w:hAnsi="Times New Roman"/>
                <w:sz w:val="18"/>
                <w:szCs w:val="18"/>
                <w:b w:val="1"/>
                <w:bCs w:val="1"/>
                <w:color w:val="FFFFFF"/>
                <w:w w:val="99"/>
              </w:rPr>
              <w:t>Conversion</w:t>
            </w:r>
          </w:p>
        </w:tc>
        <w:tc>
          <w:tcPr>
            <w:tcW w:w="280" w:type="dxa"/>
            <w:vAlign w:val="bottom"/>
            <w:shd w:val="clear" w:color="auto" w:fill="A6A6A6"/>
          </w:tcPr>
          <w:p>
            <w:pPr>
              <w:spacing w:after="0"/>
              <w:rPr>
                <w:sz w:val="10"/>
                <w:szCs w:val="10"/>
                <w:color w:val="auto"/>
              </w:rPr>
            </w:pPr>
          </w:p>
        </w:tc>
        <w:tc>
          <w:tcPr>
            <w:tcW w:w="184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Following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620" w:type="dxa"/>
            <w:vAlign w:val="bottom"/>
            <w:shd w:val="clear" w:color="auto" w:fill="A6A6A6"/>
          </w:tcPr>
          <w:p>
            <w:pPr>
              <w:spacing w:after="0"/>
              <w:rPr>
                <w:sz w:val="8"/>
                <w:szCs w:val="8"/>
                <w:color w:val="auto"/>
              </w:rPr>
            </w:pPr>
          </w:p>
        </w:tc>
        <w:tc>
          <w:tcPr>
            <w:tcW w:w="1940" w:type="dxa"/>
            <w:vAlign w:val="bottom"/>
            <w:vMerge w:val="continue"/>
            <w:shd w:val="clear" w:color="auto" w:fill="A6A6A6"/>
          </w:tcPr>
          <w:p>
            <w:pPr>
              <w:spacing w:after="0"/>
              <w:rPr>
                <w:sz w:val="8"/>
                <w:szCs w:val="8"/>
                <w:color w:val="auto"/>
              </w:rPr>
            </w:pPr>
          </w:p>
        </w:tc>
        <w:tc>
          <w:tcPr>
            <w:tcW w:w="182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Convertible Debenture</w:t>
            </w:r>
          </w:p>
        </w:tc>
        <w:tc>
          <w:tcPr>
            <w:tcW w:w="1740" w:type="dxa"/>
            <w:vAlign w:val="bottom"/>
            <w:vMerge w:val="continue"/>
            <w:shd w:val="clear" w:color="auto" w:fill="A6A6A6"/>
          </w:tcPr>
          <w:p>
            <w:pPr>
              <w:spacing w:after="0"/>
              <w:rPr>
                <w:sz w:val="8"/>
                <w:szCs w:val="8"/>
                <w:color w:val="auto"/>
              </w:rPr>
            </w:pPr>
          </w:p>
        </w:tc>
        <w:tc>
          <w:tcPr>
            <w:tcW w:w="280" w:type="dxa"/>
            <w:vAlign w:val="bottom"/>
            <w:shd w:val="clear" w:color="auto" w:fill="A6A6A6"/>
          </w:tcPr>
          <w:p>
            <w:pPr>
              <w:spacing w:after="0"/>
              <w:rPr>
                <w:sz w:val="8"/>
                <w:szCs w:val="8"/>
                <w:color w:val="auto"/>
              </w:rPr>
            </w:pPr>
          </w:p>
        </w:tc>
        <w:tc>
          <w:tcPr>
            <w:tcW w:w="1840" w:type="dxa"/>
            <w:vAlign w:val="bottom"/>
            <w:vMerge w:val="continue"/>
            <w:shd w:val="clear" w:color="auto" w:fill="A6A6A6"/>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20" w:type="dxa"/>
            <w:vAlign w:val="bottom"/>
            <w:shd w:val="clear" w:color="auto" w:fill="A6A6A6"/>
          </w:tcPr>
          <w:p>
            <w:pPr>
              <w:spacing w:after="0"/>
              <w:rPr>
                <w:sz w:val="10"/>
                <w:szCs w:val="10"/>
                <w:color w:val="auto"/>
              </w:rPr>
            </w:pPr>
          </w:p>
        </w:tc>
        <w:tc>
          <w:tcPr>
            <w:tcW w:w="194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(unaudited)</w:t>
            </w:r>
          </w:p>
        </w:tc>
        <w:tc>
          <w:tcPr>
            <w:tcW w:w="1820" w:type="dxa"/>
            <w:vAlign w:val="bottom"/>
            <w:vMerge w:val="continue"/>
            <w:shd w:val="clear" w:color="auto" w:fill="A6A6A6"/>
          </w:tcPr>
          <w:p>
            <w:pPr>
              <w:spacing w:after="0"/>
              <w:rPr>
                <w:sz w:val="10"/>
                <w:szCs w:val="10"/>
                <w:color w:val="auto"/>
              </w:rPr>
            </w:pPr>
          </w:p>
        </w:tc>
        <w:tc>
          <w:tcPr>
            <w:tcW w:w="1740" w:type="dxa"/>
            <w:vAlign w:val="bottom"/>
            <w:vMerge w:val="restart"/>
            <w:shd w:val="clear" w:color="auto" w:fill="A6A6A6"/>
          </w:tcPr>
          <w:p>
            <w:pPr>
              <w:jc w:val="center"/>
              <w:ind w:left="198"/>
              <w:spacing w:after="0"/>
              <w:rPr>
                <w:sz w:val="20"/>
                <w:szCs w:val="20"/>
                <w:color w:val="auto"/>
              </w:rPr>
            </w:pPr>
            <w:r>
              <w:rPr>
                <w:rFonts w:ascii="Times New Roman" w:cs="Times New Roman" w:eastAsia="Times New Roman" w:hAnsi="Times New Roman"/>
                <w:sz w:val="18"/>
                <w:szCs w:val="18"/>
                <w:b w:val="1"/>
                <w:bCs w:val="1"/>
                <w:color w:val="FFFFFF"/>
                <w:w w:val="99"/>
              </w:rPr>
              <w:t>Adjustments</w:t>
            </w:r>
          </w:p>
        </w:tc>
        <w:tc>
          <w:tcPr>
            <w:tcW w:w="280" w:type="dxa"/>
            <w:vAlign w:val="bottom"/>
            <w:shd w:val="clear" w:color="auto" w:fill="A6A6A6"/>
          </w:tcPr>
          <w:p>
            <w:pPr>
              <w:spacing w:after="0"/>
              <w:rPr>
                <w:sz w:val="10"/>
                <w:szCs w:val="10"/>
                <w:color w:val="auto"/>
              </w:rPr>
            </w:pPr>
          </w:p>
        </w:tc>
        <w:tc>
          <w:tcPr>
            <w:tcW w:w="184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Recapitalization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20" w:type="dxa"/>
            <w:vAlign w:val="bottom"/>
            <w:shd w:val="clear" w:color="auto" w:fill="A6A6A6"/>
          </w:tcPr>
          <w:p>
            <w:pPr>
              <w:spacing w:after="0"/>
              <w:rPr>
                <w:sz w:val="9"/>
                <w:szCs w:val="9"/>
                <w:color w:val="auto"/>
              </w:rPr>
            </w:pPr>
          </w:p>
        </w:tc>
        <w:tc>
          <w:tcPr>
            <w:tcW w:w="1940" w:type="dxa"/>
            <w:vAlign w:val="bottom"/>
            <w:vMerge w:val="continue"/>
            <w:shd w:val="clear" w:color="auto" w:fill="A6A6A6"/>
          </w:tcPr>
          <w:p>
            <w:pPr>
              <w:spacing w:after="0"/>
              <w:rPr>
                <w:sz w:val="9"/>
                <w:szCs w:val="9"/>
                <w:color w:val="auto"/>
              </w:rPr>
            </w:pPr>
          </w:p>
        </w:tc>
        <w:tc>
          <w:tcPr>
            <w:tcW w:w="182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rPr>
              <w:t>(A)</w:t>
            </w:r>
          </w:p>
        </w:tc>
        <w:tc>
          <w:tcPr>
            <w:tcW w:w="1740" w:type="dxa"/>
            <w:vAlign w:val="bottom"/>
            <w:vMerge w:val="continue"/>
            <w:shd w:val="clear" w:color="auto" w:fill="A6A6A6"/>
          </w:tcPr>
          <w:p>
            <w:pPr>
              <w:spacing w:after="0"/>
              <w:rPr>
                <w:sz w:val="9"/>
                <w:szCs w:val="9"/>
                <w:color w:val="auto"/>
              </w:rPr>
            </w:pPr>
          </w:p>
        </w:tc>
        <w:tc>
          <w:tcPr>
            <w:tcW w:w="280" w:type="dxa"/>
            <w:vAlign w:val="bottom"/>
            <w:shd w:val="clear" w:color="auto" w:fill="A6A6A6"/>
          </w:tcPr>
          <w:p>
            <w:pPr>
              <w:spacing w:after="0"/>
              <w:rPr>
                <w:sz w:val="9"/>
                <w:szCs w:val="9"/>
                <w:color w:val="auto"/>
              </w:rPr>
            </w:pPr>
          </w:p>
        </w:tc>
        <w:tc>
          <w:tcPr>
            <w:tcW w:w="1840" w:type="dxa"/>
            <w:vAlign w:val="bottom"/>
            <w:vMerge w:val="continue"/>
            <w:shd w:val="clear" w:color="auto" w:fill="A6A6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20" w:type="dxa"/>
            <w:vAlign w:val="bottom"/>
            <w:shd w:val="clear" w:color="auto" w:fill="A6A6A6"/>
          </w:tcPr>
          <w:p>
            <w:pPr>
              <w:spacing w:after="0"/>
              <w:rPr>
                <w:sz w:val="11"/>
                <w:szCs w:val="11"/>
                <w:color w:val="auto"/>
              </w:rPr>
            </w:pPr>
          </w:p>
        </w:tc>
        <w:tc>
          <w:tcPr>
            <w:tcW w:w="1940" w:type="dxa"/>
            <w:vAlign w:val="bottom"/>
            <w:shd w:val="clear" w:color="auto" w:fill="A6A6A6"/>
          </w:tcPr>
          <w:p>
            <w:pPr>
              <w:spacing w:after="0"/>
              <w:rPr>
                <w:sz w:val="11"/>
                <w:szCs w:val="11"/>
                <w:color w:val="auto"/>
              </w:rPr>
            </w:pPr>
          </w:p>
        </w:tc>
        <w:tc>
          <w:tcPr>
            <w:tcW w:w="1820" w:type="dxa"/>
            <w:vAlign w:val="bottom"/>
            <w:vMerge w:val="continue"/>
            <w:shd w:val="clear" w:color="auto" w:fill="A6A6A6"/>
          </w:tcPr>
          <w:p>
            <w:pPr>
              <w:spacing w:after="0"/>
              <w:rPr>
                <w:sz w:val="11"/>
                <w:szCs w:val="11"/>
                <w:color w:val="auto"/>
              </w:rPr>
            </w:pPr>
          </w:p>
        </w:tc>
        <w:tc>
          <w:tcPr>
            <w:tcW w:w="1740" w:type="dxa"/>
            <w:vAlign w:val="bottom"/>
            <w:vMerge w:val="restart"/>
            <w:shd w:val="clear" w:color="auto" w:fill="A6A6A6"/>
          </w:tcPr>
          <w:p>
            <w:pPr>
              <w:jc w:val="center"/>
              <w:ind w:left="218"/>
              <w:spacing w:after="0"/>
              <w:rPr>
                <w:sz w:val="20"/>
                <w:szCs w:val="20"/>
                <w:color w:val="auto"/>
              </w:rPr>
            </w:pPr>
            <w:r>
              <w:rPr>
                <w:rFonts w:ascii="Times New Roman" w:cs="Times New Roman" w:eastAsia="Times New Roman" w:hAnsi="Times New Roman"/>
                <w:sz w:val="18"/>
                <w:szCs w:val="18"/>
                <w:b w:val="1"/>
                <w:bCs w:val="1"/>
                <w:color w:val="FFFFFF"/>
                <w:w w:val="99"/>
              </w:rPr>
              <w:t>(B)</w:t>
            </w:r>
          </w:p>
        </w:tc>
        <w:tc>
          <w:tcPr>
            <w:tcW w:w="280" w:type="dxa"/>
            <w:vAlign w:val="bottom"/>
            <w:shd w:val="clear" w:color="auto" w:fill="A6A6A6"/>
          </w:tcPr>
          <w:p>
            <w:pPr>
              <w:spacing w:after="0"/>
              <w:rPr>
                <w:sz w:val="11"/>
                <w:szCs w:val="11"/>
                <w:color w:val="auto"/>
              </w:rPr>
            </w:pPr>
          </w:p>
        </w:tc>
        <w:tc>
          <w:tcPr>
            <w:tcW w:w="1840" w:type="dxa"/>
            <w:vAlign w:val="bottom"/>
            <w:shd w:val="clear" w:color="auto" w:fill="A6A6A6"/>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620" w:type="dxa"/>
            <w:vAlign w:val="bottom"/>
            <w:shd w:val="clear" w:color="auto" w:fill="A6A6A6"/>
          </w:tcPr>
          <w:p>
            <w:pPr>
              <w:spacing w:after="0"/>
              <w:rPr>
                <w:sz w:val="9"/>
                <w:szCs w:val="9"/>
                <w:color w:val="auto"/>
              </w:rPr>
            </w:pPr>
          </w:p>
        </w:tc>
        <w:tc>
          <w:tcPr>
            <w:tcW w:w="1940" w:type="dxa"/>
            <w:vAlign w:val="bottom"/>
            <w:shd w:val="clear" w:color="auto" w:fill="A6A6A6"/>
          </w:tcPr>
          <w:p>
            <w:pPr>
              <w:spacing w:after="0"/>
              <w:rPr>
                <w:sz w:val="9"/>
                <w:szCs w:val="9"/>
                <w:color w:val="auto"/>
              </w:rPr>
            </w:pPr>
          </w:p>
        </w:tc>
        <w:tc>
          <w:tcPr>
            <w:tcW w:w="1820" w:type="dxa"/>
            <w:vAlign w:val="bottom"/>
            <w:shd w:val="clear" w:color="auto" w:fill="A6A6A6"/>
          </w:tcPr>
          <w:p>
            <w:pPr>
              <w:spacing w:after="0"/>
              <w:rPr>
                <w:sz w:val="9"/>
                <w:szCs w:val="9"/>
                <w:color w:val="auto"/>
              </w:rPr>
            </w:pPr>
          </w:p>
        </w:tc>
        <w:tc>
          <w:tcPr>
            <w:tcW w:w="1740" w:type="dxa"/>
            <w:vAlign w:val="bottom"/>
            <w:vMerge w:val="continue"/>
            <w:shd w:val="clear" w:color="auto" w:fill="A6A6A6"/>
          </w:tcPr>
          <w:p>
            <w:pPr>
              <w:spacing w:after="0"/>
              <w:rPr>
                <w:sz w:val="9"/>
                <w:szCs w:val="9"/>
                <w:color w:val="auto"/>
              </w:rPr>
            </w:pPr>
          </w:p>
        </w:tc>
        <w:tc>
          <w:tcPr>
            <w:tcW w:w="280" w:type="dxa"/>
            <w:vAlign w:val="bottom"/>
            <w:shd w:val="clear" w:color="auto" w:fill="A6A6A6"/>
          </w:tcPr>
          <w:p>
            <w:pPr>
              <w:spacing w:after="0"/>
              <w:rPr>
                <w:sz w:val="9"/>
                <w:szCs w:val="9"/>
                <w:color w:val="auto"/>
              </w:rPr>
            </w:pPr>
          </w:p>
        </w:tc>
        <w:tc>
          <w:tcPr>
            <w:tcW w:w="1840" w:type="dxa"/>
            <w:vAlign w:val="bottom"/>
            <w:shd w:val="clear" w:color="auto" w:fill="A6A6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kEUR</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kEUR</w:t>
            </w:r>
          </w:p>
        </w:tc>
        <w:tc>
          <w:tcPr>
            <w:tcW w:w="1740" w:type="dxa"/>
            <w:vAlign w:val="bottom"/>
            <w:tcBorders>
              <w:bottom w:val="single" w:sz="8" w:color="auto"/>
            </w:tcBorders>
          </w:tcPr>
          <w:p>
            <w:pPr>
              <w:jc w:val="center"/>
              <w:ind w:left="178"/>
              <w:spacing w:after="0"/>
              <w:rPr>
                <w:sz w:val="20"/>
                <w:szCs w:val="20"/>
                <w:color w:val="auto"/>
              </w:rPr>
            </w:pPr>
            <w:r>
              <w:rPr>
                <w:rFonts w:ascii="Times New Roman" w:cs="Times New Roman" w:eastAsia="Times New Roman" w:hAnsi="Times New Roman"/>
                <w:sz w:val="18"/>
                <w:szCs w:val="18"/>
                <w:color w:val="auto"/>
                <w:w w:val="97"/>
              </w:rPr>
              <w:t>kEUR</w:t>
            </w: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kEUR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20" w:type="dxa"/>
            <w:vAlign w:val="bottom"/>
          </w:tcPr>
          <w:p>
            <w:pPr>
              <w:spacing w:after="0"/>
              <w:rPr>
                <w:sz w:val="19"/>
                <w:szCs w:val="19"/>
                <w:color w:val="auto"/>
              </w:rPr>
            </w:pPr>
          </w:p>
        </w:tc>
        <w:tc>
          <w:tcPr>
            <w:tcW w:w="1740" w:type="dxa"/>
            <w:vAlign w:val="bottom"/>
            <w:vMerge w:val="restart"/>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3620" w:type="dxa"/>
            <w:vAlign w:val="bottom"/>
            <w:vMerge w:val="continue"/>
          </w:tcPr>
          <w:p>
            <w:pPr>
              <w:spacing w:after="0"/>
              <w:rPr>
                <w:sz w:val="15"/>
                <w:szCs w:val="15"/>
                <w:color w:val="auto"/>
              </w:rPr>
            </w:pPr>
          </w:p>
        </w:tc>
        <w:tc>
          <w:tcPr>
            <w:tcW w:w="19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9"/>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3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Cost of development expenses</w:t>
            </w:r>
          </w:p>
        </w:tc>
        <w:tc>
          <w:tcPr>
            <w:tcW w:w="1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(1,118)</w:t>
            </w:r>
          </w:p>
        </w:tc>
        <w:tc>
          <w:tcPr>
            <w:tcW w:w="1820" w:type="dxa"/>
            <w:vAlign w:val="bottom"/>
          </w:tcPr>
          <w:p>
            <w:pPr>
              <w:spacing w:after="0"/>
              <w:rPr>
                <w:sz w:val="16"/>
                <w:szCs w:val="16"/>
                <w:color w:val="auto"/>
              </w:rPr>
            </w:pPr>
          </w:p>
        </w:tc>
        <w:tc>
          <w:tcPr>
            <w:tcW w:w="1740" w:type="dxa"/>
            <w:vAlign w:val="bottom"/>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820" w:type="dxa"/>
            <w:vAlign w:val="bottom"/>
          </w:tcPr>
          <w:p>
            <w:pPr>
              <w:spacing w:after="0"/>
              <w:rPr>
                <w:sz w:val="18"/>
                <w:szCs w:val="18"/>
                <w:color w:val="auto"/>
              </w:rPr>
            </w:pPr>
          </w:p>
        </w:tc>
        <w:tc>
          <w:tcPr>
            <w:tcW w:w="1740" w:type="dxa"/>
            <w:vAlign w:val="bottom"/>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1820" w:type="dxa"/>
            <w:vAlign w:val="bottom"/>
          </w:tcPr>
          <w:p>
            <w:pPr>
              <w:spacing w:after="0"/>
              <w:rPr>
                <w:sz w:val="18"/>
                <w:szCs w:val="18"/>
                <w:color w:val="auto"/>
              </w:rPr>
            </w:pPr>
          </w:p>
        </w:tc>
        <w:tc>
          <w:tcPr>
            <w:tcW w:w="1740" w:type="dxa"/>
            <w:vAlign w:val="bottom"/>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Gain/(loss) on deconsolidation/reconsolidation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62,554</w:t>
            </w:r>
          </w:p>
        </w:tc>
        <w:tc>
          <w:tcPr>
            <w:tcW w:w="1820" w:type="dxa"/>
            <w:vAlign w:val="bottom"/>
          </w:tcPr>
          <w:p>
            <w:pPr>
              <w:spacing w:after="0"/>
              <w:rPr>
                <w:sz w:val="18"/>
                <w:szCs w:val="18"/>
                <w:color w:val="auto"/>
              </w:rPr>
            </w:pPr>
          </w:p>
        </w:tc>
        <w:tc>
          <w:tcPr>
            <w:tcW w:w="1740" w:type="dxa"/>
            <w:vAlign w:val="bottom"/>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62,554</w:t>
            </w:r>
          </w:p>
        </w:tc>
        <w:tc>
          <w:tcPr>
            <w:tcW w:w="0" w:type="dxa"/>
            <w:vAlign w:val="bottom"/>
          </w:tcPr>
          <w:p>
            <w:pPr>
              <w:spacing w:after="0"/>
              <w:rPr>
                <w:sz w:val="1"/>
                <w:szCs w:val="1"/>
                <w:color w:val="auto"/>
              </w:rPr>
            </w:pPr>
          </w:p>
        </w:tc>
      </w:tr>
      <w:tr>
        <w:trPr>
          <w:trHeight w:val="23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operating income / (exp)</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56,508</w:t>
            </w:r>
          </w:p>
        </w:tc>
        <w:tc>
          <w:tcPr>
            <w:tcW w:w="1820" w:type="dxa"/>
            <w:vAlign w:val="bottom"/>
          </w:tcPr>
          <w:p>
            <w:pPr>
              <w:spacing w:after="0"/>
              <w:rPr>
                <w:sz w:val="18"/>
                <w:szCs w:val="18"/>
                <w:color w:val="auto"/>
              </w:rPr>
            </w:pPr>
          </w:p>
        </w:tc>
        <w:tc>
          <w:tcPr>
            <w:tcW w:w="1740" w:type="dxa"/>
            <w:vAlign w:val="bottom"/>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56,508</w:t>
            </w:r>
          </w:p>
        </w:tc>
        <w:tc>
          <w:tcPr>
            <w:tcW w:w="0" w:type="dxa"/>
            <w:vAlign w:val="bottom"/>
          </w:tcPr>
          <w:p>
            <w:pPr>
              <w:spacing w:after="0"/>
              <w:rPr>
                <w:sz w:val="1"/>
                <w:szCs w:val="1"/>
                <w:color w:val="auto"/>
              </w:rPr>
            </w:pPr>
          </w:p>
        </w:tc>
      </w:tr>
      <w:tr>
        <w:trPr>
          <w:trHeight w:val="191"/>
        </w:trPr>
        <w:tc>
          <w:tcPr>
            <w:tcW w:w="3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Income/(expense) from changes in fair value of</w:t>
            </w:r>
          </w:p>
        </w:tc>
        <w:tc>
          <w:tcPr>
            <w:tcW w:w="194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carried at Fair value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1820" w:type="dxa"/>
            <w:vAlign w:val="bottom"/>
          </w:tcPr>
          <w:p>
            <w:pPr>
              <w:spacing w:after="0"/>
              <w:rPr>
                <w:sz w:val="18"/>
                <w:szCs w:val="18"/>
                <w:color w:val="auto"/>
              </w:rPr>
            </w:pPr>
          </w:p>
        </w:tc>
        <w:tc>
          <w:tcPr>
            <w:tcW w:w="1740" w:type="dxa"/>
            <w:vAlign w:val="bottom"/>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and similar expenses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8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Income/(Loss) before tax</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65,026</w:t>
            </w:r>
          </w:p>
        </w:tc>
        <w:tc>
          <w:tcPr>
            <w:tcW w:w="1820" w:type="dxa"/>
            <w:vAlign w:val="bottom"/>
          </w:tcPr>
          <w:p>
            <w:pPr>
              <w:spacing w:after="0"/>
              <w:rPr>
                <w:sz w:val="18"/>
                <w:szCs w:val="18"/>
                <w:color w:val="auto"/>
              </w:rPr>
            </w:pPr>
          </w:p>
        </w:tc>
        <w:tc>
          <w:tcPr>
            <w:tcW w:w="1740" w:type="dxa"/>
            <w:vAlign w:val="bottom"/>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65,026</w:t>
            </w:r>
          </w:p>
        </w:tc>
        <w:tc>
          <w:tcPr>
            <w:tcW w:w="0" w:type="dxa"/>
            <w:vAlign w:val="bottom"/>
          </w:tcPr>
          <w:p>
            <w:pPr>
              <w:spacing w:after="0"/>
              <w:rPr>
                <w:sz w:val="1"/>
                <w:szCs w:val="1"/>
                <w:color w:val="auto"/>
              </w:rPr>
            </w:pPr>
          </w:p>
        </w:tc>
      </w:tr>
      <w:tr>
        <w:trPr>
          <w:trHeight w:val="191"/>
        </w:trPr>
        <w:tc>
          <w:tcPr>
            <w:tcW w:w="3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Taxes on income</w:t>
            </w:r>
          </w:p>
        </w:tc>
        <w:tc>
          <w:tcPr>
            <w:tcW w:w="1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taxes on expense</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Income/(Loss) for the period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65,026</w:t>
            </w:r>
          </w:p>
        </w:tc>
        <w:tc>
          <w:tcPr>
            <w:tcW w:w="18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59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65,026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0"/>
        </w:trPr>
        <w:tc>
          <w:tcPr>
            <w:tcW w:w="36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Proforma Preliminary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702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00" w:type="dxa"/>
            <w:vAlign w:val="bottom"/>
            <w:shd w:val="clear" w:color="auto" w:fill="A6A6A6"/>
          </w:tcPr>
          <w:p>
            <w:pPr>
              <w:spacing w:after="0"/>
              <w:rPr>
                <w:sz w:val="19"/>
                <w:szCs w:val="19"/>
                <w:color w:val="auto"/>
              </w:rPr>
            </w:pPr>
          </w:p>
        </w:tc>
        <w:tc>
          <w:tcPr>
            <w:tcW w:w="196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December 31,</w:t>
            </w:r>
          </w:p>
        </w:tc>
        <w:tc>
          <w:tcPr>
            <w:tcW w:w="3840" w:type="dxa"/>
            <w:vAlign w:val="bottom"/>
            <w:gridSpan w:val="2"/>
            <w:shd w:val="clear" w:color="auto" w:fill="A6A6A6"/>
          </w:tcPr>
          <w:p>
            <w:pPr>
              <w:jc w:val="right"/>
              <w:ind w:right="930"/>
              <w:spacing w:after="0"/>
              <w:rPr>
                <w:sz w:val="20"/>
                <w:szCs w:val="20"/>
                <w:color w:val="auto"/>
              </w:rPr>
            </w:pPr>
            <w:r>
              <w:rPr>
                <w:rFonts w:ascii="Times New Roman" w:cs="Times New Roman" w:eastAsia="Times New Roman" w:hAnsi="Times New Roman"/>
                <w:sz w:val="18"/>
                <w:szCs w:val="18"/>
                <w:b w:val="1"/>
                <w:bCs w:val="1"/>
                <w:color w:val="FFFFFF"/>
              </w:rPr>
              <w:t>Pro Forma Adjustments</w:t>
            </w:r>
          </w:p>
        </w:tc>
        <w:tc>
          <w:tcPr>
            <w:tcW w:w="184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Pro Forma Combined</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A6A6A6"/>
          </w:tcPr>
          <w:p>
            <w:pPr>
              <w:spacing w:after="0"/>
              <w:rPr>
                <w:sz w:val="17"/>
                <w:szCs w:val="17"/>
                <w:color w:val="auto"/>
              </w:rPr>
            </w:pPr>
          </w:p>
        </w:tc>
        <w:tc>
          <w:tcPr>
            <w:tcW w:w="1960" w:type="dxa"/>
            <w:vAlign w:val="bottom"/>
            <w:vMerge w:val="continue"/>
            <w:shd w:val="clear" w:color="auto" w:fill="A6A6A6"/>
          </w:tcPr>
          <w:p>
            <w:pPr>
              <w:spacing w:after="0"/>
              <w:rPr>
                <w:sz w:val="17"/>
                <w:szCs w:val="17"/>
                <w:color w:val="auto"/>
              </w:rPr>
            </w:pPr>
          </w:p>
        </w:tc>
        <w:tc>
          <w:tcPr>
            <w:tcW w:w="2060" w:type="dxa"/>
            <w:vAlign w:val="bottom"/>
            <w:vMerge w:val="restart"/>
            <w:shd w:val="clear" w:color="auto" w:fill="A6A6A6"/>
          </w:tcPr>
          <w:p>
            <w:pPr>
              <w:jc w:val="center"/>
              <w:ind w:right="110"/>
              <w:spacing w:after="0"/>
              <w:rPr>
                <w:sz w:val="20"/>
                <w:szCs w:val="20"/>
                <w:color w:val="auto"/>
              </w:rPr>
            </w:pPr>
            <w:r>
              <w:rPr>
                <w:rFonts w:ascii="Times New Roman" w:cs="Times New Roman" w:eastAsia="Times New Roman" w:hAnsi="Times New Roman"/>
                <w:sz w:val="18"/>
                <w:szCs w:val="18"/>
                <w:b w:val="1"/>
                <w:bCs w:val="1"/>
                <w:color w:val="FFFFFF"/>
                <w:w w:val="99"/>
              </w:rPr>
              <w:t>mUSD 5 New</w:t>
            </w:r>
          </w:p>
        </w:tc>
        <w:tc>
          <w:tcPr>
            <w:tcW w:w="1780" w:type="dxa"/>
            <w:vAlign w:val="bottom"/>
            <w:shd w:val="clear" w:color="auto" w:fill="A6A6A6"/>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FFFFFF"/>
              </w:rPr>
              <w:t>Debt to Equity</w:t>
            </w:r>
          </w:p>
        </w:tc>
        <w:tc>
          <w:tcPr>
            <w:tcW w:w="1840" w:type="dxa"/>
            <w:vAlign w:val="bottom"/>
            <w:vMerge w:val="continue"/>
            <w:shd w:val="clear" w:color="auto" w:fill="A6A6A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3600" w:type="dxa"/>
            <w:vAlign w:val="bottom"/>
            <w:shd w:val="clear" w:color="auto" w:fill="A6A6A6"/>
          </w:tcPr>
          <w:p>
            <w:pPr>
              <w:spacing w:after="0"/>
              <w:rPr>
                <w:sz w:val="10"/>
                <w:szCs w:val="10"/>
                <w:color w:val="auto"/>
              </w:rPr>
            </w:pPr>
          </w:p>
        </w:tc>
        <w:tc>
          <w:tcPr>
            <w:tcW w:w="196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2024</w:t>
            </w:r>
          </w:p>
        </w:tc>
        <w:tc>
          <w:tcPr>
            <w:tcW w:w="2060" w:type="dxa"/>
            <w:vAlign w:val="bottom"/>
            <w:vMerge w:val="continue"/>
            <w:shd w:val="clear" w:color="auto" w:fill="A6A6A6"/>
          </w:tcPr>
          <w:p>
            <w:pPr>
              <w:spacing w:after="0"/>
              <w:rPr>
                <w:sz w:val="10"/>
                <w:szCs w:val="10"/>
                <w:color w:val="auto"/>
              </w:rPr>
            </w:pPr>
          </w:p>
        </w:tc>
        <w:tc>
          <w:tcPr>
            <w:tcW w:w="1780" w:type="dxa"/>
            <w:vAlign w:val="bottom"/>
            <w:vMerge w:val="restart"/>
            <w:shd w:val="clear" w:color="auto" w:fill="A6A6A6"/>
          </w:tcPr>
          <w:p>
            <w:pPr>
              <w:jc w:val="center"/>
              <w:ind w:right="130"/>
              <w:spacing w:after="0"/>
              <w:rPr>
                <w:sz w:val="20"/>
                <w:szCs w:val="20"/>
                <w:color w:val="auto"/>
              </w:rPr>
            </w:pPr>
            <w:r>
              <w:rPr>
                <w:rFonts w:ascii="Times New Roman" w:cs="Times New Roman" w:eastAsia="Times New Roman" w:hAnsi="Times New Roman"/>
                <w:sz w:val="18"/>
                <w:szCs w:val="18"/>
                <w:b w:val="1"/>
                <w:bCs w:val="1"/>
                <w:color w:val="FFFFFF"/>
                <w:w w:val="99"/>
              </w:rPr>
              <w:t>Conversion</w:t>
            </w:r>
          </w:p>
        </w:tc>
        <w:tc>
          <w:tcPr>
            <w:tcW w:w="184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rPr>
              <w:t>following</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600" w:type="dxa"/>
            <w:vAlign w:val="bottom"/>
            <w:shd w:val="clear" w:color="auto" w:fill="A6A6A6"/>
          </w:tcPr>
          <w:p>
            <w:pPr>
              <w:spacing w:after="0"/>
              <w:rPr>
                <w:sz w:val="8"/>
                <w:szCs w:val="8"/>
                <w:color w:val="auto"/>
              </w:rPr>
            </w:pPr>
          </w:p>
        </w:tc>
        <w:tc>
          <w:tcPr>
            <w:tcW w:w="1960" w:type="dxa"/>
            <w:vAlign w:val="bottom"/>
            <w:vMerge w:val="continue"/>
            <w:shd w:val="clear" w:color="auto" w:fill="A6A6A6"/>
          </w:tcPr>
          <w:p>
            <w:pPr>
              <w:spacing w:after="0"/>
              <w:rPr>
                <w:sz w:val="8"/>
                <w:szCs w:val="8"/>
                <w:color w:val="auto"/>
              </w:rPr>
            </w:pPr>
          </w:p>
        </w:tc>
        <w:tc>
          <w:tcPr>
            <w:tcW w:w="2060" w:type="dxa"/>
            <w:vAlign w:val="bottom"/>
            <w:vMerge w:val="restart"/>
            <w:shd w:val="clear" w:color="auto" w:fill="A6A6A6"/>
          </w:tcPr>
          <w:p>
            <w:pPr>
              <w:jc w:val="center"/>
              <w:ind w:right="130"/>
              <w:spacing w:after="0"/>
              <w:rPr>
                <w:sz w:val="20"/>
                <w:szCs w:val="20"/>
                <w:color w:val="auto"/>
              </w:rPr>
            </w:pPr>
            <w:r>
              <w:rPr>
                <w:rFonts w:ascii="Times New Roman" w:cs="Times New Roman" w:eastAsia="Times New Roman" w:hAnsi="Times New Roman"/>
                <w:sz w:val="18"/>
                <w:szCs w:val="18"/>
                <w:b w:val="1"/>
                <w:bCs w:val="1"/>
                <w:color w:val="FFFFFF"/>
                <w:w w:val="99"/>
              </w:rPr>
              <w:t>Convertible Debenture</w:t>
            </w:r>
          </w:p>
        </w:tc>
        <w:tc>
          <w:tcPr>
            <w:tcW w:w="1780" w:type="dxa"/>
            <w:vAlign w:val="bottom"/>
            <w:vMerge w:val="continue"/>
            <w:shd w:val="clear" w:color="auto" w:fill="A6A6A6"/>
          </w:tcPr>
          <w:p>
            <w:pPr>
              <w:spacing w:after="0"/>
              <w:rPr>
                <w:sz w:val="8"/>
                <w:szCs w:val="8"/>
                <w:color w:val="auto"/>
              </w:rPr>
            </w:pPr>
          </w:p>
        </w:tc>
        <w:tc>
          <w:tcPr>
            <w:tcW w:w="1840" w:type="dxa"/>
            <w:vAlign w:val="bottom"/>
            <w:vMerge w:val="continue"/>
            <w:shd w:val="clear" w:color="auto" w:fill="A6A6A6"/>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00" w:type="dxa"/>
            <w:vAlign w:val="bottom"/>
            <w:shd w:val="clear" w:color="auto" w:fill="A6A6A6"/>
          </w:tcPr>
          <w:p>
            <w:pPr>
              <w:spacing w:after="0"/>
              <w:rPr>
                <w:sz w:val="10"/>
                <w:szCs w:val="10"/>
                <w:color w:val="auto"/>
              </w:rPr>
            </w:pPr>
          </w:p>
        </w:tc>
        <w:tc>
          <w:tcPr>
            <w:tcW w:w="196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Unaudited</w:t>
            </w:r>
          </w:p>
        </w:tc>
        <w:tc>
          <w:tcPr>
            <w:tcW w:w="2060" w:type="dxa"/>
            <w:vAlign w:val="bottom"/>
            <w:vMerge w:val="continue"/>
            <w:shd w:val="clear" w:color="auto" w:fill="A6A6A6"/>
          </w:tcPr>
          <w:p>
            <w:pPr>
              <w:spacing w:after="0"/>
              <w:rPr>
                <w:sz w:val="10"/>
                <w:szCs w:val="10"/>
                <w:color w:val="auto"/>
              </w:rPr>
            </w:pPr>
          </w:p>
        </w:tc>
        <w:tc>
          <w:tcPr>
            <w:tcW w:w="1780" w:type="dxa"/>
            <w:vAlign w:val="bottom"/>
            <w:vMerge w:val="restart"/>
            <w:shd w:val="clear" w:color="auto" w:fill="A6A6A6"/>
          </w:tcPr>
          <w:p>
            <w:pPr>
              <w:jc w:val="center"/>
              <w:ind w:right="150"/>
              <w:spacing w:after="0"/>
              <w:rPr>
                <w:sz w:val="20"/>
                <w:szCs w:val="20"/>
                <w:color w:val="auto"/>
              </w:rPr>
            </w:pPr>
            <w:r>
              <w:rPr>
                <w:rFonts w:ascii="Times New Roman" w:cs="Times New Roman" w:eastAsia="Times New Roman" w:hAnsi="Times New Roman"/>
                <w:sz w:val="18"/>
                <w:szCs w:val="18"/>
                <w:b w:val="1"/>
                <w:bCs w:val="1"/>
                <w:color w:val="FFFFFF"/>
                <w:w w:val="99"/>
              </w:rPr>
              <w:t>Adjustments</w:t>
            </w:r>
          </w:p>
        </w:tc>
        <w:tc>
          <w:tcPr>
            <w:tcW w:w="184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Recapitalization</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00" w:type="dxa"/>
            <w:vAlign w:val="bottom"/>
            <w:shd w:val="clear" w:color="auto" w:fill="A6A6A6"/>
          </w:tcPr>
          <w:p>
            <w:pPr>
              <w:spacing w:after="0"/>
              <w:rPr>
                <w:sz w:val="9"/>
                <w:szCs w:val="9"/>
                <w:color w:val="auto"/>
              </w:rPr>
            </w:pPr>
          </w:p>
        </w:tc>
        <w:tc>
          <w:tcPr>
            <w:tcW w:w="1960" w:type="dxa"/>
            <w:vAlign w:val="bottom"/>
            <w:vMerge w:val="continue"/>
            <w:shd w:val="clear" w:color="auto" w:fill="A6A6A6"/>
          </w:tcPr>
          <w:p>
            <w:pPr>
              <w:spacing w:after="0"/>
              <w:rPr>
                <w:sz w:val="9"/>
                <w:szCs w:val="9"/>
                <w:color w:val="auto"/>
              </w:rPr>
            </w:pPr>
          </w:p>
        </w:tc>
        <w:tc>
          <w:tcPr>
            <w:tcW w:w="2060" w:type="dxa"/>
            <w:vAlign w:val="bottom"/>
            <w:vMerge w:val="restart"/>
            <w:shd w:val="clear" w:color="auto" w:fill="A6A6A6"/>
          </w:tcPr>
          <w:p>
            <w:pPr>
              <w:jc w:val="center"/>
              <w:ind w:right="110"/>
              <w:spacing w:after="0"/>
              <w:rPr>
                <w:sz w:val="20"/>
                <w:szCs w:val="20"/>
                <w:color w:val="auto"/>
              </w:rPr>
            </w:pPr>
            <w:r>
              <w:rPr>
                <w:rFonts w:ascii="Times New Roman" w:cs="Times New Roman" w:eastAsia="Times New Roman" w:hAnsi="Times New Roman"/>
                <w:sz w:val="18"/>
                <w:szCs w:val="18"/>
                <w:b w:val="1"/>
                <w:bCs w:val="1"/>
                <w:color w:val="FFFFFF"/>
              </w:rPr>
              <w:t>(A)</w:t>
            </w:r>
          </w:p>
        </w:tc>
        <w:tc>
          <w:tcPr>
            <w:tcW w:w="1780" w:type="dxa"/>
            <w:vAlign w:val="bottom"/>
            <w:vMerge w:val="continue"/>
            <w:shd w:val="clear" w:color="auto" w:fill="A6A6A6"/>
          </w:tcPr>
          <w:p>
            <w:pPr>
              <w:spacing w:after="0"/>
              <w:rPr>
                <w:sz w:val="9"/>
                <w:szCs w:val="9"/>
                <w:color w:val="auto"/>
              </w:rPr>
            </w:pPr>
          </w:p>
        </w:tc>
        <w:tc>
          <w:tcPr>
            <w:tcW w:w="1840" w:type="dxa"/>
            <w:vAlign w:val="bottom"/>
            <w:vMerge w:val="continue"/>
            <w:shd w:val="clear" w:color="auto" w:fill="A6A6A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00" w:type="dxa"/>
            <w:vAlign w:val="bottom"/>
            <w:shd w:val="clear" w:color="auto" w:fill="A6A6A6"/>
          </w:tcPr>
          <w:p>
            <w:pPr>
              <w:spacing w:after="0"/>
              <w:rPr>
                <w:sz w:val="11"/>
                <w:szCs w:val="11"/>
                <w:color w:val="auto"/>
              </w:rPr>
            </w:pPr>
          </w:p>
        </w:tc>
        <w:tc>
          <w:tcPr>
            <w:tcW w:w="1960" w:type="dxa"/>
            <w:vAlign w:val="bottom"/>
            <w:shd w:val="clear" w:color="auto" w:fill="A6A6A6"/>
          </w:tcPr>
          <w:p>
            <w:pPr>
              <w:spacing w:after="0"/>
              <w:rPr>
                <w:sz w:val="11"/>
                <w:szCs w:val="11"/>
                <w:color w:val="auto"/>
              </w:rPr>
            </w:pPr>
          </w:p>
        </w:tc>
        <w:tc>
          <w:tcPr>
            <w:tcW w:w="2060" w:type="dxa"/>
            <w:vAlign w:val="bottom"/>
            <w:vMerge w:val="continue"/>
            <w:shd w:val="clear" w:color="auto" w:fill="A6A6A6"/>
          </w:tcPr>
          <w:p>
            <w:pPr>
              <w:spacing w:after="0"/>
              <w:rPr>
                <w:sz w:val="11"/>
                <w:szCs w:val="11"/>
                <w:color w:val="auto"/>
              </w:rPr>
            </w:pPr>
          </w:p>
        </w:tc>
        <w:tc>
          <w:tcPr>
            <w:tcW w:w="1780" w:type="dxa"/>
            <w:vAlign w:val="bottom"/>
            <w:vMerge w:val="restart"/>
            <w:shd w:val="clear" w:color="auto" w:fill="A6A6A6"/>
          </w:tcPr>
          <w:p>
            <w:pPr>
              <w:jc w:val="center"/>
              <w:ind w:right="130"/>
              <w:spacing w:after="0"/>
              <w:rPr>
                <w:sz w:val="20"/>
                <w:szCs w:val="20"/>
                <w:color w:val="auto"/>
              </w:rPr>
            </w:pPr>
            <w:r>
              <w:rPr>
                <w:rFonts w:ascii="Times New Roman" w:cs="Times New Roman" w:eastAsia="Times New Roman" w:hAnsi="Times New Roman"/>
                <w:sz w:val="18"/>
                <w:szCs w:val="18"/>
                <w:b w:val="1"/>
                <w:bCs w:val="1"/>
                <w:color w:val="FFFFFF"/>
                <w:w w:val="99"/>
              </w:rPr>
              <w:t>(B)</w:t>
            </w:r>
          </w:p>
        </w:tc>
        <w:tc>
          <w:tcPr>
            <w:tcW w:w="1840" w:type="dxa"/>
            <w:vAlign w:val="bottom"/>
            <w:shd w:val="clear" w:color="auto" w:fill="A6A6A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600" w:type="dxa"/>
            <w:vAlign w:val="bottom"/>
            <w:shd w:val="clear" w:color="auto" w:fill="A6A6A6"/>
          </w:tcPr>
          <w:p>
            <w:pPr>
              <w:spacing w:after="0"/>
              <w:rPr>
                <w:sz w:val="9"/>
                <w:szCs w:val="9"/>
                <w:color w:val="auto"/>
              </w:rPr>
            </w:pPr>
          </w:p>
        </w:tc>
        <w:tc>
          <w:tcPr>
            <w:tcW w:w="1960" w:type="dxa"/>
            <w:vAlign w:val="bottom"/>
            <w:shd w:val="clear" w:color="auto" w:fill="A6A6A6"/>
          </w:tcPr>
          <w:p>
            <w:pPr>
              <w:spacing w:after="0"/>
              <w:rPr>
                <w:sz w:val="9"/>
                <w:szCs w:val="9"/>
                <w:color w:val="auto"/>
              </w:rPr>
            </w:pPr>
          </w:p>
        </w:tc>
        <w:tc>
          <w:tcPr>
            <w:tcW w:w="2060" w:type="dxa"/>
            <w:vAlign w:val="bottom"/>
            <w:shd w:val="clear" w:color="auto" w:fill="A6A6A6"/>
          </w:tcPr>
          <w:p>
            <w:pPr>
              <w:spacing w:after="0"/>
              <w:rPr>
                <w:sz w:val="9"/>
                <w:szCs w:val="9"/>
                <w:color w:val="auto"/>
              </w:rPr>
            </w:pPr>
          </w:p>
        </w:tc>
        <w:tc>
          <w:tcPr>
            <w:tcW w:w="1780" w:type="dxa"/>
            <w:vAlign w:val="bottom"/>
            <w:vMerge w:val="continue"/>
            <w:shd w:val="clear" w:color="auto" w:fill="A6A6A6"/>
          </w:tcPr>
          <w:p>
            <w:pPr>
              <w:spacing w:after="0"/>
              <w:rPr>
                <w:sz w:val="9"/>
                <w:szCs w:val="9"/>
                <w:color w:val="auto"/>
              </w:rPr>
            </w:pPr>
          </w:p>
        </w:tc>
        <w:tc>
          <w:tcPr>
            <w:tcW w:w="1840" w:type="dxa"/>
            <w:vAlign w:val="bottom"/>
            <w:shd w:val="clear" w:color="auto" w:fill="A6A6A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kEUR</w:t>
            </w:r>
          </w:p>
        </w:tc>
        <w:tc>
          <w:tcPr>
            <w:tcW w:w="20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7"/>
              </w:rPr>
              <w:t>kEUR</w:t>
            </w:r>
          </w:p>
        </w:tc>
        <w:tc>
          <w:tcPr>
            <w:tcW w:w="17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7"/>
              </w:rPr>
              <w:t>kEUR</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kEUR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9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0"/>
        </w:trPr>
        <w:tc>
          <w:tcPr>
            <w:tcW w:w="360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0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1,290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Current assets</w:t>
            </w:r>
          </w:p>
        </w:tc>
        <w:tc>
          <w:tcPr>
            <w:tcW w:w="19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Other non-financial assets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060" w:type="dxa"/>
            <w:vAlign w:val="bottom"/>
            <w:tcBorders>
              <w:bottom w:val="single" w:sz="8" w:color="auto"/>
            </w:tcBorders>
          </w:tcPr>
          <w:p>
            <w:pPr>
              <w:jc w:val="right"/>
              <w:ind w:right="90"/>
              <w:spacing w:after="0" w:line="271" w:lineRule="exact"/>
              <w:rPr>
                <w:sz w:val="20"/>
                <w:szCs w:val="20"/>
                <w:color w:val="auto"/>
              </w:rPr>
            </w:pPr>
            <w:r>
              <w:rPr>
                <w:rFonts w:ascii="Times New Roman" w:cs="Times New Roman" w:eastAsia="Times New Roman" w:hAnsi="Times New Roman"/>
                <w:sz w:val="18"/>
                <w:szCs w:val="18"/>
                <w:color w:val="auto"/>
              </w:rPr>
              <w:t>1,900+2849</w:t>
            </w:r>
            <w:r>
              <w:rPr>
                <w:rFonts w:ascii="Times New Roman" w:cs="Times New Roman" w:eastAsia="Times New Roman" w:hAnsi="Times New Roman"/>
                <w:sz w:val="29"/>
                <w:szCs w:val="29"/>
                <w:color w:val="auto"/>
                <w:vertAlign w:val="superscript"/>
              </w:rPr>
              <w:t>(A)</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6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6,510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2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4,749</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7,800</w:t>
            </w:r>
          </w:p>
        </w:tc>
        <w:tc>
          <w:tcPr>
            <w:tcW w:w="0" w:type="dxa"/>
            <w:vAlign w:val="bottom"/>
          </w:tcPr>
          <w:p>
            <w:pPr>
              <w:spacing w:after="0"/>
              <w:rPr>
                <w:sz w:val="1"/>
                <w:szCs w:val="1"/>
                <w:color w:val="auto"/>
              </w:rPr>
            </w:pPr>
          </w:p>
        </w:tc>
      </w:tr>
      <w:tr>
        <w:trPr>
          <w:trHeight w:val="407"/>
        </w:trPr>
        <w:tc>
          <w:tcPr>
            <w:tcW w:w="3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EQUITY AND LIABILITIES</w:t>
            </w:r>
          </w:p>
        </w:tc>
        <w:tc>
          <w:tcPr>
            <w:tcW w:w="196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35"/>
                <w:szCs w:val="35"/>
                <w:color w:val="auto"/>
                <w:vertAlign w:val="subscript"/>
              </w:rPr>
              <w:t>48</w:t>
            </w:r>
            <w:r>
              <w:rPr>
                <w:rFonts w:ascii="Times New Roman" w:cs="Times New Roman" w:eastAsia="Times New Roman" w:hAnsi="Times New Roman"/>
                <w:sz w:val="15"/>
                <w:szCs w:val="15"/>
                <w:color w:val="auto"/>
              </w:rPr>
              <w:t>(D)</w:t>
            </w:r>
          </w:p>
        </w:tc>
        <w:tc>
          <w:tcPr>
            <w:tcW w:w="20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Subscribed capital (ordinary &amp; high voting)</w:t>
            </w:r>
          </w:p>
        </w:tc>
        <w:tc>
          <w:tcPr>
            <w:tcW w:w="1960" w:type="dxa"/>
            <w:vAlign w:val="bottom"/>
            <w:vMerge w:val="continue"/>
          </w:tcPr>
          <w:p>
            <w:pPr>
              <w:spacing w:after="0"/>
              <w:rPr>
                <w:sz w:val="21"/>
                <w:szCs w:val="21"/>
                <w:color w:val="auto"/>
              </w:rPr>
            </w:pPr>
          </w:p>
        </w:tc>
        <w:tc>
          <w:tcPr>
            <w:tcW w:w="2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Capital and other reserves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298,699</w:t>
            </w:r>
          </w:p>
        </w:tc>
        <w:tc>
          <w:tcPr>
            <w:tcW w:w="2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line="256" w:lineRule="exact"/>
              <w:rPr>
                <w:sz w:val="20"/>
                <w:szCs w:val="20"/>
                <w:color w:val="auto"/>
              </w:rPr>
            </w:pPr>
            <w:r>
              <w:rPr>
                <w:rFonts w:ascii="Times New Roman" w:cs="Times New Roman" w:eastAsia="Times New Roman" w:hAnsi="Times New Roman"/>
                <w:sz w:val="18"/>
                <w:szCs w:val="18"/>
                <w:color w:val="auto"/>
              </w:rPr>
              <w:t>37,707</w:t>
            </w:r>
            <w:r>
              <w:rPr>
                <w:rFonts w:ascii="Times New Roman" w:cs="Times New Roman" w:eastAsia="Times New Roman" w:hAnsi="Times New Roman"/>
                <w:sz w:val="29"/>
                <w:szCs w:val="29"/>
                <w:color w:val="auto"/>
                <w:vertAlign w:val="superscript"/>
              </w:rPr>
              <w:t>(B)</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336,406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(321,428)</w:t>
            </w:r>
          </w:p>
        </w:tc>
        <w:tc>
          <w:tcPr>
            <w:tcW w:w="2060" w:type="dxa"/>
            <w:vAlign w:val="bottom"/>
          </w:tcPr>
          <w:p>
            <w:pPr>
              <w:jc w:val="right"/>
              <w:ind w:right="90"/>
              <w:spacing w:after="0" w:line="271" w:lineRule="exact"/>
              <w:rPr>
                <w:sz w:val="20"/>
                <w:szCs w:val="20"/>
                <w:color w:val="auto"/>
              </w:rPr>
            </w:pPr>
            <w:r>
              <w:rPr>
                <w:rFonts w:ascii="Times New Roman" w:cs="Times New Roman" w:eastAsia="Times New Roman" w:hAnsi="Times New Roman"/>
                <w:sz w:val="18"/>
                <w:szCs w:val="18"/>
                <w:color w:val="auto"/>
              </w:rPr>
              <w:t>(8,923)</w:t>
            </w:r>
            <w:r>
              <w:rPr>
                <w:rFonts w:ascii="Times New Roman" w:cs="Times New Roman" w:eastAsia="Times New Roman" w:hAnsi="Times New Roman"/>
                <w:sz w:val="29"/>
                <w:szCs w:val="29"/>
                <w:color w:val="auto"/>
                <w:vertAlign w:val="superscript"/>
              </w:rPr>
              <w:t>(C)</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(330,351)</w:t>
            </w:r>
          </w:p>
        </w:tc>
        <w:tc>
          <w:tcPr>
            <w:tcW w:w="0" w:type="dxa"/>
            <w:vAlign w:val="bottom"/>
          </w:tcPr>
          <w:p>
            <w:pPr>
              <w:spacing w:after="0"/>
              <w:rPr>
                <w:sz w:val="1"/>
                <w:szCs w:val="1"/>
                <w:color w:val="auto"/>
              </w:rPr>
            </w:pPr>
          </w:p>
        </w:tc>
      </w:tr>
      <w:tr>
        <w:trPr>
          <w:trHeight w:val="210"/>
        </w:trPr>
        <w:tc>
          <w:tcPr>
            <w:tcW w:w="36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(22,681)</w:t>
            </w:r>
          </w:p>
        </w:tc>
        <w:tc>
          <w:tcPr>
            <w:tcW w:w="20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(8,923)</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37,707</w:t>
            </w:r>
          </w:p>
        </w:tc>
        <w:tc>
          <w:tcPr>
            <w:tcW w:w="18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3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96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(Current 58k LT 572k)</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9"/>
        </w:trPr>
        <w:tc>
          <w:tcPr>
            <w:tcW w:w="36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Subtotal</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0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24,035</w:t>
            </w:r>
          </w:p>
        </w:tc>
        <w:tc>
          <w:tcPr>
            <w:tcW w:w="2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8,923</w:t>
            </w:r>
            <w:r>
              <w:rPr>
                <w:rFonts w:ascii="Times New Roman" w:cs="Times New Roman" w:eastAsia="Times New Roman" w:hAnsi="Times New Roman"/>
                <w:sz w:val="29"/>
                <w:szCs w:val="29"/>
                <w:color w:val="auto"/>
                <w:vertAlign w:val="superscript"/>
              </w:rPr>
              <w:t>(C)</w:t>
            </w:r>
            <w:r>
              <w:rPr>
                <w:rFonts w:ascii="Times New Roman" w:cs="Times New Roman" w:eastAsia="Times New Roman" w:hAnsi="Times New Roman"/>
                <w:sz w:val="18"/>
                <w:szCs w:val="18"/>
                <w:color w:val="auto"/>
              </w:rPr>
              <w:t>+4,749</w:t>
            </w:r>
            <w:r>
              <w:rPr>
                <w:rFonts w:ascii="Times New Roman" w:cs="Times New Roman" w:eastAsia="Times New Roman" w:hAnsi="Times New Roman"/>
                <w:sz w:val="29"/>
                <w:szCs w:val="29"/>
                <w:color w:val="auto"/>
                <w:vertAlign w:val="superscript"/>
              </w:rPr>
              <w:t>(A)</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(37,707)</w:t>
            </w:r>
            <w:r>
              <w:rPr>
                <w:rFonts w:ascii="Times New Roman" w:cs="Times New Roman" w:eastAsia="Times New Roman" w:hAnsi="Times New Roman"/>
                <w:sz w:val="29"/>
                <w:szCs w:val="29"/>
                <w:color w:val="auto"/>
                <w:vertAlign w:val="superscript"/>
              </w:rPr>
              <w:t>(B)</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25,732</w:t>
            </w:r>
          </w:p>
        </w:tc>
        <w:tc>
          <w:tcPr>
            <w:tcW w:w="20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13,672</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(37,707)</w:t>
            </w:r>
          </w:p>
        </w:tc>
        <w:tc>
          <w:tcPr>
            <w:tcW w:w="1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1,697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equity and liabilities</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2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4,749</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10"/>
        </w:trPr>
        <w:tc>
          <w:tcPr>
            <w:tcW w:w="36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329"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New Issuance of $5 Million Debenture Adjustment</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part of its strategic financial restructuring, Sono Group N.V. has entered into a Securities Purchase Agreement with Yorkville to issue a new secured convertible debenture with a principal amount of $5.0 million, subject to Nasdaq approving the Company’s requested uplisting to Nasdaq Capital Markets. Yorkville has advanced $2.0 million (1.9M Euros) of the $5.0 million with $3.0 million (2.849M Euros) subject to Nasdaq Approval. In the cash section it reflects the 1.9M and 2.849M separately totaling 4.749M as the company received $2M already as advances.</w:t>
      </w:r>
    </w:p>
    <w:p>
      <w:pPr>
        <w:spacing w:after="0" w:line="17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Conversion of all existing debt to preferred equity</w:t>
      </w:r>
    </w:p>
    <w:p>
      <w:pPr>
        <w:spacing w:after="0" w:line="22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Sono Group N.V. signed an Exchange Agreement with Yorkville to convert the newly issued debenture, along with all other existing outstanding convertible debentures, into preferred equity. The total debt being exchanged amounts to approximately €37.7 million, including the €32.7 million of previously issued convertible debentures and the €5.0 million new debentures.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Under the agreement, this notes payable will be converted into 1,242 newly issued preferred shares, each with a nominal value of €300. These shares are convertible into 30,000 ordinary shares post-implementation of the reverse stock split.</w:t>
      </w:r>
    </w:p>
    <w:p>
      <w:pPr>
        <w:spacing w:after="0" w:line="15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Changes to the fair value in Convertible Notes Payable</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income from changes in fair value of convertible notes payable carried at Fair value of 8,923 is reversed as part of the exchange agreement when the actual value of the total convertible notes payable plus accrued interest is all converted to preferred equity.</w:t>
      </w:r>
    </w:p>
    <w:p>
      <w:pPr>
        <w:spacing w:after="0" w:line="15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Change in Subscribed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subscribed capital is due to reverse split of 75 to 1 along with change in nominal value of ordinary and high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2025-04-17T08:05:45Z</dcterms:created>
  <dcterms:modified xsi:type="dcterms:W3CDTF">2025-04-17T08:05:45Z</dcterms:modified>
</cp:coreProperties>
</file>