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b/>
          <w:color w:val="333333"/>
          <w:sz w:val="20"/>
        </w:rPr>
      </w:pPr>
      <w:bookmarkStart w:id="0" w:name="f8k_081425.htm"/>
      <w:bookmarkStart w:id="1" w:name="ksf8k_081425"/>
      <w:bookmarkEnd w:id="0"/>
      <w:bookmarkEnd w:id="1"/>
      <w:r>
        <w:rPr>
          <w:b/>
          <w:color w:val="333333"/>
          <w:sz w:val="20"/>
        </w:rPr>
        <w:t>UNITED STATES</w:t>
      </w:r>
    </w:p>
    <w:p>
      <w:pPr>
        <w:pStyle w:val="TextBody"/>
        <w:shd w:fill="FFFFFF" w:val="clear"/>
        <w:bidi w:val="0"/>
        <w:spacing w:before="0" w:after="0"/>
        <w:ind w:left="0" w:right="0" w:hanging="0"/>
        <w:jc w:val="center"/>
        <w:rPr>
          <w:b/>
          <w:color w:val="333333"/>
          <w:sz w:val="20"/>
        </w:rPr>
      </w:pPr>
      <w:r>
        <w:rPr>
          <w:b/>
          <w:color w:val="333333"/>
          <w:sz w:val="20"/>
        </w:rPr>
        <w:t>SECURITIES AND EXCHANGE COMMISSION</w:t>
      </w:r>
    </w:p>
    <w:p>
      <w:pPr>
        <w:pStyle w:val="TextBody"/>
        <w:shd w:fill="FFFFFF" w:val="clear"/>
        <w:bidi w:val="0"/>
        <w:spacing w:before="0" w:after="0"/>
        <w:ind w:left="0" w:right="0" w:hanging="0"/>
        <w:jc w:val="center"/>
        <w:rPr>
          <w:b/>
          <w:color w:val="333333"/>
          <w:sz w:val="20"/>
        </w:rPr>
      </w:pPr>
      <w:r>
        <w:rPr>
          <w:b/>
          <w:color w:val="333333"/>
          <w:sz w:val="20"/>
        </w:rPr>
        <w:t>Washington, D.C. 20549</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olor w:val="333333"/>
          <w:sz w:val="36"/>
        </w:rPr>
      </w:pPr>
      <w:r>
        <w:rPr>
          <w:b/>
          <w:color w:val="333333"/>
          <w:sz w:val="36"/>
        </w:rPr>
        <w:t xml:space="preserve">FORM </w:t>
      </w:r>
      <w:bookmarkStart w:id="2" w:name="xdx_90C_edei--DocumentType_c20250813__20"/>
      <w:bookmarkEnd w:id="2"/>
      <w:r>
        <w:rPr>
          <w:b/>
          <w:color w:val="333333"/>
          <w:sz w:val="36"/>
        </w:rPr>
        <w:t>8-K</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shd w:fill="FFFFFF" w:val="clear"/>
        <w:bidi w:val="0"/>
        <w:spacing w:before="0" w:after="0"/>
        <w:ind w:left="0" w:right="0" w:hanging="0"/>
        <w:jc w:val="center"/>
        <w:rPr>
          <w:b/>
          <w:color w:val="333333"/>
          <w:sz w:val="20"/>
        </w:rPr>
      </w:pPr>
      <w:r>
        <w:rPr>
          <w:b/>
          <w:color w:val="333333"/>
          <w:sz w:val="20"/>
        </w:rPr>
        <w:t>CURRENT REPORT</w:t>
      </w:r>
    </w:p>
    <w:p>
      <w:pPr>
        <w:pStyle w:val="TextBody"/>
        <w:shd w:fill="FFFFFF" w:val="clear"/>
        <w:bidi w:val="0"/>
        <w:spacing w:before="0" w:after="0"/>
        <w:ind w:left="0" w:right="0" w:hanging="0"/>
        <w:jc w:val="center"/>
        <w:rPr>
          <w:b/>
          <w:color w:val="333333"/>
          <w:sz w:val="20"/>
        </w:rPr>
      </w:pPr>
      <w:r>
        <w:rPr>
          <w:b/>
          <w:color w:val="333333"/>
          <w:sz w:val="20"/>
        </w:rPr>
        <w:t>Pursuant to Section 13 OR 15(d) of The Securities Exchange Act of 1934</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color w:val="333333"/>
          <w:sz w:val="20"/>
        </w:rPr>
      </w:pPr>
      <w:r>
        <w:rPr>
          <w:b/>
          <w:color w:val="333333"/>
          <w:sz w:val="20"/>
        </w:rPr>
        <w:t xml:space="preserve">Date of Report (Date of earliest event reported): </w:t>
      </w:r>
      <w:bookmarkStart w:id="3" w:name="xdx_90A_edei--DocumentPeriodEndDate_c202"/>
      <w:bookmarkEnd w:id="3"/>
      <w:r>
        <w:rPr>
          <w:b/>
          <w:color w:val="333333"/>
          <w:sz w:val="20"/>
        </w:rPr>
        <w:t>August 13, 2025</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color w:val="333333"/>
          <w:sz w:val="20"/>
        </w:rPr>
      </w:pPr>
      <w:bookmarkStart w:id="4" w:name="xdx_90E_edei--EntityRegistrantName_c2025"/>
      <w:bookmarkEnd w:id="4"/>
      <w:r>
        <w:rPr>
          <w:b/>
          <w:color w:val="333333"/>
          <w:sz w:val="48"/>
        </w:rPr>
        <w:t>Sono Group N.V.</w:t>
        <w:br/>
      </w:r>
      <w:r>
        <w:rPr>
          <w:b/>
          <w:color w:val="333333"/>
          <w:sz w:val="20"/>
        </w:rPr>
        <w:t>(Exact name of registrant as specified in its charter)</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tbl>
      <w:tblPr>
        <w:tblW w:w="5910" w:type="dxa"/>
        <w:jc w:val="left"/>
        <w:tblInd w:w="0" w:type="dxa"/>
        <w:tblLayout w:type="fixed"/>
        <w:tblCellMar>
          <w:top w:w="0" w:type="dxa"/>
          <w:left w:w="0" w:type="dxa"/>
          <w:bottom w:w="0" w:type="dxa"/>
          <w:right w:w="0" w:type="dxa"/>
        </w:tblCellMar>
      </w:tblPr>
      <w:tblGrid>
        <w:gridCol w:w="2165"/>
        <w:gridCol w:w="2210"/>
        <w:gridCol w:w="1535"/>
      </w:tblGrid>
      <w:tr>
        <w:trPr/>
        <w:tc>
          <w:tcPr>
            <w:tcW w:w="2165" w:type="dxa"/>
            <w:tcBorders/>
            <w:vAlign w:val="center"/>
          </w:tcPr>
          <w:p>
            <w:pPr>
              <w:pStyle w:val="TableContents"/>
              <w:bidi w:val="0"/>
              <w:spacing w:before="0" w:after="0"/>
              <w:ind w:left="0" w:right="0" w:hanging="0"/>
              <w:jc w:val="center"/>
              <w:rPr>
                <w:b/>
                <w:color w:val="333333"/>
                <w:sz w:val="20"/>
              </w:rPr>
            </w:pPr>
            <w:r>
              <w:rPr>
                <w:b/>
                <w:color w:val="333333"/>
                <w:sz w:val="20"/>
              </w:rPr>
              <w:t xml:space="preserve">The </w:t>
            </w:r>
            <w:bookmarkStart w:id="5" w:name="xdx_90A_edei--EntityIncorporationStateCo"/>
            <w:bookmarkEnd w:id="5"/>
            <w:r>
              <w:rPr>
                <w:b/>
                <w:color w:val="333333"/>
                <w:sz w:val="20"/>
              </w:rPr>
              <w:t>Netherlands</w:t>
            </w:r>
          </w:p>
          <w:p>
            <w:pPr>
              <w:pStyle w:val="TableContents"/>
              <w:bidi w:val="0"/>
              <w:spacing w:before="0" w:after="0"/>
              <w:ind w:left="0" w:right="0" w:hanging="0"/>
              <w:jc w:val="center"/>
              <w:rPr>
                <w:color w:val="333333"/>
                <w:sz w:val="20"/>
              </w:rPr>
            </w:pPr>
            <w:r>
              <w:rPr>
                <w:color w:val="333333"/>
                <w:sz w:val="20"/>
              </w:rPr>
              <w:t>(State or other jurisdiction</w:t>
              <w:br/>
              <w:t>of incorporation)</w:t>
            </w:r>
          </w:p>
        </w:tc>
        <w:tc>
          <w:tcPr>
            <w:tcW w:w="2210" w:type="dxa"/>
            <w:tcBorders/>
            <w:vAlign w:val="center"/>
          </w:tcPr>
          <w:p>
            <w:pPr>
              <w:pStyle w:val="TableContents"/>
              <w:bidi w:val="0"/>
              <w:spacing w:before="0" w:after="0"/>
              <w:ind w:left="0" w:right="0" w:hanging="0"/>
              <w:jc w:val="center"/>
              <w:rPr>
                <w:b/>
                <w:color w:val="333333"/>
                <w:sz w:val="20"/>
              </w:rPr>
            </w:pPr>
            <w:bookmarkStart w:id="6" w:name="xdx_90F_edei--EntityFileNumber_c20250813"/>
            <w:bookmarkEnd w:id="6"/>
            <w:r>
              <w:rPr>
                <w:b/>
                <w:color w:val="333333"/>
                <w:sz w:val="20"/>
              </w:rPr>
              <w:t>001-41066</w:t>
            </w:r>
          </w:p>
          <w:p>
            <w:pPr>
              <w:pStyle w:val="TableContents"/>
              <w:bidi w:val="0"/>
              <w:spacing w:before="0" w:after="0"/>
              <w:ind w:left="0" w:right="0" w:hanging="0"/>
              <w:jc w:val="center"/>
              <w:rPr>
                <w:color w:val="333333"/>
                <w:sz w:val="20"/>
              </w:rPr>
            </w:pPr>
            <w:r>
              <w:rPr>
                <w:color w:val="333333"/>
                <w:sz w:val="20"/>
              </w:rPr>
              <w:t>(Commission File Number)</w:t>
            </w:r>
          </w:p>
        </w:tc>
        <w:tc>
          <w:tcPr>
            <w:tcW w:w="1535" w:type="dxa"/>
            <w:tcBorders/>
            <w:vAlign w:val="center"/>
          </w:tcPr>
          <w:p>
            <w:pPr>
              <w:pStyle w:val="TableContents"/>
              <w:bidi w:val="0"/>
              <w:spacing w:before="0" w:after="0"/>
              <w:ind w:left="0" w:right="0" w:hanging="0"/>
              <w:jc w:val="center"/>
              <w:rPr>
                <w:b/>
                <w:color w:val="333333"/>
                <w:sz w:val="20"/>
              </w:rPr>
            </w:pPr>
            <w:bookmarkStart w:id="7" w:name="xdx_902_edei--EntityTaxIdentificationNum"/>
            <w:bookmarkEnd w:id="7"/>
            <w:r>
              <w:rPr>
                <w:b/>
                <w:color w:val="333333"/>
                <w:sz w:val="20"/>
              </w:rPr>
              <w:t>98-1828632</w:t>
            </w:r>
          </w:p>
          <w:p>
            <w:pPr>
              <w:pStyle w:val="TableContents"/>
              <w:bidi w:val="0"/>
              <w:spacing w:before="0" w:after="0"/>
              <w:ind w:left="0" w:right="0" w:hanging="0"/>
              <w:jc w:val="center"/>
              <w:rPr>
                <w:color w:val="333333"/>
                <w:sz w:val="20"/>
              </w:rPr>
            </w:pPr>
            <w:r>
              <w:rPr>
                <w:color w:val="333333"/>
                <w:sz w:val="20"/>
              </w:rPr>
              <w:t>(IRS Employer</w:t>
              <w:br/>
              <w:t>Identification No.)</w:t>
            </w:r>
          </w:p>
        </w:tc>
      </w:tr>
    </w:tbl>
    <w:p>
      <w:pPr>
        <w:pStyle w:val="TextBody"/>
        <w:bidi w:val="0"/>
        <w:spacing w:before="0" w:after="283"/>
        <w:jc w:val="left"/>
        <w:rPr/>
      </w:pPr>
      <w:r>
        <w:rPr/>
        <w:t> </w:t>
      </w:r>
    </w:p>
    <w:tbl>
      <w:tblPr>
        <w:tblW w:w="4510" w:type="dxa"/>
        <w:jc w:val="left"/>
        <w:tblInd w:w="0" w:type="dxa"/>
        <w:tblLayout w:type="fixed"/>
        <w:tblCellMar>
          <w:top w:w="0" w:type="dxa"/>
          <w:left w:w="0" w:type="dxa"/>
          <w:bottom w:w="0" w:type="dxa"/>
          <w:right w:w="0" w:type="dxa"/>
        </w:tblCellMar>
      </w:tblPr>
      <w:tblGrid>
        <w:gridCol w:w="3590"/>
        <w:gridCol w:w="920"/>
      </w:tblGrid>
      <w:tr>
        <w:trPr/>
        <w:tc>
          <w:tcPr>
            <w:tcW w:w="3590" w:type="dxa"/>
            <w:tcBorders/>
            <w:vAlign w:val="center"/>
          </w:tcPr>
          <w:p>
            <w:pPr>
              <w:pStyle w:val="TableContents"/>
              <w:bidi w:val="0"/>
              <w:spacing w:before="0" w:after="0"/>
              <w:ind w:left="540" w:right="0" w:hanging="0"/>
              <w:jc w:val="center"/>
              <w:rPr>
                <w:b/>
                <w:color w:val="333333"/>
                <w:sz w:val="20"/>
              </w:rPr>
            </w:pPr>
            <w:bookmarkStart w:id="8" w:name="xdx_907_edei--EntityAddressAddressLine1_"/>
            <w:bookmarkEnd w:id="8"/>
            <w:r>
              <w:rPr>
                <w:b/>
                <w:color w:val="333333"/>
                <w:sz w:val="20"/>
              </w:rPr>
              <w:t xml:space="preserve">Waldmeisterstrasse 93, </w:t>
            </w:r>
            <w:bookmarkStart w:id="9" w:name="xdx_906_edei--EntityAddressCityOrTown_c2"/>
            <w:bookmarkEnd w:id="9"/>
            <w:r>
              <w:rPr>
                <w:b/>
                <w:color w:val="333333"/>
                <w:sz w:val="20"/>
              </w:rPr>
              <w:t xml:space="preserve">Munich, </w:t>
            </w:r>
            <w:bookmarkStart w:id="10" w:name="xdx_901_edei--EntityAddressCountry_c2025"/>
            <w:bookmarkEnd w:id="10"/>
            <w:r>
              <w:rPr>
                <w:b/>
                <w:color w:val="333333"/>
                <w:sz w:val="20"/>
              </w:rPr>
              <w:t>Germany</w:t>
            </w:r>
          </w:p>
          <w:p>
            <w:pPr>
              <w:pStyle w:val="TableContents"/>
              <w:bidi w:val="0"/>
              <w:spacing w:before="0" w:after="0"/>
              <w:ind w:left="540" w:right="0" w:hanging="0"/>
              <w:jc w:val="center"/>
              <w:rPr>
                <w:color w:val="333333"/>
                <w:sz w:val="20"/>
              </w:rPr>
            </w:pPr>
            <w:r>
              <w:rPr>
                <w:color w:val="333333"/>
                <w:sz w:val="20"/>
              </w:rPr>
              <w:t>(Address of principal executive offices)</w:t>
            </w:r>
          </w:p>
        </w:tc>
        <w:tc>
          <w:tcPr>
            <w:tcW w:w="920" w:type="dxa"/>
            <w:tcBorders/>
            <w:vAlign w:val="center"/>
          </w:tcPr>
          <w:p>
            <w:pPr>
              <w:pStyle w:val="TableContents"/>
              <w:bidi w:val="0"/>
              <w:spacing w:before="0" w:after="0"/>
              <w:ind w:left="90" w:right="0" w:hanging="0"/>
              <w:jc w:val="center"/>
              <w:rPr>
                <w:b/>
                <w:color w:val="333333"/>
                <w:sz w:val="20"/>
              </w:rPr>
            </w:pPr>
            <w:bookmarkStart w:id="11" w:name="xdx_908_edei--EntityAddressPostalZipCode"/>
            <w:bookmarkEnd w:id="11"/>
            <w:r>
              <w:rPr>
                <w:b/>
                <w:color w:val="333333"/>
                <w:sz w:val="20"/>
              </w:rPr>
              <w:t>80935</w:t>
            </w:r>
          </w:p>
          <w:p>
            <w:pPr>
              <w:pStyle w:val="TableContents"/>
              <w:bidi w:val="0"/>
              <w:spacing w:before="0" w:after="0"/>
              <w:ind w:left="90" w:right="0" w:hanging="0"/>
              <w:jc w:val="center"/>
              <w:rPr>
                <w:color w:val="333333"/>
                <w:sz w:val="20"/>
              </w:rPr>
            </w:pPr>
            <w:r>
              <w:rPr>
                <w:color w:val="333333"/>
                <w:sz w:val="20"/>
              </w:rPr>
              <w:t>(Zip Code)</w:t>
            </w:r>
          </w:p>
        </w:tc>
      </w:tr>
    </w:tbl>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color w:val="333333"/>
          <w:sz w:val="20"/>
        </w:rPr>
      </w:pPr>
      <w:bookmarkStart w:id="12" w:name="xdx_90D_edei--CountryRegion_c20250813__2"/>
      <w:bookmarkEnd w:id="12"/>
      <w:r>
        <w:rPr>
          <w:b/>
          <w:color w:val="333333"/>
          <w:sz w:val="20"/>
        </w:rPr>
        <w:t xml:space="preserve">+49 </w:t>
      </w:r>
      <w:bookmarkStart w:id="13" w:name="xdx_906_edei--CityAreaCode_c20250813__20"/>
      <w:bookmarkEnd w:id="13"/>
      <w:r>
        <w:rPr>
          <w:b/>
          <w:color w:val="333333"/>
          <w:sz w:val="20"/>
        </w:rPr>
        <w:t xml:space="preserve">(0)89 </w:t>
      </w:r>
      <w:bookmarkStart w:id="14" w:name="xdx_90B_edei--LocalPhoneNumber_c20250813"/>
      <w:bookmarkEnd w:id="14"/>
      <w:r>
        <w:rPr>
          <w:b/>
          <w:color w:val="333333"/>
          <w:sz w:val="20"/>
        </w:rPr>
        <w:t>4520 5818</w:t>
      </w:r>
    </w:p>
    <w:p>
      <w:pPr>
        <w:pStyle w:val="TextBody"/>
        <w:bidi w:val="0"/>
        <w:spacing w:before="0" w:after="0"/>
        <w:ind w:left="0" w:right="0" w:hanging="0"/>
        <w:jc w:val="center"/>
        <w:rPr>
          <w:color w:val="333333"/>
          <w:sz w:val="20"/>
        </w:rPr>
      </w:pPr>
      <w:r>
        <w:rPr>
          <w:color w:val="333333"/>
          <w:sz w:val="20"/>
        </w:rPr>
        <w:t>(Registrant's telephone number, including area code)</w:t>
      </w:r>
    </w:p>
    <w:p>
      <w:pPr>
        <w:pStyle w:val="TextBody"/>
        <w:shd w:fill="FFFFFF" w:val="clear"/>
        <w:bidi w:val="0"/>
        <w:spacing w:before="0" w:after="0"/>
        <w:ind w:left="0" w:right="0" w:hanging="0"/>
        <w:jc w:val="center"/>
        <w:rPr>
          <w:b/>
          <w:sz w:val="20"/>
        </w:rPr>
      </w:pPr>
      <w:r>
        <w:rPr>
          <w:b/>
          <w:sz w:val="20"/>
        </w:rPr>
        <w:t>__________________________</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left"/>
        <w:rPr>
          <w:color w:val="333333"/>
          <w:sz w:val="20"/>
        </w:rPr>
      </w:pPr>
      <w:r>
        <w:rPr>
          <w:color w:val="333333"/>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5" w:name="xdx_90A_edei--WrittenCommunications_c202"/>
      <w:bookmarkEnd w:id="15"/>
      <w:r>
        <w:rPr>
          <w:color w:val="333333"/>
        </w:rPr>
        <w:t xml:space="preserve">☐ </w:t>
      </w:r>
      <w:r>
        <w:rPr>
          <w:color w:val="333333"/>
          <w:sz w:val="20"/>
        </w:rPr>
        <w:t>Written communications pursuant to Rule 425 under the Securities Act (17 CFR 230.425)</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6" w:name="xdx_902_edei--SolicitingMaterial_c202508"/>
      <w:bookmarkEnd w:id="16"/>
      <w:r>
        <w:rPr>
          <w:color w:val="333333"/>
        </w:rPr>
        <w:t xml:space="preserve">☐ </w:t>
      </w:r>
      <w:r>
        <w:rPr>
          <w:color w:val="333333"/>
          <w:sz w:val="20"/>
        </w:rPr>
        <w:t>Soliciting material pursuant to Rule 14a-12 under the Exchange Act (17 CFR 240.14a-12)</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7" w:name="xdx_905_edei--PreCommencementTenderOffer"/>
      <w:bookmarkEnd w:id="17"/>
      <w:r>
        <w:rPr>
          <w:color w:val="333333"/>
        </w:rPr>
        <w:t xml:space="preserve">☐ </w:t>
      </w:r>
      <w:r>
        <w:rPr>
          <w:color w:val="333333"/>
          <w:sz w:val="20"/>
        </w:rPr>
        <w:t>Pre-commencement communications pursuant to Rule 14d-2(b) under the Exchange Act (17 CFR 240.14d-2(b))</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8" w:name="xdx_904_edei--PreCommencementIssuerTende"/>
      <w:bookmarkEnd w:id="18"/>
      <w:r>
        <w:rPr>
          <w:color w:val="333333"/>
        </w:rPr>
        <w:t xml:space="preserve">☐ </w:t>
      </w:r>
      <w:r>
        <w:rPr>
          <w:color w:val="333333"/>
          <w:sz w:val="20"/>
        </w:rPr>
        <w:t>Pre-commencement communications pursuant to Rule 13e-4(c) under the Exchange Act (17 CFR 240.13e-4(c))</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Securities registered pursuant to Section 12(b) of the Act:</w:t>
      </w:r>
    </w:p>
    <w:p>
      <w:pPr>
        <w:pStyle w:val="TextBody"/>
        <w:shd w:fill="FFFFFF" w:val="clear"/>
        <w:bidi w:val="0"/>
        <w:spacing w:before="0" w:after="0"/>
        <w:ind w:left="0" w:right="0" w:hanging="0"/>
        <w:jc w:val="left"/>
        <w:rPr>
          <w:color w:val="333333"/>
        </w:rPr>
      </w:pPr>
      <w:r>
        <w:rPr>
          <w:color w:val="333333"/>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olor w:val="333333"/>
                <w:sz w:val="20"/>
              </w:rPr>
            </w:pPr>
            <w:r>
              <w:rPr>
                <w:color w:val="333333"/>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333333"/>
                <w:sz w:val="20"/>
              </w:rPr>
            </w:pPr>
            <w:r>
              <w:rPr>
                <w:color w:val="333333"/>
                <w:sz w:val="20"/>
              </w:rPr>
              <w:t>Not Applicable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r>
              <w:rPr>
                <w:color w:val="333333"/>
                <w:sz w:val="20"/>
              </w:rPr>
              <w:t>Not Applicable</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r>
              <w:rPr>
                <w:color w:val="333333"/>
                <w:sz w:val="20"/>
              </w:rPr>
              <w:t>Not Applicable</w:t>
            </w:r>
          </w:p>
        </w:tc>
      </w:tr>
    </w:tbl>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right"/>
        <w:rPr>
          <w:color w:val="333333"/>
          <w:sz w:val="20"/>
        </w:rPr>
      </w:pPr>
      <w:r>
        <w:rPr>
          <w:color w:val="333333"/>
          <w:sz w:val="20"/>
        </w:rPr>
        <w:t xml:space="preserve">Emerging growth company </w:t>
      </w:r>
      <w:bookmarkStart w:id="19" w:name="xdx_90A_edei--EntityEmergingGrowthCompan"/>
      <w:bookmarkEnd w:id="19"/>
      <w:r>
        <w:rPr>
          <w:color w:val="333333"/>
          <w:sz w:val="20"/>
        </w:rPr>
        <w:t>☒</w:t>
      </w:r>
    </w:p>
    <w:p>
      <w:pPr>
        <w:pStyle w:val="TextBody"/>
        <w:shd w:fill="FFFFFF" w:val="clear"/>
        <w:bidi w:val="0"/>
        <w:spacing w:before="0" w:after="0"/>
        <w:ind w:left="0" w:right="0" w:hanging="0"/>
        <w:jc w:val="righ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6_edei--EntityExTransitionPeriod_c"/>
      <w:bookmarkEnd w:id="20"/>
      <w:r>
        <w:rPr>
          <w:color w:val="333333"/>
          <w:sz w:val="20"/>
        </w:rPr>
        <w:t>☐</w:t>
      </w:r>
    </w:p>
    <w:p>
      <w:pPr>
        <w:pStyle w:val="TextBody"/>
        <w:shd w:fill="FFFFFF" w:val="clear"/>
        <w:bidi w:val="0"/>
        <w:spacing w:before="0" w:after="0"/>
        <w:ind w:left="0" w:right="0" w:hanging="0"/>
        <w:jc w:val="left"/>
        <w:rPr>
          <w:color w:val="333333"/>
        </w:rPr>
      </w:pPr>
      <w:r>
        <w:rPr>
          <w:color w:val="333333"/>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5.07 Submission of Matters to a Vote of Security Holders.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August 13, 2025, Sono Group N.V. (the “</w:t>
      </w:r>
      <w:r>
        <w:rPr>
          <w:i/>
          <w:sz w:val="20"/>
        </w:rPr>
        <w:t>Company</w:t>
      </w:r>
      <w:r>
        <w:rPr>
          <w:sz w:val="20"/>
        </w:rPr>
        <w:t>”) held its 2025 Annual Meeting of Shareholders, at 2:00 p.m. Central European Summer Time, at the offices of DLA Piper Nederland N.V. at Prinses Amaliaplein 3, 1077 XS Amsterdam, the Netherlands (the “</w:t>
      </w:r>
      <w:r>
        <w:rPr>
          <w:i/>
          <w:sz w:val="20"/>
        </w:rPr>
        <w:t>Annual Meeting</w:t>
      </w:r>
      <w:r>
        <w:rPr>
          <w:sz w:val="20"/>
        </w:rPr>
        <w:t>”). At the Annual Meeting, of the 1,424,186 Ordinary Shares, par value €0.02 per share, of the Company (the “</w:t>
      </w:r>
      <w:r>
        <w:rPr>
          <w:i/>
          <w:sz w:val="20"/>
        </w:rPr>
        <w:t>Ordinary Shares</w:t>
      </w:r>
      <w:r>
        <w:rPr>
          <w:sz w:val="20"/>
        </w:rPr>
        <w:t>”) and the 40,000 High Voting Shares, par value €0.50 per share, of the Company (the “</w:t>
      </w:r>
      <w:r>
        <w:rPr>
          <w:i/>
          <w:sz w:val="20"/>
        </w:rPr>
        <w:t>High Voting Shares</w:t>
      </w:r>
      <w:r>
        <w:rPr>
          <w:sz w:val="20"/>
        </w:rPr>
        <w:t>”), that were issued and outstanding and entitled to vote, 320,009 Ordinary Shares (each Ordinary Share being entitled to cast one vote on each proposal presented at the Annual Meeting) and 40,000 High Voting Shares (each High Voting Share being entitled to cast 25 votes on each proposal presented for a vote at the Annual Meeting) were represented in person or by proxy at the Annual Meeting. The final results for each of the matters submitted to a vote of shareholders at the Annual Meeting are as follows:</w:t>
      </w:r>
    </w:p>
    <w:p>
      <w:pPr>
        <w:pStyle w:val="TextBody"/>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i/>
          <w:sz w:val="20"/>
        </w:rPr>
        <w:t>Voting Proposal No. 1—Release from Liability of the Members of Our Management Board and Supervisory Board:</w:t>
      </w:r>
      <w:r>
        <w:rPr>
          <w:sz w:val="20"/>
        </w:rPr>
        <w:t> The shareholders approved the release from liability of the members of our management board (the “</w:t>
      </w:r>
      <w:r>
        <w:rPr>
          <w:i/>
          <w:sz w:val="20"/>
        </w:rPr>
        <w:t>Management Board</w:t>
      </w:r>
      <w:r>
        <w:rPr>
          <w:sz w:val="20"/>
        </w:rPr>
        <w:t>”) and our supervisory board (the “</w:t>
      </w:r>
      <w:r>
        <w:rPr>
          <w:i/>
          <w:sz w:val="20"/>
        </w:rPr>
        <w:t>Supervisory Board</w:t>
      </w:r>
      <w:r>
        <w:rPr>
          <w:sz w:val="20"/>
        </w:rPr>
        <w:t>”) in connection with the exercise of their duties in 2024, by the votes set forth in the table below:</w:t>
      </w:r>
    </w:p>
    <w:p>
      <w:pPr>
        <w:pStyle w:val="TextBody"/>
        <w:shd w:fill="FFFFFF" w:val="clear"/>
        <w:bidi w:val="0"/>
        <w:spacing w:before="0" w:after="0"/>
        <w:ind w:left="0" w:right="0" w:hanging="0"/>
        <w:jc w:val="both"/>
        <w:rPr/>
      </w:pPr>
      <w:r>
        <w:rPr/>
        <w:t> </w:t>
      </w:r>
    </w:p>
    <w:tbl>
      <w:tblPr>
        <w:tblW w:w="2520" w:type="dxa"/>
        <w:jc w:val="left"/>
        <w:tblInd w:w="0" w:type="dxa"/>
        <w:tblLayout w:type="fixed"/>
        <w:tblCellMar>
          <w:top w:w="0" w:type="dxa"/>
          <w:left w:w="0" w:type="dxa"/>
          <w:bottom w:w="28" w:type="dxa"/>
          <w:right w:w="0" w:type="dxa"/>
        </w:tblCellMar>
      </w:tblPr>
      <w:tblGrid>
        <w:gridCol w:w="860"/>
        <w:gridCol w:w="60"/>
        <w:gridCol w:w="665"/>
        <w:gridCol w:w="60"/>
        <w:gridCol w:w="875"/>
      </w:tblGrid>
      <w:tr>
        <w:trPr/>
        <w:tc>
          <w:tcPr>
            <w:tcW w:w="860" w:type="dxa"/>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875" w:type="dxa"/>
            <w:tcBorders>
              <w:bottom w:val="single" w:sz="8" w:space="0" w:color="000000"/>
            </w:tcBorders>
            <w:vAlign w:val="center"/>
          </w:tcPr>
          <w:p>
            <w:pPr>
              <w:pStyle w:val="TableContents"/>
              <w:bidi w:val="0"/>
              <w:spacing w:before="0" w:after="283"/>
              <w:ind w:left="0" w:right="0" w:hanging="240"/>
              <w:jc w:val="center"/>
              <w:rPr>
                <w:b/>
                <w:sz w:val="20"/>
              </w:rPr>
            </w:pPr>
            <w:r>
              <w:rPr>
                <w:b/>
                <w:sz w:val="20"/>
              </w:rPr>
              <w:t>Abstained</w:t>
            </w:r>
          </w:p>
        </w:tc>
      </w:tr>
      <w:tr>
        <w:trPr/>
        <w:tc>
          <w:tcPr>
            <w:tcW w:w="860" w:type="dxa"/>
            <w:tcBorders/>
            <w:tcMar>
              <w:bottom w:w="0" w:type="dxa"/>
            </w:tcMar>
            <w:vAlign w:val="center"/>
          </w:tcPr>
          <w:p>
            <w:pPr>
              <w:pStyle w:val="TableContents"/>
              <w:bidi w:val="0"/>
              <w:spacing w:before="0" w:after="283"/>
              <w:jc w:val="center"/>
              <w:rPr>
                <w:sz w:val="20"/>
              </w:rPr>
            </w:pPr>
            <w:r>
              <w:rPr>
                <w:sz w:val="20"/>
              </w:rPr>
              <w:t>1,306,365</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center"/>
              <w:rPr>
                <w:sz w:val="20"/>
              </w:rPr>
            </w:pPr>
            <w:r>
              <w:rPr>
                <w:sz w:val="20"/>
              </w:rPr>
              <w:t>9,519</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center"/>
              <w:rPr>
                <w:sz w:val="20"/>
              </w:rPr>
            </w:pPr>
            <w:r>
              <w:rPr>
                <w:sz w:val="20"/>
              </w:rPr>
              <w:t>4,124</w:t>
            </w:r>
          </w:p>
        </w:tc>
      </w:tr>
    </w:tbl>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i/>
          <w:sz w:val="20"/>
        </w:rPr>
        <w:t xml:space="preserve">Voting Proposal No. 2—Appointment of Independent Registered Public Accounting Firm: </w:t>
      </w:r>
      <w:r>
        <w:rPr>
          <w:sz w:val="20"/>
        </w:rPr>
        <w:t>The shareholders approved the appointment of Grassi &amp; Co., CPAs, P.C. as the Company’s independent registered public accounting firm for the financial year ending December 31, 2025, by the votes set forth in the table below:</w:t>
      </w:r>
    </w:p>
    <w:p>
      <w:pPr>
        <w:pStyle w:val="TextBody"/>
        <w:shd w:fill="FFFFFF" w:val="clear"/>
        <w:bidi w:val="0"/>
        <w:spacing w:before="0" w:after="0"/>
        <w:ind w:left="0" w:right="0" w:hanging="0"/>
        <w:jc w:val="both"/>
        <w:rPr/>
      </w:pPr>
      <w:r>
        <w:rPr/>
        <w:t> </w:t>
      </w:r>
    </w:p>
    <w:tbl>
      <w:tblPr>
        <w:tblW w:w="2520" w:type="dxa"/>
        <w:jc w:val="left"/>
        <w:tblInd w:w="0" w:type="dxa"/>
        <w:tblLayout w:type="fixed"/>
        <w:tblCellMar>
          <w:top w:w="0" w:type="dxa"/>
          <w:left w:w="0" w:type="dxa"/>
          <w:bottom w:w="28" w:type="dxa"/>
          <w:right w:w="0" w:type="dxa"/>
        </w:tblCellMar>
      </w:tblPr>
      <w:tblGrid>
        <w:gridCol w:w="860"/>
        <w:gridCol w:w="60"/>
        <w:gridCol w:w="665"/>
        <w:gridCol w:w="60"/>
        <w:gridCol w:w="875"/>
      </w:tblGrid>
      <w:tr>
        <w:trPr/>
        <w:tc>
          <w:tcPr>
            <w:tcW w:w="860" w:type="dxa"/>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875" w:type="dxa"/>
            <w:tcBorders>
              <w:bottom w:val="single" w:sz="8" w:space="0" w:color="000000"/>
            </w:tcBorders>
            <w:vAlign w:val="center"/>
          </w:tcPr>
          <w:p>
            <w:pPr>
              <w:pStyle w:val="TableContents"/>
              <w:bidi w:val="0"/>
              <w:spacing w:before="0" w:after="283"/>
              <w:ind w:left="0" w:right="0" w:hanging="240"/>
              <w:jc w:val="center"/>
              <w:rPr>
                <w:b/>
                <w:sz w:val="20"/>
              </w:rPr>
            </w:pPr>
            <w:r>
              <w:rPr>
                <w:b/>
                <w:sz w:val="20"/>
              </w:rPr>
              <w:t>Abstained</w:t>
            </w:r>
          </w:p>
        </w:tc>
      </w:tr>
      <w:tr>
        <w:trPr/>
        <w:tc>
          <w:tcPr>
            <w:tcW w:w="860" w:type="dxa"/>
            <w:tcBorders/>
            <w:tcMar>
              <w:bottom w:w="0" w:type="dxa"/>
            </w:tcMar>
            <w:vAlign w:val="center"/>
          </w:tcPr>
          <w:p>
            <w:pPr>
              <w:pStyle w:val="TableContents"/>
              <w:bidi w:val="0"/>
              <w:spacing w:before="0" w:after="283"/>
              <w:jc w:val="center"/>
              <w:rPr>
                <w:sz w:val="20"/>
              </w:rPr>
            </w:pPr>
            <w:r>
              <w:rPr>
                <w:sz w:val="20"/>
              </w:rPr>
              <w:t>1,319,442</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center"/>
              <w:rPr>
                <w:sz w:val="20"/>
              </w:rPr>
            </w:pPr>
            <w:r>
              <w:rPr>
                <w:sz w:val="20"/>
              </w:rPr>
              <w:t>419</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center"/>
              <w:rPr>
                <w:sz w:val="20"/>
              </w:rPr>
            </w:pPr>
            <w:r>
              <w:rPr>
                <w:sz w:val="20"/>
              </w:rPr>
              <w:t>147</w:t>
            </w:r>
          </w:p>
        </w:tc>
      </w:tr>
    </w:tbl>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i/>
          <w:sz w:val="20"/>
        </w:rPr>
        <w:t xml:space="preserve">Voting Proposal No. 3—Authorisation of the Supervisory Board to Issue Shares and/or Grant Rights to Subscribe for Shares: </w:t>
      </w:r>
      <w:r>
        <w:rPr>
          <w:sz w:val="20"/>
        </w:rPr>
        <w:t>The shareholders authorized the Supervisory Board to issue additional Ordinary Shares and additional High Voting Shares and/or grant rights to subscribe for such additional Ordinary Shares and such additional High Voting Shares, by the votes set forth in the table below:</w:t>
      </w:r>
    </w:p>
    <w:p>
      <w:pPr>
        <w:pStyle w:val="TextBody"/>
        <w:shd w:fill="FFFFFF" w:val="clear"/>
        <w:bidi w:val="0"/>
        <w:spacing w:before="0" w:after="0"/>
        <w:ind w:left="0" w:right="0" w:hanging="0"/>
        <w:jc w:val="both"/>
        <w:rPr/>
      </w:pPr>
      <w:r>
        <w:rPr/>
        <w:t> </w:t>
      </w:r>
    </w:p>
    <w:tbl>
      <w:tblPr>
        <w:tblW w:w="2985" w:type="dxa"/>
        <w:jc w:val="left"/>
        <w:tblInd w:w="0" w:type="dxa"/>
        <w:tblLayout w:type="fixed"/>
        <w:tblCellMar>
          <w:top w:w="0" w:type="dxa"/>
          <w:left w:w="0" w:type="dxa"/>
          <w:bottom w:w="28" w:type="dxa"/>
          <w:right w:w="0" w:type="dxa"/>
        </w:tblCellMar>
      </w:tblPr>
      <w:tblGrid>
        <w:gridCol w:w="995"/>
        <w:gridCol w:w="60"/>
        <w:gridCol w:w="800"/>
        <w:gridCol w:w="60"/>
        <w:gridCol w:w="1070"/>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ind w:left="0" w:right="0" w:hanging="240"/>
              <w:jc w:val="center"/>
              <w:rPr>
                <w:b/>
              </w:rPr>
            </w:pPr>
            <w:r>
              <w:rPr>
                <w:b/>
              </w:rPr>
              <w:t>Abstained</w:t>
            </w:r>
          </w:p>
        </w:tc>
      </w:tr>
      <w:tr>
        <w:trPr/>
        <w:tc>
          <w:tcPr>
            <w:tcW w:w="995" w:type="dxa"/>
            <w:tcBorders/>
            <w:tcMar>
              <w:bottom w:w="0" w:type="dxa"/>
            </w:tcMar>
            <w:vAlign w:val="center"/>
          </w:tcPr>
          <w:p>
            <w:pPr>
              <w:pStyle w:val="TableContents"/>
              <w:bidi w:val="0"/>
              <w:spacing w:before="0" w:after="283"/>
              <w:jc w:val="center"/>
              <w:rPr/>
            </w:pPr>
            <w:r>
              <w:rPr/>
              <w:t>1,311,955</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7,294</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pPr>
            <w:r>
              <w:rPr/>
              <w:t>760</w:t>
            </w:r>
          </w:p>
        </w:tc>
      </w:tr>
    </w:tbl>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i/>
          <w:sz w:val="20"/>
        </w:rPr>
        <w:t xml:space="preserve">Voting Proposal No. 4—Authorisation of the Supervisory Board to Exclude or Limit Pre-Emption Rights: </w:t>
      </w:r>
      <w:r>
        <w:rPr>
          <w:sz w:val="20"/>
        </w:rPr>
        <w:t>The shareholders authorized the Supervisory Board to exclude or limit pre-emption rights upon any issuance of additional Ordinary Shares or additional High Voting Shares and/or any grant of rights to subscribe for such additional Ordinary Shares or such additional High Voting Shares, by the votes set forth in the table below:</w:t>
      </w:r>
    </w:p>
    <w:p>
      <w:pPr>
        <w:pStyle w:val="TextBody"/>
        <w:shd w:fill="FFFFFF" w:val="clear"/>
        <w:bidi w:val="0"/>
        <w:spacing w:before="0" w:after="0"/>
        <w:ind w:left="0" w:right="0" w:hanging="0"/>
        <w:jc w:val="both"/>
        <w:rPr/>
      </w:pPr>
      <w:r>
        <w:rPr/>
        <w:t> </w:t>
      </w:r>
    </w:p>
    <w:tbl>
      <w:tblPr>
        <w:tblW w:w="2985" w:type="dxa"/>
        <w:jc w:val="left"/>
        <w:tblInd w:w="0" w:type="dxa"/>
        <w:tblLayout w:type="fixed"/>
        <w:tblCellMar>
          <w:top w:w="0" w:type="dxa"/>
          <w:left w:w="0" w:type="dxa"/>
          <w:bottom w:w="28" w:type="dxa"/>
          <w:right w:w="0" w:type="dxa"/>
        </w:tblCellMar>
      </w:tblPr>
      <w:tblGrid>
        <w:gridCol w:w="995"/>
        <w:gridCol w:w="60"/>
        <w:gridCol w:w="800"/>
        <w:gridCol w:w="60"/>
        <w:gridCol w:w="1070"/>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ind w:left="0" w:right="0" w:hanging="240"/>
              <w:jc w:val="center"/>
              <w:rPr>
                <w:b/>
              </w:rPr>
            </w:pPr>
            <w:r>
              <w:rPr>
                <w:b/>
              </w:rPr>
              <w:t>Abstained</w:t>
            </w:r>
          </w:p>
        </w:tc>
      </w:tr>
      <w:tr>
        <w:trPr/>
        <w:tc>
          <w:tcPr>
            <w:tcW w:w="995" w:type="dxa"/>
            <w:tcBorders/>
            <w:tcMar>
              <w:bottom w:w="0" w:type="dxa"/>
            </w:tcMar>
            <w:vAlign w:val="center"/>
          </w:tcPr>
          <w:p>
            <w:pPr>
              <w:pStyle w:val="TableContents"/>
              <w:bidi w:val="0"/>
              <w:spacing w:before="0" w:after="283"/>
              <w:jc w:val="center"/>
              <w:rPr/>
            </w:pPr>
            <w:r>
              <w:rPr/>
              <w:t>1,311,689</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7,749</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pPr>
            <w:r>
              <w:rPr/>
              <w:t>570</w:t>
            </w:r>
          </w:p>
        </w:tc>
      </w:tr>
    </w:tbl>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i/>
          <w:sz w:val="20"/>
        </w:rPr>
        <w:t xml:space="preserve">Voting Proposal No. 5—Authorisation of the Management Board to Acquire Shares in the Issued Share Capital of the Company: </w:t>
      </w:r>
      <w:r>
        <w:rPr>
          <w:sz w:val="20"/>
        </w:rPr>
        <w:t>The shareholders authorized the Management Board to acquire Ordinary Shares, High Voting Shares and preferred shares, nominal value €300 per share (“</w:t>
      </w:r>
      <w:r>
        <w:rPr>
          <w:i/>
          <w:sz w:val="20"/>
        </w:rPr>
        <w:t>Preferred Shares</w:t>
      </w:r>
      <w:r>
        <w:rPr>
          <w:sz w:val="20"/>
        </w:rPr>
        <w:t>”), in the issued share capital of the Company, by the votes set forth in the table below:</w:t>
      </w:r>
    </w:p>
    <w:p>
      <w:pPr>
        <w:pStyle w:val="TextBody"/>
        <w:shd w:fill="FFFFFF" w:val="clear"/>
        <w:bidi w:val="0"/>
        <w:spacing w:before="0" w:after="0"/>
        <w:ind w:left="0" w:right="0" w:hanging="0"/>
        <w:jc w:val="both"/>
        <w:rPr/>
      </w:pPr>
      <w:r>
        <w:rPr/>
        <w:t> </w:t>
      </w:r>
    </w:p>
    <w:tbl>
      <w:tblPr>
        <w:tblW w:w="2985" w:type="dxa"/>
        <w:jc w:val="left"/>
        <w:tblInd w:w="0" w:type="dxa"/>
        <w:tblLayout w:type="fixed"/>
        <w:tblCellMar>
          <w:top w:w="0" w:type="dxa"/>
          <w:left w:w="0" w:type="dxa"/>
          <w:bottom w:w="28" w:type="dxa"/>
          <w:right w:w="0" w:type="dxa"/>
        </w:tblCellMar>
      </w:tblPr>
      <w:tblGrid>
        <w:gridCol w:w="995"/>
        <w:gridCol w:w="60"/>
        <w:gridCol w:w="800"/>
        <w:gridCol w:w="60"/>
        <w:gridCol w:w="1070"/>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ind w:left="0" w:right="0" w:hanging="240"/>
              <w:jc w:val="center"/>
              <w:rPr>
                <w:b/>
              </w:rPr>
            </w:pPr>
            <w:r>
              <w:rPr>
                <w:b/>
              </w:rPr>
              <w:t>Abstained</w:t>
            </w:r>
          </w:p>
        </w:tc>
      </w:tr>
      <w:tr>
        <w:trPr/>
        <w:tc>
          <w:tcPr>
            <w:tcW w:w="995" w:type="dxa"/>
            <w:tcBorders/>
            <w:tcMar>
              <w:bottom w:w="0" w:type="dxa"/>
            </w:tcMar>
            <w:vAlign w:val="center"/>
          </w:tcPr>
          <w:p>
            <w:pPr>
              <w:pStyle w:val="TableContents"/>
              <w:bidi w:val="0"/>
              <w:spacing w:before="0" w:after="283"/>
              <w:jc w:val="center"/>
              <w:rPr/>
            </w:pPr>
            <w:r>
              <w:rPr/>
              <w:t>1,313,865</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5,787</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pPr>
            <w:r>
              <w:rPr/>
              <w:t>357</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sz w:val="20"/>
        </w:rPr>
      </w:pPr>
      <w:r>
        <w:rPr>
          <w:i/>
          <w:sz w:val="20"/>
        </w:rPr>
        <w:t xml:space="preserve">Voting Proposal No. 6—Approval of Cancellation of Shares in the Issued Share Capital of the Company: </w:t>
      </w:r>
      <w:r>
        <w:rPr>
          <w:sz w:val="20"/>
        </w:rPr>
        <w:t>The shareholders approved the cancellation of all or a portion of the Ordinary Shares, High Voting Shares and Preferred Shares in the issued share capital of the Company, held by the Company in treasury, by the votes set forth in the table below:</w:t>
      </w:r>
    </w:p>
    <w:p>
      <w:pPr>
        <w:pStyle w:val="TextBody"/>
        <w:shd w:fill="FFFFFF" w:val="clear"/>
        <w:bidi w:val="0"/>
        <w:spacing w:before="0" w:after="0"/>
        <w:ind w:left="0" w:right="0" w:hanging="0"/>
        <w:jc w:val="both"/>
        <w:rPr/>
      </w:pPr>
      <w:r>
        <w:rPr/>
        <w:t> </w:t>
      </w:r>
    </w:p>
    <w:tbl>
      <w:tblPr>
        <w:tblW w:w="2985" w:type="dxa"/>
        <w:jc w:val="left"/>
        <w:tblInd w:w="0" w:type="dxa"/>
        <w:tblLayout w:type="fixed"/>
        <w:tblCellMar>
          <w:top w:w="0" w:type="dxa"/>
          <w:left w:w="0" w:type="dxa"/>
          <w:bottom w:w="28" w:type="dxa"/>
          <w:right w:w="0" w:type="dxa"/>
        </w:tblCellMar>
      </w:tblPr>
      <w:tblGrid>
        <w:gridCol w:w="995"/>
        <w:gridCol w:w="60"/>
        <w:gridCol w:w="800"/>
        <w:gridCol w:w="60"/>
        <w:gridCol w:w="1070"/>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ind w:left="0" w:right="0" w:hanging="240"/>
              <w:jc w:val="center"/>
              <w:rPr>
                <w:b/>
              </w:rPr>
            </w:pPr>
            <w:r>
              <w:rPr>
                <w:b/>
              </w:rPr>
              <w:t>Abstained</w:t>
            </w:r>
          </w:p>
        </w:tc>
      </w:tr>
      <w:tr>
        <w:trPr/>
        <w:tc>
          <w:tcPr>
            <w:tcW w:w="995" w:type="dxa"/>
            <w:tcBorders/>
            <w:tcMar>
              <w:bottom w:w="0" w:type="dxa"/>
            </w:tcMar>
            <w:vAlign w:val="center"/>
          </w:tcPr>
          <w:p>
            <w:pPr>
              <w:pStyle w:val="TableContents"/>
              <w:bidi w:val="0"/>
              <w:spacing w:before="0" w:after="283"/>
              <w:jc w:val="center"/>
              <w:rPr/>
            </w:pPr>
            <w:r>
              <w:rPr/>
              <w:t>1,311,684</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7,131</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pPr>
            <w:r>
              <w:rPr/>
              <w:t>1,193</w:t>
            </w:r>
          </w:p>
        </w:tc>
      </w:tr>
    </w:tbl>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i/>
          <w:sz w:val="20"/>
        </w:rPr>
        <w:t xml:space="preserve">Voting Proposal No. 7—Approval of Amendment to Articles of Association to Remove Certain Equity and Voting Restrictions: </w:t>
      </w:r>
      <w:r>
        <w:rPr>
          <w:sz w:val="20"/>
        </w:rPr>
        <w:t>The shareholders approved an amendment to our Articles of Association to remove certain equity and voting restrictions and authorization to implement such amendment, by the votes set forth in the table below:</w:t>
      </w:r>
    </w:p>
    <w:p>
      <w:pPr>
        <w:pStyle w:val="TextBody"/>
        <w:shd w:fill="FFFFFF" w:val="clear"/>
        <w:bidi w:val="0"/>
        <w:spacing w:before="0" w:after="0"/>
        <w:ind w:left="0" w:right="0" w:hanging="0"/>
        <w:jc w:val="both"/>
        <w:rPr/>
      </w:pPr>
      <w:r>
        <w:rPr/>
        <w:t> </w:t>
      </w:r>
    </w:p>
    <w:tbl>
      <w:tblPr>
        <w:tblW w:w="2985" w:type="dxa"/>
        <w:jc w:val="left"/>
        <w:tblInd w:w="0" w:type="dxa"/>
        <w:tblLayout w:type="fixed"/>
        <w:tblCellMar>
          <w:top w:w="0" w:type="dxa"/>
          <w:left w:w="0" w:type="dxa"/>
          <w:bottom w:w="28" w:type="dxa"/>
          <w:right w:w="0" w:type="dxa"/>
        </w:tblCellMar>
      </w:tblPr>
      <w:tblGrid>
        <w:gridCol w:w="995"/>
        <w:gridCol w:w="60"/>
        <w:gridCol w:w="800"/>
        <w:gridCol w:w="60"/>
        <w:gridCol w:w="1070"/>
      </w:tblGrid>
      <w:tr>
        <w:trPr/>
        <w:tc>
          <w:tcPr>
            <w:tcW w:w="99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ind w:left="0" w:right="0" w:hanging="240"/>
              <w:jc w:val="center"/>
              <w:rPr>
                <w:b/>
              </w:rPr>
            </w:pPr>
            <w:r>
              <w:rPr>
                <w:b/>
              </w:rPr>
              <w:t>Abstained</w:t>
            </w:r>
          </w:p>
        </w:tc>
      </w:tr>
      <w:tr>
        <w:trPr/>
        <w:tc>
          <w:tcPr>
            <w:tcW w:w="995" w:type="dxa"/>
            <w:tcBorders/>
            <w:tcMar>
              <w:bottom w:w="0" w:type="dxa"/>
            </w:tcMar>
            <w:vAlign w:val="center"/>
          </w:tcPr>
          <w:p>
            <w:pPr>
              <w:pStyle w:val="TableContents"/>
              <w:bidi w:val="0"/>
              <w:spacing w:before="0" w:after="283"/>
              <w:jc w:val="center"/>
              <w:rPr/>
            </w:pPr>
            <w:r>
              <w:rPr/>
              <w:t>1,311,448</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7,143</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pPr>
            <w:r>
              <w:rPr/>
              <w:t>1,418</w:t>
            </w:r>
          </w:p>
        </w:tc>
      </w:tr>
    </w:tbl>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No other items were presented for shareholder approval at the Annual Meeting.</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7530" w:type="dxa"/>
        <w:jc w:val="left"/>
        <w:tblInd w:w="0" w:type="dxa"/>
        <w:tblLayout w:type="fixed"/>
        <w:tblCellMar>
          <w:top w:w="0" w:type="dxa"/>
          <w:left w:w="0" w:type="dxa"/>
          <w:bottom w:w="0" w:type="dxa"/>
          <w:right w:w="0" w:type="dxa"/>
        </w:tblCellMar>
      </w:tblPr>
      <w:tblGrid>
        <w:gridCol w:w="2315"/>
        <w:gridCol w:w="650"/>
        <w:gridCol w:w="4565"/>
      </w:tblGrid>
      <w:tr>
        <w:trPr/>
        <w:tc>
          <w:tcPr>
            <w:tcW w:w="231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b/>
              </w:rPr>
            </w:pPr>
            <w:r>
              <w:rPr>
                <w:b/>
              </w:rPr>
              <w:t>Sono Group N.V.</w:t>
            </w:r>
          </w:p>
        </w:tc>
      </w:tr>
      <w:tr>
        <w:trPr/>
        <w:tc>
          <w:tcPr>
            <w:tcW w:w="23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14, 2025</w:t>
            </w:r>
          </w:p>
        </w:tc>
        <w:tc>
          <w:tcPr>
            <w:tcW w:w="650" w:type="dxa"/>
            <w:tcBorders/>
            <w:vAlign w:val="center"/>
          </w:tcPr>
          <w:p>
            <w:pPr>
              <w:pStyle w:val="TableContents"/>
              <w:bidi w:val="0"/>
              <w:spacing w:before="0" w:after="283"/>
              <w:jc w:val="left"/>
              <w:rPr/>
            </w:pPr>
            <w:r>
              <w:rPr/>
              <w:t>By:</w:t>
            </w:r>
          </w:p>
        </w:tc>
        <w:tc>
          <w:tcPr>
            <w:tcW w:w="4565" w:type="dxa"/>
            <w:tcBorders>
              <w:bottom w:val="single" w:sz="8" w:space="0" w:color="000000"/>
            </w:tcBorders>
            <w:tcMar>
              <w:bottom w:w="28" w:type="dxa"/>
            </w:tcMar>
            <w:vAlign w:val="center"/>
          </w:tcPr>
          <w:p>
            <w:pPr>
              <w:pStyle w:val="TableContents"/>
              <w:bidi w:val="0"/>
              <w:spacing w:before="0" w:after="283"/>
              <w:jc w:val="left"/>
              <w:rPr/>
            </w:pPr>
            <w:r>
              <w:rPr/>
              <w:t>/s/ George O’Leary</w:t>
            </w:r>
          </w:p>
        </w:tc>
      </w:tr>
      <w:tr>
        <w:trPr/>
        <w:tc>
          <w:tcPr>
            <w:tcW w:w="23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565" w:type="dxa"/>
            <w:tcBorders/>
            <w:vAlign w:val="center"/>
          </w:tcPr>
          <w:p>
            <w:pPr>
              <w:pStyle w:val="TableContents"/>
              <w:bidi w:val="0"/>
              <w:spacing w:before="0" w:after="283"/>
              <w:jc w:val="left"/>
              <w:rPr/>
            </w:pPr>
            <w:r>
              <w:rPr/>
              <w:t>George O’Leary</w:t>
            </w:r>
          </w:p>
        </w:tc>
      </w:tr>
      <w:tr>
        <w:trPr/>
        <w:tc>
          <w:tcPr>
            <w:tcW w:w="23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565" w:type="dxa"/>
            <w:tcBorders/>
            <w:vAlign w:val="center"/>
          </w:tcPr>
          <w:p>
            <w:pPr>
              <w:pStyle w:val="TableContents"/>
              <w:bidi w:val="0"/>
              <w:spacing w:before="0" w:after="283"/>
              <w:jc w:val="left"/>
              <w:rPr/>
            </w:pPr>
            <w:r>
              <w:rPr/>
              <w:t>Managing Director and Chief Executive Officer</w:t>
            </w:r>
          </w:p>
        </w:tc>
      </w:tr>
      <w:tr>
        <w:trPr/>
        <w:tc>
          <w:tcPr>
            <w:tcW w:w="231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983</Words>
  <Characters>5412</Characters>
  <CharactersWithSpaces>6392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