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0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36"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236" w:lineRule="exact"/>
        <w:rPr>
          <w:sz w:val="24"/>
          <w:szCs w:val="24"/>
          <w:color w:val="auto"/>
        </w:rPr>
      </w:pPr>
    </w:p>
    <w:p>
      <w:pPr>
        <w:jc w:val="center"/>
        <w:ind w:right="20"/>
        <w:spacing w:after="0" w:line="26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month of June 2024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001-41066</w:t>
      </w:r>
    </w:p>
    <w:p>
      <w:pPr>
        <w:spacing w:after="0" w:line="206"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Sono Group N.V.</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name)</w:t>
      </w:r>
    </w:p>
    <w:p>
      <w:pPr>
        <w:spacing w:after="0" w:line="18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Waldmeisterstraße 93</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80935 Munich</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Germany</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6" w:lineRule="exact"/>
        <w:rPr>
          <w:sz w:val="24"/>
          <w:szCs w:val="24"/>
          <w:color w:val="auto"/>
        </w:rPr>
      </w:pPr>
    </w:p>
    <w:p>
      <w:pPr>
        <w:jc w:val="center"/>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80"/>
          </w:cols>
          <w:pgMar w:left="860" w:top="605" w:right="8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Exhibit 99.1 attached hereto and incorporated by reference herein includes a press release issued by Sono Group N.V. on June 24, 2024. The information in Exhibit 99.1 of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 of Exhibit</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Sono Group N.V.</w:t>
            </w:r>
          </w:p>
        </w:tc>
        <w:tc>
          <w:tcPr>
            <w:tcW w:w="20" w:type="dxa"/>
            <w:vAlign w:val="bottom"/>
          </w:tcPr>
          <w:p>
            <w:pPr>
              <w:spacing w:after="0"/>
              <w:rPr>
                <w:sz w:val="17"/>
                <w:szCs w:val="17"/>
                <w:color w:val="auto"/>
              </w:rPr>
            </w:pPr>
          </w:p>
        </w:tc>
      </w:tr>
      <w:tr>
        <w:trPr>
          <w:trHeight w:val="237"/>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20" w:type="dxa"/>
            <w:vAlign w:val="bottom"/>
          </w:tcPr>
          <w:p>
            <w:pPr>
              <w:spacing w:after="0"/>
              <w:rPr>
                <w:sz w:val="20"/>
                <w:szCs w:val="20"/>
                <w:color w:val="auto"/>
              </w:rPr>
            </w:pPr>
          </w:p>
        </w:tc>
      </w:tr>
      <w:tr>
        <w:trPr>
          <w:trHeight w:val="60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June 24, 2024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George O'Leary</w:t>
            </w:r>
          </w:p>
        </w:tc>
        <w:tc>
          <w:tcPr>
            <w:tcW w:w="20" w:type="dxa"/>
            <w:vAlign w:val="bottom"/>
          </w:tcPr>
          <w:p>
            <w:pPr>
              <w:spacing w:after="0"/>
              <w:rPr>
                <w:sz w:val="24"/>
                <w:szCs w:val="24"/>
                <w:color w:val="auto"/>
              </w:rPr>
            </w:pPr>
          </w:p>
        </w:tc>
      </w:tr>
      <w:tr>
        <w:trPr>
          <w:trHeight w:val="218"/>
        </w:trPr>
        <w:tc>
          <w:tcPr>
            <w:tcW w:w="77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George O'Leary</w:t>
            </w:r>
          </w:p>
        </w:tc>
        <w:tc>
          <w:tcPr>
            <w:tcW w:w="20" w:type="dxa"/>
            <w:vAlign w:val="bottom"/>
            <w:tcBorders>
              <w:top w:val="single" w:sz="8" w:color="auto"/>
            </w:tcBorders>
          </w:tcPr>
          <w:p>
            <w:pPr>
              <w:spacing w:after="0"/>
              <w:rPr>
                <w:sz w:val="18"/>
                <w:szCs w:val="18"/>
                <w:color w:val="auto"/>
              </w:rPr>
            </w:pPr>
          </w:p>
        </w:tc>
      </w:tr>
      <w:tr>
        <w:trPr>
          <w:trHeight w:val="234"/>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Managing Director</w:t>
            </w:r>
          </w:p>
        </w:tc>
        <w:tc>
          <w:tcPr>
            <w:tcW w:w="20" w:type="dxa"/>
            <w:vAlign w:val="bottom"/>
          </w:tcPr>
          <w:p>
            <w:pPr>
              <w:spacing w:after="0"/>
              <w:rPr>
                <w:sz w:val="20"/>
                <w:szCs w:val="20"/>
                <w:color w:val="auto"/>
              </w:rPr>
            </w:pP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540" w:right="1720" w:firstLine="1183"/>
        <w:spacing w:after="0" w:line="346" w:lineRule="auto"/>
        <w:rPr>
          <w:sz w:val="20"/>
          <w:szCs w:val="20"/>
          <w:color w:val="auto"/>
        </w:rPr>
      </w:pPr>
      <w:r>
        <w:rPr>
          <w:rFonts w:ascii="Times New Roman" w:cs="Times New Roman" w:eastAsia="Times New Roman" w:hAnsi="Times New Roman"/>
          <w:sz w:val="22"/>
          <w:szCs w:val="22"/>
          <w:b w:val="1"/>
          <w:bCs w:val="1"/>
          <w:color w:val="auto"/>
        </w:rPr>
        <w:t>Sono Group N.V. Announces Fiscal Year 2023 Annual Report and Corporate Update Funding secured to fuel growth through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b w:val="1"/>
          <w:bCs w:val="1"/>
          <w:color w:val="auto"/>
        </w:rPr>
        <w:t>Ongoing delivery of projects and prototypes to both existing and new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b w:val="1"/>
          <w:bCs w:val="1"/>
          <w:color w:val="auto"/>
        </w:rPr>
        <w:t>Solar Bus Kit wins Busplaner Innovation Award highlighting its significant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80"/>
        <w:spacing w:after="0" w:line="230" w:lineRule="auto"/>
        <w:rPr>
          <w:sz w:val="20"/>
          <w:szCs w:val="20"/>
          <w:color w:val="auto"/>
        </w:rPr>
      </w:pPr>
      <w:r>
        <w:rPr>
          <w:rFonts w:ascii="Times New Roman" w:cs="Times New Roman" w:eastAsia="Times New Roman" w:hAnsi="Times New Roman"/>
          <w:sz w:val="22"/>
          <w:szCs w:val="22"/>
          <w:b w:val="1"/>
          <w:bCs w:val="1"/>
          <w:color w:val="auto"/>
        </w:rPr>
        <w:t>Commitment to a capital-light business model: Achieved a 92% reduction in cash outflow from operating activities, from €139.6 million in 2022 to €11.2 million in 2023. Total loss for the period was over three times lower, a decrease from €183.7 million in 2022 to €53.6 million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b w:val="1"/>
          <w:bCs w:val="1"/>
          <w:color w:val="auto"/>
        </w:rPr>
        <w:t>Sono Motors’ successful emergence from self-administration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b w:val="1"/>
          <w:bCs w:val="1"/>
          <w:color w:val="auto"/>
        </w:rPr>
        <w:t>Sono's self-administration proceedings concluded following the court's confirmation of the restructuring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b w:val="1"/>
          <w:bCs w:val="1"/>
          <w:color w:val="auto"/>
        </w:rPr>
        <w:t>Expected commencement of trading Sono shares on OTCQB in July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MUNICH, June 24, 2024 (GLOBE NEWSWIRE) -- Sono Group N.V. (OTC: SEVCF) (hereafter referred to as “Sono” or the “Company”, parent company to Sono Motors GmbH or “Sono Motors”), the solar technology company, announced its financial results for the fiscal year ended 31 December 2023.</w:t>
      </w:r>
    </w:p>
    <w:p>
      <w:pPr>
        <w:spacing w:after="0" w:line="173"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“2023 was a transformative year for Sono. Sono Motors’ successful emergence from self-administration proceedings, together with the crucial investment secured by Sono, have positioned us for growth. We believe that we now have the team, expertise, technology, capital, and customer interest to execute our business plan and realize the potential of our flagship product,” said George O’Leary, Managing Director, CEO and CFO of Sono Group N.V.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2023 and Recent Business Updates</w:t>
      </w:r>
    </w:p>
    <w:p>
      <w:pPr>
        <w:spacing w:after="0" w:line="210" w:lineRule="exact"/>
        <w:rPr>
          <w:sz w:val="20"/>
          <w:szCs w:val="20"/>
          <w:color w:val="auto"/>
        </w:rPr>
      </w:pPr>
    </w:p>
    <w:p>
      <w:pPr>
        <w:ind w:left="540" w:right="280"/>
        <w:spacing w:after="0" w:line="241" w:lineRule="auto"/>
        <w:rPr>
          <w:sz w:val="20"/>
          <w:szCs w:val="20"/>
          <w:color w:val="auto"/>
        </w:rPr>
      </w:pPr>
      <w:r>
        <w:rPr>
          <w:rFonts w:ascii="Times New Roman" w:cs="Times New Roman" w:eastAsia="Times New Roman" w:hAnsi="Times New Roman"/>
          <w:sz w:val="22"/>
          <w:szCs w:val="22"/>
          <w:color w:val="auto"/>
        </w:rPr>
        <w:t>Strategic Pivot to B2B Solar Solutions: Sono Motors pivoted its business model to concentrate exclusively on B2B solar solutions. Our flagship product, the Solar Bus Kit, embodies our commitment to sustainable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30" w:lineRule="auto"/>
        <w:rPr>
          <w:sz w:val="20"/>
          <w:szCs w:val="20"/>
          <w:color w:val="auto"/>
        </w:rPr>
      </w:pPr>
      <w:r>
        <w:rPr>
          <w:rFonts w:ascii="Times New Roman" w:cs="Times New Roman" w:eastAsia="Times New Roman" w:hAnsi="Times New Roman"/>
          <w:sz w:val="22"/>
          <w:szCs w:val="22"/>
          <w:color w:val="auto"/>
        </w:rPr>
        <w:t>Secured Investment and Financial Stability: In November 2023, Sono secured an investment deal with YA II PN Ltd. ("Yorkville"), providing essential funding to support our operations through June 2025. This financial backing has been pivotal in stabilizing our business and supporting our strategic initiatives to grow the business. The Company has access to approximately €11 million in total funding (€2 million in cash balance and up to €9 million in additional funding, of which €4 million were received in February 2024), sufficient to support operations through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-719455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30" w:lineRule="auto"/>
        <w:rPr>
          <w:sz w:val="20"/>
          <w:szCs w:val="20"/>
          <w:color w:val="auto"/>
        </w:rPr>
      </w:pPr>
      <w:r>
        <w:rPr>
          <w:rFonts w:ascii="Times New Roman" w:cs="Times New Roman" w:eastAsia="Times New Roman" w:hAnsi="Times New Roman"/>
          <w:sz w:val="22"/>
          <w:szCs w:val="22"/>
          <w:color w:val="auto"/>
        </w:rPr>
        <w:t>Operational Highlights and Market Recognition: Throughout 2023, we continued to deliver projects and prototypes to both existing and new customers. Notably, our Solar Bus Kit, customized for a partner’s e-bus, was honored with the Busplaner Innovation Award, underscoring its potential and market acceptance. We believe that this recognition helps validate our technology and enhances our market credibility and customer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30" w:lineRule="auto"/>
        <w:rPr>
          <w:sz w:val="20"/>
          <w:szCs w:val="20"/>
          <w:color w:val="auto"/>
        </w:rPr>
      </w:pPr>
      <w:r>
        <w:rPr>
          <w:rFonts w:ascii="Times New Roman" w:cs="Times New Roman" w:eastAsia="Times New Roman" w:hAnsi="Times New Roman"/>
          <w:sz w:val="22"/>
          <w:szCs w:val="22"/>
          <w:color w:val="auto"/>
        </w:rPr>
        <w:t>Management and Governance Enhancements: We have strengthened our leadership team with strategic changes in our management and supervisory board, positioning Sono for continued growth and operational excellence. George O'Leary was appointed as the sole Managing Director, CEO, and CFO of Sono Group N.V. David Dodge and Christopher Schreiber joined the Supervisory Board. In early 2024, solar mobility pioneers Jan Schiermeister and Denis Azhar were appointed as new Managing Directors of Sono Motors. We expect their extensive experience in the bus, truck, and automotive industries to help bolster the development and delivery of our core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-873760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60"/>
        <w:spacing w:after="0" w:line="237" w:lineRule="auto"/>
        <w:rPr>
          <w:sz w:val="20"/>
          <w:szCs w:val="20"/>
          <w:color w:val="auto"/>
        </w:rPr>
      </w:pPr>
      <w:r>
        <w:rPr>
          <w:rFonts w:ascii="Times New Roman" w:cs="Times New Roman" w:eastAsia="Times New Roman" w:hAnsi="Times New Roman"/>
          <w:sz w:val="22"/>
          <w:szCs w:val="22"/>
          <w:color w:val="auto"/>
        </w:rPr>
        <w:t>Shareholder Value and Transparency: Looking ahead, we are excited about the expected commencement of trading Sono shares on OTCQB in July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Highlights</w:t>
      </w:r>
    </w:p>
    <w:p>
      <w:pPr>
        <w:spacing w:after="0" w:line="210" w:lineRule="exact"/>
        <w:rPr>
          <w:sz w:val="20"/>
          <w:szCs w:val="20"/>
          <w:color w:val="auto"/>
        </w:rPr>
      </w:pPr>
    </w:p>
    <w:p>
      <w:pPr>
        <w:ind w:left="540" w:right="500"/>
        <w:spacing w:after="0" w:line="238" w:lineRule="auto"/>
        <w:rPr>
          <w:sz w:val="20"/>
          <w:szCs w:val="20"/>
          <w:color w:val="auto"/>
        </w:rPr>
      </w:pPr>
      <w:r>
        <w:rPr>
          <w:rFonts w:ascii="Times New Roman" w:cs="Times New Roman" w:eastAsia="Times New Roman" w:hAnsi="Times New Roman"/>
          <w:sz w:val="22"/>
          <w:szCs w:val="22"/>
          <w:color w:val="auto"/>
        </w:rPr>
        <w:t>Reduced Cash Outflow from Operating Activities: In 2023, we transitioned to a capital-light business model. This approach has dramatically reduced our cash outflow from operating activities by 92%, from €139.6 million in 2022 to €11.2 million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-412750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color w:val="auto"/>
        </w:rPr>
        <w:t>Decreased Total Loss: Our total loss for the period decreased more than threefold, from €183.7 million in 2022 to €53.6 million in 2023. This substantial reduction reflects our successful efforts in cost management. The vast majority of this loss represents non-cash loss due to deconsolidation related to self-administration proceedings, most of which is expected to be recaptured in 2024 as a result of our emergence from insolvency and reconsolidation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20"/>
        <w:spacing w:after="0" w:line="235" w:lineRule="auto"/>
        <w:rPr>
          <w:sz w:val="20"/>
          <w:szCs w:val="20"/>
          <w:color w:val="auto"/>
        </w:rPr>
      </w:pPr>
      <w:r>
        <w:rPr>
          <w:rFonts w:ascii="Times New Roman" w:cs="Times New Roman" w:eastAsia="Times New Roman" w:hAnsi="Times New Roman"/>
          <w:sz w:val="22"/>
          <w:szCs w:val="22"/>
          <w:color w:val="auto"/>
        </w:rPr>
        <w:t>Investment Inflow and Financial Stability: The successful investment deal with Yorkville has significantly bolstered our financial stability. Proceeds from Yorkville’s investment are expected to support our business operations through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SONO GROUP N.V.</w:t>
      </w:r>
    </w:p>
    <w:p>
      <w:pPr>
        <w:spacing w:after="0" w:line="210" w:lineRule="exact"/>
        <w:rPr>
          <w:sz w:val="20"/>
          <w:szCs w:val="20"/>
          <w:color w:val="auto"/>
        </w:rPr>
      </w:pPr>
    </w:p>
    <w:p>
      <w:pPr>
        <w:jc w:val="both"/>
        <w:ind w:right="520"/>
        <w:spacing w:after="0" w:line="244" w:lineRule="auto"/>
        <w:rPr>
          <w:sz w:val="20"/>
          <w:szCs w:val="20"/>
          <w:color w:val="auto"/>
        </w:rPr>
      </w:pPr>
      <w:r>
        <w:rPr>
          <w:rFonts w:ascii="Times New Roman" w:cs="Times New Roman" w:eastAsia="Times New Roman" w:hAnsi="Times New Roman"/>
          <w:sz w:val="22"/>
          <w:szCs w:val="22"/>
          <w:color w:val="auto"/>
        </w:rPr>
        <w:t>SONO GROUP N.V. is the public holding company of Sono Motors, currently quoted on the OTC market under the symbol SEVCF. Following the Company's filing of its Annual Report on Form 20-F for 2023, Sono Group N.V. expects to have its ordinary shares admitted to trading on the OTCQB in July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press@sonomotors.com | www.sonomotors.com/press</w:t>
      </w:r>
    </w:p>
    <w:p>
      <w:pPr>
        <w:sectPr>
          <w:pgSz w:w="11900" w:h="16838"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Investors: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ir@sonomotors.com | ir.sonomotors.com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This press release includes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Company and Sono Motors.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 not limited to, risks, uncertainties and assumptions with respect to: our ability to access the unfunded portion of the investment from Yorkville, including our ability to successfully comply with the agreements related thereto and the absence of any termination event or any event of default; our ability to maintain relationships with creditors, suppliers, service providers, customers, employees and other third parties in light of the performance and credit risks associated with our constrained liquidity position and capital structure; the Company’s status as a foreign private issuer under the Securities Exchange Act of 1934; the Company’s ability to have its shares admitted to trading on OTCQB and to comply with OTCQB continuing standards, as well as its ability to have its shares admitted to trading on a stock exchange in the future; our ability to achieve our stated goals; our strategies, plan, objectives and goals, including, among others, the successful implementation and management of the pivot of the companies’ business to exclusively retrofitting and integrating their solar technology onto third party vehicles and the successful development, launch of sales and delivery of the Solar Bus Kit; our ability to raise the additional funding required beyond the investment from Yorkville to further develop and commercialize their solar technology and business as well as to continue as a going concern. For additional information concerning some of the risks, uncertainties and assumptions that could affect our forward-looking statements, please refer to the Company’s filings with the U.S. Securities and Exchange Commission (“SEC”), including our Annual Report on Form 20-F filed with the SEC on June 21, 2024, which are accessible on the SEC’s website at www.sec.gov and on our website at ir.sonomotors.com. Many of these risks and uncertainties relate to factors that are beyond our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companies assume no obligation to update any such forward-looking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(amounts in thousands, except share and per share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STATEMENT</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87"/>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€k</w:t>
            </w:r>
          </w:p>
        </w:tc>
        <w:tc>
          <w:tcPr>
            <w:tcW w:w="1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FY 2023</w:t>
            </w:r>
          </w:p>
        </w:tc>
        <w:tc>
          <w:tcPr>
            <w:tcW w:w="1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FY 2022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FY 2021</w:t>
            </w:r>
          </w:p>
        </w:tc>
        <w:tc>
          <w:tcPr>
            <w:tcW w:w="0" w:type="dxa"/>
            <w:vAlign w:val="bottom"/>
          </w:tcPr>
          <w:p>
            <w:pPr>
              <w:spacing w:after="0"/>
              <w:rPr>
                <w:sz w:val="1"/>
                <w:szCs w:val="1"/>
                <w:color w:val="auto"/>
              </w:rPr>
            </w:pPr>
          </w:p>
        </w:tc>
      </w:tr>
      <w:tr>
        <w:trPr>
          <w:trHeight w:val="250"/>
        </w:trPr>
        <w:tc>
          <w:tcPr>
            <w:tcW w:w="61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Revenue</w:t>
            </w:r>
          </w:p>
        </w:tc>
        <w:tc>
          <w:tcPr>
            <w:tcW w:w="1880" w:type="dxa"/>
            <w:vAlign w:val="bottom"/>
          </w:tcPr>
          <w:p>
            <w:pPr>
              <w:jc w:val="right"/>
              <w:ind w:right="392"/>
              <w:spacing w:after="0" w:line="250" w:lineRule="exact"/>
              <w:rPr>
                <w:sz w:val="20"/>
                <w:szCs w:val="20"/>
                <w:color w:val="auto"/>
              </w:rPr>
            </w:pPr>
            <w:r>
              <w:rPr>
                <w:rFonts w:ascii="Times New Roman" w:cs="Times New Roman" w:eastAsia="Times New Roman" w:hAnsi="Times New Roman"/>
                <w:sz w:val="22"/>
                <w:szCs w:val="22"/>
                <w:color w:val="auto"/>
              </w:rPr>
              <w:t>42</w:t>
            </w:r>
          </w:p>
        </w:tc>
        <w:tc>
          <w:tcPr>
            <w:tcW w:w="1880" w:type="dxa"/>
            <w:vAlign w:val="bottom"/>
          </w:tcPr>
          <w:p>
            <w:pPr>
              <w:jc w:val="right"/>
              <w:ind w:right="432"/>
              <w:spacing w:after="0" w:line="250" w:lineRule="exact"/>
              <w:rPr>
                <w:sz w:val="20"/>
                <w:szCs w:val="20"/>
                <w:color w:val="auto"/>
              </w:rPr>
            </w:pPr>
            <w:r>
              <w:rPr>
                <w:rFonts w:ascii="Times New Roman" w:cs="Times New Roman" w:eastAsia="Times New Roman" w:hAnsi="Times New Roman"/>
                <w:sz w:val="22"/>
                <w:szCs w:val="22"/>
                <w:color w:val="auto"/>
              </w:rPr>
              <w:t>229</w:t>
            </w:r>
          </w:p>
        </w:tc>
        <w:tc>
          <w:tcPr>
            <w:tcW w:w="13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66"/>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Cost of sales</w:t>
            </w:r>
          </w:p>
        </w:tc>
        <w:tc>
          <w:tcPr>
            <w:tcW w:w="18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(70)</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(392)</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0" w:type="dxa"/>
            <w:vAlign w:val="bottom"/>
          </w:tcPr>
          <w:p>
            <w:pPr>
              <w:spacing w:after="0"/>
              <w:rPr>
                <w:sz w:val="1"/>
                <w:szCs w:val="1"/>
                <w:color w:val="auto"/>
              </w:rPr>
            </w:pPr>
          </w:p>
        </w:tc>
      </w:tr>
      <w:tr>
        <w:trPr>
          <w:trHeight w:val="274"/>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Gross income(loss)</w:t>
            </w:r>
          </w:p>
        </w:tc>
        <w:tc>
          <w:tcPr>
            <w:tcW w:w="188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(28)</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(163)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(42)</w:t>
            </w:r>
          </w:p>
        </w:tc>
        <w:tc>
          <w:tcPr>
            <w:tcW w:w="0" w:type="dxa"/>
            <w:vAlign w:val="bottom"/>
          </w:tcPr>
          <w:p>
            <w:pPr>
              <w:spacing w:after="0"/>
              <w:rPr>
                <w:sz w:val="1"/>
                <w:szCs w:val="1"/>
                <w:color w:val="auto"/>
              </w:rPr>
            </w:pP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Cost of research and development</w:t>
            </w:r>
          </w:p>
        </w:tc>
        <w:tc>
          <w:tcPr>
            <w:tcW w:w="18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(15,784)</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(158,479)</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(40,609)</w:t>
            </w:r>
          </w:p>
        </w:tc>
        <w:tc>
          <w:tcPr>
            <w:tcW w:w="0" w:type="dxa"/>
            <w:vAlign w:val="bottom"/>
          </w:tcPr>
          <w:p>
            <w:pPr>
              <w:spacing w:after="0"/>
              <w:rPr>
                <w:sz w:val="1"/>
                <w:szCs w:val="1"/>
                <w:color w:val="auto"/>
              </w:rPr>
            </w:pP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Selling and distribution costs</w:t>
            </w:r>
          </w:p>
        </w:tc>
        <w:tc>
          <w:tcPr>
            <w:tcW w:w="18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(1,110)</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(3,558)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(3,220)</w:t>
            </w:r>
          </w:p>
        </w:tc>
        <w:tc>
          <w:tcPr>
            <w:tcW w:w="0" w:type="dxa"/>
            <w:vAlign w:val="bottom"/>
          </w:tcPr>
          <w:p>
            <w:pPr>
              <w:spacing w:after="0"/>
              <w:rPr>
                <w:sz w:val="1"/>
                <w:szCs w:val="1"/>
                <w:color w:val="auto"/>
              </w:rPr>
            </w:pP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18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(13,204)</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(20,023)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(15,094)</w:t>
            </w:r>
          </w:p>
        </w:tc>
        <w:tc>
          <w:tcPr>
            <w:tcW w:w="0" w:type="dxa"/>
            <w:vAlign w:val="bottom"/>
          </w:tcPr>
          <w:p>
            <w:pPr>
              <w:spacing w:after="0"/>
              <w:rPr>
                <w:sz w:val="1"/>
                <w:szCs w:val="1"/>
                <w:color w:val="auto"/>
              </w:rPr>
            </w:pP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operating income/expenses</w:t>
            </w:r>
          </w:p>
        </w:tc>
        <w:tc>
          <w:tcPr>
            <w:tcW w:w="18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(61,835)</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842</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w:t>
            </w:r>
          </w:p>
        </w:tc>
        <w:tc>
          <w:tcPr>
            <w:tcW w:w="0" w:type="dxa"/>
            <w:vAlign w:val="bottom"/>
          </w:tcPr>
          <w:p>
            <w:pPr>
              <w:spacing w:after="0"/>
              <w:rPr>
                <w:sz w:val="1"/>
                <w:szCs w:val="1"/>
                <w:color w:val="auto"/>
              </w:rPr>
            </w:pP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Deconsolidation gain</w:t>
            </w:r>
          </w:p>
        </w:tc>
        <w:tc>
          <w:tcPr>
            <w:tcW w:w="18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40,122</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6"/>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Impairment loss on financial assets</w:t>
            </w:r>
          </w:p>
        </w:tc>
        <w:tc>
          <w:tcPr>
            <w:tcW w:w="18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5</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74"/>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income(loss)</w:t>
            </w:r>
          </w:p>
        </w:tc>
        <w:tc>
          <w:tcPr>
            <w:tcW w:w="188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(51,838)</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(181,376)</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(59,154)</w:t>
            </w:r>
          </w:p>
        </w:tc>
        <w:tc>
          <w:tcPr>
            <w:tcW w:w="0" w:type="dxa"/>
            <w:vAlign w:val="bottom"/>
          </w:tcPr>
          <w:p>
            <w:pPr>
              <w:spacing w:after="0"/>
              <w:rPr>
                <w:sz w:val="1"/>
                <w:szCs w:val="1"/>
                <w:color w:val="auto"/>
              </w:rPr>
            </w:pPr>
          </w:p>
        </w:tc>
      </w:tr>
      <w:tr>
        <w:trPr>
          <w:trHeight w:val="270"/>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 and similar income</w:t>
            </w:r>
          </w:p>
        </w:tc>
        <w:tc>
          <w:tcPr>
            <w:tcW w:w="188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8,427</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999</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3"/>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Interest and similar expense</w:t>
            </w:r>
          </w:p>
        </w:tc>
        <w:tc>
          <w:tcPr>
            <w:tcW w:w="1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(10,149)</w:t>
            </w:r>
          </w:p>
        </w:tc>
        <w:tc>
          <w:tcPr>
            <w:tcW w:w="1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(3,321)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(4,781)</w:t>
            </w:r>
          </w:p>
        </w:tc>
        <w:tc>
          <w:tcPr>
            <w:tcW w:w="0" w:type="dxa"/>
            <w:vAlign w:val="bottom"/>
          </w:tcPr>
          <w:p>
            <w:pPr>
              <w:spacing w:after="0"/>
              <w:rPr>
                <w:sz w:val="1"/>
                <w:szCs w:val="1"/>
                <w:color w:val="auto"/>
              </w:rPr>
            </w:pPr>
          </w:p>
        </w:tc>
      </w:tr>
      <w:tr>
        <w:trPr>
          <w:trHeight w:val="281"/>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INCOME (LOSS) BEFORE TAX</w:t>
            </w:r>
          </w:p>
        </w:tc>
        <w:tc>
          <w:tcPr>
            <w:tcW w:w="188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(53,560)</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(183,698)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(63,935)</w:t>
            </w:r>
          </w:p>
        </w:tc>
        <w:tc>
          <w:tcPr>
            <w:tcW w:w="0" w:type="dxa"/>
            <w:vAlign w:val="bottom"/>
          </w:tcPr>
          <w:p>
            <w:pPr>
              <w:spacing w:after="0"/>
              <w:rPr>
                <w:sz w:val="1"/>
                <w:szCs w:val="1"/>
                <w:color w:val="auto"/>
              </w:rPr>
            </w:pPr>
          </w:p>
        </w:tc>
      </w:tr>
      <w:tr>
        <w:trPr>
          <w:trHeight w:val="659"/>
        </w:trPr>
        <w:tc>
          <w:tcPr>
            <w:tcW w:w="6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160" w:type="dxa"/>
            <w:vAlign w:val="bottom"/>
          </w:tcPr>
          <w:p>
            <w:pPr>
              <w:ind w:left="20"/>
              <w:spacing w:after="0" w:line="245" w:lineRule="exact"/>
              <w:rPr>
                <w:sz w:val="20"/>
                <w:szCs w:val="20"/>
                <w:color w:val="auto"/>
              </w:rPr>
            </w:pPr>
            <w:r>
              <w:rPr>
                <w:rFonts w:ascii="Times New Roman" w:cs="Times New Roman" w:eastAsia="Times New Roman" w:hAnsi="Times New Roman"/>
                <w:sz w:val="22"/>
                <w:szCs w:val="22"/>
                <w:color w:val="auto"/>
              </w:rPr>
              <w:t>Tax on income and earnings</w:t>
            </w:r>
          </w:p>
        </w:tc>
        <w:tc>
          <w:tcPr>
            <w:tcW w:w="1880" w:type="dxa"/>
            <w:vAlign w:val="bottom"/>
          </w:tcPr>
          <w:p>
            <w:pPr>
              <w:jc w:val="right"/>
              <w:ind w:right="392"/>
              <w:spacing w:after="0" w:line="245" w:lineRule="exact"/>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jc w:val="right"/>
              <w:ind w:right="432"/>
              <w:spacing w:after="0" w:line="245"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7"/>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Income (loss) after tax</w:t>
            </w:r>
          </w:p>
        </w:tc>
        <w:tc>
          <w:tcPr>
            <w:tcW w:w="1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(53,560)</w:t>
            </w:r>
          </w:p>
        </w:tc>
        <w:tc>
          <w:tcPr>
            <w:tcW w:w="1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(183,698)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(63,953)</w:t>
            </w:r>
          </w:p>
        </w:tc>
        <w:tc>
          <w:tcPr>
            <w:tcW w:w="0" w:type="dxa"/>
            <w:vAlign w:val="bottom"/>
          </w:tcPr>
          <w:p>
            <w:pPr>
              <w:spacing w:after="0"/>
              <w:rPr>
                <w:sz w:val="1"/>
                <w:szCs w:val="1"/>
                <w:color w:val="auto"/>
              </w:rPr>
            </w:pPr>
          </w:p>
        </w:tc>
      </w:tr>
      <w:tr>
        <w:trPr>
          <w:trHeight w:val="250"/>
        </w:trPr>
        <w:tc>
          <w:tcPr>
            <w:tcW w:w="61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Income (loss) for the period</w:t>
            </w:r>
          </w:p>
        </w:tc>
        <w:tc>
          <w:tcPr>
            <w:tcW w:w="1880" w:type="dxa"/>
            <w:vAlign w:val="bottom"/>
          </w:tcPr>
          <w:p>
            <w:pPr>
              <w:jc w:val="right"/>
              <w:ind w:right="392"/>
              <w:spacing w:after="0" w:line="250" w:lineRule="exact"/>
              <w:rPr>
                <w:sz w:val="20"/>
                <w:szCs w:val="20"/>
                <w:color w:val="auto"/>
              </w:rPr>
            </w:pPr>
            <w:r>
              <w:rPr>
                <w:rFonts w:ascii="Times New Roman" w:cs="Times New Roman" w:eastAsia="Times New Roman" w:hAnsi="Times New Roman"/>
                <w:sz w:val="22"/>
                <w:szCs w:val="22"/>
                <w:b w:val="1"/>
                <w:bCs w:val="1"/>
                <w:color w:val="auto"/>
              </w:rPr>
              <w:t>(53,560)</w:t>
            </w:r>
          </w:p>
        </w:tc>
        <w:tc>
          <w:tcPr>
            <w:tcW w:w="1880" w:type="dxa"/>
            <w:vAlign w:val="bottom"/>
          </w:tcPr>
          <w:p>
            <w:pPr>
              <w:jc w:val="right"/>
              <w:ind w:right="432"/>
              <w:spacing w:after="0" w:line="250" w:lineRule="exact"/>
              <w:rPr>
                <w:sz w:val="20"/>
                <w:szCs w:val="20"/>
                <w:color w:val="auto"/>
              </w:rPr>
            </w:pPr>
            <w:r>
              <w:rPr>
                <w:rFonts w:ascii="Times New Roman" w:cs="Times New Roman" w:eastAsia="Times New Roman" w:hAnsi="Times New Roman"/>
                <w:sz w:val="22"/>
                <w:szCs w:val="22"/>
                <w:b w:val="1"/>
                <w:bCs w:val="1"/>
                <w:color w:val="auto"/>
              </w:rPr>
              <w:t>(183,698)</w:t>
            </w:r>
          </w:p>
        </w:tc>
        <w:tc>
          <w:tcPr>
            <w:tcW w:w="13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auto"/>
              </w:rPr>
              <w:t>(63,953)</w:t>
            </w:r>
          </w:p>
        </w:tc>
        <w:tc>
          <w:tcPr>
            <w:tcW w:w="0" w:type="dxa"/>
            <w:vAlign w:val="bottom"/>
          </w:tcPr>
          <w:p>
            <w:pPr>
              <w:spacing w:after="0"/>
              <w:rPr>
                <w:sz w:val="1"/>
                <w:szCs w:val="1"/>
                <w:color w:val="auto"/>
              </w:rPr>
            </w:pPr>
          </w:p>
        </w:tc>
      </w:tr>
      <w:tr>
        <w:trPr>
          <w:trHeight w:val="283"/>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Other comprehensive income (loss)</w:t>
            </w:r>
          </w:p>
        </w:tc>
        <w:tc>
          <w:tcPr>
            <w:tcW w:w="1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line="220" w:lineRule="exact"/>
              <w:rPr>
                <w:sz w:val="20"/>
                <w:szCs w:val="20"/>
                <w:color w:val="auto"/>
              </w:rPr>
            </w:pPr>
            <w:r>
              <w:rPr>
                <w:rFonts w:ascii="Times New Roman" w:cs="Times New Roman" w:eastAsia="Times New Roman" w:hAnsi="Times New Roman"/>
                <w:sz w:val="22"/>
                <w:szCs w:val="22"/>
                <w:b w:val="1"/>
                <w:bCs w:val="1"/>
                <w:color w:val="auto"/>
              </w:rPr>
              <w:t>TOTAL COMPREHENSIVE INCOME (LOSS) FOR THE</w:t>
            </w:r>
          </w:p>
        </w:tc>
        <w:tc>
          <w:tcPr>
            <w:tcW w:w="188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(53,560)</w:t>
            </w:r>
          </w:p>
        </w:tc>
        <w:tc>
          <w:tcPr>
            <w:tcW w:w="18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(183,698)</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(63,937)</w:t>
            </w:r>
          </w:p>
        </w:tc>
        <w:tc>
          <w:tcPr>
            <w:tcW w:w="0" w:type="dxa"/>
            <w:vAlign w:val="bottom"/>
          </w:tcPr>
          <w:p>
            <w:pPr>
              <w:spacing w:after="0"/>
              <w:rPr>
                <w:sz w:val="1"/>
                <w:szCs w:val="1"/>
                <w:color w:val="auto"/>
              </w:rPr>
            </w:pPr>
          </w:p>
        </w:tc>
      </w:tr>
      <w:tr>
        <w:trPr>
          <w:trHeight w:val="165"/>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188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16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6"/>
        </w:trPr>
        <w:tc>
          <w:tcPr>
            <w:tcW w:w="6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Earnings per shares for income(loss) attributable to the ordinary</w:t>
            </w: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equity holders of the company:</w:t>
            </w:r>
          </w:p>
        </w:tc>
        <w:tc>
          <w:tcPr>
            <w:tcW w:w="18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line="220" w:lineRule="exact"/>
              <w:rPr>
                <w:sz w:val="20"/>
                <w:szCs w:val="20"/>
                <w:color w:val="auto"/>
              </w:rPr>
            </w:pPr>
            <w:r>
              <w:rPr>
                <w:rFonts w:ascii="Times New Roman" w:cs="Times New Roman" w:eastAsia="Times New Roman" w:hAnsi="Times New Roman"/>
                <w:sz w:val="22"/>
                <w:szCs w:val="22"/>
                <w:b w:val="1"/>
                <w:bCs w:val="1"/>
                <w:color w:val="auto"/>
              </w:rPr>
              <w:t>BASIC/DILUTED EARNINGS (LOSS) PER SHARE IN</w:t>
            </w:r>
          </w:p>
        </w:tc>
        <w:tc>
          <w:tcPr>
            <w:tcW w:w="188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(0.50)</w:t>
            </w:r>
          </w:p>
        </w:tc>
        <w:tc>
          <w:tcPr>
            <w:tcW w:w="18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(2.21)</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(1.07)</w:t>
            </w:r>
          </w:p>
        </w:tc>
        <w:tc>
          <w:tcPr>
            <w:tcW w:w="0" w:type="dxa"/>
            <w:vAlign w:val="bottom"/>
          </w:tcPr>
          <w:p>
            <w:pPr>
              <w:spacing w:after="0"/>
              <w:rPr>
                <w:sz w:val="1"/>
                <w:szCs w:val="1"/>
                <w:color w:val="auto"/>
              </w:rPr>
            </w:pPr>
          </w:p>
        </w:tc>
      </w:tr>
      <w:tr>
        <w:trPr>
          <w:trHeight w:val="165"/>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EUR</w:t>
            </w:r>
          </w:p>
        </w:tc>
        <w:tc>
          <w:tcPr>
            <w:tcW w:w="188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160" w:type="dxa"/>
            <w:vAlign w:val="bottom"/>
            <w:vMerge w:val="continue"/>
          </w:tcPr>
          <w:p>
            <w:pPr>
              <w:spacing w:after="0"/>
              <w:rPr>
                <w:sz w:val="10"/>
                <w:szCs w:val="10"/>
                <w:color w:val="auto"/>
              </w:rPr>
            </w:pPr>
          </w:p>
        </w:tc>
        <w:tc>
          <w:tcPr>
            <w:tcW w:w="18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112"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BALANCE SHEET</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3"/>
        </w:trPr>
        <w:tc>
          <w:tcPr>
            <w:tcW w:w="80" w:type="dxa"/>
            <w:vAlign w:val="bottom"/>
          </w:tcPr>
          <w:p>
            <w:pPr>
              <w:spacing w:after="0"/>
              <w:rPr>
                <w:sz w:val="24"/>
                <w:szCs w:val="24"/>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€k</w:t>
            </w:r>
          </w:p>
        </w:tc>
        <w:tc>
          <w:tcPr>
            <w:tcW w:w="22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FY 2023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FY 2022</w:t>
            </w:r>
          </w:p>
        </w:tc>
      </w:tr>
      <w:tr>
        <w:trPr>
          <w:trHeight w:val="250"/>
        </w:trPr>
        <w:tc>
          <w:tcPr>
            <w:tcW w:w="80" w:type="dxa"/>
            <w:vAlign w:val="bottom"/>
          </w:tcPr>
          <w:p>
            <w:pPr>
              <w:spacing w:after="0"/>
              <w:rPr>
                <w:sz w:val="21"/>
                <w:szCs w:val="21"/>
                <w:color w:val="auto"/>
              </w:rPr>
            </w:pPr>
          </w:p>
        </w:tc>
        <w:tc>
          <w:tcPr>
            <w:tcW w:w="48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ASSETS</w:t>
            </w:r>
          </w:p>
        </w:tc>
        <w:tc>
          <w:tcPr>
            <w:tcW w:w="2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Intangible assets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Property, plant, and equipment</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667</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Right-of-use assets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790</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financial assets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1,037</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w:t>
            </w:r>
          </w:p>
        </w:tc>
      </w:tr>
      <w:tr>
        <w:trPr>
          <w:trHeight w:val="266"/>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non-financial assets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4"/>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Noncurrent assets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1,037</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1,691</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Work in progress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financial assets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156</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1,134</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non-financial assets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266</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24,215</w:t>
            </w:r>
          </w:p>
        </w:tc>
      </w:tr>
      <w:tr>
        <w:trPr>
          <w:trHeight w:val="266"/>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7,412</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30,357</w:t>
            </w:r>
          </w:p>
        </w:tc>
      </w:tr>
      <w:tr>
        <w:trPr>
          <w:trHeight w:val="287"/>
        </w:trPr>
        <w:tc>
          <w:tcPr>
            <w:tcW w:w="80" w:type="dxa"/>
            <w:vAlign w:val="bottom"/>
          </w:tcPr>
          <w:p>
            <w:pPr>
              <w:spacing w:after="0"/>
              <w:rPr>
                <w:sz w:val="24"/>
                <w:szCs w:val="24"/>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22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7,834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55,779</w:t>
            </w:r>
          </w:p>
        </w:tc>
      </w:tr>
      <w:tr>
        <w:trPr>
          <w:trHeight w:val="281"/>
        </w:trPr>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8,871</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57,470</w:t>
            </w:r>
          </w:p>
        </w:tc>
      </w:tr>
      <w:tr>
        <w:trPr>
          <w:trHeight w:val="659"/>
        </w:trPr>
        <w:tc>
          <w:tcPr>
            <w:tcW w:w="8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488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b w:val="1"/>
                <w:bCs w:val="1"/>
                <w:color w:val="auto"/>
              </w:rPr>
              <w:t>EQUITY AND LIABILITIES</w:t>
            </w:r>
          </w:p>
        </w:tc>
        <w:tc>
          <w:tcPr>
            <w:tcW w:w="2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Subscribed capital</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10,840</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9,957</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Capital reserve</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287,926</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277,308</w:t>
            </w:r>
          </w:p>
        </w:tc>
      </w:tr>
      <w:tr>
        <w:trPr>
          <w:trHeight w:val="283"/>
        </w:trPr>
        <w:tc>
          <w:tcPr>
            <w:tcW w:w="80" w:type="dxa"/>
            <w:vAlign w:val="bottom"/>
          </w:tcPr>
          <w:p>
            <w:pPr>
              <w:spacing w:after="0"/>
              <w:rPr>
                <w:sz w:val="24"/>
                <w:szCs w:val="24"/>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Accumulated deficit</w:t>
            </w:r>
          </w:p>
        </w:tc>
        <w:tc>
          <w:tcPr>
            <w:tcW w:w="22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(384,338)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(330,778)</w:t>
            </w:r>
          </w:p>
        </w:tc>
      </w:tr>
      <w:tr>
        <w:trPr>
          <w:trHeight w:val="250"/>
        </w:trPr>
        <w:tc>
          <w:tcPr>
            <w:tcW w:w="80" w:type="dxa"/>
            <w:vAlign w:val="bottom"/>
          </w:tcPr>
          <w:p>
            <w:pPr>
              <w:spacing w:after="0"/>
              <w:rPr>
                <w:sz w:val="21"/>
                <w:szCs w:val="21"/>
                <w:color w:val="auto"/>
              </w:rPr>
            </w:pPr>
          </w:p>
        </w:tc>
        <w:tc>
          <w:tcPr>
            <w:tcW w:w="48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Equity</w:t>
            </w:r>
          </w:p>
        </w:tc>
        <w:tc>
          <w:tcPr>
            <w:tcW w:w="2280" w:type="dxa"/>
            <w:vAlign w:val="bottom"/>
          </w:tcPr>
          <w:p>
            <w:pPr>
              <w:jc w:val="right"/>
              <w:ind w:right="292"/>
              <w:spacing w:after="0" w:line="250" w:lineRule="exact"/>
              <w:rPr>
                <w:sz w:val="20"/>
                <w:szCs w:val="20"/>
                <w:color w:val="auto"/>
              </w:rPr>
            </w:pPr>
            <w:r>
              <w:rPr>
                <w:rFonts w:ascii="Times New Roman" w:cs="Times New Roman" w:eastAsia="Times New Roman" w:hAnsi="Times New Roman"/>
                <w:sz w:val="22"/>
                <w:szCs w:val="22"/>
                <w:b w:val="1"/>
                <w:bCs w:val="1"/>
                <w:color w:val="auto"/>
              </w:rPr>
              <w:t>(85,572)</w:t>
            </w:r>
          </w:p>
        </w:tc>
        <w:tc>
          <w:tcPr>
            <w:tcW w:w="126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auto"/>
              </w:rPr>
              <w:t>(43,513)</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Advance payments received from customers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49,288</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Financial liabilities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987</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4,649</w:t>
            </w:r>
          </w:p>
        </w:tc>
      </w:tr>
      <w:tr>
        <w:trPr>
          <w:trHeight w:val="283"/>
        </w:trPr>
        <w:tc>
          <w:tcPr>
            <w:tcW w:w="80" w:type="dxa"/>
            <w:vAlign w:val="bottom"/>
          </w:tcPr>
          <w:p>
            <w:pPr>
              <w:spacing w:after="0"/>
              <w:rPr>
                <w:sz w:val="24"/>
                <w:szCs w:val="24"/>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Other non-financial liabilities</w:t>
            </w:r>
          </w:p>
        </w:tc>
        <w:tc>
          <w:tcPr>
            <w:tcW w:w="22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469</w:t>
            </w:r>
          </w:p>
        </w:tc>
      </w:tr>
      <w:tr>
        <w:trPr>
          <w:trHeight w:val="250"/>
        </w:trPr>
        <w:tc>
          <w:tcPr>
            <w:tcW w:w="80" w:type="dxa"/>
            <w:vAlign w:val="bottom"/>
          </w:tcPr>
          <w:p>
            <w:pPr>
              <w:spacing w:after="0"/>
              <w:rPr>
                <w:sz w:val="21"/>
                <w:szCs w:val="21"/>
                <w:color w:val="auto"/>
              </w:rPr>
            </w:pPr>
          </w:p>
        </w:tc>
        <w:tc>
          <w:tcPr>
            <w:tcW w:w="48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b w:val="1"/>
                <w:bCs w:val="1"/>
                <w:color w:val="auto"/>
              </w:rPr>
              <w:t>Noncurrent liabilities</w:t>
            </w:r>
          </w:p>
        </w:tc>
        <w:tc>
          <w:tcPr>
            <w:tcW w:w="2280" w:type="dxa"/>
            <w:vAlign w:val="bottom"/>
          </w:tcPr>
          <w:p>
            <w:pPr>
              <w:jc w:val="right"/>
              <w:ind w:right="292"/>
              <w:spacing w:after="0" w:line="250" w:lineRule="exact"/>
              <w:rPr>
                <w:sz w:val="20"/>
                <w:szCs w:val="20"/>
                <w:color w:val="auto"/>
              </w:rPr>
            </w:pPr>
            <w:r>
              <w:rPr>
                <w:rFonts w:ascii="Times New Roman" w:cs="Times New Roman" w:eastAsia="Times New Roman" w:hAnsi="Times New Roman"/>
                <w:sz w:val="22"/>
                <w:szCs w:val="22"/>
                <w:b w:val="1"/>
                <w:bCs w:val="1"/>
                <w:color w:val="auto"/>
              </w:rPr>
              <w:t>987</w:t>
            </w:r>
          </w:p>
        </w:tc>
        <w:tc>
          <w:tcPr>
            <w:tcW w:w="126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auto"/>
              </w:rPr>
              <w:t>54,406</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Advance payments received from customers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354</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Financial liabilities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38,102</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30,225</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Trade and other payables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1,491</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11,699</w:t>
            </w:r>
          </w:p>
        </w:tc>
      </w:tr>
      <w:tr>
        <w:trPr>
          <w:trHeight w:val="270"/>
        </w:trPr>
        <w:tc>
          <w:tcPr>
            <w:tcW w:w="8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liabilities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1,823</w:t>
            </w:r>
          </w:p>
        </w:tc>
      </w:tr>
      <w:tr>
        <w:trPr>
          <w:trHeight w:val="283"/>
        </w:trPr>
        <w:tc>
          <w:tcPr>
            <w:tcW w:w="80" w:type="dxa"/>
            <w:vAlign w:val="bottom"/>
          </w:tcPr>
          <w:p>
            <w:pPr>
              <w:spacing w:after="0"/>
              <w:rPr>
                <w:sz w:val="24"/>
                <w:szCs w:val="24"/>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Provisions</w:t>
            </w:r>
          </w:p>
        </w:tc>
        <w:tc>
          <w:tcPr>
            <w:tcW w:w="22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color w:val="auto"/>
              </w:rPr>
              <w:t>53,860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2,476</w:t>
            </w:r>
          </w:p>
        </w:tc>
      </w:tr>
      <w:tr>
        <w:trPr>
          <w:trHeight w:val="264"/>
        </w:trPr>
        <w:tc>
          <w:tcPr>
            <w:tcW w:w="80" w:type="dxa"/>
            <w:vAlign w:val="bottom"/>
          </w:tcPr>
          <w:p>
            <w:pPr>
              <w:spacing w:after="0"/>
              <w:rPr>
                <w:sz w:val="22"/>
                <w:szCs w:val="22"/>
                <w:color w:val="auto"/>
              </w:rPr>
            </w:pP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22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93,456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46,577</w:t>
            </w:r>
          </w:p>
        </w:tc>
      </w:tr>
      <w:tr>
        <w:trPr>
          <w:trHeight w:val="280"/>
        </w:trPr>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EQUITY AND LIABILITIES</w:t>
            </w:r>
          </w:p>
        </w:tc>
        <w:tc>
          <w:tcPr>
            <w:tcW w:w="228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8,871</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57,470</w:t>
            </w:r>
          </w:p>
        </w:tc>
      </w:tr>
    </w:tbl>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CASH FLOW STATEMENT</w:t>
            </w:r>
          </w:p>
        </w:tc>
        <w:tc>
          <w:tcPr>
            <w:tcW w:w="2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80" w:type="dxa"/>
            <w:vAlign w:val="bottom"/>
          </w:tcPr>
          <w:p>
            <w:pPr>
              <w:spacing w:after="0"/>
              <w:rPr>
                <w:sz w:val="24"/>
                <w:szCs w:val="24"/>
                <w:color w:val="auto"/>
              </w:rPr>
            </w:pP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€k</w:t>
            </w:r>
          </w:p>
        </w:tc>
        <w:tc>
          <w:tcPr>
            <w:tcW w:w="2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FY 2023</w:t>
            </w:r>
          </w:p>
        </w:tc>
        <w:tc>
          <w:tcPr>
            <w:tcW w:w="1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FY 2022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FY 2021</w:t>
            </w:r>
          </w:p>
        </w:tc>
      </w:tr>
      <w:tr>
        <w:trPr>
          <w:trHeight w:val="250"/>
        </w:trPr>
        <w:tc>
          <w:tcPr>
            <w:tcW w:w="80" w:type="dxa"/>
            <w:vAlign w:val="bottom"/>
          </w:tcPr>
          <w:p>
            <w:pPr>
              <w:spacing w:after="0"/>
              <w:rPr>
                <w:sz w:val="21"/>
                <w:szCs w:val="21"/>
                <w:color w:val="auto"/>
              </w:rPr>
            </w:pPr>
          </w:p>
        </w:tc>
        <w:tc>
          <w:tcPr>
            <w:tcW w:w="58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Income (loss) after tax</w:t>
            </w:r>
          </w:p>
        </w:tc>
        <w:tc>
          <w:tcPr>
            <w:tcW w:w="2160" w:type="dxa"/>
            <w:vAlign w:val="bottom"/>
          </w:tcPr>
          <w:p>
            <w:pPr>
              <w:jc w:val="right"/>
              <w:ind w:right="392"/>
              <w:spacing w:after="0" w:line="250" w:lineRule="exact"/>
              <w:rPr>
                <w:sz w:val="20"/>
                <w:szCs w:val="20"/>
                <w:color w:val="auto"/>
              </w:rPr>
            </w:pPr>
            <w:r>
              <w:rPr>
                <w:rFonts w:ascii="Times New Roman" w:cs="Times New Roman" w:eastAsia="Times New Roman" w:hAnsi="Times New Roman"/>
                <w:sz w:val="22"/>
                <w:szCs w:val="22"/>
                <w:color w:val="auto"/>
              </w:rPr>
              <w:t>(53,560)</w:t>
            </w:r>
          </w:p>
        </w:tc>
        <w:tc>
          <w:tcPr>
            <w:tcW w:w="1880" w:type="dxa"/>
            <w:vAlign w:val="bottom"/>
          </w:tcPr>
          <w:p>
            <w:pPr>
              <w:jc w:val="right"/>
              <w:ind w:right="432"/>
              <w:spacing w:after="0" w:line="250" w:lineRule="exact"/>
              <w:rPr>
                <w:sz w:val="20"/>
                <w:szCs w:val="20"/>
                <w:color w:val="auto"/>
              </w:rPr>
            </w:pPr>
            <w:r>
              <w:rPr>
                <w:rFonts w:ascii="Times New Roman" w:cs="Times New Roman" w:eastAsia="Times New Roman" w:hAnsi="Times New Roman"/>
                <w:sz w:val="22"/>
                <w:szCs w:val="22"/>
                <w:color w:val="auto"/>
              </w:rPr>
              <w:t>(183,698)</w:t>
            </w:r>
          </w:p>
        </w:tc>
        <w:tc>
          <w:tcPr>
            <w:tcW w:w="13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(63,953)</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Depreciation of property, plant, and equipment</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29</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284</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Impairment of property, plant, and equipment</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3,842</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39,264</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1,965</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Depreciation of right-of-use assets</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78</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462</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415</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Impairment of right-of-use assets</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1,748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68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Impairment of intangible assets</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170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Expenses for share based payment transaction</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(572)</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1,447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1,981</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Deconsolidation gain</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(40,122)</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non-cash (income)/expenses</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6,280</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(665)</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 and similar income</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(8,427)</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(999)</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 and similar expense</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10,149</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3,321</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4,781</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Movements in provisions</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51,814</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274</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2,091</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Decrease/(Increase) in other assets</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4,805</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(6,773)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(3,760)</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Increase in trade and other payables</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16,916</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2,521</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5,218</w:t>
            </w:r>
          </w:p>
        </w:tc>
      </w:tr>
      <w:tr>
        <w:trPr>
          <w:trHeight w:val="270"/>
        </w:trPr>
        <w:tc>
          <w:tcPr>
            <w:tcW w:w="80" w:type="dxa"/>
            <w:vAlign w:val="bottom"/>
          </w:tcPr>
          <w:p>
            <w:pPr>
              <w:spacing w:after="0"/>
              <w:rPr>
                <w:sz w:val="23"/>
                <w:szCs w:val="23"/>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(Decrease)/Increase in advances received from customers</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(2,349)</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3,240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4,286</w:t>
            </w:r>
          </w:p>
        </w:tc>
      </w:tr>
      <w:tr>
        <w:trPr>
          <w:trHeight w:val="283"/>
        </w:trPr>
        <w:tc>
          <w:tcPr>
            <w:tcW w:w="80" w:type="dxa"/>
            <w:vAlign w:val="bottom"/>
          </w:tcPr>
          <w:p>
            <w:pPr>
              <w:spacing w:after="0"/>
              <w:rPr>
                <w:sz w:val="24"/>
                <w:szCs w:val="24"/>
                <w:color w:val="auto"/>
              </w:rPr>
            </w:pP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Interest paid</w:t>
            </w:r>
          </w:p>
        </w:tc>
        <w:tc>
          <w:tcPr>
            <w:tcW w:w="2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(49)</w:t>
            </w:r>
          </w:p>
        </w:tc>
        <w:tc>
          <w:tcPr>
            <w:tcW w:w="1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(251)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(436)</w:t>
            </w:r>
          </w:p>
        </w:tc>
      </w:tr>
      <w:tr>
        <w:trPr>
          <w:trHeight w:val="281"/>
        </w:trPr>
        <w:tc>
          <w:tcPr>
            <w:tcW w:w="8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CASH USED IN OPERATING ACTIVITIES</w:t>
            </w:r>
          </w:p>
        </w:tc>
        <w:tc>
          <w:tcPr>
            <w:tcW w:w="216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(11,166)</w:t>
            </w:r>
          </w:p>
        </w:tc>
        <w:tc>
          <w:tcPr>
            <w:tcW w:w="1880" w:type="dxa"/>
            <w:vAlign w:val="bottom"/>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(139,587)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(47,141)</w:t>
            </w:r>
          </w:p>
        </w:tc>
      </w:tr>
    </w:tbl>
    <w:p>
      <w:pPr>
        <w:sectPr>
          <w:pgSz w:w="11900" w:h="16838" w:orient="portrait"/>
          <w:cols w:equalWidth="0" w:num="1">
            <w:col w:w="11300"/>
          </w:cols>
          <w:pgMar w:left="320" w:top="581" w:right="279" w:bottom="214"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Deconsolidation of Subsidiary cash balance</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(7,481)</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of intangible assets</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(35)</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w:t>
            </w:r>
          </w:p>
        </w:tc>
      </w:tr>
      <w:tr>
        <w:trPr>
          <w:trHeight w:val="283"/>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Purchase of property, plant, and equipment</w:t>
            </w:r>
          </w:p>
        </w:tc>
        <w:tc>
          <w:tcPr>
            <w:tcW w:w="18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(3,842)</w:t>
            </w:r>
          </w:p>
        </w:tc>
        <w:tc>
          <w:tcPr>
            <w:tcW w:w="1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(47,203)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(1,429)</w:t>
            </w:r>
          </w:p>
        </w:tc>
      </w:tr>
      <w:tr>
        <w:trPr>
          <w:trHeight w:val="281"/>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CASH USED IN INVESTING ACTIVITIES</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(11,323)</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(47,238)</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(1,652)</w:t>
            </w:r>
          </w:p>
        </w:tc>
      </w:tr>
      <w:tr>
        <w:trPr>
          <w:trHeight w:val="51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Transaction costs on issue of shares to institutional investors</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Proceeds from issue of shares to institutional investors</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Transaction cost on issue of shares in IPO</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(2,690)</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Proceeds from issues of shares in IPO</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142,334</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Transaction costs on issue of shares from public offering</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(842)</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Proceeds from issue of shares on public offering</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39,346</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61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Transaction costs on issue of shares from committed equity</w:t>
            </w:r>
          </w:p>
        </w:tc>
        <w:tc>
          <w:tcPr>
            <w:tcW w:w="186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rPr>
              <w:t>(771)</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facility</w:t>
            </w:r>
          </w:p>
        </w:tc>
        <w:tc>
          <w:tcPr>
            <w:tcW w:w="18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Proceeds from issue of shares on committed equity facility</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17,254</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Proceeds from issue of shares on stock option scheme</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6</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25</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Proceeds from convertible debentures</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28,453</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Transaction costs for convertible debentures</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(28)</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Repayment of borrowings</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(2,187)</w:t>
            </w:r>
          </w:p>
        </w:tc>
      </w:tr>
      <w:tr>
        <w:trPr>
          <w:trHeight w:val="283"/>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Payment of principal portion of lease liabilities</w:t>
            </w:r>
          </w:p>
        </w:tc>
        <w:tc>
          <w:tcPr>
            <w:tcW w:w="18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(256)</w:t>
            </w:r>
          </w:p>
        </w:tc>
        <w:tc>
          <w:tcPr>
            <w:tcW w:w="1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(429)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(378)</w:t>
            </w:r>
          </w:p>
        </w:tc>
      </w:tr>
      <w:tr>
        <w:trPr>
          <w:trHeight w:val="264"/>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NET CASH (USED IN)/FROM FINANCING ACTIVITIES</w:t>
            </w:r>
          </w:p>
        </w:tc>
        <w:tc>
          <w:tcPr>
            <w:tcW w:w="18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(250)</w:t>
            </w:r>
          </w:p>
        </w:tc>
        <w:tc>
          <w:tcPr>
            <w:tcW w:w="1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83,008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138,562</w:t>
            </w:r>
          </w:p>
        </w:tc>
      </w:tr>
      <w:tr>
        <w:trPr>
          <w:trHeight w:val="219"/>
        </w:trPr>
        <w:tc>
          <w:tcPr>
            <w:tcW w:w="6180" w:type="dxa"/>
            <w:vAlign w:val="bottom"/>
          </w:tcPr>
          <w:p>
            <w:pPr>
              <w:ind w:left="20"/>
              <w:spacing w:after="0" w:line="219" w:lineRule="exact"/>
              <w:rPr>
                <w:sz w:val="20"/>
                <w:szCs w:val="20"/>
                <w:color w:val="auto"/>
              </w:rPr>
            </w:pPr>
            <w:r>
              <w:rPr>
                <w:rFonts w:ascii="Times New Roman" w:cs="Times New Roman" w:eastAsia="Times New Roman" w:hAnsi="Times New Roman"/>
                <w:sz w:val="22"/>
                <w:szCs w:val="22"/>
                <w:b w:val="1"/>
                <w:bCs w:val="1"/>
                <w:color w:val="auto"/>
              </w:rPr>
              <w:t>NET (DECREASE) / INCREASE IN CASH AND CASH</w:t>
            </w:r>
          </w:p>
        </w:tc>
        <w:tc>
          <w:tcPr>
            <w:tcW w:w="1860" w:type="dxa"/>
            <w:vAlign w:val="bottom"/>
          </w:tcPr>
          <w:p>
            <w:pPr>
              <w:jc w:val="right"/>
              <w:ind w:right="392"/>
              <w:spacing w:after="0" w:line="219" w:lineRule="exact"/>
              <w:rPr>
                <w:sz w:val="20"/>
                <w:szCs w:val="20"/>
                <w:color w:val="auto"/>
              </w:rPr>
            </w:pPr>
            <w:r>
              <w:rPr>
                <w:rFonts w:ascii="Times New Roman" w:cs="Times New Roman" w:eastAsia="Times New Roman" w:hAnsi="Times New Roman"/>
                <w:sz w:val="22"/>
                <w:szCs w:val="22"/>
                <w:b w:val="1"/>
                <w:bCs w:val="1"/>
                <w:color w:val="auto"/>
              </w:rPr>
              <w:t>(22,739)</w:t>
            </w:r>
          </w:p>
        </w:tc>
        <w:tc>
          <w:tcPr>
            <w:tcW w:w="1920" w:type="dxa"/>
            <w:vAlign w:val="bottom"/>
          </w:tcPr>
          <w:p>
            <w:pPr>
              <w:jc w:val="right"/>
              <w:ind w:right="472"/>
              <w:spacing w:after="0" w:line="219" w:lineRule="exact"/>
              <w:rPr>
                <w:sz w:val="20"/>
                <w:szCs w:val="20"/>
                <w:color w:val="auto"/>
              </w:rPr>
            </w:pPr>
            <w:r>
              <w:rPr>
                <w:rFonts w:ascii="Times New Roman" w:cs="Times New Roman" w:eastAsia="Times New Roman" w:hAnsi="Times New Roman"/>
                <w:sz w:val="22"/>
                <w:szCs w:val="22"/>
                <w:b w:val="1"/>
                <w:bCs w:val="1"/>
                <w:color w:val="auto"/>
              </w:rPr>
              <w:t>(103,817)</w:t>
            </w:r>
          </w:p>
        </w:tc>
        <w:tc>
          <w:tcPr>
            <w:tcW w:w="1260" w:type="dxa"/>
            <w:vAlign w:val="bottom"/>
          </w:tcPr>
          <w:p>
            <w:pPr>
              <w:jc w:val="right"/>
              <w:spacing w:after="0" w:line="219" w:lineRule="exact"/>
              <w:rPr>
                <w:sz w:val="20"/>
                <w:szCs w:val="20"/>
                <w:color w:val="auto"/>
              </w:rPr>
            </w:pPr>
            <w:r>
              <w:rPr>
                <w:rFonts w:ascii="Times New Roman" w:cs="Times New Roman" w:eastAsia="Times New Roman" w:hAnsi="Times New Roman"/>
                <w:sz w:val="22"/>
                <w:szCs w:val="22"/>
                <w:b w:val="1"/>
                <w:bCs w:val="1"/>
                <w:color w:val="auto"/>
              </w:rPr>
              <w:t>89,769</w:t>
            </w:r>
          </w:p>
        </w:tc>
      </w:tr>
      <w:tr>
        <w:trPr>
          <w:trHeight w:val="287"/>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EQUIVALENTS</w:t>
            </w:r>
          </w:p>
        </w:tc>
        <w:tc>
          <w:tcPr>
            <w:tcW w:w="1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46"/>
        </w:trPr>
        <w:tc>
          <w:tcPr>
            <w:tcW w:w="6180" w:type="dxa"/>
            <w:vAlign w:val="bottom"/>
          </w:tcPr>
          <w:p>
            <w:pPr>
              <w:ind w:left="20"/>
              <w:spacing w:after="0" w:line="246" w:lineRule="exact"/>
              <w:rPr>
                <w:sz w:val="20"/>
                <w:szCs w:val="20"/>
                <w:color w:val="auto"/>
              </w:rPr>
            </w:pPr>
            <w:r>
              <w:rPr>
                <w:rFonts w:ascii="Times New Roman" w:cs="Times New Roman" w:eastAsia="Times New Roman" w:hAnsi="Times New Roman"/>
                <w:sz w:val="22"/>
                <w:szCs w:val="22"/>
                <w:color w:val="auto"/>
              </w:rPr>
              <w:t>Effect of currency translation on cash and cash equivalent</w:t>
            </w:r>
          </w:p>
        </w:tc>
        <w:tc>
          <w:tcPr>
            <w:tcW w:w="1860" w:type="dxa"/>
            <w:vAlign w:val="bottom"/>
          </w:tcPr>
          <w:p>
            <w:pPr>
              <w:jc w:val="right"/>
              <w:ind w:right="392"/>
              <w:spacing w:after="0" w:line="246" w:lineRule="exact"/>
              <w:rPr>
                <w:sz w:val="20"/>
                <w:szCs w:val="20"/>
                <w:color w:val="auto"/>
              </w:rPr>
            </w:pPr>
            <w:r>
              <w:rPr>
                <w:rFonts w:ascii="Times New Roman" w:cs="Times New Roman" w:eastAsia="Times New Roman" w:hAnsi="Times New Roman"/>
                <w:sz w:val="22"/>
                <w:szCs w:val="22"/>
                <w:color w:val="auto"/>
              </w:rPr>
              <w:t>(206)</w:t>
            </w:r>
          </w:p>
        </w:tc>
        <w:tc>
          <w:tcPr>
            <w:tcW w:w="1920" w:type="dxa"/>
            <w:vAlign w:val="bottom"/>
          </w:tcPr>
          <w:p>
            <w:pPr>
              <w:jc w:val="right"/>
              <w:ind w:right="472"/>
              <w:spacing w:after="0" w:line="246" w:lineRule="exact"/>
              <w:rPr>
                <w:sz w:val="20"/>
                <w:szCs w:val="20"/>
                <w:color w:val="auto"/>
              </w:rPr>
            </w:pPr>
            <w:r>
              <w:rPr>
                <w:rFonts w:ascii="Times New Roman" w:cs="Times New Roman" w:eastAsia="Times New Roman" w:hAnsi="Times New Roman"/>
                <w:sz w:val="22"/>
                <w:szCs w:val="22"/>
                <w:color w:val="auto"/>
              </w:rPr>
              <w:t>1,235</w:t>
            </w:r>
          </w:p>
        </w:tc>
        <w:tc>
          <w:tcPr>
            <w:tcW w:w="1260" w:type="dxa"/>
            <w:vAlign w:val="bottom"/>
          </w:tcPr>
          <w:p>
            <w:pPr>
              <w:jc w:val="right"/>
              <w:spacing w:after="0" w:line="246" w:lineRule="exact"/>
              <w:rPr>
                <w:sz w:val="20"/>
                <w:szCs w:val="20"/>
                <w:color w:val="auto"/>
              </w:rPr>
            </w:pPr>
            <w:r>
              <w:rPr>
                <w:rFonts w:ascii="Times New Roman" w:cs="Times New Roman" w:eastAsia="Times New Roman" w:hAnsi="Times New Roman"/>
                <w:sz w:val="22"/>
                <w:szCs w:val="22"/>
                <w:color w:val="auto"/>
              </w:rPr>
              <w:t>(94)</w:t>
            </w:r>
          </w:p>
        </w:tc>
      </w:tr>
      <w:tr>
        <w:trPr>
          <w:trHeight w:val="243"/>
        </w:trPr>
        <w:tc>
          <w:tcPr>
            <w:tcW w:w="61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CASH AND CASH EQUIVALENTS AT THE BEGINNING</w:t>
            </w:r>
          </w:p>
        </w:tc>
        <w:tc>
          <w:tcPr>
            <w:tcW w:w="186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30,357</w:t>
            </w:r>
          </w:p>
        </w:tc>
        <w:tc>
          <w:tcPr>
            <w:tcW w:w="192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rPr>
              <w:t>132,939</w:t>
            </w:r>
          </w:p>
        </w:tc>
        <w:tc>
          <w:tcPr>
            <w:tcW w:w="1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43,264</w:t>
            </w: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OF THE FINANCIAL YEAR</w:t>
            </w:r>
          </w:p>
        </w:tc>
        <w:tc>
          <w:tcPr>
            <w:tcW w:w="18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86"/>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CASH AND CASH EQUIVALENTS AT END OF YEAR</w:t>
            </w:r>
          </w:p>
        </w:tc>
        <w:tc>
          <w:tcPr>
            <w:tcW w:w="186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7,412</w:t>
            </w:r>
          </w:p>
        </w:tc>
        <w:tc>
          <w:tcPr>
            <w:tcW w:w="1920" w:type="dxa"/>
            <w:vAlign w:val="bottom"/>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30,357</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132,939</w:t>
            </w:r>
          </w:p>
        </w:tc>
      </w:tr>
    </w:tbl>
    <w:p>
      <w:pPr>
        <w:spacing w:after="0" w:line="1" w:lineRule="exact"/>
        <w:rPr>
          <w:sz w:val="20"/>
          <w:szCs w:val="20"/>
          <w:color w:val="auto"/>
        </w:rPr>
      </w:pPr>
    </w:p>
    <w:sectPr>
      <w:pgSz w:w="11900" w:h="16838" w:orient="portrait"/>
      <w:cols w:equalWidth="0" w:num="1">
        <w:col w:w="11220"/>
      </w:cols>
      <w:pgMar w:left="400" w:top="12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2024-06-24T07:04:09Z</dcterms:created>
  <dcterms:modified xsi:type="dcterms:W3CDTF">2024-06-24T07:04:09Z</dcterms:modified>
</cp:coreProperties>
</file>