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1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Waldmeisterstrasse 93</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80935 Munich</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89"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-706755</wp:posOffset>
            </wp:positionH>
            <wp:positionV relativeFrom="paragraph">
              <wp:posOffset>526415</wp:posOffset>
            </wp:positionV>
            <wp:extent cx="71348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9019"/>
          </w:cols>
          <w:pgMar w:left="1440" w:top="19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Reverse Share Split</w:t>
      </w:r>
    </w:p>
    <w:p>
      <w:pPr>
        <w:spacing w:after="0" w:line="2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previously disclosed, the shareholders of Sono Group N.V. approved a reverse share split (the “Reverse Share Split”) of the Company’s ordinary shares, nominal value of €0.06 (the “Ordinary Shares”), and the Company’s high voting shares, nominal value of €1.50 (the “High Voting Shares”). On December 23, 2024, Sono Group N.V. (the “Company”) amended its articles of association (the “Amended Articles”) to implement the Reverse Share Split at a ratio of 1-for-75 (the “Reverse Split Ratio”), resulting in every 75 Ordinary Shares issued and outstanding immediately prior to the Reverse Share Split being converted into one Ordinary Shares and every 75 High Voting Shares issued and outstanding immediately prior to the Reverse Share Split being converted into one High Voting Share. A copy of the Amended Articles is attached hereto as Exhibit 3.1 and incorporated herein by reference.</w:t>
      </w:r>
    </w:p>
    <w:p>
      <w:pPr>
        <w:spacing w:after="0" w:line="18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Reverse Share Split became effective under Dutch corporate law as of the date of the Amended Articles; however, the Reverse Share Split will not be reflected in quotations on the OTCQB until processed by the Financial Industry Regulatory Authority (“FINRA”). The Company is continuing to engage with FINRA in order to process the Reverse Share Split as soon as possible. In addition, on the effective date of the Reverse Share Split the Ordinary Shares will trade under a new CUSIP number. No fractional shares will be issued in connection with the Reverse Share Split; all fractional shares will be rounded up. Shareholders with shares held in certificate form will be able to exchange share certificates by contacting the Company’s transfer agent, Equiniti Trust Company, LLC. Shareholders that hold shares in book-entry form or in brokerage accounts are not required to take any action and will see the impact of the Reverse Share Split reflected in their accounts.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 Debenture and Call Option Agreement</w:t>
      </w:r>
    </w:p>
    <w:p>
      <w:pPr>
        <w:spacing w:after="0" w:line="21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On December 30, 2024, the Company entered into a securities purchase agreement (the “Securities Purchase Agreement”) with YA II PN, Ltd. (“Yorkville”), pursuant to which the Company agreed to sell and issue to Yorkville a new convertible debenture (the “Debenture”) in the aggregate principal amount of $5 million, which is convertible into Ordinary Shares as described below. The issuance and sale of the Debenture is subject to certain conditions and limitations, including the Company’s receipt of notice from Nasdaq that the Company has met all the applicable requirements for listing of the Ordinary Shares on the Nasdaq Capital Market.</w:t>
      </w:r>
    </w:p>
    <w:p>
      <w:pPr>
        <w:spacing w:after="0" w:line="18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7"/>
          <w:szCs w:val="17"/>
          <w:color w:val="auto"/>
        </w:rPr>
        <w:t>The Debenture, when issued, will mature on the one-year anniversary of the issuance date of the Debenture. Further, interest will accrue on the outstanding principal balance of the Debenture at an annual rate of 12%, which will increase to an annual rate of 18% upon an Event of Default (as defined in the Debenture) for so long as such Event of Default remains uncured. Yorkville will have the right to convert the Debenture into Ordinary Shares at the lower of</w:t>
      </w:r>
    </w:p>
    <w:p>
      <w:pPr>
        <w:ind w:right="360" w:firstLine="6"/>
        <w:spacing w:after="0" w:line="269" w:lineRule="auto"/>
        <w:tabs>
          <w:tab w:leader="none" w:pos="21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price per Ordinary Share equal to $0.25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Debenture) then in effect and the nominal value of one Ordinary Share.</w:t>
      </w:r>
    </w:p>
    <w:p>
      <w:pPr>
        <w:spacing w:after="0" w:line="17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In connection with the transactions contemplated by the Securities Purchase Agreement, Yorkville and SVSE LLC (“SVSE”), whose sole member is George O’Leary, will enter into a call option agreement (the “Call Option Agreement”) before the issuance of the Debenture. Pursuant to the Call Option Agreement, SVSE will agree to provide Yorkville with a call option (the “Call Option”) to purchase all of the Ordinary Shares and High Voting Shares held by SVSE at a price of $0.1125 per Ordinary Share and $1.875 per High Voting Share (post Reverse Share Split). The Call Option will expire at 5:00 p.m. Eastern time on the four-year anniversary of the date of the Call Option Agreement (the “Expiration Time”), and may be exercised prior to the Expiration Time on multiple occasions with respect to a portion of the Ordinary Shares and High Voting Shares held by SVSE. Under the terms of the Call Option Agreement, Yorkville may not exercise the Call Option if, after giving effect to such exercise, Yorkville and any of its affiliates would beneficially own more than 4.99% of (i) the number of High Voting Shares outstanding, (ii) the number of Ordinary Shares outstanding, or (iii) the voting power of the total capital of the Company (including due to the voting rights of the High Voting Shares). Such ownership limitations may be waived by Yorkville upon not less than 65 days prior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1348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2" w:name="page3"/>
    <w:bookmarkEnd w:id="2"/>
    <w:p>
      <w:pPr>
        <w:jc w:val="both"/>
        <w:ind w:right="540"/>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Securities Purchase Agreement, form of Debenture and Call Option Agreement does not purport to be complete and is qualified in its entirety by the terms of the Securities Purchase Agreement, form of Debenture and Call Option Agreement, which are attached hereto as Exhibits 10.1, 4.1 and 4.2, respectively, and are incorporated 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December 30, 2024, the Company entered into an exchange agreement (the “Exchange Agreement”) with Yorkville, pursuant to which the Company agreed, subject to the satisfactions of certain conditions precedent, to issue 1,242 shares of preferred stock of the Company, each with a nominal value of €300 (the “Preferred Shares”), to Yorkville solely in exchange for the surrender and cancellation of all of the debentures held by Yorkville, including the Debenture to be issued as described above.</w:t>
      </w:r>
    </w:p>
    <w:p>
      <w:pPr>
        <w:spacing w:after="0" w:line="18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Each Preferred Share is convertible into 30,000 Ordinary Shares. In connection with the conversion of each Preferred Share, the effective conversion price (the “Effective Conversion Price”) per share shall be equal to 85% of the lowest daily volume weighted average price of the Ordinary Shares during the 10 trading days immediately preceding the date of the notice of conversion, subject to a floor price equal to 20% of the closing price of the Ordinary Shares immediately prior to the date of the Exchange Agreement. Upon the conversion of each Preferred Share, Yorkville is required to surrender such Preferred Share and Yorkville will automatically sell and transfer to the Company for no consideration (the “Repurchase”) additional Preferred Shares such that the total number of Preferred Shares surrendered and subject to the Repurchase will be equal to (a) the total number of Ordinary Shares issuable upon such conversion, multiplied by (b) the Effective Conversion Price, divided by (c) 30,000. Under the terms of the Exchange Agreement, Yorkville may not convert Preferred Shares if, after giving effect to such conversion, Yorkville and any of its affiliates would beneficially own more than 4.99% of the number or voting power of the Ordinary Shares outstanding immediately after giving effect to such conversion. Such ownership limitations may be waived by Yorkville upon not less than 65 days prior notice to the Company.</w:t>
      </w:r>
    </w:p>
    <w:p>
      <w:pPr>
        <w:spacing w:after="0" w:line="190" w:lineRule="exact"/>
        <w:rPr>
          <w:sz w:val="20"/>
          <w:szCs w:val="20"/>
          <w:color w:val="auto"/>
        </w:rPr>
      </w:pPr>
    </w:p>
    <w:p>
      <w:pPr>
        <w:ind w:right="440"/>
        <w:spacing w:after="0" w:line="301" w:lineRule="auto"/>
        <w:rPr>
          <w:sz w:val="20"/>
          <w:szCs w:val="20"/>
          <w:color w:val="auto"/>
        </w:rPr>
      </w:pPr>
      <w:r>
        <w:rPr>
          <w:rFonts w:ascii="Times New Roman" w:cs="Times New Roman" w:eastAsia="Times New Roman" w:hAnsi="Times New Roman"/>
          <w:sz w:val="17"/>
          <w:szCs w:val="17"/>
          <w:color w:val="auto"/>
        </w:rPr>
        <w:t>The closing of the transactions contemplated by the Exchange Agreement are subject to certain conditions precedent, including the Company’s receipt of notice from Nasdaq that the Company has met all the applicable requirements for listing of the Ordinary Shares on the Nasdaq Capital Market.</w:t>
      </w:r>
    </w:p>
    <w:p>
      <w:pPr>
        <w:spacing w:after="0" w:line="14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foregoing description of the Exchange Agreement does not purport to be complete and is qualified in its entirety by the terms of the Exchange Agreement, which is attached hereto as Exhibit 10.2, respectively, and is incorporated herein by reference.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Financial Officer</w:t>
      </w:r>
    </w:p>
    <w:p>
      <w:pPr>
        <w:spacing w:after="0" w:line="21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7"/>
          <w:szCs w:val="17"/>
          <w:color w:val="auto"/>
        </w:rPr>
        <w:t>The Company’s management board and supervisory board have approved the appointment of Mr. Scott Calhoun, the Company’s current active Controller, to serve as the Company’s Chief Financial Officer. George O’Leary will continue to serve as the Company’s Managing Director and Chief Executive Officer.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Financial Statements</w:t>
      </w:r>
    </w:p>
    <w:p>
      <w:pPr>
        <w:spacing w:after="0" w:line="2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has issued an unaudited pro forma condensed consolidated balance sheet and statement of income as of the nine-months ended September 30, 2024 (the “Pro Forma Financial Information”), which give effect to the transactions contemplated by the Securities Purchase Agreement and the Exchange Agreement. The Pro Forma Financial Information, which is attached hereto as Exhibit 99.1, is being furnished in connection with the Company’s planned uplisting to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346075</wp:posOffset>
            </wp:positionV>
            <wp:extent cx="71348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19"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7"/>
          <w:szCs w:val="17"/>
          <w:color w:val="auto"/>
        </w:rPr>
        <w:t>The information in this report on Form 6-K is hereby incorporated by reference into the Company’s registration statement on Form S-8 (File No. 333-261241), to be a part thereof from the date on which this report is submitted, to the extent not superseded by documents or reports subsequently filed or furnished.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1034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EE"/>
                <w:w w:val="79"/>
              </w:rPr>
              <w:t>3.</w:t>
            </w:r>
            <w:r>
              <w:rPr>
                <w:rFonts w:ascii="Times New Roman" w:cs="Times New Roman" w:eastAsia="Times New Roman" w:hAnsi="Times New Roman"/>
                <w:sz w:val="18"/>
                <w:szCs w:val="18"/>
                <w:u w:val="single" w:color="auto"/>
                <w:color w:val="0000EE"/>
                <w:w w:val="79"/>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4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0000EE"/>
              </w:rPr>
              <w:t>Deed of partial amendment of the articles of association (Reverse Share Split and Capital Reduction)</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4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0000EE"/>
              </w:rPr>
              <w:t>Form of Secured Convertible Debenture (included in Exhibit 10.1)</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4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0000EE"/>
              </w:rPr>
              <w:t>Form of Call Option Agreement, by and between SVSE LLC and YA II PN, Ltd. (included in Exhibit 10.1)</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4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0000EE"/>
              </w:rPr>
              <w:t>Securities Purchase Agreement, dated December 30, 2024, by and between Sono Group N.V. and YA II PN, Ltd.</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4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4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0000EE"/>
              </w:rPr>
              <w:t>Exchange Agreement, dated December 30, 2024, by and between Sono Group N.V. and YA II PN, Ltd.</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40" w:type="dxa"/>
            <w:vAlign w:val="bottom"/>
            <w:gridSpan w:val="4"/>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04"/>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340" w:type="dxa"/>
            <w:vAlign w:val="bottom"/>
            <w:gridSpan w:val="10"/>
          </w:tcPr>
          <w:p>
            <w:pPr>
              <w:ind w:left="380"/>
              <w:spacing w:after="0"/>
              <w:rPr>
                <w:sz w:val="20"/>
                <w:szCs w:val="20"/>
                <w:color w:val="auto"/>
              </w:rPr>
            </w:pPr>
            <w:r>
              <w:rPr>
                <w:rFonts w:ascii="Times New Roman" w:cs="Times New Roman" w:eastAsia="Times New Roman" w:hAnsi="Times New Roman"/>
                <w:sz w:val="18"/>
                <w:szCs w:val="18"/>
                <w:color w:val="0000EE"/>
                <w:w w:val="98"/>
              </w:rPr>
              <w:t>Sono Group N.V. pro forma condensed consolidated balance sheet and statement of income as of and for the nine months ended September</w:t>
            </w:r>
          </w:p>
        </w:tc>
      </w:tr>
      <w:tr>
        <w:trPr>
          <w:trHeight w:val="20"/>
        </w:trPr>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ind w:left="380"/>
              <w:spacing w:after="0" w:line="192" w:lineRule="exact"/>
              <w:rPr>
                <w:sz w:val="20"/>
                <w:szCs w:val="20"/>
                <w:color w:val="auto"/>
              </w:rPr>
            </w:pPr>
            <w:r>
              <w:rPr>
                <w:rFonts w:ascii="Times New Roman" w:cs="Times New Roman" w:eastAsia="Times New Roman" w:hAnsi="Times New Roman"/>
                <w:sz w:val="18"/>
                <w:szCs w:val="18"/>
                <w:color w:val="0000EE"/>
              </w:rPr>
              <w:t>30, 2024</w:t>
            </w:r>
          </w:p>
        </w:tc>
        <w:tc>
          <w:tcPr>
            <w:tcW w:w="3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211"/>
        </w:trPr>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66"/>
        </w:trPr>
        <w:tc>
          <w:tcPr>
            <w:tcW w:w="22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3120" w:type="dxa"/>
            <w:vAlign w:val="bottom"/>
            <w:shd w:val="clear" w:color="auto" w:fill="000000"/>
          </w:tcPr>
          <w:p>
            <w:pPr>
              <w:spacing w:after="0"/>
              <w:rPr>
                <w:sz w:val="5"/>
                <w:szCs w:val="5"/>
                <w:color w:val="auto"/>
              </w:rPr>
            </w:pPr>
          </w:p>
        </w:tc>
        <w:tc>
          <w:tcPr>
            <w:tcW w:w="24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8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69" w:right="33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3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-130175</wp:posOffset>
            </wp:positionV>
            <wp:extent cx="2487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7295" cy="8255"/>
                    </a:xfrm>
                    <a:prstGeom prst="rect">
                      <a:avLst/>
                    </a:prstGeom>
                    <a:noFill/>
                  </pic:spPr>
                </pic:pic>
              </a:graphicData>
            </a:graphic>
          </wp:anchor>
        </w:drawing>
      </w: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989330</wp:posOffset>
            </wp:positionV>
            <wp:extent cx="71348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020"/>
          </w:cols>
          <w:pgMar w:left="320" w:top="781" w:right="559" w:bottom="1440" w:gutter="0" w:footer="0" w:header="0"/>
        </w:sectPr>
      </w:pPr>
    </w:p>
    <w:bookmarkStart w:id="5" w:name="page6"/>
    <w:bookmarkEnd w:id="5"/>
    <w:p>
      <w:pPr>
        <w:ind w:left="9140"/>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175260</wp:posOffset>
            </wp:positionV>
            <wp:extent cx="5412105" cy="765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0" w:num="1">
            <w:col w:w="10120"/>
          </w:cols>
          <w:pgMar w:left="1440" w:top="110"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1072515</wp:posOffset>
            </wp:positionH>
            <wp:positionV relativeFrom="page">
              <wp:posOffset>307340</wp:posOffset>
            </wp:positionV>
            <wp:extent cx="5412105" cy="7656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41210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307340</wp:posOffset>
            </wp:positionV>
            <wp:extent cx="7134860" cy="774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7740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SECURITIES PURCHASE AGREEMENT</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jc w:val="both"/>
        <w:ind w:firstLine="635"/>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THIS SECURITIES PURCHASE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30, 2024, is between</w:t>
      </w:r>
      <w:r>
        <w:rPr>
          <w:rFonts w:ascii="Times New Roman" w:cs="Times New Roman" w:eastAsia="Times New Roman" w:hAnsi="Times New Roman"/>
          <w:sz w:val="18"/>
          <w:szCs w:val="18"/>
          <w:b w:val="1"/>
          <w:bCs w:val="1"/>
          <w:color w:val="auto"/>
        </w:rPr>
        <w:t xml:space="preserve"> SONO GROUP N.V., </w:t>
      </w:r>
      <w:r>
        <w:rPr>
          <w:rFonts w:ascii="Times New Roman" w:cs="Times New Roman" w:eastAsia="Times New Roman" w:hAnsi="Times New Roman"/>
          <w:sz w:val="18"/>
          <w:szCs w:val="18"/>
          <w:color w:val="auto"/>
        </w:rPr>
        <w:t>a Dutch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jc w:val="both"/>
        <w:ind w:firstLine="635"/>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Buyer desire to enter into this transaction for the Company to sell and the Buyer to purchase the Convertible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 (as defined below) pursuant to an exemption from registration pursuant to Section 4(a)(2) and/or Rule 506 of Regulation D (“</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as promulgated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635"/>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that, upon the terms and subject to the conditions contained herein, the Company shall issue and sell to the Buyer,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herein, and the Buyer shall purchase a convertible debenture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Convertible Debenture</w:t>
      </w:r>
      <w:r>
        <w:rPr>
          <w:rFonts w:ascii="Times New Roman" w:cs="Times New Roman" w:eastAsia="Times New Roman" w:hAnsi="Times New Roman"/>
          <w:sz w:val="18"/>
          <w:szCs w:val="18"/>
          <w:color w:val="auto"/>
        </w:rPr>
        <w:t>”) in the aggregate principal amount of $5,000,000, which shall be convertible into ordinary shares of the Company, nominal value of €0.06 per share (the “</w:t>
      </w:r>
      <w:r>
        <w:rPr>
          <w:rFonts w:ascii="Times New Roman" w:cs="Times New Roman" w:eastAsia="Times New Roman" w:hAnsi="Times New Roman"/>
          <w:sz w:val="18"/>
          <w:szCs w:val="18"/>
          <w:u w:val="single" w:color="auto"/>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converted,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The Convertible Debenture shall be purchased at the closing as set forth below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at a purchase price equal to 100% of the principal amount of the Convertible Debenture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635"/>
        <w:spacing w:after="0" w:line="24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following the execution and delivery of this Agreement, the parties hereto will be executing and delivering an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pursuant to which the Convertible Debenture, along with the other convertible debentures held by the Buyer, will be exchanged for preferred stock of the Company (the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which are convertible into Ordinary Shares; and</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Convertible Debenture and the Conversion Shares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AGREEMENT</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jc w:val="both"/>
        <w:ind w:firstLine="635"/>
        <w:spacing w:after="0" w:line="245"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the Buyer hereby agree as follows: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640" w:hanging="634"/>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AND SALE OF CONVERTIBLE DEBENTURE.</w:t>
      </w:r>
    </w:p>
    <w:p>
      <w:pPr>
        <w:spacing w:after="0" w:line="4"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Purchase of Convertible Debenture</w:t>
      </w:r>
      <w:r>
        <w:rPr>
          <w:rFonts w:ascii="Times New Roman" w:cs="Times New Roman" w:eastAsia="Times New Roman" w:hAnsi="Times New Roman"/>
          <w:sz w:val="18"/>
          <w:szCs w:val="18"/>
          <w:color w:val="auto"/>
        </w:rPr>
        <w:t>. Subject to the satisfaction (or waiver) of the conditions set forth in Sections 6 and 7 below, the Company shall issue and sell to the Buyer, and the Buyer agrees to purchase from the Company at the Closing the Convertible Debenture with a principal amount corresponding to the Purchase Price.</w:t>
      </w:r>
    </w:p>
    <w:p>
      <w:pPr>
        <w:spacing w:after="0" w:line="188" w:lineRule="exact"/>
        <w:rPr>
          <w:sz w:val="20"/>
          <w:szCs w:val="20"/>
          <w:color w:val="auto"/>
        </w:rPr>
      </w:pPr>
    </w:p>
    <w:p>
      <w:pPr>
        <w:jc w:val="both"/>
        <w:ind w:firstLine="324"/>
        <w:spacing w:after="0" w:line="254" w:lineRule="auto"/>
        <w:tabs>
          <w:tab w:leader="none" w:pos="17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shall occur on the first Business Day on which the conditions to the Closing set forth in Sections 6 and 7 below are satisfied or waived (or such other date as is mutually agreed to by the Company and the Buyer)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Day</w:t>
      </w:r>
      <w:r>
        <w:rPr>
          <w:rFonts w:ascii="Times New Roman" w:cs="Times New Roman" w:eastAsia="Times New Roman" w:hAnsi="Times New Roman"/>
          <w:sz w:val="18"/>
          <w:szCs w:val="18"/>
          <w:color w:val="auto"/>
        </w:rPr>
        <w:t>” means any day other than a Saturday, Sunday or other day on which commercial banks in New York, New York are authorized or required by law to remain closed.</w:t>
      </w:r>
    </w:p>
    <w:p>
      <w:pPr>
        <w:spacing w:after="0" w:line="18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Form of Payment; Deliveries</w:t>
      </w:r>
      <w:r>
        <w:rPr>
          <w:rFonts w:ascii="Times New Roman" w:cs="Times New Roman" w:eastAsia="Times New Roman" w:hAnsi="Times New Roman"/>
          <w:sz w:val="18"/>
          <w:szCs w:val="18"/>
          <w:color w:val="auto"/>
        </w:rPr>
        <w:t>. Subject to the satisfaction of the terms and conditions of this Agreement, on the Closing Date, (i) the Buyer shall deliver to the Company the Purchase Price for the Convertible Debenture to be issued and sold to Buyer at the Closing and (ii) the Company shall deliver to the Buyer the Convertible Debenture, duly executed on behalf of the Company, with an aggregate principal amount corresponding to the Purchase Price.</w:t>
      </w:r>
    </w:p>
    <w:p>
      <w:pPr>
        <w:spacing w:after="0" w:line="399" w:lineRule="exact"/>
        <w:rPr>
          <w:sz w:val="20"/>
          <w:szCs w:val="20"/>
          <w:color w:val="auto"/>
        </w:rPr>
      </w:pPr>
    </w:p>
    <w:p>
      <w:pPr>
        <w:jc w:val="both"/>
        <w:ind w:firstLine="324"/>
        <w:spacing w:after="0" w:line="250" w:lineRule="auto"/>
        <w:tabs>
          <w:tab w:leader="none" w:pos="17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confirms that the Conversion Shares shall be subject to any registration rights the Buyer may have with the Company, including those provided by the Registration Rights Agreement, dated December 7, 2022, by and between the Company and the Buyer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provided that the Company and Buyer shall work together in good faith to give effect to those rights as necessary given the Company is not currently listed on a national securities exchange.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3" w:name="page74"/>
    <w:bookmarkEnd w:id="73"/>
    <w:p>
      <w:pPr>
        <w:ind w:left="640" w:hanging="634"/>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BUYER’S REPRESENTATIONS AND WARRANTIES.</w:t>
      </w:r>
    </w:p>
    <w:p>
      <w:pPr>
        <w:spacing w:after="0" w:line="24" w:lineRule="exact"/>
        <w:rPr>
          <w:rFonts w:ascii="Times New Roman" w:cs="Times New Roman" w:eastAsia="Times New Roman" w:hAnsi="Times New Roman"/>
          <w:sz w:val="18"/>
          <w:szCs w:val="18"/>
          <w:b w:val="1"/>
          <w:bCs w:val="1"/>
          <w:color w:val="auto"/>
        </w:rPr>
      </w:pPr>
    </w:p>
    <w:p>
      <w:pPr>
        <w:ind w:left="1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Buyer hereby represents and warrants to the Company that, as of the date hereof and as of the Closing Date:</w:t>
      </w:r>
    </w:p>
    <w:p>
      <w:pPr>
        <w:spacing w:after="0" w:line="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b w:val="1"/>
          <w:bCs w:val="1"/>
          <w:color w:val="auto"/>
        </w:rPr>
      </w:pPr>
    </w:p>
    <w:p>
      <w:pPr>
        <w:jc w:val="both"/>
        <w:ind w:firstLine="324"/>
        <w:spacing w:after="0" w:line="246" w:lineRule="auto"/>
        <w:tabs>
          <w:tab w:leader="none" w:pos="163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xml:space="preserve"> The Buyer is acquiring the Securities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Buyer does not agree, or make any representation or warranty, to hold any of the Securities for any minimum or other specific term and reserves the right to dispose of the Securities at any time in accordance with, or pursuant to, a registration statement covering such Securities or an available exemption under the Securities Act. The Buyer does not presently have any agreement or understanding, directly or indirectly, with any Person to distribute any of the Securities. “Person” means an individual, corporation, limited liability company, association, partnership, limited partnership, syndicate, person (including, without limitation, a “person” as defined in Section 13(d)(3) of the Exchange Act), trust, association, or other entity and any Governmental Entity (as defined below).</w:t>
      </w:r>
    </w:p>
    <w:p>
      <w:pPr>
        <w:spacing w:after="0" w:line="191" w:lineRule="exact"/>
        <w:rPr>
          <w:rFonts w:ascii="Times New Roman" w:cs="Times New Roman" w:eastAsia="Times New Roman" w:hAnsi="Times New Roman"/>
          <w:sz w:val="18"/>
          <w:szCs w:val="18"/>
          <w:color w:val="auto"/>
        </w:rPr>
      </w:pPr>
    </w:p>
    <w:p>
      <w:pPr>
        <w:ind w:left="1700" w:hanging="1376"/>
        <w:spacing w:after="0"/>
        <w:tabs>
          <w:tab w:leader="none" w:pos="170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Accredited Investor Status</w:t>
      </w:r>
      <w:r>
        <w:rPr>
          <w:rFonts w:ascii="Times New Roman" w:cs="Times New Roman" w:eastAsia="Times New Roman" w:hAnsi="Times New Roman"/>
          <w:sz w:val="17"/>
          <w:szCs w:val="17"/>
          <w:color w:val="auto"/>
        </w:rPr>
        <w:t>. The Buyer is an institutional “Accredited Investor” as that term is defined in Rule 501(a)(3) of Regulation</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w:t>
      </w:r>
    </w:p>
    <w:p>
      <w:pPr>
        <w:spacing w:after="0" w:line="199" w:lineRule="exact"/>
        <w:rPr>
          <w:rFonts w:ascii="Times New Roman" w:cs="Times New Roman" w:eastAsia="Times New Roman" w:hAnsi="Times New Roman"/>
          <w:sz w:val="17"/>
          <w:szCs w:val="17"/>
          <w:color w:val="auto"/>
        </w:rPr>
      </w:pPr>
    </w:p>
    <w:p>
      <w:pPr>
        <w:jc w:val="both"/>
        <w:ind w:firstLine="324"/>
        <w:spacing w:after="0" w:line="273" w:lineRule="auto"/>
        <w:tabs>
          <w:tab w:leader="none" w:pos="1704"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on Exemptions</w:t>
      </w:r>
      <w:r>
        <w:rPr>
          <w:rFonts w:ascii="Times New Roman" w:cs="Times New Roman" w:eastAsia="Times New Roman" w:hAnsi="Times New Roman"/>
          <w:sz w:val="17"/>
          <w:szCs w:val="17"/>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 pursuant to applicable United States securities laws.</w:t>
      </w:r>
    </w:p>
    <w:p>
      <w:pPr>
        <w:spacing w:after="0" w:line="169" w:lineRule="exact"/>
        <w:rPr>
          <w:rFonts w:ascii="Times New Roman" w:cs="Times New Roman" w:eastAsia="Times New Roman" w:hAnsi="Times New Roman"/>
          <w:sz w:val="17"/>
          <w:szCs w:val="17"/>
          <w:color w:val="auto"/>
        </w:rPr>
      </w:pPr>
    </w:p>
    <w:p>
      <w:pPr>
        <w:jc w:val="both"/>
        <w:ind w:firstLine="324"/>
        <w:spacing w:after="0" w:line="249" w:lineRule="auto"/>
        <w:tabs>
          <w:tab w:leader="none" w:pos="158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Buyer and its advisors (and its counsel), if any, have been furnished with all materials relating to the business, finances and operations of the Company and information the Buyer deemed material to making an informed investment decision regarding its purchase of the Securities, which have been requested by the Buyer. The Buyer and its advisors, if any, have been afforded the opportunity to ask questions of the Company and its management. Neither such inquiries nor any other due diligence investigations conducted by the Buyer or its advisors, if any, or its representatives shall modify, amend or affect the Buyer’s right to rely on the Company’s representations and warranties contained in Section 3 below. The Buyer understands that its investment in the Securities involves a high degree of risk. The Buyer has sought such accounting, legal and tax advice, as it has considered necessary to make an informed investment decision with respect to its acquisition of the Securities.</w:t>
      </w:r>
    </w:p>
    <w:p>
      <w:pPr>
        <w:spacing w:after="0" w:line="190" w:lineRule="exact"/>
        <w:rPr>
          <w:rFonts w:ascii="Times New Roman" w:cs="Times New Roman" w:eastAsia="Times New Roman" w:hAnsi="Times New Roman"/>
          <w:sz w:val="18"/>
          <w:szCs w:val="18"/>
          <w:color w:val="auto"/>
        </w:rPr>
      </w:pPr>
    </w:p>
    <w:p>
      <w:pPr>
        <w:jc w:val="both"/>
        <w:ind w:firstLine="324"/>
        <w:spacing w:after="0" w:line="264" w:lineRule="auto"/>
        <w:tabs>
          <w:tab w:leader="none" w:pos="1572"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or Resale</w:t>
      </w:r>
      <w:r>
        <w:rPr>
          <w:rFonts w:ascii="Times New Roman" w:cs="Times New Roman" w:eastAsia="Times New Roman" w:hAnsi="Times New Roman"/>
          <w:sz w:val="17"/>
          <w:szCs w:val="17"/>
          <w:color w:val="auto"/>
        </w:rPr>
        <w:t>. The Buyer understands that: (i) the Securities have not been registered under the Securities Act or any state securities laws, and may not be offered for sale, sold, assigned or transferred unless (A) subsequently registered thereunder, (B) the Buyer shall have delivered to the Company an opinion of counsel, in a generally acceptable form, to the effect that such Securities to be sold, assigned or transferred may be sold, assigned or transferred pursuant to an exemption from such registration requirements, or (C) the Buyer provides the Company with reasonable assurances (in the form of seller and broker representation letters) and a legal opinion under Section 2(e)(i)(B) that such Securities can be sold, assigned or transferred pursuant to Rule</w:t>
      </w:r>
    </w:p>
    <w:p>
      <w:pPr>
        <w:spacing w:after="0" w:line="1" w:lineRule="exact"/>
        <w:rPr>
          <w:rFonts w:ascii="Times New Roman" w:cs="Times New Roman" w:eastAsia="Times New Roman" w:hAnsi="Times New Roman"/>
          <w:sz w:val="17"/>
          <w:szCs w:val="17"/>
          <w:color w:val="auto"/>
        </w:rPr>
      </w:pPr>
    </w:p>
    <w:p>
      <w:pPr>
        <w:jc w:val="both"/>
        <w:ind w:firstLine="6"/>
        <w:spacing w:after="0" w:line="246"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as amended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in each case following the applicable holding period set forth therein;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352425</wp:posOffset>
            </wp:positionV>
            <wp:extent cx="71348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74" w:name="page75"/>
    <w:bookmarkEnd w:id="74"/>
    <w:p>
      <w:pPr>
        <w:ind w:left="320"/>
        <w:spacing w:after="0"/>
        <w:tabs>
          <w:tab w:leader="none" w:pos="1740" w:val="left"/>
        </w:tabs>
        <w:rPr>
          <w:sz w:val="20"/>
          <w:szCs w:val="20"/>
          <w:color w:val="auto"/>
        </w:rPr>
      </w:pPr>
      <w:r>
        <w:rPr>
          <w:rFonts w:ascii="Times New Roman" w:cs="Times New Roman" w:eastAsia="Times New Roman" w:hAnsi="Times New Roman"/>
          <w:sz w:val="17"/>
          <w:szCs w:val="17"/>
          <w:color w:val="auto"/>
        </w:rPr>
        <w:t>(f)</w:t>
      </w:r>
      <w:r>
        <w:rPr>
          <w:sz w:val="20"/>
          <w:szCs w:val="20"/>
          <w:color w:val="auto"/>
        </w:rPr>
        <w:tab/>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The Buyer agrees to the imprinting, so long as it is required by this Section 2(f), of a restrictive legend on the Securities 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the following form: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SECURITIES FOR WHICH THIS CERTIFICATE HAS BEEN ISSUED AND THOSE SECURITIES INTO WHICH THEY ARE</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CONVERTIBLE HAVE NOT BEEN REGISTERED UNDER THE SECURITIES ACT OF 1933, AS AMENDED, OR APPLICABLE STATE</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SECURITIES LAWS. THE SECURITIES AND THOSE SECURITIES INTO WHICH THEY ARE CONVERTIBLE HAVE BEEN ACQUIRED</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SOLELY FOR INVESTMENT PURPOSES AND NOT WITH A VIEW TOWARD RESALE AND MAY NOT BE OFFERED FOR SALE, SOLD,</w:t>
      </w:r>
    </w:p>
    <w:p>
      <w:pPr>
        <w:spacing w:after="0" w:line="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TRANSFERRED OR ASSIGNED IN THE ABSENCE OF AN EFFECTIVE REGISTRATION STATEMENT FOR THE SECURITIES UNDER</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SECURITIES ACT OF 1933, AS AMENDED, OR APPLICABLE STATE SECURITIES LAWS, OR AN OPINION OF COUNSEL, IN A</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GENERALLY  ACCEPTABLE  FORM,  THAT  REGISTRATION  IS  NOT  REQUIRED  UNDER  SAID  ACT  OR  APPLICABLE  STATE</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SECURITIES LAWS</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Certificates for the Conversion Shares shall not contain any legend (including the legend set forth above), (i) while a registration statement covering the resale of such Conversion Shares is effective under the Securities Act, (ii) following any sale of such Conversion Shares pursuant to Rule 144, (iii) if such Conversion Shares are eligible for sale under Rule 144, or (iv) if such legend is not required under applicable requirements of the Securities Act (including judicial interpretations and pronouncements issued by the staff of the SEC). The Buyer agrees that the removal of the restrictive legend from certificates for Securities as set forth in this Section 2(f) is predicated upon the Company’s reliance that the Buyer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w:t>
      </w:r>
    </w:p>
    <w:p>
      <w:pPr>
        <w:spacing w:after="0" w:line="209" w:lineRule="exact"/>
        <w:rPr>
          <w:sz w:val="20"/>
          <w:szCs w:val="20"/>
          <w:color w:val="auto"/>
        </w:rPr>
      </w:pPr>
    </w:p>
    <w:p>
      <w:pPr>
        <w:jc w:val="both"/>
        <w:ind w:firstLine="324"/>
        <w:spacing w:after="0" w:line="248" w:lineRule="auto"/>
        <w:tabs>
          <w:tab w:leader="none" w:pos="16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87" w:lineRule="exact"/>
        <w:rPr>
          <w:rFonts w:ascii="Times New Roman" w:cs="Times New Roman" w:eastAsia="Times New Roman" w:hAnsi="Times New Roman"/>
          <w:sz w:val="18"/>
          <w:szCs w:val="18"/>
          <w:color w:val="auto"/>
        </w:rPr>
      </w:pPr>
    </w:p>
    <w:p>
      <w:pPr>
        <w:jc w:val="both"/>
        <w:ind w:firstLine="324"/>
        <w:spacing w:after="0" w:line="254" w:lineRule="auto"/>
        <w:tabs>
          <w:tab w:leader="none" w:pos="16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This Agreement has been duly and validly authorized, executed and delivered on behalf of the Buyer and shall constitute the legal, valid and binding obligations of the Buyer enforceable against the Buyer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Buyer of this Agreement and the consummation by the Buyer of the transactions contemplated hereby will not (i) result in a violation of the organizational documents of the Buyer, (ii) conflict with, or constitute a default (or an event which with notice or lapse of time or both would become a default) under, or give to others any rights of termination, amendment, acceleration or cancellation of, any agreement, indenture or instrument to which the Buyer is a party or (iii) result in a violation of any law, rule, regulation, order, judgment or decree (including federal and state securities laws) applicable to the Buyer, except, in the case of clauses (ii) and (iii) above, for such conflicts, defaults, rights or violations which could not, individually or in the aggregate, reasonably be expected to have a material adverse effect on the ability of the Buyer to perform its obligations hereunder.</w:t>
      </w:r>
    </w:p>
    <w:p>
      <w:pPr>
        <w:spacing w:after="0" w:line="19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The Buyer has not directly or indirectly, nor has any Person acting on behalf of or pursuant to any understanding with the Buyer, engaged in any transactions in the securities of the Company (including, without limitation, any Short Sales (as defined below) involving the Company's securities) during the period commencing as of the time that the Buyer first contacted the Company or the Company's agents regarding the specific investment in the Company contemplated by this Agreement and ending immediately prior to the execution of this Agreement by the Buyer.</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640" w:hanging="634"/>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4"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hereby makes the representations and warranties set forth below to the Buyer:</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5" w:name="page76"/>
    <w:bookmarkEnd w:id="75"/>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are entities duly formed, validly existing and, except as disclosed in the SEC Documents (as defined herein), in good standing (to the extent good standing is a known concept in the applicable jurisdiction) under the laws of the jurisdiction in which they are formed, and have the requisite power and authority to own their properties and to carry on their business as now being conducted and as presently proposed to be conducted. The Company and each of its Subsidiaries is duly qualified as a foreign entity to do business and is in good standing (to the extent good standing is a known concept in the applicable jurisdiction)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or condition (financial or otherwise) of the Company and its Subsidiaries, taken as a whole, (ii) the transactions contemplated hereby or in any of the other Transaction Documents or any other agreements or instruments to be entered into by the Company in connection herewith or therewith or (iii) the authority or ability of the Company to perform any of its obligations under any of the Transaction Documents (as defined below).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any Person in which the Company, directly or indirectly, owns a majority of the outstanding capital stock having voting power or holds a majority of the equity or similar interest of such Person, and each of the foregoing, is individually referred to herein as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any other Transaction Documents and to issue the Securities in accordance with the terms hereof and thereof. The execution and delivery of this Agreement and any other Transaction Documents by the Company and the consummation by the Company of the transactions contemplated hereby and thereby (including, without limitation, the issuance of the Convertible Debenture and the reservation for issuance and issuance of the Conversion Shares issuable upon conversion of the Convertible Debenture), have been duly authorized by the Company's management board and supervisory board and no further filing, consent or authorization is required by the Company, its management board or its supervisory board or its general meeting of shareholders or any Governmental Entity (as defined below). This Agreement has been, and any other Transaction Documents to which the Company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Registration Rights Agreement, the Convertible Debenture, and each of the other agreements and instruments entered into by the Company and the Buyer or delivered by the Company in connection with the transactions contemplated hereby and thereby, as may be amended from time to time.  </w:t>
      </w:r>
    </w:p>
    <w:p>
      <w:pPr>
        <w:spacing w:after="0" w:line="194" w:lineRule="exact"/>
        <w:rPr>
          <w:sz w:val="20"/>
          <w:szCs w:val="20"/>
          <w:color w:val="auto"/>
        </w:rPr>
      </w:pPr>
    </w:p>
    <w:p>
      <w:pPr>
        <w:jc w:val="both"/>
        <w:ind w:firstLine="324"/>
        <w:spacing w:after="0" w:line="247" w:lineRule="auto"/>
        <w:tabs>
          <w:tab w:leader="none" w:pos="16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issuance of the Securities has been duly authorized and, upon issuance and payment in accordance with the terms of the Transaction Documents the Securities shall be validly issued, fully paid and non-assessable (meaning that the holders of the Securities will not by reason of merely being such a holder, be subject to assessment or calls by the Company or its creditors for further payment on such Securities)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with respect to the issuance thereof. As of the Closing Date,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Convertible Debenture) and (ii) Ordinary Shares remaining available for issuance under the Company's equity incentive plans) shall be not less than the maximum number of Ordinary Shares issuable upon conversion of the Convertible Debenture then outstanding (assuming for purposes hereof that (x) the Convertible Debenture is convertible at the Floor Price (as defined in the Convertible Debenture) as of the date of determination, and (y) any such conversion shall not take into account any limitations on the conversion of the Convertible Debenture set forth therein)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Upon issuance in accordance with conversion of the Convertible in accordance with its terms, the Conversion Shares, when issued, will be validly issued, fully paid and nonassessable (meaning that the holders of the Conversion Shares will not by reason of merely being such a holder, be subject to assessment or calls by the Company or its creditors for further payment on such Conversion Shares) and free from all preemptive or similar rights or Liens with respect to the issue thereof, with the holders being entitled to all rights accorded to a holder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352425</wp:posOffset>
            </wp:positionV>
            <wp:extent cx="71348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6" w:name="page77"/>
    <w:bookmarkEnd w:id="76"/>
    <w:p>
      <w:pPr>
        <w:jc w:val="both"/>
        <w:ind w:firstLine="324"/>
        <w:spacing w:after="0" w:line="248" w:lineRule="auto"/>
        <w:tabs>
          <w:tab w:leader="none" w:pos="17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Convertible Debenture, the Conversion Shares, and the reservation for issuance of the Conversion Shares from the Company’s authorized share capital) will not (i) result in a violation of the Company’s articles of association, or other organizational documents of the Company, or any capital stock or other securities of the Company, (ii) conflict with, or constitute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U.S. federal and state securities laws and regulations, the securities laws of the jurisdictions of the Company's incorporation or in which it or its Subsidiaries operate and the rules and regulations of the OTCQB and including all applicable laws, rules and regulations of the country of incorporation of the Company) applicable to the Company or any of its Subsidiaries or by which any property or asset of the Company or any of its Subsidiaries is bound or affected, except in the case of (ii) and (iii) for any conflict, default, right or violation that would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firstLine="324"/>
        <w:spacing w:after="0" w:line="247" w:lineRule="auto"/>
        <w:tabs>
          <w:tab w:leader="none" w:pos="15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is not required to obtain any material consent from, authorization or order of, or make any filing or registration with (other than any filings as may be required by any federal or state securities agencies and any filings as may be required by the OTCQB), any Governmental Entity (as defined below) or any regulatory or self-regulatory agency or any other Person in order for it to execute, deliver or perform any of its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OTCQB and has no knowledge of any facts or circumstances which could reasonably lead to delisting or suspension of the Ordinary Shares in the foreseeable future. The issuance of all of the Securities hereunder does not require obtaining the approval of the OTCQB, stockholders of the Company or any other Person or Governmental Entity. “Governmental Entity”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92" w:lineRule="exact"/>
        <w:rPr>
          <w:rFonts w:ascii="Times New Roman" w:cs="Times New Roman" w:eastAsia="Times New Roman" w:hAnsi="Times New Roman"/>
          <w:sz w:val="18"/>
          <w:szCs w:val="18"/>
          <w:color w:val="auto"/>
        </w:rPr>
      </w:pPr>
    </w:p>
    <w:p>
      <w:pPr>
        <w:jc w:val="both"/>
        <w:ind w:firstLine="324"/>
        <w:spacing w:after="0" w:line="248" w:lineRule="auto"/>
        <w:tabs>
          <w:tab w:leader="none" w:pos="1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Buyer's Purchase of Securities.</w:t>
      </w:r>
      <w:r>
        <w:rPr>
          <w:rFonts w:ascii="Times New Roman" w:cs="Times New Roman" w:eastAsia="Times New Roman" w:hAnsi="Times New Roman"/>
          <w:sz w:val="18"/>
          <w:szCs w:val="18"/>
          <w:color w:val="auto"/>
        </w:rPr>
        <w:t xml:space="preserve"> The Company acknowledges and agrees that the Buyer is acting solely in the capacity of an arm's length purchaser with respect to the Transaction Documents and the transactions contemplated hereby and thereby and that the Buyer is not (i) an officer or director of the Company or any of its Subsidiaries, (ii) to its knowledge, an "affiliate" (as defined in Rule 144) of the Company or any of its Subsidiaries or (iii) to its knowledge, a “beneficial owner” of more than 10% of the shares of Ordinary Shares (as defined for purposes of Rule 13d-3 of the 1934 Act). The Company further acknowledges that neither the Buyer (nor any affiliate of the Buyer) is acting as a financial advisor or fiduciary of the Company or any of its Subsidiaries (or in any similar capacity) with respect to the Transaction Documents and the transactions contemplated hereby and thereby, and any advice given by the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to which it is a party has been based solely on the independent evaluation by the Company and its representatives.</w:t>
      </w:r>
    </w:p>
    <w:p>
      <w:pPr>
        <w:spacing w:after="0" w:line="19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stockholders of the Company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348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7" w:name="page78"/>
    <w:bookmarkEnd w:id="77"/>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Dilutive Effect</w:t>
      </w:r>
      <w:r>
        <w:rPr>
          <w:rFonts w:ascii="Times New Roman" w:cs="Times New Roman" w:eastAsia="Times New Roman" w:hAnsi="Times New Roman"/>
          <w:sz w:val="18"/>
          <w:szCs w:val="18"/>
          <w:color w:val="auto"/>
        </w:rPr>
        <w:t>. The Company understands and acknowledges that the number of Conversion Shares will increase in certain circumstances. The Company further acknowledges its obligation to issue the Conversion Shares upon conversion of the Convertible Debenture in accordance with the terms thereof is absolute and unconditional, regardless of the dilutive effect that such issuance may have on the ownership interests of other stockholders of the Company.</w:t>
      </w:r>
    </w:p>
    <w:p>
      <w:pPr>
        <w:spacing w:after="0" w:line="183" w:lineRule="exact"/>
        <w:rPr>
          <w:sz w:val="20"/>
          <w:szCs w:val="20"/>
          <w:color w:val="auto"/>
        </w:rPr>
      </w:pPr>
    </w:p>
    <w:p>
      <w:pPr>
        <w:jc w:val="both"/>
        <w:ind w:firstLine="324"/>
        <w:spacing w:after="0" w:line="261" w:lineRule="auto"/>
        <w:tabs>
          <w:tab w:leader="none" w:pos="1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 Documents; Financial Statements</w:t>
      </w:r>
      <w:r>
        <w:rPr>
          <w:rFonts w:ascii="Times New Roman" w:cs="Times New Roman" w:eastAsia="Times New Roman" w:hAnsi="Times New Roman"/>
          <w:sz w:val="17"/>
          <w:szCs w:val="17"/>
          <w:color w:val="auto"/>
        </w:rPr>
        <w:t>. Since December 31, 2023, the Company has filed all reports and other documents required to be filed by it with the SEC pursuant to the reporting requirements of the Exchange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7"/>
          <w:szCs w:val="17"/>
          <w:u w:val="single" w:color="auto"/>
          <w:color w:val="auto"/>
        </w:rPr>
        <w:t>SEC Documents</w:t>
      </w:r>
      <w:r>
        <w:rPr>
          <w:rFonts w:ascii="Times New Roman" w:cs="Times New Roman" w:eastAsia="Times New Roman" w:hAnsi="Times New Roman"/>
          <w:sz w:val="17"/>
          <w:szCs w:val="17"/>
          <w:color w:val="auto"/>
        </w:rPr>
        <w:t>”). The Company has delivered or has made available to the Buyer or their respective representatives true, correct and complete copies of each of the SEC Documents not available on the EDGAR system. To the best of the Company’s knowledge,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To the best of the Company’s knowledge,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International Financial Reporting Standards (“IFRS”) as issued by the International Accounting Standards Board, consistently applied, during the periods involved (except, if applicable, (i) as may be otherwise indicated in such financial statements or the notes thereto, or (ii) in the case of unaudited interim statements, to the extent they may exclude footnotes or may be condensed or summary statements) and, to the best of the Company’s knowledge,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the Buyer which is not included in the SEC Documents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nor is the Company currently aware of facts or circumstances which would require the Company to amend or restate any of the Financial Statements, in each case, in order for any of the Financials Statements to be in compliance with IFRS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0" w:lineRule="exact"/>
        <w:rPr>
          <w:rFonts w:ascii="Times New Roman" w:cs="Times New Roman" w:eastAsia="Times New Roman" w:hAnsi="Times New Roman"/>
          <w:sz w:val="17"/>
          <w:szCs w:val="17"/>
          <w:color w:val="auto"/>
        </w:rPr>
      </w:pPr>
    </w:p>
    <w:p>
      <w:pPr>
        <w:spacing w:after="0" w:line="202" w:lineRule="exact"/>
        <w:rPr>
          <w:rFonts w:ascii="Times New Roman" w:cs="Times New Roman" w:eastAsia="Times New Roman" w:hAnsi="Times New Roman"/>
          <w:sz w:val="17"/>
          <w:szCs w:val="17"/>
          <w:color w:val="auto"/>
        </w:rPr>
      </w:pPr>
    </w:p>
    <w:p>
      <w:pPr>
        <w:jc w:val="both"/>
        <w:ind w:firstLine="324"/>
        <w:spacing w:after="0" w:line="248" w:lineRule="auto"/>
        <w:tabs>
          <w:tab w:leader="none" w:pos="1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its Form 20-F, and except as disclosed in the SEC Documents that have been filed after the date of such Form 20-F, there has been no Material Adverse Effect, nor any event or occurrence specifically affecting the Company or its Subsidiaries that would be reasonably expected to result in a Material Adverse Effect. Since the date of the Company's most recent audited financial statements contained in its Form 20-F, neither the Company nor any of its Subsidiaries has (i) declared or paid any dividends, (ii) sold any material assets, individually or in the aggregate, outside of the ordinary course of business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352425</wp:posOffset>
            </wp:positionV>
            <wp:extent cx="71348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8" w:name="page79"/>
    <w:bookmarkEnd w:id="78"/>
    <w:p>
      <w:pPr>
        <w:jc w:val="both"/>
        <w:ind w:firstLine="324"/>
        <w:spacing w:after="0" w:line="254" w:lineRule="auto"/>
        <w:tabs>
          <w:tab w:leader="none" w:pos="16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No event, liability, development or circumstance has occurred or exists, or is reasonably expected to exist or occur specific to the Company, any of its Subsidiaries or any of their respective businesses, properties, liabilities, prospects, operations (including results thereof) or condition (financial or otherwise), that has not been publicly disclosed or disclosed with the Buyer at an earlier moment in time and would reasonably be expected to have a Material Adverse Effect.</w:t>
      </w:r>
    </w:p>
    <w:p>
      <w:pPr>
        <w:spacing w:after="0" w:line="182" w:lineRule="exact"/>
        <w:rPr>
          <w:rFonts w:ascii="Times New Roman" w:cs="Times New Roman" w:eastAsia="Times New Roman" w:hAnsi="Times New Roman"/>
          <w:sz w:val="18"/>
          <w:szCs w:val="18"/>
          <w:color w:val="auto"/>
        </w:rPr>
      </w:pPr>
    </w:p>
    <w:p>
      <w:pPr>
        <w:jc w:val="both"/>
        <w:ind w:firstLine="324"/>
        <w:spacing w:after="0" w:line="262" w:lineRule="auto"/>
        <w:tabs>
          <w:tab w:leader="none" w:pos="166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Conduct of Business; Regulatory Permits</w:t>
      </w:r>
      <w:r>
        <w:rPr>
          <w:rFonts w:ascii="Times New Roman" w:cs="Times New Roman" w:eastAsia="Times New Roman" w:hAnsi="Times New Roman"/>
          <w:sz w:val="17"/>
          <w:szCs w:val="17"/>
          <w:color w:val="auto"/>
        </w:rPr>
        <w:t>. Except as disclosed in the SEC Documents, neither the Company nor any of its Subsidiaries is in violation of any term under its Articles of Association, any certificate of designation, preferences or rights of any other outstanding series of preferred stock of the Company or any of its Subsidiaries or their organizational charter, certificate of formation, memorandum of association, Articles of Association or certificate of incorporation or, respectively, which would reasonably be expected to have a Material Adverse Effect. Except as disclosed in the SEC Documents,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violations which would not reasonably be expected to have a Material Adverse Effect.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reasonably be expected to have, individually or in the aggregate, a Material Adverse Effect, and neither the Company nor any of its Subsidiaries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87" w:lineRule="exact"/>
        <w:rPr>
          <w:rFonts w:ascii="Times New Roman" w:cs="Times New Roman" w:eastAsia="Times New Roman" w:hAnsi="Times New Roman"/>
          <w:sz w:val="17"/>
          <w:szCs w:val="17"/>
          <w:color w:val="auto"/>
        </w:rPr>
      </w:pPr>
    </w:p>
    <w:p>
      <w:pPr>
        <w:jc w:val="both"/>
        <w:ind w:firstLine="324"/>
        <w:spacing w:after="0" w:line="248" w:lineRule="auto"/>
        <w:tabs>
          <w:tab w:leader="none" w:pos="15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of its Subsidiaries nor, to the knowledge of the Company, any director, officer, agent, employee, nor any other person acting for or on behalf of the Company or any of its Subsidiaries (individually and collectively,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have violated the U.S. Foreign Corrupt Practices Act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8"/>
          <w:szCs w:val="18"/>
          <w:u w:val="single" w:color="auto"/>
          <w:color w:val="auto"/>
        </w:rPr>
        <w:t>Government Official</w:t>
      </w:r>
      <w:r>
        <w:rPr>
          <w:rFonts w:ascii="Times New Roman" w:cs="Times New Roman" w:eastAsia="Times New Roman" w:hAnsi="Times New Roman"/>
          <w:sz w:val="18"/>
          <w:szCs w:val="18"/>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in violation of applicable law, of: (i)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 (ii) assisting the Company or its Subsidiaries in obtaining or retaining business for or with, or directing business to, the Company or its Subsidiaries.</w:t>
      </w:r>
    </w:p>
    <w:p>
      <w:pPr>
        <w:spacing w:after="0" w:line="188" w:lineRule="exact"/>
        <w:rPr>
          <w:rFonts w:ascii="Times New Roman" w:cs="Times New Roman" w:eastAsia="Times New Roman" w:hAnsi="Times New Roman"/>
          <w:sz w:val="18"/>
          <w:szCs w:val="18"/>
          <w:color w:val="auto"/>
        </w:rPr>
      </w:pPr>
    </w:p>
    <w:p>
      <w:pPr>
        <w:ind w:left="1580" w:hanging="1256"/>
        <w:spacing w:after="0"/>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hanging="644"/>
        <w:spacing w:after="0"/>
        <w:tabs>
          <w:tab w:leader="none" w:pos="1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left="1280" w:firstLine="543"/>
        <w:spacing w:after="0" w:line="245" w:lineRule="auto"/>
        <w:tabs>
          <w:tab w:leader="none" w:pos="27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 Voting Shares</w:t>
      </w:r>
      <w:r>
        <w:rPr>
          <w:rFonts w:ascii="Times New Roman" w:cs="Times New Roman" w:eastAsia="Times New Roman" w:hAnsi="Times New Roman"/>
          <w:sz w:val="18"/>
          <w:szCs w:val="18"/>
          <w:color w:val="auto"/>
        </w:rPr>
        <w:t>” means (i) as of the date hereof, the Company's high voting shares, nominal value of one euro and fifty eurocents (EUR 1.50) per share that form part of the Company’s authorized and/or issued share capital from time to time, as applicable and (ii) after giving effect to a 1-for-75 reverse share split (the “</w:t>
      </w:r>
      <w:r>
        <w:rPr>
          <w:rFonts w:ascii="Times New Roman" w:cs="Times New Roman" w:eastAsia="Times New Roman" w:hAnsi="Times New Roman"/>
          <w:sz w:val="18"/>
          <w:szCs w:val="18"/>
          <w:u w:val="single" w:color="auto"/>
          <w:color w:val="auto"/>
        </w:rPr>
        <w:t>Proposed Reverse Share Split</w:t>
      </w:r>
      <w:r>
        <w:rPr>
          <w:rFonts w:ascii="Times New Roman" w:cs="Times New Roman" w:eastAsia="Times New Roman" w:hAnsi="Times New Roman"/>
          <w:sz w:val="18"/>
          <w:szCs w:val="18"/>
          <w:color w:val="auto"/>
        </w:rPr>
        <w:t>”), the Company’s high voting shares, nominal value 25 eurocent (EUR 0.25) per share that form part of the Company’s authorized and/or issued share capital from time to time, as applicable.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p>
      <w:pPr>
        <w:jc w:val="both"/>
        <w:ind w:left="640" w:firstLine="636"/>
        <w:spacing w:after="0" w:line="252" w:lineRule="auto"/>
        <w:tabs>
          <w:tab w:leader="none" w:pos="18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 Capital</w:t>
      </w:r>
      <w:r>
        <w:rPr>
          <w:rFonts w:ascii="Times New Roman" w:cs="Times New Roman" w:eastAsia="Times New Roman" w:hAnsi="Times New Roman"/>
          <w:sz w:val="18"/>
          <w:szCs w:val="18"/>
          <w:color w:val="auto"/>
        </w:rPr>
        <w:t>. As of the date hereof, the authorized share capital of the Company consists of (A) 320,000,000 Ordinary Shares, of which, 105,740,729 are issued and outstanding, (B) 4,000,000 High Voting Shares, of which 3,000,000 are issued and outstanding, and (C) zero Preferred Shares.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left="640" w:firstLine="636"/>
        <w:spacing w:after="0" w:line="248" w:lineRule="auto"/>
        <w:tabs>
          <w:tab w:leader="none" w:pos="22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w:t>
      </w:r>
      <w:r>
        <w:rPr>
          <w:rFonts w:ascii="Times New Roman" w:cs="Times New Roman" w:eastAsia="Times New Roman" w:hAnsi="Times New Roman"/>
          <w:sz w:val="18"/>
          <w:szCs w:val="18"/>
          <w:color w:val="auto"/>
        </w:rPr>
        <w:t>. All of such outstanding shares in the Company's capital are duly authorized and have been validly issued and are fully paid and non-assessable (meaning that the holders of those shares will not by reason of merely being such a holder, be subject to assessment or calls by the Company or its creditors for further payment on such shares).</w:t>
      </w:r>
    </w:p>
    <w:p>
      <w:pPr>
        <w:spacing w:after="0" w:line="187" w:lineRule="exact"/>
        <w:rPr>
          <w:rFonts w:ascii="Times New Roman" w:cs="Times New Roman" w:eastAsia="Times New Roman" w:hAnsi="Times New Roman"/>
          <w:sz w:val="18"/>
          <w:szCs w:val="18"/>
          <w:color w:val="auto"/>
        </w:rPr>
      </w:pPr>
    </w:p>
    <w:p>
      <w:pPr>
        <w:jc w:val="both"/>
        <w:ind w:left="640" w:firstLine="636"/>
        <w:spacing w:after="0" w:line="252" w:lineRule="auto"/>
        <w:tabs>
          <w:tab w:leader="none" w:pos="22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 Capital</w:t>
      </w:r>
      <w:r>
        <w:rPr>
          <w:rFonts w:ascii="Times New Roman" w:cs="Times New Roman" w:eastAsia="Times New Roman" w:hAnsi="Times New Roman"/>
          <w:sz w:val="18"/>
          <w:szCs w:val="18"/>
          <w:color w:val="auto"/>
        </w:rPr>
        <w:t>. After giving effect to the Proposed Reverse Share Split and the consummation of the transactions contemplated by the Exchange Agreement, the authorized share capital of the Company will consist of (A) 120,000,000 Ordinary Shares, (B) 50,000 High Voting Shares, and (C) 1,250 Preferred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left="640" w:firstLine="636"/>
        <w:spacing w:after="0" w:line="245" w:lineRule="auto"/>
        <w:tabs>
          <w:tab w:leader="none" w:pos="22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Securities; Obligations</w:t>
      </w:r>
      <w:r>
        <w:rPr>
          <w:rFonts w:ascii="Times New Roman" w:cs="Times New Roman" w:eastAsia="Times New Roman" w:hAnsi="Times New Roman"/>
          <w:sz w:val="18"/>
          <w:szCs w:val="18"/>
          <w:color w:val="auto"/>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(other than pursuant to the Company’s Employee Stock Option Program 2024),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(other than pursuant to the Company’s Employee Stock Option Program 2024),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(G) neither the Company nor any Subsidiary has any stock appreciation rights or "phantom stock" plans or agreements or any similar plan or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640" w:firstLine="636"/>
        <w:spacing w:after="0" w:line="245" w:lineRule="auto"/>
        <w:tabs>
          <w:tab w:leader="none" w:pos="20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Buyer or filed on EDGAR true, correct and complete copies of the Company's Articles of Association, as amended and as in effect on the date hereof (the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324"/>
        <w:spacing w:after="0" w:line="246" w:lineRule="auto"/>
        <w:tabs>
          <w:tab w:leader="none" w:pos="16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SEC Documents, there is no action, suit, arbitration, proceeding, inquiry or investigation before or by the OTCQB, any court, public board, other Governmental Entity, self-regulatory organization or body pending or, to the knowledge of the Company, threatened against or affecting the Company or any of its Subsidiaries, the Ordinary Shares or any of the Company's or its Subsidiaries' officers or directors, whether of a civil or criminal nature or otherwise, in their capacities as such, which would reasonably be expected to result in a Material Adverse Effect. The Company is not aware of any event which might result in or form the basis for any such action, suit, arbitration, investigation, inquiry or other proceeding.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Neither the Company nor any of its Subsidiaries is the subject of any order, writ, judgment, injunction, decree, determination or award of any Governmental Entity that would reasonably be expected to result in a Material Adverse Effect.</w:t>
      </w:r>
    </w:p>
    <w:p>
      <w:pPr>
        <w:spacing w:after="0" w:line="190" w:lineRule="exact"/>
        <w:rPr>
          <w:rFonts w:ascii="Times New Roman" w:cs="Times New Roman" w:eastAsia="Times New Roman" w:hAnsi="Times New Roman"/>
          <w:sz w:val="18"/>
          <w:szCs w:val="18"/>
          <w:color w:val="auto"/>
        </w:rPr>
      </w:pPr>
    </w:p>
    <w:p>
      <w:pPr>
        <w:jc w:val="both"/>
        <w:ind w:firstLine="324"/>
        <w:spacing w:after="0" w:line="251" w:lineRule="auto"/>
        <w:tabs>
          <w:tab w:leader="none" w:pos="15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348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0" w:name="page81"/>
    <w:bookmarkEnd w:id="80"/>
    <w:p>
      <w:pPr>
        <w:ind w:firstLine="324"/>
        <w:spacing w:after="0" w:line="271" w:lineRule="auto"/>
        <w:tabs>
          <w:tab w:leader="none" w:pos="16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Eligibility</w:t>
      </w:r>
      <w:r>
        <w:rPr>
          <w:rFonts w:ascii="Times New Roman" w:cs="Times New Roman" w:eastAsia="Times New Roman" w:hAnsi="Times New Roman"/>
          <w:sz w:val="18"/>
          <w:szCs w:val="18"/>
          <w:color w:val="auto"/>
        </w:rPr>
        <w:t>. The Company is eligible to register the resale of the Conversion Shares by the Buyer using either Form F-1 or Form F-3 (or Form S-1 or Form S-3 if the Company is not a foreign private issuer) promulgated under the Securities Act.</w:t>
      </w:r>
    </w:p>
    <w:p>
      <w:pPr>
        <w:spacing w:after="0" w:line="167" w:lineRule="exact"/>
        <w:rPr>
          <w:rFonts w:ascii="Times New Roman" w:cs="Times New Roman" w:eastAsia="Times New Roman" w:hAnsi="Times New Roman"/>
          <w:sz w:val="18"/>
          <w:szCs w:val="18"/>
          <w:color w:val="auto"/>
        </w:rPr>
      </w:pPr>
    </w:p>
    <w:p>
      <w:pPr>
        <w:ind w:left="1600" w:hanging="1276"/>
        <w:spacing w:after="0"/>
        <w:tabs>
          <w:tab w:leader="none" w:pos="1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Shell Company Status</w:t>
      </w:r>
      <w:r>
        <w:rPr>
          <w:rFonts w:ascii="Times New Roman" w:cs="Times New Roman" w:eastAsia="Times New Roman" w:hAnsi="Times New Roman"/>
          <w:sz w:val="18"/>
          <w:szCs w:val="18"/>
          <w:color w:val="auto"/>
        </w:rPr>
        <w:t>. The Company is not, and has never been, an issuer identified in, or subject to, Rule 144(i).</w:t>
      </w:r>
    </w:p>
    <w:p>
      <w:pPr>
        <w:spacing w:after="0" w:line="21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that broadly prohibit dealings with that country or territory (including, without limitation, the Crimea, Zaporizhzhia and Kherson regions of Ukraine, the Donetsk People’s Republic and Luhansk People’s Republic in Ukraine, Cuba, Iran, North Korea, Russia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190" w:lineRule="exact"/>
        <w:rPr>
          <w:sz w:val="20"/>
          <w:szCs w:val="20"/>
          <w:color w:val="auto"/>
        </w:rPr>
      </w:pPr>
    </w:p>
    <w:p>
      <w:pPr>
        <w:jc w:val="both"/>
        <w:ind w:firstLine="324"/>
        <w:spacing w:after="0" w:line="258" w:lineRule="auto"/>
        <w:tabs>
          <w:tab w:leader="none" w:pos="16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in any form of general solicitation or general advertising (within the meaning of Regulation D under the Securities Act) in connection with the offer or sale of the Securities.</w:t>
      </w:r>
    </w:p>
    <w:p>
      <w:pPr>
        <w:spacing w:after="0" w:line="179" w:lineRule="exact"/>
        <w:rPr>
          <w:rFonts w:ascii="Times New Roman" w:cs="Times New Roman" w:eastAsia="Times New Roman" w:hAnsi="Times New Roman"/>
          <w:sz w:val="18"/>
          <w:szCs w:val="18"/>
          <w:color w:val="auto"/>
        </w:rPr>
      </w:pPr>
    </w:p>
    <w:p>
      <w:pPr>
        <w:jc w:val="both"/>
        <w:ind w:firstLine="324"/>
        <w:spacing w:after="0" w:line="270" w:lineRule="auto"/>
        <w:tabs>
          <w:tab w:leader="none" w:pos="16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Private Placement</w:t>
      </w:r>
      <w:r>
        <w:rPr>
          <w:rFonts w:ascii="Times New Roman" w:cs="Times New Roman" w:eastAsia="Times New Roman" w:hAnsi="Times New Roman"/>
          <w:sz w:val="17"/>
          <w:szCs w:val="17"/>
          <w:color w:val="auto"/>
        </w:rPr>
        <w:t>. Assuming the accuracy of the Buyer’s representations and warranties set forth in Section 2, no registration under the Securities Act is required for the offer and sale of the Securities by the Company to the Buyer as contemplated hereby. The issuance and sale of the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does not contravene the rules and regulations of the Primary Market.</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640" w:hanging="634"/>
        <w:spacing w:after="0"/>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4" w:lineRule="exact"/>
        <w:rPr>
          <w:rFonts w:ascii="Times New Roman" w:cs="Times New Roman" w:eastAsia="Times New Roman" w:hAnsi="Times New Roman"/>
          <w:sz w:val="18"/>
          <w:szCs w:val="18"/>
          <w:b w:val="1"/>
          <w:bCs w:val="1"/>
          <w:color w:val="auto"/>
        </w:rPr>
      </w:pPr>
    </w:p>
    <w:p>
      <w:pPr>
        <w:jc w:val="both"/>
        <w:ind w:firstLine="324"/>
        <w:spacing w:after="0" w:line="247" w:lineRule="auto"/>
        <w:tabs>
          <w:tab w:leader="none" w:pos="16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For the period beginning on the date hereof, and ending on the date on which the Convertible Debenture is no longer outstanding (the “</w:t>
      </w:r>
      <w:r>
        <w:rPr>
          <w:rFonts w:ascii="Times New Roman" w:cs="Times New Roman" w:eastAsia="Times New Roman" w:hAnsi="Times New Roman"/>
          <w:sz w:val="18"/>
          <w:szCs w:val="18"/>
          <w:u w:val="single" w:color="auto"/>
          <w:color w:val="auto"/>
        </w:rPr>
        <w:t>Reporting Period</w:t>
      </w:r>
      <w:r>
        <w:rPr>
          <w:rFonts w:ascii="Times New Roman" w:cs="Times New Roman" w:eastAsia="Times New Roman" w:hAnsi="Times New Roman"/>
          <w:sz w:val="18"/>
          <w:szCs w:val="18"/>
          <w:color w:val="auto"/>
        </w:rPr>
        <w:t>”), the Company shall use its best efforts file on a timely basis all reports required to be filed with the SEC pursuant to the Exchange Act, and the Company shall not terminate its status as an issuer required to file reports under the Exchange Act even if the Exchange Act or the rules and regulations thereunder would no longer require or otherwise permit such termination.</w:t>
      </w:r>
    </w:p>
    <w:p>
      <w:pPr>
        <w:spacing w:after="0" w:line="18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Neither the Company nor any of its Subsidiaries will, directly or indirectly, use the proceeds of the transactions contemplated herein to repay any loans to any executives or employees of the Company or to make any payments in respect of any related party debt. Neither the Company nor any of its Subsidiaries will, directly or indirectly, use the proceeds from the transactions contemplated herein,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by any Person (including any Person participating in the transactions contemplated by this Agreement, whether as underwriter, advisor, investor or otherwise). For the past five years, neither the Company nor any of its Subsidiaries has engaged in, and is not now engaged in, any dealings or transactions with any Person, or in any country or territory, that at the time of the dealing or transaction is or was the subject of Sanctions or was a Sanctioned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352425</wp:posOffset>
            </wp:positionV>
            <wp:extent cx="71348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1" w:name="page82"/>
    <w:bookmarkEnd w:id="81"/>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To the extent applicable, the Company shall secure the listing or designation for quotation (as the case may be) of all of the Underlying Securities (as defined below) upon each national securities exchange and/or automated quotation system, if any, upon which the Ordinary Shares are then listed or designated for quotation (as the case may be, each an “</w:t>
      </w:r>
      <w:r>
        <w:rPr>
          <w:rFonts w:ascii="Times New Roman" w:cs="Times New Roman" w:eastAsia="Times New Roman" w:hAnsi="Times New Roman"/>
          <w:sz w:val="18"/>
          <w:szCs w:val="18"/>
          <w:u w:val="single" w:color="auto"/>
          <w:color w:val="auto"/>
        </w:rPr>
        <w:t>Eligible Market</w:t>
      </w:r>
      <w:r>
        <w:rPr>
          <w:rFonts w:ascii="Times New Roman" w:cs="Times New Roman" w:eastAsia="Times New Roman" w:hAnsi="Times New Roman"/>
          <w:sz w:val="18"/>
          <w:szCs w:val="18"/>
          <w:color w:val="auto"/>
        </w:rPr>
        <w:t>”), subject to official notice of issuance, and shall use reasonable efforts to maintain such listing or designation for quotation (as the case may be) of all Underlying Securities from time to time issuable under the terms of the Transaction Documents on such Eligible Market for the Reporting Period. Neither the Company nor any of its Subsidiaries shall take any action which could be reasonably expected to result in the delisting or suspension of the Ordinary Shares on an Eligible Market during the Reporting Period. The Company shall pay all fees and expenses in connection with satisfying its obligations under this Section 4(c). “</w:t>
      </w:r>
      <w:r>
        <w:rPr>
          <w:rFonts w:ascii="Times New Roman" w:cs="Times New Roman" w:eastAsia="Times New Roman" w:hAnsi="Times New Roman"/>
          <w:sz w:val="18"/>
          <w:szCs w:val="18"/>
          <w:u w:val="single" w:color="auto"/>
          <w:color w:val="auto"/>
        </w:rPr>
        <w:t>Underlying Securities</w:t>
      </w:r>
      <w:r>
        <w:rPr>
          <w:rFonts w:ascii="Times New Roman" w:cs="Times New Roman" w:eastAsia="Times New Roman" w:hAnsi="Times New Roman"/>
          <w:sz w:val="18"/>
          <w:szCs w:val="18"/>
          <w:color w:val="auto"/>
        </w:rPr>
        <w:t>” means the (i) the Conversion Shares, and (ii) any Ordinary Shares of the Company issued or issuable with respect to the Conversion Shares, including, without limitation, (1) as a result of any stock split, stock dividend, recapitalization, exchange or similar event or otherwise and (2) shares of capital stock of the Company into which the Ordinary Shares are converted or exchanged without regard to any limitations on conversion of the Convertible Debenture.</w:t>
      </w:r>
    </w:p>
    <w:p>
      <w:pPr>
        <w:spacing w:after="0" w:line="190"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Pledge of Securities</w:t>
      </w:r>
      <w:r>
        <w:rPr>
          <w:rFonts w:ascii="Times New Roman" w:cs="Times New Roman" w:eastAsia="Times New Roman" w:hAnsi="Times New Roman"/>
          <w:sz w:val="18"/>
          <w:szCs w:val="18"/>
          <w:color w:val="auto"/>
        </w:rPr>
        <w:t>. Notwithstanding anything to the contrary contained in this Agreement, the Company acknowledges and agrees that, subject to compliance with applicable federal and state securities laws, the Securities may be pledged by the Buyer in connection with a bona fide margin agreement or other loan or financing arrangement that is secured by the Securities. The Company hereby agrees to execute and deliver such documentation as a pledgee of the Securities may reasonably request in connection with a pledge of the Securities to such pledgee by the Buyer.</w:t>
      </w:r>
    </w:p>
    <w:p>
      <w:pPr>
        <w:spacing w:after="0" w:line="183" w:lineRule="exact"/>
        <w:rPr>
          <w:sz w:val="20"/>
          <w:szCs w:val="20"/>
          <w:color w:val="auto"/>
        </w:rPr>
      </w:pPr>
    </w:p>
    <w:p>
      <w:pPr>
        <w:jc w:val="both"/>
        <w:ind w:firstLine="324"/>
        <w:spacing w:after="0" w:line="247" w:lineRule="auto"/>
        <w:tabs>
          <w:tab w:leader="none" w:pos="165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Transactions and Other Material Information</w:t>
      </w:r>
      <w:r>
        <w:rPr>
          <w:rFonts w:ascii="Times New Roman" w:cs="Times New Roman" w:eastAsia="Times New Roman" w:hAnsi="Times New Roman"/>
          <w:sz w:val="18"/>
          <w:szCs w:val="18"/>
          <w:color w:val="auto"/>
        </w:rPr>
        <w:t>. On or before 9:30 a.m., New York time, on the first Business Day after the date of this Agreement, the Company shall file a current report on Form 6-K describing all the material terms of the transactions contemplated by the Transaction Documents in the form required by the Exchange Act and attaching all the material Transaction Documents (including, without limitation, this Agreement (and all schedules to this Agreement) (including all attachments,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From and after the filing of the Current Report, the Company shall have disclosed all material, non-public information (if any) provided to the Buyer by the Company or any of its Subsidiaries or any of their respective officers, directors, employees or agents in connection with the transactions contemplated by the Transaction Documents. In addition, effective upon the filing of the Current Report the Company acknowledges and agrees that any and all confidentiality or similar obligations with respect to the transactions contemplated by the Transaction Documents, whether written or oral, between the Company, any of its Subsidiaries or any of their respective officers, directors, affiliates, employees or agents, on the one hand, and the Buyer or any of its affiliates, on the other hand, shall terminate. The Company shall not, and the Company shall cause each of its Subsidiaries and each of its and their respective officers, directors, employees and agents not to, provide the Buyer with any material, non-public information regarding the Company or any of its Subsidiaries from and after the date hereof without first obtaining the express prior written consent of the Buyer (which may be granted or withheld in the Buyer's sole discretion).</w:t>
      </w:r>
    </w:p>
    <w:p>
      <w:pPr>
        <w:spacing w:after="0" w:line="196" w:lineRule="exact"/>
        <w:rPr>
          <w:rFonts w:ascii="Times New Roman" w:cs="Times New Roman" w:eastAsia="Times New Roman" w:hAnsi="Times New Roman"/>
          <w:sz w:val="18"/>
          <w:szCs w:val="18"/>
          <w:color w:val="auto"/>
        </w:rPr>
      </w:pPr>
    </w:p>
    <w:p>
      <w:pPr>
        <w:jc w:val="both"/>
        <w:ind w:firstLine="324"/>
        <w:spacing w:after="0" w:line="270" w:lineRule="auto"/>
        <w:tabs>
          <w:tab w:leader="none" w:pos="1662"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Shares</w:t>
      </w:r>
      <w:r>
        <w:rPr>
          <w:rFonts w:ascii="Times New Roman" w:cs="Times New Roman" w:eastAsia="Times New Roman" w:hAnsi="Times New Roman"/>
          <w:sz w:val="17"/>
          <w:szCs w:val="17"/>
          <w:color w:val="auto"/>
        </w:rPr>
        <w:t>. So long as the Convertible Debenture remains outstanding, the Company shall take all action necessary to at all times have a number of Ordinary Shares comprised in the Company's authorized share capital but unissued and not otherwise reserved for issuance (including</w:t>
      </w:r>
    </w:p>
    <w:p>
      <w:pPr>
        <w:spacing w:after="0" w:line="1" w:lineRule="exact"/>
        <w:rPr>
          <w:rFonts w:ascii="Times New Roman" w:cs="Times New Roman" w:eastAsia="Times New Roman" w:hAnsi="Times New Roman"/>
          <w:sz w:val="17"/>
          <w:szCs w:val="17"/>
          <w:color w:val="auto"/>
        </w:rPr>
      </w:pPr>
    </w:p>
    <w:p>
      <w:pPr>
        <w:jc w:val="both"/>
        <w:ind w:firstLine="6"/>
        <w:spacing w:after="0" w:line="245" w:lineRule="auto"/>
        <w:tabs>
          <w:tab w:leader="none" w:pos="2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equity or debt securities convertible into or exchangeable or exercisable for or that can be settled in Ordinary Shares (other than the Convertible Debenture) and (ii) Ordinary Shares remaining available for issuance under the Company's equity incentive plans) that is no less than the Required Reserve Amount; provided that at no time shall the number of Ordinary Shares reserved pursuant to this Section 4(f) be reduced other than proportionally with respect to all Ordinary Shares in connection with any conversion (other than pursuant to the conversion of the Convertible Debenture in accordance with its terms) and/or cancellation, or reverse stock split. If at any time the number of Ordinary Shares reserved pursuant to this Section 4(f) becomes less than the Required Reserve Amount, the Company will promptly take all corporate action necessary to propose to its general meeting of shareholders an increase of its authorized share capital necessary to meet the Company's obligations pursuant to the Transaction Documents, recommending that shareholders vote in favor of such increase.</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jc w:val="both"/>
        <w:ind w:firstLine="324"/>
        <w:spacing w:after="0" w:line="248" w:lineRule="auto"/>
        <w:tabs>
          <w:tab w:leader="none" w:pos="160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During the Reporting Period,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71348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Short Selling</w:t>
      </w:r>
      <w:r>
        <w:rPr>
          <w:rFonts w:ascii="Times New Roman" w:cs="Times New Roman" w:eastAsia="Times New Roman" w:hAnsi="Times New Roman"/>
          <w:sz w:val="18"/>
          <w:szCs w:val="18"/>
          <w:color w:val="auto"/>
        </w:rPr>
        <w:t>. The Buyer hereby agrees that it shall not directly or indirectly, engage in any Short Sales involving the Company’s securities during the period commencing on the date hereof and ending when the Convertible Debenture is no longer outstanding. "Short Sales" means all "short sales" as defined in Rule 200 promulgated under Regulation SHO under the Exchange Act.  </w:t>
      </w:r>
    </w:p>
    <w:p>
      <w:pPr>
        <w:spacing w:after="0" w:line="205" w:lineRule="exact"/>
        <w:rPr>
          <w:sz w:val="20"/>
          <w:szCs w:val="20"/>
          <w:color w:val="auto"/>
        </w:rPr>
      </w:pPr>
    </w:p>
    <w:p>
      <w:pPr>
        <w:ind w:left="320"/>
        <w:spacing w:after="0"/>
        <w:tabs>
          <w:tab w:leader="none" w:pos="182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u w:val="single" w:color="auto"/>
          <w:color w:val="auto"/>
        </w:rPr>
        <w:t>Trading Information</w:t>
      </w:r>
      <w:r>
        <w:rPr>
          <w:rFonts w:ascii="Times New Roman" w:cs="Times New Roman" w:eastAsia="Times New Roman" w:hAnsi="Times New Roman"/>
          <w:sz w:val="17"/>
          <w:szCs w:val="17"/>
          <w:color w:val="auto"/>
        </w:rPr>
        <w:t>. Upon the Company’s request, the Buyer agrees to provide the Company with trading reports setting forth the</w:t>
      </w:r>
    </w:p>
    <w:p>
      <w:pPr>
        <w:spacing w:after="0" w:line="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number and average sales prices of Ordinary Shares sold by the Buyer in the prior trading week along with the total aggregate number of Ordinary Shares traded on each Trading Day. “Trading Day” means a day on which the Ordinary Shares are quoted or traded on an Eligible Market on which the Ordinary Shares are then quoted or listed; provided, that in the event that the Ordinary Shares are not listed or quoted, then Trading Day shall mean a Business Day.</w:t>
      </w:r>
    </w:p>
    <w:p>
      <w:pPr>
        <w:spacing w:after="0" w:line="188" w:lineRule="exact"/>
        <w:rPr>
          <w:sz w:val="20"/>
          <w:szCs w:val="20"/>
          <w:color w:val="auto"/>
        </w:rPr>
      </w:pPr>
    </w:p>
    <w:p>
      <w:pPr>
        <w:jc w:val="both"/>
        <w:ind w:firstLine="324"/>
        <w:spacing w:after="0" w:line="247" w:lineRule="auto"/>
        <w:tabs>
          <w:tab w:leader="none" w:pos="1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Issuances and Charter Amendments</w:t>
      </w:r>
      <w:r>
        <w:rPr>
          <w:rFonts w:ascii="Times New Roman" w:cs="Times New Roman" w:eastAsia="Times New Roman" w:hAnsi="Times New Roman"/>
          <w:sz w:val="18"/>
          <w:szCs w:val="18"/>
          <w:color w:val="auto"/>
        </w:rPr>
        <w:t>. From the date hereof until the Convertible Debenture has been repaid or converted, unless the Buyer shall have given prior written consent, the Company shall not, and shall not permit any of its subsidiaries (whether or not a subsidiary on the date hereof) to, directly or indirectly (i) amend its charter documents, including, without limitation, its Articles of Association, in any manner that materially and adversely affects any rights of the holders of the Convertible Debenture, (ii) make any payments in respect of any related party debt, or (iii) enter into, agree to enter into, or effect, any Variable Rate Transaction other than with the Buyer.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mean a transaction in which the Company (i) issues or sells any equity or debt securities that are convertible into, exchangeable or exercisable for, or include the right to receive additional shares of Ordinary Shares either (A) at a conversion price, exercise price, exchange rate or other price that is based upon and/or varies with the trading prices of or quotations for the Ordinary Shares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Ordinary Shares (including, without limitation, any “full ratchet” or “weighted average” anti-dilution provisions, but not including any standard anti-dilution protection for any reorganization, recapitalization, non-cash dividend, stock split or other similar transaction), or (ii) enters into any agreement, including but not limited to an “equity line of credit,” or other continuous offering or similar offering of Ordinary Shares.</w:t>
      </w:r>
    </w:p>
    <w:p>
      <w:pPr>
        <w:spacing w:after="0" w:line="193"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LEGEND.</w:t>
      </w:r>
    </w:p>
    <w:p>
      <w:pPr>
        <w:spacing w:after="0" w:line="2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4" w:lineRule="exact"/>
        <w:rPr>
          <w:rFonts w:ascii="Times New Roman" w:cs="Times New Roman" w:eastAsia="Times New Roman" w:hAnsi="Times New Roman"/>
          <w:sz w:val="18"/>
          <w:szCs w:val="18"/>
          <w:b w:val="1"/>
          <w:bCs w:val="1"/>
          <w:color w:val="auto"/>
        </w:rPr>
      </w:pPr>
    </w:p>
    <w:p>
      <w:pPr>
        <w:jc w:val="both"/>
        <w:ind w:firstLine="324"/>
        <w:spacing w:after="0" w:line="246" w:lineRule="auto"/>
        <w:tabs>
          <w:tab w:leader="none" w:pos="17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Company shall maintain at its principal executive offices or with the transfer agent and registrar of the Company (or at such other office or agency of the Company as it may designate by notice to the Buyer), a register for the Convertible Debenture in which the Company shall record the name and address of the Person in whose name the Convertible Debenture has been issued (including the name and address of each transferee), and the amount of the Convertible Debenture held by such Person. The Company shall keep the register open and available at all times during business hours for inspection of the Buyer or its legal representatives.</w:t>
      </w:r>
    </w:p>
    <w:p>
      <w:pPr>
        <w:spacing w:after="0" w:line="192" w:lineRule="exact"/>
        <w:rPr>
          <w:rFonts w:ascii="Times New Roman" w:cs="Times New Roman" w:eastAsia="Times New Roman" w:hAnsi="Times New Roman"/>
          <w:sz w:val="18"/>
          <w:szCs w:val="18"/>
          <w:color w:val="auto"/>
        </w:rPr>
      </w:pPr>
    </w:p>
    <w:p>
      <w:pPr>
        <w:jc w:val="both"/>
        <w:ind w:firstLine="324"/>
        <w:spacing w:after="0" w:line="248" w:lineRule="auto"/>
        <w:tabs>
          <w:tab w:leader="none" w:pos="170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Securities may only be disposed of in compliance with state and federal securities laws. In connection with any transfer of Securities other than pursuant to an effective registration statement or Rule 144, to the Company or to an Affiliate of the Buyer or in connection with a pledge as contemplated herein,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the Buyer under this Agreement.</w:t>
      </w:r>
    </w:p>
    <w:p>
      <w:pPr>
        <w:spacing w:after="0" w:line="4"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COMPANY’S OBLIGATION TO SELL.</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obligation of the Company hereunder to issue and sell the Convertible Debenture to the Buyer at the Closing is subject to the satisfaction, at or before the Closing Date, of each of the following conditions, provided that these conditions are for the Company’s sole benefit and may be waived by the Company at any time in its sole discretion by providing the Buyer with prior written notice thereof: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71348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3" w:name="page84"/>
    <w:bookmarkEnd w:id="83"/>
    <w:p>
      <w:pPr>
        <w:ind w:left="320"/>
        <w:spacing w:after="0"/>
        <w:rPr>
          <w:sz w:val="20"/>
          <w:szCs w:val="20"/>
          <w:color w:val="auto"/>
        </w:rPr>
      </w:pPr>
      <w:r>
        <w:rPr>
          <w:rFonts w:ascii="Times New Roman" w:cs="Times New Roman" w:eastAsia="Times New Roman" w:hAnsi="Times New Roman"/>
          <w:sz w:val="18"/>
          <w:szCs w:val="18"/>
          <w:color w:val="auto"/>
        </w:rPr>
        <w: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Buyer shall have executed each of the relevant Transaction Documents to which it is a party and delivered the same to the</w:t>
      </w:r>
    </w:p>
    <w:p>
      <w:pPr>
        <w:spacing w:after="0" w:line="417" w:lineRule="exact"/>
        <w:rPr>
          <w:sz w:val="20"/>
          <w:szCs w:val="20"/>
          <w:color w:val="auto"/>
        </w:rPr>
      </w:pPr>
    </w:p>
    <w:p>
      <w:pPr>
        <w:sectPr>
          <w:pgSz w:w="11900" w:h="16838" w:orient="portrait"/>
          <w:cols w:equalWidth="0" w:num="2">
            <w:col w:w="1240" w:space="720"/>
            <w:col w:w="9280"/>
          </w:cols>
          <w:pgMar w:left="320" w:top="571" w:right="339" w:bottom="1440" w:gutter="0" w:footer="0" w:header="0"/>
        </w:sectPr>
      </w:pPr>
    </w:p>
    <w:p>
      <w:pPr>
        <w:spacing w:after="0" w:line="11" w:lineRule="exact"/>
        <w:rPr>
          <w:sz w:val="20"/>
          <w:szCs w:val="20"/>
          <w:color w:val="auto"/>
        </w:rPr>
      </w:pPr>
    </w:p>
    <w:p>
      <w:pPr>
        <w:ind w:firstLine="324"/>
        <w:spacing w:after="0" w:line="271" w:lineRule="auto"/>
        <w:tabs>
          <w:tab w:leader="none" w:pos="157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delivered to the Company the relevant Purchase Price for the Convertible Debenture being purchased by the Buyer at the Closing by wire transfer of immediately available funds in accordance with the wire transfer instructions of Company.</w:t>
      </w:r>
    </w:p>
    <w:p>
      <w:pPr>
        <w:spacing w:after="0" w:line="167" w:lineRule="exact"/>
        <w:rPr>
          <w:rFonts w:ascii="Times New Roman" w:cs="Times New Roman" w:eastAsia="Times New Roman" w:hAnsi="Times New Roman"/>
          <w:sz w:val="18"/>
          <w:szCs w:val="18"/>
          <w:color w:val="auto"/>
        </w:rPr>
      </w:pPr>
    </w:p>
    <w:p>
      <w:pPr>
        <w:jc w:val="both"/>
        <w:ind w:firstLine="324"/>
        <w:spacing w:after="0" w:line="250" w:lineRule="auto"/>
        <w:tabs>
          <w:tab w:leader="none" w:pos="162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the Buyer shall have performed, satisfied and complied in all material respects with the covenants, agreements and conditions required by this Agreement to be performed, satisfied or complied with by the Buyer at or prior to such Closing Date.</w:t>
      </w:r>
    </w:p>
    <w:p>
      <w:pPr>
        <w:spacing w:after="0" w:line="2"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TO THE BUYER'S OBLIGATION TO PURCHASE.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obligation of the Buyer hereunder to purchase the Convertible Debenture at the Closing is subject to the satisfaction, at or before the Closing Date,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following conditions, provided that these conditions are for the Buyer's sole benefit and may be waived by the Buyer at any time in its sole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 by providing the Company with prior written notice thereof: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324"/>
        <w:spacing w:after="0" w:line="247" w:lineRule="auto"/>
        <w:tabs>
          <w:tab w:leader="none" w:pos="15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executed and delivered to the Buyer each of the relevant Transaction Documents to which it is a party and the Company shall have duly executed and delivered to the Buyer (by a member of the Company’s management board serving at the time of adoption of the authorization of the execution and delivery of this Agreement and the other Transaction Documents) the Convertible Debenture with the principal amount corresponding to the Purchase Price.</w:t>
      </w:r>
    </w:p>
    <w:p>
      <w:pPr>
        <w:spacing w:after="0" w:line="189" w:lineRule="exact"/>
        <w:rPr>
          <w:rFonts w:ascii="Times New Roman" w:cs="Times New Roman" w:eastAsia="Times New Roman" w:hAnsi="Times New Roman"/>
          <w:sz w:val="18"/>
          <w:szCs w:val="18"/>
          <w:color w:val="auto"/>
        </w:rPr>
      </w:pPr>
    </w:p>
    <w:p>
      <w:pPr>
        <w:jc w:val="both"/>
        <w:ind w:firstLine="324"/>
        <w:spacing w:after="0" w:line="251" w:lineRule="auto"/>
        <w:tabs>
          <w:tab w:leader="none" w:pos="16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and every representation and warranty of the Company shall be true and correct in all material respects (other than representations and warranties qualified by materiality, which shall be true and correct in all respects)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as set forth in each Transaction Document.</w:t>
      </w:r>
    </w:p>
    <w:p>
      <w:pPr>
        <w:spacing w:after="0" w:line="1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 The Ordinary Shares (A) shall be designated for quotation or listed (as applicable) on the OTCQB and (B) shall not have been suspended, as of the Closing Date, by the SEC or the OTCQB from trading on the OTCQB nor shall suspension by the SEC or the OTCQB have been threatened, as of the Closing Date, either (I) in writing by the SEC or the OTCQB or (II) by falling below the minimum maintenance requirements of the OTCQB.</w:t>
      </w:r>
    </w:p>
    <w:p>
      <w:pPr>
        <w:spacing w:after="0" w:line="399" w:lineRule="exact"/>
        <w:rPr>
          <w:sz w:val="20"/>
          <w:szCs w:val="20"/>
          <w:color w:val="auto"/>
        </w:rPr>
      </w:pPr>
    </w:p>
    <w:p>
      <w:pPr>
        <w:jc w:val="both"/>
        <w:ind w:firstLine="324"/>
        <w:spacing w:after="0" w:line="258" w:lineRule="auto"/>
        <w:tabs>
          <w:tab w:leader="none" w:pos="16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pro forma effect of the transactions contemplated herein and by the Exchange Agreement, the Company shall have received notice from Nasdaq that the Company has met all the applicable requirements for the listing of its Ordinary Shares on the Nasdaq Capital Market.</w:t>
      </w:r>
    </w:p>
    <w:p>
      <w:pPr>
        <w:spacing w:after="0" w:line="179" w:lineRule="exact"/>
        <w:rPr>
          <w:rFonts w:ascii="Times New Roman" w:cs="Times New Roman" w:eastAsia="Times New Roman" w:hAnsi="Times New Roman"/>
          <w:sz w:val="18"/>
          <w:szCs w:val="18"/>
          <w:color w:val="auto"/>
        </w:rPr>
      </w:pPr>
    </w:p>
    <w:p>
      <w:pPr>
        <w:ind w:firstLine="324"/>
        <w:spacing w:after="0" w:line="271" w:lineRule="auto"/>
        <w:tabs>
          <w:tab w:leader="none" w:pos="15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all governmental, regulatory or third-party consents and approvals, if any, necessary for the sale of the Securities, including without limitation, those required by the OTCQB, if any.</w:t>
      </w:r>
    </w:p>
    <w:p>
      <w:pPr>
        <w:spacing w:after="0" w:line="167" w:lineRule="exact"/>
        <w:rPr>
          <w:rFonts w:ascii="Times New Roman" w:cs="Times New Roman" w:eastAsia="Times New Roman" w:hAnsi="Times New Roman"/>
          <w:sz w:val="18"/>
          <w:szCs w:val="18"/>
          <w:color w:val="auto"/>
        </w:rPr>
      </w:pPr>
    </w:p>
    <w:p>
      <w:pPr>
        <w:jc w:val="both"/>
        <w:ind w:firstLine="324"/>
        <w:spacing w:after="0" w:line="258" w:lineRule="auto"/>
        <w:tabs>
          <w:tab w:leader="none" w:pos="16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79" w:lineRule="exact"/>
        <w:rPr>
          <w:rFonts w:ascii="Times New Roman" w:cs="Times New Roman" w:eastAsia="Times New Roman" w:hAnsi="Times New Roman"/>
          <w:sz w:val="18"/>
          <w:szCs w:val="18"/>
          <w:color w:val="auto"/>
        </w:rPr>
      </w:pPr>
    </w:p>
    <w:p>
      <w:pPr>
        <w:ind w:firstLine="324"/>
        <w:spacing w:after="0" w:line="271" w:lineRule="auto"/>
        <w:tabs>
          <w:tab w:leader="none" w:pos="17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no event or series of events shall have occurred that has resulted in or would reasonably be expected to result in a Material Adverse Effect</w:t>
      </w:r>
    </w:p>
    <w:p>
      <w:pPr>
        <w:spacing w:after="0" w:line="167" w:lineRule="exact"/>
        <w:rPr>
          <w:rFonts w:ascii="Times New Roman" w:cs="Times New Roman" w:eastAsia="Times New Roman" w:hAnsi="Times New Roman"/>
          <w:sz w:val="18"/>
          <w:szCs w:val="18"/>
          <w:color w:val="auto"/>
        </w:rPr>
      </w:pPr>
    </w:p>
    <w:p>
      <w:pPr>
        <w:ind w:left="1580" w:hanging="1256"/>
        <w:spacing w:after="0"/>
        <w:tabs>
          <w:tab w:leader="none" w:pos="1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have received the wire transfer instructions of the Company.</w:t>
      </w:r>
    </w:p>
    <w:p>
      <w:pPr>
        <w:spacing w:after="0" w:line="216" w:lineRule="exact"/>
        <w:rPr>
          <w:rFonts w:ascii="Times New Roman" w:cs="Times New Roman" w:eastAsia="Times New Roman" w:hAnsi="Times New Roman"/>
          <w:sz w:val="18"/>
          <w:szCs w:val="18"/>
          <w:color w:val="auto"/>
        </w:rPr>
      </w:pPr>
    </w:p>
    <w:p>
      <w:pPr>
        <w:ind w:firstLine="324"/>
        <w:spacing w:after="0" w:line="255" w:lineRule="auto"/>
        <w:tabs>
          <w:tab w:leader="none" w:pos="15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SVSE LLC, a Delaware limited liability company (“</w:t>
      </w:r>
      <w:r>
        <w:rPr>
          <w:rFonts w:ascii="Times New Roman" w:cs="Times New Roman" w:eastAsia="Times New Roman" w:hAnsi="Times New Roman"/>
          <w:sz w:val="18"/>
          <w:szCs w:val="18"/>
          <w:u w:val="single" w:color="auto"/>
          <w:color w:val="auto"/>
        </w:rPr>
        <w:t>SVSE</w:t>
      </w:r>
      <w:r>
        <w:rPr>
          <w:rFonts w:ascii="Times New Roman" w:cs="Times New Roman" w:eastAsia="Times New Roman" w:hAnsi="Times New Roman"/>
          <w:sz w:val="18"/>
          <w:szCs w:val="18"/>
          <w:color w:val="auto"/>
        </w:rPr>
        <w:t>”), shall have executed and delivered to the Buyer a call option agreement in the form set forth on Exhibit B attached hereto, granting to the Buyer an option to purchase Ordinary Shares and High Voting Shares held by SVSE.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84" w:name="page85"/>
    <w:bookmarkEnd w:id="84"/>
    <w:p>
      <w:pPr>
        <w:ind w:left="640" w:hanging="634"/>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jc w:val="both"/>
        <w:ind w:firstLine="556"/>
        <w:spacing w:after="0" w:line="245" w:lineRule="auto"/>
        <w:rPr>
          <w:sz w:val="20"/>
          <w:szCs w:val="20"/>
          <w:color w:val="auto"/>
        </w:rPr>
      </w:pPr>
      <w:r>
        <w:rPr>
          <w:rFonts w:ascii="Times New Roman" w:cs="Times New Roman" w:eastAsia="Times New Roman" w:hAnsi="Times New Roman"/>
          <w:sz w:val="18"/>
          <w:szCs w:val="18"/>
          <w:color w:val="auto"/>
        </w:rPr>
        <w:t>In the event that the Closing shall not have occurred by January 15, 2025, then the Buyer shall have the right to terminate its obligations under this Agreement at any time on or after the close of business on such date without liability of the Buyer to any other party; provided, however, the right to terminate this Agreement under this Section 8 shall not be available to the Buyer if the failure of the transactions contemplated by this Agreement to have been consummated by such date is the result of the Buyer's breach of this Agreement. Nothing contained in this Section 8 shall be deemed to release any party from any liability for any breach by such party of the terms and provisions of this Agreement or any other Transaction Documents or to impair the right of any party to compel specific performance by any other party of its obligations under this Agreement or any other Transaction Documents.</w:t>
      </w:r>
    </w:p>
    <w:p>
      <w:pPr>
        <w:spacing w:after="0" w:line="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640" w:hanging="634"/>
        <w:spacing w:after="0"/>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4"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4" w:lineRule="exact"/>
        <w:rPr>
          <w:rFonts w:ascii="Times New Roman" w:cs="Times New Roman" w:eastAsia="Times New Roman" w:hAnsi="Times New Roman"/>
          <w:sz w:val="18"/>
          <w:szCs w:val="18"/>
          <w:b w:val="1"/>
          <w:bCs w:val="1"/>
          <w:color w:val="auto"/>
        </w:rPr>
      </w:pPr>
    </w:p>
    <w:p>
      <w:pPr>
        <w:ind w:firstLine="324"/>
        <w:spacing w:after="0" w:line="251" w:lineRule="auto"/>
        <w:tabs>
          <w:tab w:leader="none" w:pos="167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xml:space="preserve"> The recitals to this Agreement are a material and substantive part of this Agreement. The recitals are incorporated herein and made part of this Agreement.</w:t>
      </w:r>
    </w:p>
    <w:p>
      <w:pPr>
        <w:spacing w:after="0" w:line="18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Governing Law; Jurisdiction; Jury Trial</w:t>
      </w:r>
      <w:r>
        <w:rPr>
          <w:rFonts w:ascii="Times New Roman" w:cs="Times New Roman" w:eastAsia="Times New Roman" w:hAnsi="Times New Roman"/>
          <w:sz w:val="17"/>
          <w:szCs w:val="17"/>
          <w:color w:val="auto"/>
        </w:rPr>
        <w:t>.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w:t>
      </w:r>
    </w:p>
    <w:p>
      <w:pPr>
        <w:spacing w:after="0" w:line="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EACH 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189" w:lineRule="exact"/>
        <w:rPr>
          <w:sz w:val="20"/>
          <w:szCs w:val="20"/>
          <w:color w:val="auto"/>
        </w:rPr>
      </w:pPr>
    </w:p>
    <w:p>
      <w:pPr>
        <w:jc w:val="both"/>
        <w:ind w:firstLine="324"/>
        <w:spacing w:after="0" w:line="251" w:lineRule="auto"/>
        <w:tabs>
          <w:tab w:leader="none" w:pos="15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8" w:lineRule="exact"/>
        <w:rPr>
          <w:rFonts w:ascii="Times New Roman" w:cs="Times New Roman" w:eastAsia="Times New Roman" w:hAnsi="Times New Roman"/>
          <w:sz w:val="18"/>
          <w:szCs w:val="18"/>
          <w:color w:val="auto"/>
        </w:rPr>
      </w:pPr>
    </w:p>
    <w:p>
      <w:pPr>
        <w:jc w:val="both"/>
        <w:ind w:firstLine="324"/>
        <w:spacing w:after="0" w:line="251" w:lineRule="auto"/>
        <w:tabs>
          <w:tab w:leader="none" w:pos="17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348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85" w:name="page86"/>
    <w:bookmarkEnd w:id="85"/>
    <w:p>
      <w:pPr>
        <w:jc w:val="both"/>
        <w:ind w:firstLine="324"/>
        <w:spacing w:after="0" w:line="248" w:lineRule="auto"/>
        <w:tabs>
          <w:tab w:leader="none" w:pos="16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 Budget</w:t>
      </w:r>
      <w:r>
        <w:rPr>
          <w:rFonts w:ascii="Times New Roman" w:cs="Times New Roman" w:eastAsia="Times New Roman" w:hAnsi="Times New Roman"/>
          <w:sz w:val="18"/>
          <w:szCs w:val="18"/>
          <w:color w:val="auto"/>
        </w:rPr>
        <w:t>. This Agreement supersedes all other prior oral or written agreements between the Buyer, the Company, their affiliates and persons acting on their behalf with respect to the matters discussed herein (including, without limitation, any term sheets) and which shall terminate in accordance with the terms set forth in the Term Sheet , and this Agreement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No provision of this Agreement may be waived or amended other than by an instrument in writing signed by the party to be charged with enforcement. The parties hereby acknowledge and agree that upon the completion of the Closing all obligations of the Buyer to provide or commit to any further funding to the Company in accordance with the funding commitment letter entered into on November 17, 2023, as has been amended and supplemented (the “</w:t>
      </w:r>
      <w:r>
        <w:rPr>
          <w:rFonts w:ascii="Times New Roman" w:cs="Times New Roman" w:eastAsia="Times New Roman" w:hAnsi="Times New Roman"/>
          <w:sz w:val="18"/>
          <w:szCs w:val="18"/>
          <w:u w:val="single" w:color="auto"/>
          <w:color w:val="auto"/>
        </w:rPr>
        <w:t>Funding Commitment</w:t>
      </w:r>
      <w:r>
        <w:rPr>
          <w:rFonts w:ascii="Times New Roman" w:cs="Times New Roman" w:eastAsia="Times New Roman" w:hAnsi="Times New Roman"/>
          <w:sz w:val="18"/>
          <w:szCs w:val="18"/>
          <w:color w:val="auto"/>
        </w:rPr>
        <w:t>”) shall be terminated. The Company agrees to use the Euro equivalent of $2 million of the proceeds of the transactions contemplated herein in accordance with the Budget (as defined in the Funding Commitment) and the Company shall maintain a cash balance (until otherwise agreed by the Buyer) in an amount equal to the remaining proceeds.</w:t>
      </w:r>
    </w:p>
    <w:p>
      <w:pPr>
        <w:spacing w:after="0" w:line="188" w:lineRule="exact"/>
        <w:rPr>
          <w:rFonts w:ascii="Times New Roman" w:cs="Times New Roman" w:eastAsia="Times New Roman" w:hAnsi="Times New Roman"/>
          <w:sz w:val="18"/>
          <w:szCs w:val="18"/>
          <w:color w:val="auto"/>
        </w:rPr>
      </w:pPr>
    </w:p>
    <w:p>
      <w:pPr>
        <w:jc w:val="both"/>
        <w:ind w:firstLine="324"/>
        <w:spacing w:after="0" w:line="270" w:lineRule="auto"/>
        <w:tabs>
          <w:tab w:leader="none" w:pos="168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consents, waivers or other communications required or permitted to be given under the terms of this Agreement must be in writing by letter and email and will be deemed to have been delivered: upon the later of (A) either (i) receipt, when delivered personally or (ii) one</w:t>
      </w:r>
    </w:p>
    <w:p>
      <w:pPr>
        <w:spacing w:after="0" w:line="1" w:lineRule="exact"/>
        <w:rPr>
          <w:sz w:val="20"/>
          <w:szCs w:val="20"/>
          <w:color w:val="auto"/>
        </w:rPr>
      </w:pPr>
    </w:p>
    <w:p>
      <w:pPr>
        <w:ind w:firstLine="6"/>
        <w:spacing w:after="0" w:line="245" w:lineRule="auto"/>
        <w:tabs>
          <w:tab w:leader="none" w:pos="2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8"/>
          <w:szCs w:val="18"/>
          <w:color w:val="auto"/>
        </w:rPr>
        <w:t>If to the Company, to:</w:t>
      </w:r>
      <w:r>
        <w:rPr>
          <w:sz w:val="20"/>
          <w:szCs w:val="20"/>
          <w:color w:val="auto"/>
        </w:rPr>
        <w:tab/>
      </w:r>
      <w:r>
        <w:rPr>
          <w:rFonts w:ascii="Times New Roman" w:cs="Times New Roman" w:eastAsia="Times New Roman" w:hAnsi="Times New Roman"/>
          <w:sz w:val="17"/>
          <w:szCs w:val="17"/>
          <w:color w:val="auto"/>
        </w:rPr>
        <w:t>SONO GROUP N.V.</w:t>
      </w:r>
    </w:p>
    <w:p>
      <w:pPr>
        <w:spacing w:after="0" w:line="5"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color w:val="auto"/>
        </w:rPr>
        <w:t>Waldmeisterstraße 93</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80935 Munich</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Germany</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Telephone: +49 (89) 4520 5818 </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E-Mail:  legal@sonomotors.com</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200" w:val="left"/>
        </w:tabs>
        <w:rPr>
          <w:sz w:val="20"/>
          <w:szCs w:val="20"/>
          <w:color w:val="auto"/>
        </w:rPr>
      </w:pPr>
      <w:r>
        <w:rPr>
          <w:rFonts w:ascii="Times New Roman" w:cs="Times New Roman" w:eastAsia="Times New Roman" w:hAnsi="Times New Roman"/>
          <w:sz w:val="18"/>
          <w:szCs w:val="18"/>
          <w:color w:val="auto"/>
        </w:rPr>
        <w:t>With a copy to:</w:t>
      </w:r>
      <w:r>
        <w:rPr>
          <w:sz w:val="20"/>
          <w:szCs w:val="20"/>
          <w:color w:val="auto"/>
        </w:rPr>
        <w:tab/>
      </w:r>
      <w:r>
        <w:rPr>
          <w:rFonts w:ascii="Times New Roman" w:cs="Times New Roman" w:eastAsia="Times New Roman" w:hAnsi="Times New Roman"/>
          <w:sz w:val="17"/>
          <w:szCs w:val="17"/>
          <w:color w:val="auto"/>
        </w:rPr>
        <w:t>DLA Piper Nederland N.V.</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Strawinskyhuis Prinses</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Amaliaplein 3 1077 XS Amsterdam</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Netherlands</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+31 (0)20 541 98 88</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Attention: Pabe Suurd</w:t>
      </w:r>
    </w:p>
    <w:p>
      <w:pPr>
        <w:spacing w:after="0" w:line="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E-Mail: Pabe.Suurd@dlapiper.com</w:t>
      </w:r>
    </w:p>
    <w:p>
      <w:pPr>
        <w:sectPr>
          <w:pgSz w:w="11900" w:h="16838" w:orient="portrait"/>
          <w:cols w:equalWidth="0" w:num="1">
            <w:col w:w="11240"/>
          </w:cols>
          <w:pgMar w:left="320" w:top="571" w:right="339"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Buyer, to: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Department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Yorkville Advisors Global,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legal@yorkvilleadvisors.com</w:t>
      </w:r>
    </w:p>
    <w:p>
      <w:pPr>
        <w:spacing w:after="0" w:line="16" w:lineRule="exact"/>
        <w:rPr>
          <w:sz w:val="20"/>
          <w:szCs w:val="20"/>
          <w:color w:val="auto"/>
        </w:rPr>
      </w:pPr>
    </w:p>
    <w:p>
      <w:pPr>
        <w:sectPr>
          <w:pgSz w:w="11900" w:h="16838" w:orient="portrait"/>
          <w:cols w:equalWidth="0" w:num="2">
            <w:col w:w="3500" w:space="720"/>
            <w:col w:w="7020"/>
          </w:cols>
          <w:pgMar w:left="320" w:top="57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e-mail address and/or to the attention of such other Person as the recipient party has specified by written notice given to each other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party five (5) days prior to the effectiveness of such change. Written confirmation of receipt (A) given by the recipient of such notice, consent, waiver or other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communication, (B) electronically generated by the sender's e-mail service provider containing the time, date, recipient e-mail address or (C) provided by 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overnight courier service shall be rebuttable evidence of personal service, receipt by facsimile or receipt from an overnight courier service in accordance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 (i), (ii) or (iii) above, respectively.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324"/>
        <w:spacing w:after="0" w:line="246" w:lineRule="auto"/>
        <w:tabs>
          <w:tab w:leader="none" w:pos="15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the Convertible Debenture (but excluding any purchasers of Underlying Securities, unless pursuant to a written assignment by the Buyer). The Company shall not assign this Agreement or any rights or obligations hereunder without the prior written consent of the Buyer. In connection with any transfer of any or all of its Securities, the Buyer may assign all, or a portion, of its rights and obligations hereunder in connection with such Securities without the consent of the Company, in which event such assignee shall be deemed to be the Buyer hereunder with respect to such transferred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1348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86" w:name="page87"/>
    <w:bookmarkEnd w:id="86"/>
    <w:p>
      <w:pPr>
        <w:ind w:left="1276" w:hanging="1276"/>
        <w:spacing w:after="0"/>
        <w:tabs>
          <w:tab w:leader="none" w:pos="12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39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jc w:val="both"/>
        <w:ind w:left="-324" w:firstLine="2388"/>
        <w:spacing w:after="0" w:line="245" w:lineRule="auto"/>
        <w:tabs>
          <w:tab w:leader="none" w:pos="342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Buyer's execution and delivery of the Transaction Documents and acquiring the Securities thereunder and in addition to all of the Company's other obligations under the Transaction Documents, the Company shall defend, protect, indemnify and hold harmless the Buyer its stockholders, partners, members, officers, directors, employees and agents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and including reasonable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 or (C) the status of the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The Company will not be liable to any Indemnitee under the foregoing indemnification provisions, for any settlement by an Indemnitee effected without the Company’s prior written consent (except as set forth below), or (b) to the extent that any Indemnified Liability of such Indemnitee is finally determined by a court or arbitral tribunal to have resulted from the willful misconduct or gross negligence of the Buyer or any other Indemnitee, and any expenses incurred in connection therewith that were previously reimbursed to the Buyer or any other Indemnitee by the Company will be repaid to the Company by the Buyer and such other Indemnitee.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02" w:lineRule="exact"/>
        <w:rPr>
          <w:rFonts w:ascii="Times New Roman" w:cs="Times New Roman" w:eastAsia="Times New Roman" w:hAnsi="Times New Roman"/>
          <w:sz w:val="18"/>
          <w:szCs w:val="18"/>
          <w:color w:val="auto"/>
        </w:rPr>
      </w:pPr>
    </w:p>
    <w:p>
      <w:pPr>
        <w:jc w:val="both"/>
        <w:ind w:left="-324" w:firstLine="2388"/>
        <w:spacing w:after="0" w:line="261" w:lineRule="auto"/>
        <w:tabs>
          <w:tab w:leader="none" w:pos="315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by an Indemnitee under this Section 9(i) of notice of the commencement of any action or proceeding (including any governmental action or proceeding) involving an Indemnified Liability, such Indemnitee shall, if a claim in respect thereof is to be made against the Company under this Section 9(i), deliver to the Company a written notice of the commencement thereof, and the Company shall have the right to participate in, and, to the extent the Company so desires, to assume control of the defense thereof with counsel mutually reasonably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9(i), except to the extent that the Company is materially and adversely prejudiced in its ability to defend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352425</wp:posOffset>
            </wp:positionV>
            <wp:extent cx="71348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916"/>
          </w:cols>
          <w:pgMar w:left="644" w:top="571" w:right="339" w:bottom="1440" w:gutter="0" w:footer="0" w:header="0"/>
        </w:sectPr>
      </w:pPr>
    </w:p>
    <w:bookmarkStart w:id="87" w:name="page88"/>
    <w:bookmarkEnd w:id="87"/>
    <w:p>
      <w:pPr>
        <w:ind w:firstLine="2388"/>
        <w:spacing w:after="0" w:line="301" w:lineRule="auto"/>
        <w:tabs>
          <w:tab w:leader="none" w:pos="35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indemnification required by this Section 9(i) shall be made by periodic payments of the amount thereof during the course of the investigation or defense, within ten (10) days after bills supporting the Indemnified Liabilities are received by the Company.</w:t>
      </w:r>
    </w:p>
    <w:p>
      <w:pPr>
        <w:spacing w:after="0" w:line="144" w:lineRule="exact"/>
        <w:rPr>
          <w:rFonts w:ascii="Times New Roman" w:cs="Times New Roman" w:eastAsia="Times New Roman" w:hAnsi="Times New Roman"/>
          <w:sz w:val="17"/>
          <w:szCs w:val="17"/>
          <w:color w:val="auto"/>
        </w:rPr>
      </w:pPr>
    </w:p>
    <w:p>
      <w:pPr>
        <w:ind w:left="3380" w:hanging="992"/>
        <w:spacing w:after="0"/>
        <w:tabs>
          <w:tab w:leader="none" w:pos="33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agreement contained herein shall be in addition to (A) any cause of action or similar right of the</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Indemnitee against the Company or others, and (B) any liabilities the Company may be subject to pursuant to the law.</w:t>
      </w:r>
    </w:p>
    <w:p>
      <w:pPr>
        <w:spacing w:after="0" w:line="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318"/>
        <w:spacing w:after="0" w:line="245"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[REMAINDER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2104390</wp:posOffset>
            </wp:positionV>
            <wp:extent cx="71348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88" w:name="page89"/>
    <w:bookmarkEnd w:id="88"/>
    <w:p>
      <w:pPr>
        <w:ind w:firstLine="635"/>
        <w:spacing w:after="0" w:line="25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and the Company have caused their respective signature page to this Securities Purchase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executed as of the date first written above.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George O’Leary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 and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89" w:name="page90"/>
    <w:bookmarkEnd w:id="89"/>
    <w:p>
      <w:pPr>
        <w:ind w:firstLine="635"/>
        <w:spacing w:after="0" w:line="27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and the Company have caused their respective signature page to this Securities Purchase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executed as of the date first written above.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BUYER:</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19" w:lineRule="exact"/>
        <w:rPr>
          <w:sz w:val="20"/>
          <w:szCs w:val="20"/>
          <w:color w:val="auto"/>
        </w:rPr>
      </w:pPr>
    </w:p>
    <w:p>
      <w:pPr>
        <w:ind w:left="564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Yorkville Advisors Global, LP</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1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Yorkville Advisors Global II, LLC</w:t>
      </w:r>
    </w:p>
    <w:p>
      <w:pPr>
        <w:spacing w:after="0" w:line="22" w:lineRule="exact"/>
        <w:rPr>
          <w:sz w:val="20"/>
          <w:szCs w:val="20"/>
          <w:color w:val="auto"/>
        </w:rPr>
      </w:pPr>
    </w:p>
    <w:p>
      <w:pPr>
        <w:ind w:left="5940"/>
        <w:spacing w:after="0"/>
        <w:tabs>
          <w:tab w:leader="none" w:pos="62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General Partner</w:t>
      </w:r>
    </w:p>
    <w:p>
      <w:pPr>
        <w:spacing w:after="0" w:line="1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Rosselli</w:t>
      </w:r>
    </w:p>
    <w:p>
      <w:pPr>
        <w:spacing w:after="0" w:line="2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Michael Rosselli</w:t>
      </w:r>
    </w:p>
    <w:p>
      <w:pPr>
        <w:spacing w:after="0" w:line="5" w:lineRule="exact"/>
        <w:rPr>
          <w:sz w:val="20"/>
          <w:szCs w:val="20"/>
          <w:color w:val="auto"/>
        </w:rPr>
      </w:pPr>
    </w:p>
    <w:p>
      <w:pPr>
        <w:ind w:left="594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CONVERTIBLE DEBENTURE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2380615</wp:posOffset>
            </wp:positionV>
            <wp:extent cx="71348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9019"/>
          </w:cols>
          <w:pgMar w:left="1440" w:top="569" w:right="1440" w:bottom="1440" w:gutter="0" w:footer="0" w:header="0"/>
        </w:sectPr>
      </w:pPr>
    </w:p>
    <w:bookmarkStart w:id="91" w:name="page92"/>
    <w:bookmarkEnd w:id="91"/>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NEITHER THIS SECURED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sono group 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v</w:t>
      </w:r>
      <w:r>
        <w:rPr>
          <w:rFonts w:ascii="Times New Roman" w:cs="Times New Roman" w:eastAsia="Times New Roman" w:hAnsi="Times New Roman"/>
          <w:sz w:val="17"/>
          <w:szCs w:val="17"/>
          <w:b w:val="1"/>
          <w:bCs w:val="1"/>
          <w:color w:val="auto"/>
        </w:rPr>
        <w: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1"/>
          <w:szCs w:val="11"/>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1"/>
          <w:szCs w:val="11"/>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1"/>
          <w:szCs w:val="11"/>
          <w:b w:val="1"/>
          <w:bCs w:val="1"/>
          <w:color w:val="auto"/>
        </w:rPr>
        <w:t>ebenture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$5,000,000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Issuance Date: January [•], 2025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Number: SEV-6</w:t>
      </w:r>
    </w:p>
    <w:p>
      <w:pPr>
        <w:spacing w:after="0" w:line="197" w:lineRule="exact"/>
        <w:rPr>
          <w:sz w:val="20"/>
          <w:szCs w:val="20"/>
          <w:color w:val="auto"/>
        </w:rPr>
      </w:pPr>
    </w:p>
    <w:p>
      <w:pPr>
        <w:jc w:val="both"/>
        <w:ind w:firstLine="1271"/>
        <w:spacing w:after="0" w:line="248" w:lineRule="auto"/>
        <w:rPr>
          <w:sz w:val="20"/>
          <w:szCs w:val="20"/>
          <w:color w:val="auto"/>
        </w:rPr>
      </w:pPr>
      <w:r>
        <w:rPr>
          <w:rFonts w:ascii="Times New Roman" w:cs="Times New Roman" w:eastAsia="Times New Roman" w:hAnsi="Times New Roman"/>
          <w:sz w:val="18"/>
          <w:szCs w:val="18"/>
          <w:b w:val="1"/>
          <w:bCs w:val="1"/>
          <w:color w:val="auto"/>
        </w:rPr>
        <w:t>FOR VALUE RECEIVED, SONO GROUP N.V.</w:t>
      </w:r>
      <w:r>
        <w:rPr>
          <w:rFonts w:ascii="Times New Roman" w:cs="Times New Roman" w:eastAsia="Times New Roman" w:hAnsi="Times New Roman"/>
          <w:sz w:val="18"/>
          <w:szCs w:val="18"/>
          <w:color w:val="auto"/>
        </w:rPr>
        <w:t>,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order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principal amount (as reduced or increased pursuant to the terms hereof pursuant to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when due, whether upon the Maturity Date (as defined below), acceleration, redemption or otherwise (in each case in accordance with the terms hereof)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from the date set out above as the Debenture Issuance Date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until the same becomes due and payable, whether upon the Maturity Date or acceleration, conversion, redemption or otherwise (in each case in accordance with the terms hereof). This Secured Convertible Debenture (including all debentures issued in exchange, transfer or replacement hereof,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was originally issued pursuant to the Securities Purchase Agreement dated as of December 30, 2024, as it may be amended from time to time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between the Company and the Holder. All Obligations owed by the Company to the Holder under this Debenture and each other Transaction Document are guaranteed by the Guarantors pursuant to the Guaranty and secured by the Company and the Guarantors pursuant to the Security Documents. Certain capitalized terms used herein are defined in Section 14.</w:t>
      </w:r>
    </w:p>
    <w:p>
      <w:pPr>
        <w:spacing w:after="0" w:line="1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GENERAL TERMS</w:t>
      </w:r>
    </w:p>
    <w:p>
      <w:pPr>
        <w:spacing w:after="0" w:line="217" w:lineRule="exact"/>
        <w:rPr>
          <w:sz w:val="20"/>
          <w:szCs w:val="20"/>
          <w:color w:val="auto"/>
        </w:rPr>
      </w:pPr>
    </w:p>
    <w:p>
      <w:pPr>
        <w:jc w:val="both"/>
        <w:ind w:firstLine="190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January [•], 2026, as may be extended at the option of the Holder. Other than as specifically permitted by this Debenture, the Company may not prepay or redeem any portion of the outstanding Principal and accrued and unpaid Interest</w:t>
      </w:r>
    </w:p>
    <w:p>
      <w:pPr>
        <w:spacing w:after="0" w:line="183" w:lineRule="exact"/>
        <w:rPr>
          <w:sz w:val="20"/>
          <w:szCs w:val="20"/>
          <w:color w:val="auto"/>
        </w:rPr>
      </w:pPr>
    </w:p>
    <w:p>
      <w:pPr>
        <w:jc w:val="both"/>
        <w:ind w:firstLine="190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12%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an Event of Default for so long as it remains uncured. Interest shall be calculated based on a 365-day year and the actual number of days elapsed, to the extent permitted by applicable law.</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RESERVED</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Early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 portion or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trading price of the Ordinary Shares is less than the Fixed Conversion Price and (ii) the Company provides the Holder with at least five (5) Business Days’ prior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Each Redemption Notice shall be irrevocable and shall specify the outstanding balance of the Secured Convertible Debenture to be redeemed and the applicable Redemption Premium.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351155</wp:posOffset>
            </wp:positionV>
            <wp:extent cx="71348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92" w:name="page93"/>
    <w:bookmarkEnd w:id="92"/>
    <w:p>
      <w:pPr>
        <w:ind w:left="128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1906"/>
        <w:spacing w:after="0" w:line="258" w:lineRule="auto"/>
        <w:rPr>
          <w:sz w:val="20"/>
          <w:szCs w:val="20"/>
          <w:color w:val="auto"/>
        </w:rPr>
      </w:pPr>
      <w:r>
        <w:rPr>
          <w:rFonts w:ascii="Times New Roman" w:cs="Times New Roman" w:eastAsia="Times New Roman" w:hAnsi="Times New Roman"/>
          <w:sz w:val="18"/>
          <w:szCs w:val="18"/>
          <w:color w:val="auto"/>
        </w:rPr>
        <w:t>(a)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w:t>
      </w:r>
    </w:p>
    <w:p>
      <w:pPr>
        <w:spacing w:after="0" w:line="179" w:lineRule="exact"/>
        <w:rPr>
          <w:sz w:val="20"/>
          <w:szCs w:val="20"/>
          <w:color w:val="auto"/>
        </w:rPr>
      </w:pPr>
    </w:p>
    <w:p>
      <w:pPr>
        <w:jc w:val="both"/>
        <w:ind w:firstLine="2541"/>
        <w:spacing w:after="0" w:line="271" w:lineRule="auto"/>
        <w:rPr>
          <w:sz w:val="20"/>
          <w:szCs w:val="20"/>
          <w:color w:val="auto"/>
        </w:rPr>
      </w:pPr>
      <w:r>
        <w:rPr>
          <w:rFonts w:ascii="Times New Roman" w:cs="Times New Roman" w:eastAsia="Times New Roman" w:hAnsi="Times New Roman"/>
          <w:sz w:val="18"/>
          <w:szCs w:val="18"/>
          <w:color w:val="auto"/>
        </w:rPr>
        <w:t>(i)               the Company’s or any Guarantor’s failure to pay to the Holder any amount of Principal, Redemption Premium, Interest, or other amounts when and as due under this Debenture or any other Transaction Document;</w:t>
      </w:r>
    </w:p>
    <w:p>
      <w:pPr>
        <w:spacing w:after="0" w:line="168" w:lineRule="exact"/>
        <w:rPr>
          <w:sz w:val="20"/>
          <w:szCs w:val="20"/>
          <w:color w:val="auto"/>
        </w:rPr>
      </w:pPr>
    </w:p>
    <w:p>
      <w:pPr>
        <w:jc w:val="both"/>
        <w:ind w:firstLine="2541"/>
        <w:spacing w:after="0" w:line="261" w:lineRule="auto"/>
        <w:rPr>
          <w:sz w:val="20"/>
          <w:szCs w:val="20"/>
          <w:color w:val="auto"/>
        </w:rPr>
      </w:pPr>
      <w:r>
        <w:rPr>
          <w:rFonts w:ascii="Times New Roman" w:cs="Times New Roman" w:eastAsia="Times New Roman" w:hAnsi="Times New Roman"/>
          <w:sz w:val="17"/>
          <w:szCs w:val="17"/>
          <w:color w:val="auto"/>
        </w:rPr>
        <w:t>(ii)              The Company, any Subsidiary of the Company, or any Guarantor shall commence, or there shall be commenced against the Company, any Subsidiary of the Company, or any Guarantor under any applicable bankruptcy or insolvency laws as now or hereafter in effect or any successor thereto, or the Company, any Subsidiary of the Company, or any Guarantor commences any other proceeding under any reorganization, arrangement, adjustment of debt, relief of debtors, dissolution, insolvency or liquidation or similar law of any jurisdiction whether now or hereafter in effect relating to the Company, any Subsidiary of the Company, or any Guarantor and any such bankruptcy, insolvency or other proceeding which remains undismissed for a period of sixty one (61) days; or the Company, any Subsidiary of the Company, or any Guarantor is adjudicated insolvent or bankrupt; or any order of relief or other order approving any such case or proceeding is entered; or the Company, any Subsidiary of the Company, or any Guarantor suffers any appointment of any custodian, private or court appointed receiver or the like for it or all or substantially all of its property which continues undischarged or unstayed for a period of sixty one (61) days; or the Company, any Subsidiary of the Company, or any Guarantor makes a general assignment of all or substantially all of its assets for the benefit of creditors; or the Company, any Subsidiary of the Company, or any Guarantor shall fail to pay, or shall state that it is unable to pay, or shall be unable to pay, its debts generally as they become due; or the Company, any Subsidiary of the Company, or any Guarantor shall call a meeting of its creditors with a view to arranging a composition, adjustment or restructuring of its debts; or the Company, any Subsidiary of the Company, or any Guarantor shall by any act or failure to act expressly indicate its consent to, approval of or acquiescence in any of the foregoing; or any corporate or other action is taken by the Company, any Subsidiary of the Company, or any Guarantor for the purpose of effecting any of the foregoing;</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2541"/>
        <w:spacing w:after="0" w:line="246" w:lineRule="auto"/>
        <w:rPr>
          <w:sz w:val="20"/>
          <w:szCs w:val="20"/>
          <w:color w:val="auto"/>
        </w:rPr>
      </w:pPr>
      <w:r>
        <w:rPr>
          <w:rFonts w:ascii="Times New Roman" w:cs="Times New Roman" w:eastAsia="Times New Roman" w:hAnsi="Times New Roman"/>
          <w:sz w:val="18"/>
          <w:szCs w:val="18"/>
          <w:color w:val="auto"/>
        </w:rPr>
        <w:t>(iii)             The Company, any Subsidiary of the Company, or any Guarantor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or any Guarantor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spacing w:after="0" w:line="192" w:lineRule="exact"/>
        <w:rPr>
          <w:sz w:val="20"/>
          <w:szCs w:val="20"/>
          <w:color w:val="auto"/>
        </w:rPr>
      </w:pPr>
    </w:p>
    <w:p>
      <w:pPr>
        <w:jc w:val="both"/>
        <w:ind w:right="20" w:firstLine="2541"/>
        <w:spacing w:after="0" w:line="255" w:lineRule="auto"/>
        <w:rPr>
          <w:sz w:val="20"/>
          <w:szCs w:val="20"/>
          <w:color w:val="auto"/>
        </w:rPr>
      </w:pPr>
      <w:r>
        <w:rPr>
          <w:rFonts w:ascii="Times New Roman" w:cs="Times New Roman" w:eastAsia="Times New Roman" w:hAnsi="Times New Roman"/>
          <w:sz w:val="18"/>
          <w:szCs w:val="18"/>
          <w:color w:val="auto"/>
        </w:rPr>
        <w:t>(iv)              The Company, any Subsidiary of the Company or any Guarantor shall be a party to any Change of Control Transaction (as defined in Section 14) unless in connection with such Change of Control Transaction this Debenture is retired;</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(v)             The Company’s (A) failure to issue and deliver the required number of Ordinary Shares to the Holder within four</w:t>
      </w:r>
    </w:p>
    <w:p>
      <w:pPr>
        <w:spacing w:after="0" w:line="16" w:lineRule="exact"/>
        <w:rPr>
          <w:sz w:val="20"/>
          <w:szCs w:val="20"/>
          <w:color w:val="auto"/>
        </w:rPr>
      </w:pPr>
    </w:p>
    <w:p>
      <w:pPr>
        <w:jc w:val="both"/>
        <w:ind w:firstLine="6"/>
        <w:spacing w:after="0" w:line="248" w:lineRule="auto"/>
        <w:tabs>
          <w:tab w:leader="none" w:pos="28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349250</wp:posOffset>
            </wp:positionV>
            <wp:extent cx="71348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93" w:name="page94"/>
    <w:bookmarkEnd w:id="93"/>
    <w:p>
      <w:pPr>
        <w:jc w:val="both"/>
        <w:ind w:firstLine="2541"/>
        <w:spacing w:after="0" w:line="271" w:lineRule="auto"/>
        <w:rPr>
          <w:sz w:val="20"/>
          <w:szCs w:val="20"/>
          <w:color w:val="auto"/>
        </w:rPr>
      </w:pPr>
      <w:r>
        <w:rPr>
          <w:rFonts w:ascii="Times New Roman" w:cs="Times New Roman" w:eastAsia="Times New Roman" w:hAnsi="Times New Roman"/>
          <w:sz w:val="18"/>
          <w:szCs w:val="18"/>
          <w:color w:val="auto"/>
        </w:rPr>
        <w:t>(vi)            The Company shall fail for any reason to deliver the payment in cash pursuant to a Buy-In (as defined in Section 4(b)(ii) herein) within five Business Days after such payment is due;</w:t>
      </w:r>
    </w:p>
    <w:p>
      <w:pPr>
        <w:spacing w:after="0" w:line="168" w:lineRule="exact"/>
        <w:rPr>
          <w:sz w:val="20"/>
          <w:szCs w:val="20"/>
          <w:color w:val="auto"/>
        </w:rPr>
      </w:pPr>
    </w:p>
    <w:p>
      <w:pPr>
        <w:jc w:val="both"/>
        <w:ind w:firstLine="2541"/>
        <w:spacing w:after="0" w:line="249" w:lineRule="auto"/>
        <w:rPr>
          <w:sz w:val="20"/>
          <w:szCs w:val="20"/>
          <w:color w:val="auto"/>
        </w:rPr>
      </w:pPr>
      <w:r>
        <w:rPr>
          <w:rFonts w:ascii="Times New Roman" w:cs="Times New Roman" w:eastAsia="Times New Roman" w:hAnsi="Times New Roman"/>
          <w:sz w:val="18"/>
          <w:szCs w:val="18"/>
          <w:color w:val="auto"/>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all such Periodic Reports shall include, when filed, all information, financial statements, audit reports (when applicable) and other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such Periodic Reports in compliance with all applicable laws and regulations;</w:t>
      </w:r>
    </w:p>
    <w:p>
      <w:pPr>
        <w:spacing w:after="0" w:line="191" w:lineRule="exact"/>
        <w:rPr>
          <w:sz w:val="20"/>
          <w:szCs w:val="20"/>
          <w:color w:val="auto"/>
        </w:rPr>
      </w:pPr>
    </w:p>
    <w:p>
      <w:pPr>
        <w:jc w:val="both"/>
        <w:ind w:firstLine="2541"/>
        <w:spacing w:after="0" w:line="258" w:lineRule="auto"/>
        <w:rPr>
          <w:sz w:val="20"/>
          <w:szCs w:val="20"/>
          <w:color w:val="auto"/>
        </w:rPr>
      </w:pPr>
      <w:r>
        <w:rPr>
          <w:rFonts w:ascii="Times New Roman" w:cs="Times New Roman" w:eastAsia="Times New Roman" w:hAnsi="Times New Roman"/>
          <w:sz w:val="18"/>
          <w:szCs w:val="18"/>
          <w:color w:val="auto"/>
        </w:rPr>
        <w:t>(viii)              Any representation or warranty made or deemed made by the Company, any Subsidiary of the Company or any Guarantor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spacing w:after="0" w:line="179" w:lineRule="exact"/>
        <w:rPr>
          <w:sz w:val="20"/>
          <w:szCs w:val="20"/>
          <w:color w:val="auto"/>
        </w:rPr>
      </w:pPr>
    </w:p>
    <w:p>
      <w:pPr>
        <w:jc w:val="both"/>
        <w:ind w:firstLine="2541"/>
        <w:spacing w:after="0" w:line="251" w:lineRule="auto"/>
        <w:rPr>
          <w:sz w:val="20"/>
          <w:szCs w:val="20"/>
          <w:color w:val="auto"/>
        </w:rPr>
      </w:pPr>
      <w:r>
        <w:rPr>
          <w:rFonts w:ascii="Times New Roman" w:cs="Times New Roman" w:eastAsia="Times New Roman" w:hAnsi="Times New Roman"/>
          <w:sz w:val="18"/>
          <w:szCs w:val="18"/>
          <w:color w:val="auto"/>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spacing w:after="0" w:line="188" w:lineRule="exact"/>
        <w:rPr>
          <w:sz w:val="20"/>
          <w:szCs w:val="20"/>
          <w:color w:val="auto"/>
        </w:rPr>
      </w:pPr>
    </w:p>
    <w:p>
      <w:pPr>
        <w:jc w:val="both"/>
        <w:ind w:firstLine="2541"/>
        <w:spacing w:after="0" w:line="258" w:lineRule="auto"/>
        <w:rPr>
          <w:sz w:val="20"/>
          <w:szCs w:val="20"/>
          <w:color w:val="auto"/>
        </w:rPr>
      </w:pPr>
      <w:r>
        <w:rPr>
          <w:rFonts w:ascii="Times New Roman" w:cs="Times New Roman" w:eastAsia="Times New Roman" w:hAnsi="Times New Roman"/>
          <w:sz w:val="18"/>
          <w:szCs w:val="18"/>
          <w:color w:val="auto"/>
        </w:rPr>
        <w:t>(x)             The Company or any Guarantor shall fail to observe or perform any material covenant, agreement or warranty contained in, or otherwise commit any material breach or default of any provision of this Debenture (except as may be covered by Section (3)(a)(i) through (3) (a)(ix) hereof) or any other Transaction Document (as defined in Section 14) which is not cured or remedied within the time prescribed (if any);</w:t>
      </w:r>
    </w:p>
    <w:p>
      <w:pPr>
        <w:spacing w:after="0" w:line="179" w:lineRule="exact"/>
        <w:rPr>
          <w:sz w:val="20"/>
          <w:szCs w:val="20"/>
          <w:color w:val="auto"/>
        </w:rPr>
      </w:pPr>
    </w:p>
    <w:p>
      <w:pPr>
        <w:jc w:val="both"/>
        <w:ind w:firstLine="2547"/>
        <w:spacing w:after="0" w:line="258" w:lineRule="auto"/>
        <w:tabs>
          <w:tab w:leader="none" w:pos="334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spacing w:after="0" w:line="179" w:lineRule="exact"/>
        <w:rPr>
          <w:rFonts w:ascii="Times New Roman" w:cs="Times New Roman" w:eastAsia="Times New Roman" w:hAnsi="Times New Roman"/>
          <w:sz w:val="18"/>
          <w:szCs w:val="18"/>
          <w:color w:val="auto"/>
        </w:rPr>
      </w:pPr>
    </w:p>
    <w:p>
      <w:pPr>
        <w:jc w:val="both"/>
        <w:ind w:firstLine="2547"/>
        <w:spacing w:after="0" w:line="255" w:lineRule="auto"/>
        <w:tabs>
          <w:tab w:leader="none" w:pos="32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(including this Debenture) covering a material portion of the Collateral shall cease to create a valid and perfected lien, with the priority required by the Security Documents (including this Debenture) on and security interest in any material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 Collateral covered thereby.</w:t>
      </w:r>
    </w:p>
    <w:p>
      <w:pPr>
        <w:spacing w:after="0" w:line="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           During the time that any portion of this Debenture is outstanding, if any Event of Default has occurred and has not been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cured within the applicable cure period, if any, (other than an event with respect to the Company described in Section 3(a)(ii)) the full unpaid Principal amount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this Debenture, together with interest and other amounts owing in respect thereof and other Obligations accrued hereunder and under any other Transaction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to the date of acceleration shall become at the Holder's election given by notice pursuant to Section 7, immediately due and payable in cash;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case of any event with respect to the Company described in Section 3(a)(ii), the full unpaid Principal amount of this Debenture, together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amounts owing in respect thereof and other Obligations accrued hereunder and under any other Transaction Document, to the date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shall automatically become due and payable, in each case without presentment, demand, protest or other notice of any kind, all of which are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waived by the Company. Furthermore, in addition to any other remedies, the Holder shall have the right (but not the obligation) to convert, at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Rate, on one or more occasions all or part of the Conversion Amount in accordance with Section 4 hereof (subject to the beneficial ownership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limitations set out in Section (4)(c)) at any time after (x) an Event of Default (provided that such Event of Default is continuing) or (y) the Maturity Date.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need not provide, and the Company hereby waives, any presentment, demand, protest or other notice of any kind (other than required notice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and the Holder may immediately enforce any and all of its rights and remedies hereunder and all other remedies available to it under applicable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 Such declaration may be rescinded and annulled by the Holder in writing at any time prior to payment hereunder. No such rescission or annulment shall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any subsequent Event of Default or impair any right consequent thereon.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CONVERSION OF DEBENTURE</w:t>
      </w:r>
      <w:r>
        <w:rPr>
          <w:rFonts w:ascii="Times New Roman" w:cs="Times New Roman" w:eastAsia="Times New Roman" w:hAnsi="Times New Roman"/>
          <w:sz w:val="18"/>
          <w:szCs w:val="18"/>
          <w:color w:val="auto"/>
        </w:rPr>
        <w:t>. This Debenture shall be convertible into Ordinary Shares, on the terms and conditions set forth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4.</w:t>
      </w:r>
    </w:p>
    <w:p>
      <w:pPr>
        <w:spacing w:after="0" w:line="199" w:lineRule="exact"/>
        <w:rPr>
          <w:sz w:val="20"/>
          <w:szCs w:val="20"/>
          <w:color w:val="auto"/>
        </w:rPr>
      </w:pPr>
    </w:p>
    <w:p>
      <w:pPr>
        <w:jc w:val="both"/>
        <w:ind w:firstLine="1906"/>
        <w:spacing w:after="0" w:line="24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spacing w:after="0" w:line="193" w:lineRule="exact"/>
        <w:rPr>
          <w:sz w:val="20"/>
          <w:szCs w:val="20"/>
          <w:color w:val="auto"/>
        </w:rPr>
      </w:pPr>
    </w:p>
    <w:p>
      <w:pPr>
        <w:ind w:right="360" w:firstLine="2541"/>
        <w:spacing w:after="0" w:line="271"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and/or accrued Interest to be converted, redeemed or otherwise with respect to which this determination is being made, and translated into USD on the applicable Conversion Date.</w:t>
      </w:r>
    </w:p>
    <w:p>
      <w:pPr>
        <w:spacing w:after="0" w:line="168" w:lineRule="exact"/>
        <w:rPr>
          <w:sz w:val="20"/>
          <w:szCs w:val="20"/>
          <w:color w:val="auto"/>
        </w:rPr>
      </w:pPr>
    </w:p>
    <w:p>
      <w:pPr>
        <w:jc w:val="both"/>
        <w:ind w:firstLine="2541"/>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(as defined below) or other date of determination the lower of (i) a price per Ordinary Share equal to USD 0.25 (the “</w:t>
      </w:r>
      <w:r>
        <w:rPr>
          <w:rFonts w:ascii="Times New Roman" w:cs="Times New Roman" w:eastAsia="Times New Roman" w:hAnsi="Times New Roman"/>
          <w:sz w:val="18"/>
          <w:szCs w:val="18"/>
          <w:u w:val="single" w:color="auto"/>
          <w:color w:val="auto"/>
        </w:rPr>
        <w:t>Fixed Conversion Price</w:t>
      </w:r>
      <w:r>
        <w:rPr>
          <w:rFonts w:ascii="Times New Roman" w:cs="Times New Roman" w:eastAsia="Times New Roman" w:hAnsi="Times New Roman"/>
          <w:sz w:val="18"/>
          <w:szCs w:val="18"/>
          <w:color w:val="auto"/>
        </w:rPr>
        <w:t>”), or (ii) 85% of the lowest daily VWAP of the Ordinary Shares during the seven (7)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Conversion Price</w:t>
      </w:r>
      <w:r>
        <w:rPr>
          <w:rFonts w:ascii="Times New Roman" w:cs="Times New Roman" w:eastAsia="Times New Roman" w:hAnsi="Times New Roman"/>
          <w:sz w:val="18"/>
          <w:szCs w:val="18"/>
          <w:color w:val="auto"/>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spacing w:after="0" w:line="18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Mechanics of Conversion</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2541"/>
        <w:spacing w:after="0" w:line="262"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 To convert any Conversion Amount into Ordinary Shares on any date (a “</w:t>
      </w:r>
      <w:r>
        <w:rPr>
          <w:rFonts w:ascii="Times New Roman" w:cs="Times New Roman" w:eastAsia="Times New Roman" w:hAnsi="Times New Roman"/>
          <w:sz w:val="17"/>
          <w:szCs w:val="17"/>
          <w:u w:val="single" w:color="auto"/>
          <w:color w:val="auto"/>
        </w:rPr>
        <w:t>Conversion Date</w:t>
      </w:r>
      <w:r>
        <w:rPr>
          <w:rFonts w:ascii="Times New Roman" w:cs="Times New Roman" w:eastAsia="Times New Roman" w:hAnsi="Times New Roman"/>
          <w:sz w:val="17"/>
          <w:szCs w:val="17"/>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17"/>
          <w:szCs w:val="17"/>
          <w:u w:val="single" w:color="auto"/>
          <w:color w:val="auto"/>
        </w:rPr>
        <w:t>Exhibit 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Conversion Notice</w:t>
      </w:r>
      <w:r>
        <w:rPr>
          <w:rFonts w:ascii="Times New Roman" w:cs="Times New Roman" w:eastAsia="Times New Roman" w:hAnsi="Times New Roman"/>
          <w:sz w:val="17"/>
          <w:szCs w:val="17"/>
          <w:color w:val="auto"/>
        </w:rPr>
        <w:t>”) to the Company and (B) if required by Section (4)(b)(iii), surrender this Debenture to a nationally recognized overnight delivery service for delivery to the Company (or an indemnification undertaking reasonably satisfactory to the Company with respect to this Debenture in the case of its loss, theft or destruction). On or before the third (3rd) Trading Day following the date of receipt of a Conversion Notice (the “</w:t>
      </w:r>
      <w:r>
        <w:rPr>
          <w:rFonts w:ascii="Times New Roman" w:cs="Times New Roman" w:eastAsia="Times New Roman" w:hAnsi="Times New Roman"/>
          <w:sz w:val="17"/>
          <w:szCs w:val="17"/>
          <w:u w:val="single" w:color="auto"/>
          <w:color w:val="auto"/>
        </w:rPr>
        <w:t>Share Delivery Date</w:t>
      </w:r>
      <w:r>
        <w:rPr>
          <w:rFonts w:ascii="Times New Roman" w:cs="Times New Roman" w:eastAsia="Times New Roman" w:hAnsi="Times New Roman"/>
          <w:sz w:val="17"/>
          <w:szCs w:val="17"/>
          <w:color w:val="auto"/>
        </w:rPr>
        <w:t>”), the Company shall (X) if legends are not required to be placed on certificates of Ordinary Shares and provided that the Transfer Agent is participating in the Depository Trust Company's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Fast Automated Securities Transfer Program, credit such aggregate number of Ordinary Shares to which the Holder shall be entitled to the Holder's or its designee's balance account with DTC through its Deposit Withdrawal Agent Commission system or (Y) if the Transfer Agent is not participating in the DTC Fast Automated Securities Transfer Program, issue and deliver to the address as specified in the Conversion Notice, a certificate, registered Ordinary Shares in the name of the Holder or its designee, for the number of Ordinary Shares to which the Holder shall be entitled which certificates shall not bear any restrictive legends unless required pursuant to rules and regulations of the Commission.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Ordinary Shares issuable upon a conversion of this Debenture shall be treated for all purposes as the record holder or holders of such Ordinary Shares upon the transmission of a Conversion Notice. In connection with any conversion of a Conversion Amount into Ordinary Shares on a Conversion Date, the Company shall, on the relevant Share Delivery Date, set off (</w:t>
      </w:r>
      <w:r>
        <w:rPr>
          <w:rFonts w:ascii="Times New Roman" w:cs="Times New Roman" w:eastAsia="Times New Roman" w:hAnsi="Times New Roman"/>
          <w:sz w:val="17"/>
          <w:szCs w:val="17"/>
          <w:i w:val="1"/>
          <w:iCs w:val="1"/>
          <w:color w:val="auto"/>
        </w:rPr>
        <w:t>verrekenen</w:t>
      </w:r>
      <w:r>
        <w:rPr>
          <w:rFonts w:ascii="Times New Roman" w:cs="Times New Roman" w:eastAsia="Times New Roman" w:hAnsi="Times New Roman"/>
          <w:sz w:val="17"/>
          <w:szCs w:val="17"/>
          <w:color w:val="auto"/>
        </w:rPr>
        <w:t>) its debt under the relevant Debenture(s) to pay such Conversion Amount against its receivable from the Holder to pay up in full, and satisfy the issue price, for the relevant Ordinary Shares issuable upon such conversion (and, for that purpose, such issue price shall be the same amount as the Conversion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480060</wp:posOffset>
            </wp:positionV>
            <wp:extent cx="71348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5" w:name="page96"/>
    <w:bookmarkEnd w:id="95"/>
    <w:p>
      <w:pPr>
        <w:jc w:val="both"/>
        <w:ind w:firstLine="2541"/>
        <w:spacing w:after="0" w:line="248"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 (A) such number of Ordinary Shares, times (B) the Closing Price on the Conversion Date.</w:t>
      </w:r>
    </w:p>
    <w:p>
      <w:pPr>
        <w:spacing w:after="0" w:line="190" w:lineRule="exact"/>
        <w:rPr>
          <w:sz w:val="20"/>
          <w:szCs w:val="20"/>
          <w:color w:val="auto"/>
        </w:rPr>
      </w:pPr>
    </w:p>
    <w:p>
      <w:pPr>
        <w:jc w:val="both"/>
        <w:ind w:firstLine="2541"/>
        <w:spacing w:after="0" w:line="250"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w:t>
      </w:r>
    </w:p>
    <w:p>
      <w:pPr>
        <w:spacing w:after="0" w:line="18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Limitations on Conversions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2541"/>
        <w:spacing w:after="0" w:line="261"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spacing w:after="0" w:line="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356870</wp:posOffset>
            </wp:positionV>
            <wp:extent cx="71348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6" w:name="page97"/>
    <w:bookmarkEnd w:id="96"/>
    <w:p>
      <w:pPr>
        <w:ind w:left="2540"/>
        <w:spacing w:after="0"/>
        <w:rPr>
          <w:sz w:val="20"/>
          <w:szCs w:val="20"/>
          <w:color w:val="auto"/>
        </w:rPr>
      </w:pPr>
      <w:r>
        <w:rPr>
          <w:rFonts w:ascii="Times New Roman" w:cs="Times New Roman" w:eastAsia="Times New Roman" w:hAnsi="Times New Roman"/>
          <w:sz w:val="18"/>
          <w:szCs w:val="18"/>
          <w:color w:val="auto"/>
        </w:rPr>
        <w:t>(i)                All calculations under this Section (4) shall be rounded to the nearest $0.0001 or whole share.</w:t>
      </w:r>
    </w:p>
    <w:p>
      <w:pPr>
        <w:spacing w:after="0" w:line="2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2541"/>
        <w:spacing w:after="0" w:line="259" w:lineRule="auto"/>
        <w:rPr>
          <w:sz w:val="20"/>
          <w:szCs w:val="20"/>
          <w:color w:val="auto"/>
        </w:rPr>
      </w:pPr>
      <w:r>
        <w:rPr>
          <w:rFonts w:ascii="Times New Roman" w:cs="Times New Roman" w:eastAsia="Times New Roman" w:hAnsi="Times New Roman"/>
          <w:sz w:val="17"/>
          <w:szCs w:val="17"/>
          <w:color w:val="auto"/>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cs="Times New Roman" w:eastAsia="Times New Roman" w:hAnsi="Times New Roman"/>
          <w:sz w:val="17"/>
          <w:szCs w:val="17"/>
          <w:u w:val="single" w:color="auto"/>
          <w:color w:val="auto"/>
        </w:rPr>
        <w:t>Required Reserve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1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2541"/>
        <w:spacing w:after="0" w:line="246" w:lineRule="auto"/>
        <w:rPr>
          <w:sz w:val="20"/>
          <w:szCs w:val="20"/>
          <w:color w:val="auto"/>
        </w:rPr>
      </w:pPr>
      <w:r>
        <w:rPr>
          <w:rFonts w:ascii="Times New Roman" w:cs="Times New Roman" w:eastAsia="Times New Roman" w:hAnsi="Times New Roman"/>
          <w:sz w:val="18"/>
          <w:szCs w:val="18"/>
          <w:color w:val="auto"/>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192" w:lineRule="exact"/>
        <w:rPr>
          <w:sz w:val="20"/>
          <w:szCs w:val="20"/>
          <w:color w:val="auto"/>
        </w:rPr>
      </w:pPr>
    </w:p>
    <w:p>
      <w:pPr>
        <w:jc w:val="center"/>
        <w:ind w:left="2520"/>
        <w:spacing w:after="0"/>
        <w:rPr>
          <w:sz w:val="20"/>
          <w:szCs w:val="20"/>
          <w:color w:val="auto"/>
        </w:rPr>
      </w:pPr>
      <w:r>
        <w:rPr>
          <w:rFonts w:ascii="Times New Roman" w:cs="Times New Roman" w:eastAsia="Times New Roman" w:hAnsi="Times New Roman"/>
          <w:sz w:val="17"/>
          <w:szCs w:val="17"/>
          <w:color w:val="auto"/>
        </w:rPr>
        <w:t xml:space="preserve">(iv)             </w:t>
      </w:r>
      <w:r>
        <w:rPr>
          <w:rFonts w:ascii="Times New Roman" w:cs="Times New Roman" w:eastAsia="Times New Roman" w:hAnsi="Times New Roman"/>
          <w:sz w:val="17"/>
          <w:szCs w:val="17"/>
          <w:u w:val="single" w:color="auto"/>
          <w:color w:val="auto"/>
        </w:rPr>
        <w:t>Legal Opinions</w:t>
      </w:r>
      <w:r>
        <w:rPr>
          <w:rFonts w:ascii="Times New Roman" w:cs="Times New Roman" w:eastAsia="Times New Roman" w:hAnsi="Times New Roman"/>
          <w:sz w:val="17"/>
          <w:szCs w:val="17"/>
          <w:color w:val="auto"/>
        </w:rPr>
        <w:t>. The Company is obligated to cause its legal counsel to deliver legal opinions to the Company’s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transfer agent or registrar, as may be required in connection with any legend removal upon the expiration of any holding period or other requirement for which</w:t>
      </w:r>
    </w:p>
    <w:p>
      <w:pPr>
        <w:spacing w:after="0" w:line="16" w:lineRule="exact"/>
        <w:rPr>
          <w:sz w:val="20"/>
          <w:szCs w:val="20"/>
          <w:color w:val="auto"/>
        </w:rPr>
      </w:pPr>
    </w:p>
    <w:p>
      <w:pPr>
        <w:jc w:val="center"/>
        <w:ind w:right="6180"/>
        <w:spacing w:after="0"/>
        <w:rPr>
          <w:sz w:val="20"/>
          <w:szCs w:val="20"/>
          <w:color w:val="auto"/>
        </w:rPr>
      </w:pPr>
      <w:r>
        <w:rPr>
          <w:rFonts w:ascii="Times New Roman" w:cs="Times New Roman" w:eastAsia="Times New Roman" w:hAnsi="Times New Roman"/>
          <w:sz w:val="17"/>
          <w:szCs w:val="17"/>
          <w:color w:val="auto"/>
        </w:rPr>
        <w:t>the Underlying Shares may bear legends restricting the transfer thereof.</w:t>
      </w:r>
    </w:p>
    <w:p>
      <w:pPr>
        <w:spacing w:after="0" w:line="16" w:lineRule="exact"/>
        <w:rPr>
          <w:sz w:val="20"/>
          <w:szCs w:val="20"/>
          <w:color w:val="auto"/>
        </w:rPr>
      </w:pPr>
    </w:p>
    <w:p>
      <w:pPr>
        <w:jc w:val="center"/>
        <w:ind w:right="60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Adjustment of Conversion Price upon Subdivision or Combination of Ordinary Shares</w:t>
      </w:r>
      <w:r>
        <w:rPr>
          <w:rFonts w:ascii="Times New Roman" w:cs="Times New Roman" w:eastAsia="Times New Roman" w:hAnsi="Times New Roman"/>
          <w:sz w:val="18"/>
          <w:szCs w:val="18"/>
          <w:color w:val="auto"/>
        </w:rPr>
        <w:t>. If the Company, at any time while this Debenture is outstanding, shall (a) pay a stock dividend or otherwise make a distribution or distributions on its Ordinary Shares or any other equity or equity equivalent securities payable in Ordinary Shares, (b) subdivide outstanding Ordinary Shares into a larger number of shares, (c) combine (including by way of reverse stock split) outstanding Ordinary Shares into a smaller number of shares, or (d) issue by reclassification of shares of the Ordinary Shares any shares of capital stock of the Company, then each of the Fixed Conversion Price and the Floor Price shall be multiplied by a fraction of which the numerator shall be the number of Ordinary Shares (excluding treasury shares, if any) outstanding before such event and of which the denominator shall be the number of Ordinary Shares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1" w:lineRule="exact"/>
        <w:rPr>
          <w:sz w:val="20"/>
          <w:szCs w:val="20"/>
          <w:color w:val="auto"/>
        </w:rPr>
      </w:pPr>
    </w:p>
    <w:p>
      <w:pPr>
        <w:jc w:val="both"/>
        <w:ind w:firstLine="1906"/>
        <w:spacing w:after="0" w:line="247"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71348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7" w:name="page98"/>
    <w:bookmarkEnd w:id="97"/>
    <w:p>
      <w:pPr>
        <w:ind w:firstLine="1906"/>
        <w:spacing w:after="0" w:line="270" w:lineRule="auto"/>
        <w:rPr>
          <w:sz w:val="20"/>
          <w:szCs w:val="20"/>
          <w:color w:val="auto"/>
        </w:rPr>
      </w:pPr>
      <w:r>
        <w:rPr>
          <w:rFonts w:ascii="Times New Roman" w:cs="Times New Roman" w:eastAsia="Times New Roman" w:hAnsi="Times New Roman"/>
          <w:sz w:val="17"/>
          <w:szCs w:val="17"/>
          <w:color w:val="auto"/>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color w:val="auto"/>
        </w:rPr>
        <w:t>(h)            In case of any (1) merger or consolidation of the Company or any Subsidiary of the Company with or into another Person, or</w:t>
      </w:r>
    </w:p>
    <w:p>
      <w:pPr>
        <w:spacing w:after="0" w:line="16" w:lineRule="exact"/>
        <w:rPr>
          <w:sz w:val="20"/>
          <w:szCs w:val="20"/>
          <w:color w:val="auto"/>
        </w:rPr>
      </w:pPr>
    </w:p>
    <w:p>
      <w:pPr>
        <w:jc w:val="both"/>
        <w:ind w:firstLine="6"/>
        <w:spacing w:after="0" w:line="245" w:lineRule="auto"/>
        <w:tabs>
          <w:tab w:leader="none" w:pos="2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REISSUANCE OF THIS DEBENTURE</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spacing w:after="0" w:line="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8" w:name="page99"/>
    <w:bookmarkEnd w:id="98"/>
    <w:p>
      <w:pPr>
        <w:jc w:val="both"/>
        <w:ind w:firstLine="1906"/>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Debentures</w:t>
      </w:r>
      <w:r>
        <w:rPr>
          <w:rFonts w:ascii="Times New Roman" w:cs="Times New Roman" w:eastAsia="Times New Roman" w:hAnsi="Times New Roman"/>
          <w:sz w:val="18"/>
          <w:szCs w:val="18"/>
          <w:color w:val="auto"/>
        </w:rPr>
        <w:t>. Whenever the Company is required to issue a new Debenture pursuant to the terms of this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Debenture, such new Debenture (i) shall be of like tenor with this Debenture, (ii) shall represent, as indicated on the face of such new Debenture, the Principal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outstanding (or in the case of a new Debenture being issued pursuant to Section (5)(a) or Section (5)(c), the Principal designated by the Holder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when added to the Principal represented by the other new Debentures issued in connection with such issuance, does not exceed the Principal remaining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under this Debenture immediately prior to such issuance of new Debentures), (iii) shall have an issuance date, as indicated on the face of such new</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Debenture, which is the same as the Issuance Date of this Debenture, (iv) shall have the same rights and conditions as this Debenture, and (v) shall represent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unpaid Interest from the Issuance Date.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271"/>
        <w:spacing w:after="0" w:line="247"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If to the Company, to:</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Sono Group N.V.</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Waldmeisterstraße 93</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80935 Munich</w:t>
            </w:r>
          </w:p>
        </w:tc>
        <w:tc>
          <w:tcPr>
            <w:tcW w:w="0" w:type="dxa"/>
            <w:vAlign w:val="bottom"/>
          </w:tcPr>
          <w:p>
            <w:pPr>
              <w:spacing w:after="0"/>
              <w:rPr>
                <w:sz w:val="1"/>
                <w:szCs w:val="1"/>
                <w:color w:val="auto"/>
              </w:rPr>
            </w:pPr>
          </w:p>
        </w:tc>
      </w:tr>
      <w:tr>
        <w:trPr>
          <w:trHeight w:val="212"/>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2"/>
        </w:trPr>
        <w:tc>
          <w:tcPr>
            <w:tcW w:w="3720" w:type="dxa"/>
            <w:vAlign w:val="bottom"/>
            <w:vMerge w:val="continue"/>
          </w:tcPr>
          <w:p>
            <w:pPr>
              <w:spacing w:after="0"/>
              <w:rPr>
                <w:sz w:val="18"/>
                <w:szCs w:val="18"/>
                <w:color w:val="auto"/>
              </w:rPr>
            </w:pP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Attn: Legal Department</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Email: legal@sonomotors.com</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DLA Piper Nederland N.V.</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Strawinskyhuis Prinses</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Amaliaplein 3 1077 XS Amsterdam</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 (0)20 541 98 88</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Attention: Pabe Suurd</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18"/>
                <w:szCs w:val="18"/>
                <w:color w:val="auto"/>
              </w:rPr>
            </w:pP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E-Mail: Pabe.Suurd@dlapiper.com</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YA II PN, Ltd</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 Yorkville Advisors Global, LLC</w:t>
            </w:r>
          </w:p>
        </w:tc>
        <w:tc>
          <w:tcPr>
            <w:tcW w:w="0" w:type="dxa"/>
            <w:vAlign w:val="bottom"/>
          </w:tcPr>
          <w:p>
            <w:pPr>
              <w:spacing w:after="0"/>
              <w:rPr>
                <w:sz w:val="1"/>
                <w:szCs w:val="1"/>
                <w:color w:val="auto"/>
              </w:rPr>
            </w:pPr>
          </w:p>
        </w:tc>
      </w:tr>
      <w:tr>
        <w:trPr>
          <w:trHeight w:val="212"/>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1012 Springfield Avenue</w:t>
            </w:r>
          </w:p>
        </w:tc>
        <w:tc>
          <w:tcPr>
            <w:tcW w:w="0" w:type="dxa"/>
            <w:vAlign w:val="bottom"/>
          </w:tcPr>
          <w:p>
            <w:pPr>
              <w:spacing w:after="0"/>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Mountainside, NJ 07092</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Attention: Mark Angelo</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Telephone: 201-985-8300</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Email:  Legal@yorkvilleadvisors.com</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6"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   </w:t>
      </w:r>
    </w:p>
    <w:p>
      <w:pPr>
        <w:spacing w:after="0" w:line="210" w:lineRule="exact"/>
        <w:rPr>
          <w:sz w:val="20"/>
          <w:szCs w:val="20"/>
          <w:color w:val="auto"/>
        </w:rPr>
      </w:pPr>
    </w:p>
    <w:p>
      <w:pPr>
        <w:jc w:val="both"/>
        <w:ind w:firstLine="1271"/>
        <w:spacing w:after="0" w:line="246" w:lineRule="auto"/>
        <w:rPr>
          <w:sz w:val="20"/>
          <w:szCs w:val="20"/>
          <w:color w:val="auto"/>
        </w:rPr>
      </w:pPr>
      <w:r>
        <w:rPr>
          <w:rFonts w:ascii="Times New Roman" w:cs="Times New Roman" w:eastAsia="Times New Roman" w:hAnsi="Times New Roman"/>
          <w:sz w:val="18"/>
          <w:szCs w:val="18"/>
          <w:color w:val="auto"/>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1348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jc w:val="both"/>
        <w:ind w:firstLine="1271"/>
        <w:spacing w:after="0" w:line="245" w:lineRule="auto"/>
        <w:rPr>
          <w:sz w:val="20"/>
          <w:szCs w:val="20"/>
          <w:color w:val="auto"/>
        </w:rPr>
      </w:pPr>
      <w:r>
        <w:rPr>
          <w:rFonts w:ascii="Times New Roman" w:cs="Times New Roman" w:eastAsia="Times New Roman" w:hAnsi="Times New Roman"/>
          <w:sz w:val="18"/>
          <w:szCs w:val="18"/>
          <w:color w:val="auto"/>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271"/>
        <w:spacing w:after="0" w:line="248" w:lineRule="auto"/>
        <w:rPr>
          <w:sz w:val="20"/>
          <w:szCs w:val="20"/>
          <w:color w:val="auto"/>
        </w:rPr>
      </w:pPr>
      <w:r>
        <w:rPr>
          <w:rFonts w:ascii="Times New Roman" w:cs="Times New Roman" w:eastAsia="Times New Roman" w:hAnsi="Times New Roman"/>
          <w:sz w:val="18"/>
          <w:szCs w:val="18"/>
          <w:color w:val="auto"/>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spacing w:after="0" w:line="188" w:lineRule="exact"/>
        <w:rPr>
          <w:sz w:val="20"/>
          <w:szCs w:val="20"/>
          <w:color w:val="auto"/>
        </w:rPr>
      </w:pPr>
    </w:p>
    <w:p>
      <w:pPr>
        <w:ind w:left="1620" w:hanging="344"/>
        <w:spacing w:after="0"/>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ind w:left="2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This Debenture shall be governed by and construed in accordance with the laws of the State of New York, without giving</w:t>
      </w:r>
    </w:p>
    <w:p>
      <w:pPr>
        <w:spacing w:after="0" w:line="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271"/>
        <w:spacing w:after="0" w:line="245" w:lineRule="auto"/>
        <w:rPr>
          <w:sz w:val="20"/>
          <w:szCs w:val="20"/>
          <w:color w:val="auto"/>
        </w:rPr>
      </w:pPr>
      <w:r>
        <w:rPr>
          <w:rFonts w:ascii="Times New Roman" w:cs="Times New Roman" w:eastAsia="Times New Roman" w:hAnsi="Times New Roman"/>
          <w:sz w:val="18"/>
          <w:szCs w:val="18"/>
          <w:color w:val="auto"/>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(12)         Any waiver by the Holder of a breach of any provision of this Debenture shall not operate as or be construed to be a waiver of any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breach of such provision or of any breach of any other provision of this Debenture. The failure of the Holder to insist upon strict adherence to any term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this Debenture on one or more occasions shall not be considered a waiver or deprive that party of the right thereafter to insist upon strict adherence to that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or any other term of this Debenture. Any waiver must be in writing.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271"/>
        <w:spacing w:after="0" w:line="259" w:lineRule="auto"/>
        <w:rPr>
          <w:sz w:val="20"/>
          <w:szCs w:val="20"/>
          <w:color w:val="auto"/>
        </w:rPr>
      </w:pPr>
      <w:r>
        <w:rPr>
          <w:rFonts w:ascii="Times New Roman" w:cs="Times New Roman" w:eastAsia="Times New Roman" w:hAnsi="Times New Roman"/>
          <w:sz w:val="17"/>
          <w:szCs w:val="17"/>
          <w:color w:val="auto"/>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222250</wp:posOffset>
            </wp:positionV>
            <wp:extent cx="71348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0" w:name="page101"/>
    <w:bookmarkEnd w:id="100"/>
    <w:p>
      <w:pPr>
        <w:jc w:val="both"/>
        <w:ind w:firstLine="1271"/>
        <w:spacing w:after="0" w:line="255" w:lineRule="auto"/>
        <w:rPr>
          <w:sz w:val="20"/>
          <w:szCs w:val="20"/>
          <w:color w:val="auto"/>
        </w:rPr>
      </w:pPr>
      <w:r>
        <w:rPr>
          <w:rFonts w:ascii="Times New Roman" w:cs="Times New Roman" w:eastAsia="Times New Roman" w:hAnsi="Times New Roman"/>
          <w:sz w:val="18"/>
          <w:szCs w:val="18"/>
          <w:color w:val="auto"/>
        </w:rPr>
        <w:t>(14)         Whenever any payment or other obligation hereunder shall be due on a day other than a Business Day, such payment shall be made on the next succeeding Business Day.</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1906"/>
        <w:spacing w:after="0" w:line="24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  </w:t>
      </w:r>
    </w:p>
    <w:p>
      <w:pPr>
        <w:spacing w:after="0" w:line="207" w:lineRule="exact"/>
        <w:rPr>
          <w:sz w:val="20"/>
          <w:szCs w:val="20"/>
          <w:color w:val="auto"/>
        </w:rPr>
      </w:pPr>
    </w:p>
    <w:p>
      <w:pPr>
        <w:jc w:val="both"/>
        <w:ind w:firstLine="190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Ordinary Shares on a Primary Market or on the exchange or over-the-counter market on which the Ordinary Shares is then listed as quoted by Bloomberg.</w:t>
      </w:r>
    </w:p>
    <w:p>
      <w:pPr>
        <w:spacing w:after="0" w:line="185" w:lineRule="exact"/>
        <w:rPr>
          <w:sz w:val="20"/>
          <w:szCs w:val="20"/>
          <w:color w:val="auto"/>
        </w:rPr>
      </w:pPr>
    </w:p>
    <w:p>
      <w:pPr>
        <w:ind w:left="2420" w:hanging="508"/>
        <w:spacing w:after="0"/>
        <w:tabs>
          <w:tab w:leader="none" w:pos="2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such term in the Security Agreement and the Pledge Agreement.</w:t>
      </w:r>
    </w:p>
    <w:p>
      <w:pPr>
        <w:spacing w:after="0" w:line="22"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4"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4"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Floor Price</w:t>
      </w:r>
      <w:r>
        <w:rPr>
          <w:rFonts w:ascii="Times New Roman" w:cs="Times New Roman" w:eastAsia="Times New Roman" w:hAnsi="Times New Roman"/>
          <w:sz w:val="17"/>
          <w:szCs w:val="17"/>
          <w:color w:val="auto"/>
        </w:rPr>
        <w:t>” solely with respect to the Variable Conversion Price, shall mean a price per share equal to 20% of the Closing</w:t>
      </w:r>
    </w:p>
    <w:p>
      <w:pPr>
        <w:spacing w:after="0" w:line="1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Price on the Trading Day immediately prior to the Issuance Date of this Debenture. Notwithstanding the foregoing, the Company may reduce the Floor Price to any amounts set forth in a written notice to the Holder; provided that such reduction shall be irrevocable and shall not be subject to increase thereafter.</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1348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1" w:name="page102"/>
    <w:bookmarkEnd w:id="101"/>
    <w:p>
      <w:pPr>
        <w:ind w:left="2380" w:hanging="468"/>
        <w:spacing w:after="0"/>
        <w:tabs>
          <w:tab w:leader="none" w:pos="2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each of the guarantors from time to time party to the Guaranty.</w:t>
      </w:r>
    </w:p>
    <w:p>
      <w:pPr>
        <w:spacing w:after="0" w:line="22"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4" w:lineRule="exact"/>
        <w:rPr>
          <w:rFonts w:ascii="Times New Roman" w:cs="Times New Roman" w:eastAsia="Times New Roman" w:hAnsi="Times New Roman"/>
          <w:sz w:val="18"/>
          <w:szCs w:val="18"/>
          <w:color w:val="auto"/>
        </w:rPr>
      </w:pPr>
    </w:p>
    <w:p>
      <w:pPr>
        <w:ind w:firstLine="1912"/>
        <w:spacing w:after="0" w:line="251" w:lineRule="auto"/>
        <w:tabs>
          <w:tab w:leader="none" w:pos="25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that certain Guaranty Agreement, dated as of June 20, 2024, made by each of the Guarantors party thereto from time to time in favor of the Holder, as may be amended, restated, supplemented or otherwise modified from time to time.</w:t>
      </w:r>
    </w:p>
    <w:p>
      <w:pPr>
        <w:spacing w:after="0" w:line="185" w:lineRule="exact"/>
        <w:rPr>
          <w:sz w:val="20"/>
          <w:szCs w:val="20"/>
          <w:color w:val="auto"/>
        </w:rPr>
      </w:pPr>
    </w:p>
    <w:p>
      <w:pPr>
        <w:jc w:val="both"/>
        <w:ind w:firstLine="1906"/>
        <w:spacing w:after="0" w:line="262"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spacing w:after="0" w:line="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5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nominal value €0.06, of the Company and shares of any other class into which such shares may hereafter be changed or reclassified.</w:t>
      </w:r>
    </w:p>
    <w:p>
      <w:pPr>
        <w:spacing w:after="0" w:line="185" w:lineRule="exact"/>
        <w:rPr>
          <w:sz w:val="20"/>
          <w:szCs w:val="20"/>
          <w:color w:val="auto"/>
        </w:rPr>
      </w:pPr>
    </w:p>
    <w:p>
      <w:pPr>
        <w:jc w:val="both"/>
        <w:ind w:firstLine="1912"/>
        <w:spacing w:after="0" w:line="265" w:lineRule="auto"/>
        <w:tabs>
          <w:tab w:leader="none" w:pos="254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Debentures</w:t>
      </w:r>
      <w:r>
        <w:rPr>
          <w:rFonts w:ascii="Times New Roman" w:cs="Times New Roman" w:eastAsia="Times New Roman" w:hAnsi="Times New Roman"/>
          <w:sz w:val="17"/>
          <w:szCs w:val="17"/>
          <w:color w:val="auto"/>
        </w:rPr>
        <w:t>” means (i) the convertible debenture issued on December 7, 2022 in the original principal amount of $11,100,000 and designated as “SEV-1,” (ii) the convertible debenture issued on December 8, 2022 in the original principal amount of $10,000,000 and designated as “SEV-2,”(iii) the convertible debenture issued on December 20, 2022 in the original principal amount of $10,000,000 and designated as “SEV-3,” (iv) the convertible debenture issued on February 5, 2024 in the original principal amount of $4,317,600 and designated as “SEV-4,” (“</w:t>
      </w:r>
      <w:r>
        <w:rPr>
          <w:rFonts w:ascii="Times New Roman" w:cs="Times New Roman" w:eastAsia="Times New Roman" w:hAnsi="Times New Roman"/>
          <w:sz w:val="17"/>
          <w:szCs w:val="17"/>
          <w:u w:val="single" w:color="auto"/>
          <w:color w:val="auto"/>
        </w:rPr>
        <w:t>Debenture 4</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260" w:hanging="254"/>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debenture issued on August 30, 2024 in the original principal amount of $3,338,100 and designated as “SEV-5”.</w:t>
      </w:r>
    </w:p>
    <w:p>
      <w:pPr>
        <w:spacing w:after="0" w:line="199" w:lineRule="exact"/>
        <w:rPr>
          <w:sz w:val="20"/>
          <w:szCs w:val="20"/>
          <w:color w:val="auto"/>
        </w:rPr>
      </w:pPr>
    </w:p>
    <w:p>
      <w:pPr>
        <w:ind w:firstLine="1906"/>
        <w:spacing w:after="0" w:line="27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8" w:lineRule="exact"/>
        <w:rPr>
          <w:sz w:val="20"/>
          <w:szCs w:val="20"/>
          <w:color w:val="auto"/>
        </w:rPr>
      </w:pPr>
    </w:p>
    <w:p>
      <w:pPr>
        <w:ind w:firstLine="1912"/>
        <w:spacing w:after="0" w:line="255" w:lineRule="auto"/>
        <w:tabs>
          <w:tab w:leader="none" w:pos="263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means that certain Pledge Agreement, dated as of February 5, 2024, by the Company and the Guarantors from time to time party thereto in favor of the Holder, as may be amended, restated, supplemented or otherwise modified from time to time.</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1906"/>
        <w:spacing w:after="0" w:line="245"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Primary Market</w:t>
      </w:r>
      <w:r>
        <w:rPr>
          <w:rFonts w:ascii="Times New Roman" w:cs="Times New Roman" w:eastAsia="Times New Roman" w:hAnsi="Times New Roman"/>
          <w:sz w:val="18"/>
          <w:szCs w:val="18"/>
          <w:color w:val="auto"/>
        </w:rPr>
        <w:t>” means any of OTCQB, The New York Stock Exchange, the Nasdaq Global Market or the Nasdaq Global Select Market, and any successor to any of the foregoing markets or exchanges.</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four percent (4%) of the Principal amount being redeemed or paid.</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99" w:lineRule="exact"/>
        <w:rPr>
          <w:sz w:val="20"/>
          <w:szCs w:val="20"/>
          <w:color w:val="auto"/>
        </w:rPr>
      </w:pPr>
    </w:p>
    <w:p>
      <w:pPr>
        <w:ind w:firstLine="1912"/>
        <w:spacing w:after="0" w:line="271" w:lineRule="auto"/>
        <w:tabs>
          <w:tab w:leader="none" w:pos="25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Security Agreement, dated as of February 5, 2024, by the Company and the Guarantors from time to time party thereto in favor of the Holder, as may be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336550</wp:posOffset>
            </wp:positionV>
            <wp:extent cx="71348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2" w:name="page103"/>
    <w:bookmarkEnd w:id="102"/>
    <w:p>
      <w:pPr>
        <w:jc w:val="both"/>
        <w:ind w:firstLine="1912"/>
        <w:spacing w:after="0" w:line="252" w:lineRule="auto"/>
        <w:tabs>
          <w:tab w:leader="none" w:pos="26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collectively, the Security Agreement, the Pledge Agreement, and any other security agreements, pledge agreements or other similar agreements delivered to the Holder, the Guaranty and each of the other agreements, instruments or documents that creates a lien or guaranty in favor of the Holder.</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5"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59" w:lineRule="auto"/>
        <w:rPr>
          <w:sz w:val="20"/>
          <w:szCs w:val="20"/>
          <w:color w:val="auto"/>
        </w:rPr>
      </w:pPr>
      <w:r>
        <w:rPr>
          <w:rFonts w:ascii="Times New Roman" w:cs="Times New Roman" w:eastAsia="Times New Roman" w:hAnsi="Times New Roman"/>
          <w:sz w:val="17"/>
          <w:szCs w:val="17"/>
          <w:color w:val="auto"/>
        </w:rPr>
        <w:t>(u)             “</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spacing w:after="0" w:line="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5"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each of, the Securities Purchase Agreement, the Registration Rights Agreement, the Other Debentures, the Security Documents and any and all documents, agreements, instruments or other items executed or delivered in connection with any of the foregoing.</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5"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Ordinary Shares issuable upon conversion of this Debenture or as payment of interest in accordance with the terms hereof.</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both"/>
        <w:ind w:firstLine="1906"/>
        <w:spacing w:after="0" w:line="245"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1297940</wp:posOffset>
            </wp:positionV>
            <wp:extent cx="71348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3" w:name="page104"/>
    <w:bookmarkEnd w:id="103"/>
    <w:p>
      <w:pPr>
        <w:ind w:firstLine="635"/>
        <w:spacing w:after="0" w:line="25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Secured Convertible Debenture to be duly executed by a duly authorized officer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set forth above.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4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40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40" w:type="dxa"/>
            <w:vAlign w:val="bottom"/>
            <w:gridSpan w:val="2"/>
          </w:tcPr>
          <w:p>
            <w:pPr>
              <w:ind w:left="3360"/>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0" w:type="dxa"/>
            <w:vAlign w:val="bottom"/>
          </w:tcPr>
          <w:p>
            <w:pPr>
              <w:spacing w:after="0"/>
              <w:rPr>
                <w:sz w:val="1"/>
                <w:szCs w:val="1"/>
                <w:color w:val="auto"/>
              </w:rPr>
            </w:pPr>
          </w:p>
        </w:tc>
      </w:tr>
      <w:tr>
        <w:trPr>
          <w:trHeight w:val="424"/>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84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87"/>
        </w:trPr>
        <w:tc>
          <w:tcPr>
            <w:tcW w:w="3400" w:type="dxa"/>
            <w:vAlign w:val="bottom"/>
            <w:vMerge w:val="continue"/>
          </w:tcPr>
          <w:p>
            <w:pPr>
              <w:spacing w:after="0"/>
              <w:rPr>
                <w:sz w:val="16"/>
                <w:szCs w:val="16"/>
                <w:color w:val="auto"/>
              </w:rPr>
            </w:pPr>
          </w:p>
        </w:tc>
        <w:tc>
          <w:tcPr>
            <w:tcW w:w="3920" w:type="dxa"/>
            <w:vAlign w:val="bottom"/>
          </w:tcPr>
          <w:p>
            <w:pPr>
              <w:spacing w:after="0"/>
              <w:rPr>
                <w:sz w:val="16"/>
                <w:szCs w:val="16"/>
                <w:color w:val="auto"/>
              </w:rPr>
            </w:pPr>
          </w:p>
        </w:tc>
        <w:tc>
          <w:tcPr>
            <w:tcW w:w="39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Name: George O’Leary</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Title:  Chief Executive Officer and Managing Director</w:t>
            </w:r>
          </w:p>
        </w:tc>
        <w:tc>
          <w:tcPr>
            <w:tcW w:w="0" w:type="dxa"/>
            <w:vAlign w:val="bottom"/>
          </w:tcPr>
          <w:p>
            <w:pPr>
              <w:spacing w:after="0"/>
              <w:rPr>
                <w:sz w:val="1"/>
                <w:szCs w:val="1"/>
                <w:color w:val="auto"/>
              </w:rPr>
            </w:pPr>
          </w:p>
        </w:tc>
      </w:tr>
      <w:tr>
        <w:trPr>
          <w:trHeight w:val="3098"/>
        </w:trPr>
        <w:tc>
          <w:tcPr>
            <w:tcW w:w="3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400" w:type="dxa"/>
            <w:vAlign w:val="bottom"/>
            <w:shd w:val="clear" w:color="auto" w:fill="000000"/>
          </w:tcPr>
          <w:p>
            <w:pPr>
              <w:spacing w:after="0"/>
              <w:rPr>
                <w:sz w:val="5"/>
                <w:szCs w:val="5"/>
                <w:color w:val="auto"/>
              </w:rPr>
            </w:pPr>
          </w:p>
        </w:tc>
        <w:tc>
          <w:tcPr>
            <w:tcW w:w="3920" w:type="dxa"/>
            <w:vAlign w:val="bottom"/>
            <w:shd w:val="clear" w:color="auto" w:fill="000000"/>
          </w:tcPr>
          <w:p>
            <w:pPr>
              <w:spacing w:after="0"/>
              <w:rPr>
                <w:sz w:val="5"/>
                <w:szCs w:val="5"/>
                <w:color w:val="auto"/>
              </w:rPr>
            </w:pPr>
          </w:p>
        </w:tc>
        <w:tc>
          <w:tcPr>
            <w:tcW w:w="39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SONO GROUP N.V.</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ind w:firstLine="635"/>
        <w:spacing w:after="0" w:line="245"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SEV-6 into Ordinary Shares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w:t>
      </w:r>
    </w:p>
    <w:p>
      <w:pPr>
        <w:spacing w:after="0" w:line="5"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Conversion Date:</w:t>
      </w:r>
      <w:r>
        <w:rPr>
          <w:sz w:val="20"/>
          <w:szCs w:val="20"/>
          <w:color w:val="auto"/>
        </w:rPr>
        <w:tab/>
      </w:r>
      <w:r>
        <w:rPr>
          <w:rFonts w:ascii="Times New Roman" w:cs="Times New Roman" w:eastAsia="Times New Roman" w:hAnsi="Times New Roman"/>
          <w:sz w:val="18"/>
          <w:szCs w:val="18"/>
          <w:color w:val="auto"/>
        </w:rPr>
        <w:t> </w:t>
      </w:r>
    </w:p>
    <w:p>
      <w:pPr>
        <w:spacing w:after="0" w:line="197"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Principal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217"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Accrued Interest to be Converted:</w:t>
      </w:r>
      <w:r>
        <w:rPr>
          <w:sz w:val="20"/>
          <w:szCs w:val="20"/>
          <w:color w:val="auto"/>
        </w:rPr>
        <w:tab/>
      </w:r>
      <w:r>
        <w:rPr>
          <w:rFonts w:ascii="Times New Roman" w:cs="Times New Roman" w:eastAsia="Times New Roman" w:hAnsi="Times New Roman"/>
          <w:sz w:val="18"/>
          <w:szCs w:val="18"/>
          <w:color w:val="auto"/>
        </w:rPr>
        <w:t> </w:t>
      </w:r>
    </w:p>
    <w:p>
      <w:pPr>
        <w:spacing w:after="0" w:line="217"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Total Conversion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217"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Fixed Conversion Price:</w:t>
      </w:r>
      <w:r>
        <w:rPr>
          <w:sz w:val="20"/>
          <w:szCs w:val="20"/>
          <w:color w:val="auto"/>
        </w:rPr>
        <w:tab/>
      </w:r>
      <w:r>
        <w:rPr>
          <w:rFonts w:ascii="Times New Roman" w:cs="Times New Roman" w:eastAsia="Times New Roman" w:hAnsi="Times New Roman"/>
          <w:sz w:val="18"/>
          <w:szCs w:val="18"/>
          <w:color w:val="auto"/>
        </w:rPr>
        <w:t> </w:t>
      </w:r>
    </w:p>
    <w:p>
      <w:pPr>
        <w:spacing w:after="0" w:line="217"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Variable Conversion Price:</w:t>
      </w:r>
      <w:r>
        <w:rPr>
          <w:sz w:val="20"/>
          <w:szCs w:val="20"/>
          <w:color w:val="auto"/>
        </w:rPr>
        <w:tab/>
      </w:r>
      <w:r>
        <w:rPr>
          <w:rFonts w:ascii="Times New Roman" w:cs="Times New Roman" w:eastAsia="Times New Roman" w:hAnsi="Times New Roman"/>
          <w:sz w:val="18"/>
          <w:szCs w:val="18"/>
          <w:color w:val="auto"/>
        </w:rPr>
        <w:t> </w:t>
      </w:r>
    </w:p>
    <w:p>
      <w:pPr>
        <w:spacing w:after="0" w:line="217"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Applicable Conversion Price:</w:t>
      </w:r>
      <w:r>
        <w:rPr>
          <w:sz w:val="20"/>
          <w:szCs w:val="20"/>
          <w:color w:val="auto"/>
        </w:rPr>
        <w:tab/>
      </w:r>
      <w:r>
        <w:rPr>
          <w:rFonts w:ascii="Times New Roman" w:cs="Times New Roman" w:eastAsia="Times New Roman" w:hAnsi="Times New Roman"/>
          <w:sz w:val="18"/>
          <w:szCs w:val="18"/>
          <w:color w:val="auto"/>
        </w:rPr>
        <w:t> </w:t>
      </w:r>
    </w:p>
    <w:p>
      <w:pPr>
        <w:spacing w:after="0" w:line="217"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Number of Ordinary Shares to be issued:</w:t>
      </w:r>
      <w:r>
        <w:rPr>
          <w:sz w:val="20"/>
          <w:szCs w:val="20"/>
          <w:color w:val="auto"/>
        </w:rPr>
        <w:tab/>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60" w:type="dxa"/>
            <w:vAlign w:val="bottom"/>
          </w:tcPr>
          <w:p>
            <w:pPr>
              <w:spacing w:after="0"/>
              <w:rPr>
                <w:sz w:val="18"/>
                <w:szCs w:val="18"/>
                <w:color w:val="auto"/>
              </w:rPr>
            </w:pPr>
          </w:p>
        </w:tc>
      </w:tr>
      <w:tr>
        <w:trPr>
          <w:trHeight w:val="231"/>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to:</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4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4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424"/>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tc>
        <w:tc>
          <w:tcPr>
            <w:tcW w:w="7860" w:type="dxa"/>
            <w:vAlign w:val="bottom"/>
            <w:tcBorders>
              <w:bottom w:val="single" w:sz="8" w:color="auto"/>
            </w:tcBorders>
          </w:tcPr>
          <w:p>
            <w:pPr>
              <w:spacing w:after="0"/>
              <w:rPr>
                <w:sz w:val="24"/>
                <w:szCs w:val="24"/>
                <w:color w:val="auto"/>
              </w:rPr>
            </w:pPr>
          </w:p>
        </w:tc>
      </w:tr>
      <w:tr>
        <w:trPr>
          <w:trHeight w:val="417"/>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60" w:type="dxa"/>
            <w:vAlign w:val="bottom"/>
            <w:tcBorders>
              <w:bottom w:val="single" w:sz="8" w:color="auto"/>
            </w:tcBorders>
          </w:tcPr>
          <w:p>
            <w:pPr>
              <w:spacing w:after="0"/>
              <w:rPr>
                <w:sz w:val="24"/>
                <w:szCs w:val="24"/>
                <w:color w:val="auto"/>
              </w:rPr>
            </w:pPr>
          </w:p>
        </w:tc>
      </w:tr>
      <w:tr>
        <w:trPr>
          <w:trHeight w:val="417"/>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860" w:type="dxa"/>
            <w:vAlign w:val="bottom"/>
            <w:tcBorders>
              <w:bottom w:val="single" w:sz="8" w:color="auto"/>
            </w:tcBorders>
          </w:tcPr>
          <w:p>
            <w:pPr>
              <w:spacing w:after="0"/>
              <w:rPr>
                <w:sz w:val="24"/>
                <w:szCs w:val="24"/>
                <w:color w:val="auto"/>
              </w:rPr>
            </w:pP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860" w:type="dxa"/>
            <w:vAlign w:val="bottom"/>
          </w:tcPr>
          <w:p>
            <w:pPr>
              <w:spacing w:after="0"/>
              <w:rPr>
                <w:sz w:val="18"/>
                <w:szCs w:val="18"/>
                <w:color w:val="auto"/>
              </w:rPr>
            </w:pPr>
          </w:p>
        </w:tc>
      </w:tr>
      <w:tr>
        <w:trPr>
          <w:trHeight w:val="339"/>
        </w:trPr>
        <w:tc>
          <w:tcPr>
            <w:tcW w:w="33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66"/>
        </w:trPr>
        <w:tc>
          <w:tcPr>
            <w:tcW w:w="3380" w:type="dxa"/>
            <w:vAlign w:val="bottom"/>
            <w:shd w:val="clear" w:color="auto" w:fill="000000"/>
          </w:tcPr>
          <w:p>
            <w:pPr>
              <w:spacing w:after="0"/>
              <w:rPr>
                <w:sz w:val="5"/>
                <w:szCs w:val="5"/>
                <w:color w:val="auto"/>
              </w:rPr>
            </w:pPr>
          </w:p>
        </w:tc>
        <w:tc>
          <w:tcPr>
            <w:tcW w:w="78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69"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1990090</wp:posOffset>
            </wp:positionV>
            <wp:extent cx="71348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9019"/>
          </w:cols>
          <w:pgMar w:left="1440" w:top="569"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CALL OPTION AGREEMENT</w:t>
      </w:r>
    </w:p>
    <w:p>
      <w:pPr>
        <w:spacing w:after="0" w:line="324" w:lineRule="exact"/>
        <w:rPr>
          <w:sz w:val="20"/>
          <w:szCs w:val="20"/>
          <w:color w:val="auto"/>
        </w:rPr>
      </w:pPr>
    </w:p>
    <w:p>
      <w:pPr>
        <w:jc w:val="both"/>
        <w:ind w:firstLine="635"/>
        <w:spacing w:after="0" w:line="268"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CALL OPTION AGREEMENT</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b w:val="1"/>
          <w:bCs w:val="1"/>
          <w:color w:val="auto"/>
        </w:rPr>
        <w:t>Option Agreement</w:t>
      </w:r>
      <w:r>
        <w:rPr>
          <w:rFonts w:ascii="Times New Roman" w:cs="Times New Roman" w:eastAsia="Times New Roman" w:hAnsi="Times New Roman"/>
          <w:sz w:val="19"/>
          <w:szCs w:val="19"/>
          <w:color w:val="auto"/>
        </w:rPr>
        <w:t>”) is made and entered as of January [_], 2025 (the “</w:t>
      </w:r>
      <w:r>
        <w:rPr>
          <w:rFonts w:ascii="Times New Roman" w:cs="Times New Roman" w:eastAsia="Times New Roman" w:hAnsi="Times New Roman"/>
          <w:sz w:val="19"/>
          <w:szCs w:val="19"/>
          <w:b w:val="1"/>
          <w:bCs w:val="1"/>
          <w:color w:val="auto"/>
        </w:rPr>
        <w:t>Effective Date</w:t>
      </w:r>
      <w:r>
        <w:rPr>
          <w:rFonts w:ascii="Times New Roman" w:cs="Times New Roman" w:eastAsia="Times New Roman" w:hAnsi="Times New Roman"/>
          <w:sz w:val="19"/>
          <w:szCs w:val="19"/>
          <w:color w:val="auto"/>
        </w:rPr>
        <w:t xml:space="preserve">”) by and among </w:t>
      </w:r>
      <w:r>
        <w:rPr>
          <w:rFonts w:ascii="Times New Roman" w:cs="Times New Roman" w:eastAsia="Times New Roman" w:hAnsi="Times New Roman"/>
          <w:sz w:val="19"/>
          <w:szCs w:val="19"/>
          <w:b w:val="1"/>
          <w:bCs w:val="1"/>
          <w:color w:val="auto"/>
        </w:rPr>
        <w:t>SVSE LLC</w:t>
      </w:r>
      <w:r>
        <w:rPr>
          <w:rFonts w:ascii="Times New Roman" w:cs="Times New Roman" w:eastAsia="Times New Roman" w:hAnsi="Times New Roman"/>
          <w:sz w:val="19"/>
          <w:szCs w:val="19"/>
          <w:color w:val="auto"/>
        </w:rPr>
        <w:t>, a Delaware limited liability corporation (“</w:t>
      </w:r>
      <w:r>
        <w:rPr>
          <w:rFonts w:ascii="Times New Roman" w:cs="Times New Roman" w:eastAsia="Times New Roman" w:hAnsi="Times New Roman"/>
          <w:sz w:val="19"/>
          <w:szCs w:val="19"/>
          <w:b w:val="1"/>
          <w:bCs w:val="1"/>
          <w:color w:val="auto"/>
        </w:rPr>
        <w:t>Stockholder</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YA II PN, LTD.</w:t>
      </w:r>
      <w:r>
        <w:rPr>
          <w:rFonts w:ascii="Times New Roman" w:cs="Times New Roman" w:eastAsia="Times New Roman" w:hAnsi="Times New Roman"/>
          <w:sz w:val="19"/>
          <w:szCs w:val="19"/>
          <w:color w:val="auto"/>
        </w:rPr>
        <w:t>, a Cayman Islands exempt corporation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jc w:val="both"/>
        <w:ind w:firstLine="635"/>
        <w:spacing w:after="0" w:line="28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on the Effective Date, Buyer is purchasing a convertible debenture (the “</w:t>
      </w:r>
      <w:r>
        <w:rPr>
          <w:rFonts w:ascii="Times New Roman" w:cs="Times New Roman" w:eastAsia="Times New Roman" w:hAnsi="Times New Roman"/>
          <w:sz w:val="19"/>
          <w:szCs w:val="19"/>
          <w:b w:val="1"/>
          <w:bCs w:val="1"/>
          <w:color w:val="auto"/>
        </w:rPr>
        <w:t>Debenture</w:t>
      </w:r>
      <w:r>
        <w:rPr>
          <w:rFonts w:ascii="Times New Roman" w:cs="Times New Roman" w:eastAsia="Times New Roman" w:hAnsi="Times New Roman"/>
          <w:sz w:val="19"/>
          <w:szCs w:val="19"/>
          <w:color w:val="auto"/>
        </w:rPr>
        <w:t>”) from</w:t>
      </w:r>
      <w:r>
        <w:rPr>
          <w:rFonts w:ascii="Times New Roman" w:cs="Times New Roman" w:eastAsia="Times New Roman" w:hAnsi="Times New Roman"/>
          <w:sz w:val="19"/>
          <w:szCs w:val="19"/>
          <w:b w:val="1"/>
          <w:bCs w:val="1"/>
          <w:color w:val="auto"/>
        </w:rPr>
        <w:t xml:space="preserve"> SONO GROUP N.V.</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Dutch public limited liability company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for a purchase price of $5.0 million;</w:t>
      </w:r>
    </w:p>
    <w:p>
      <w:pPr>
        <w:spacing w:after="0" w:line="136" w:lineRule="exact"/>
        <w:rPr>
          <w:sz w:val="20"/>
          <w:szCs w:val="20"/>
          <w:color w:val="auto"/>
        </w:rPr>
      </w:pPr>
    </w:p>
    <w:p>
      <w:pPr>
        <w:jc w:val="both"/>
        <w:ind w:firstLine="635"/>
        <w:spacing w:after="0" w:line="261"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as of the date hereof, prior to giving effect to the reverse share split with an exchange ratio of 1-for-75 (the “</w:t>
      </w:r>
      <w:r>
        <w:rPr>
          <w:rFonts w:ascii="Times New Roman" w:cs="Times New Roman" w:eastAsia="Times New Roman" w:hAnsi="Times New Roman"/>
          <w:sz w:val="19"/>
          <w:szCs w:val="19"/>
          <w:b w:val="1"/>
          <w:bCs w:val="1"/>
          <w:color w:val="auto"/>
        </w:rPr>
        <w:t>Reverse Share Split</w:t>
      </w:r>
      <w:r>
        <w:rPr>
          <w:rFonts w:ascii="Times New Roman" w:cs="Times New Roman" w:eastAsia="Times New Roman" w:hAnsi="Times New Roman"/>
          <w:sz w:val="19"/>
          <w:szCs w:val="19"/>
          <w:color w:val="auto"/>
        </w:rPr>
        <w:t>”), the Stockholder is the holder of (a) 3,000,000 of the Company’s high voting shares (“</w:t>
      </w:r>
      <w:r>
        <w:rPr>
          <w:rFonts w:ascii="Times New Roman" w:cs="Times New Roman" w:eastAsia="Times New Roman" w:hAnsi="Times New Roman"/>
          <w:sz w:val="19"/>
          <w:szCs w:val="19"/>
          <w:b w:val="1"/>
          <w:bCs w:val="1"/>
          <w:color w:val="auto"/>
        </w:rPr>
        <w:t>High Voting Shares</w:t>
      </w:r>
      <w:r>
        <w:rPr>
          <w:rFonts w:ascii="Times New Roman" w:cs="Times New Roman" w:eastAsia="Times New Roman" w:hAnsi="Times New Roman"/>
          <w:sz w:val="19"/>
          <w:szCs w:val="19"/>
          <w:color w:val="auto"/>
        </w:rPr>
        <w:t>”), and (b) 17,306,251</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the Company’s ordinary shares, (the “</w:t>
      </w:r>
      <w:r>
        <w:rPr>
          <w:rFonts w:ascii="Times New Roman" w:cs="Times New Roman" w:eastAsia="Times New Roman" w:hAnsi="Times New Roman"/>
          <w:sz w:val="19"/>
          <w:szCs w:val="19"/>
          <w:b w:val="1"/>
          <w:bCs w:val="1"/>
          <w:color w:val="auto"/>
        </w:rPr>
        <w:t>Ordinary Shares</w:t>
      </w:r>
      <w:r>
        <w:rPr>
          <w:rFonts w:ascii="Times New Roman" w:cs="Times New Roman" w:eastAsia="Times New Roman" w:hAnsi="Times New Roman"/>
          <w:sz w:val="19"/>
          <w:szCs w:val="19"/>
          <w:color w:val="auto"/>
        </w:rPr>
        <w:t>”), which after giving effect to the Reverse Share Split, consists of (a) 40,000 High Voting Shares, and (b) 230,751 Ordinary Shares;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sole member of the Stockholder is George O’Leary, the Company’s Chief Executive Officer and Managing Director.</w:t>
      </w:r>
    </w:p>
    <w:p>
      <w:pPr>
        <w:spacing w:after="0" w:line="218" w:lineRule="exact"/>
        <w:rPr>
          <w:sz w:val="20"/>
          <w:szCs w:val="20"/>
          <w:color w:val="auto"/>
        </w:rPr>
      </w:pPr>
    </w:p>
    <w:p>
      <w:pPr>
        <w:jc w:val="both"/>
        <w:ind w:firstLine="635"/>
        <w:spacing w:after="0" w:line="26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execution of this Option Agreement is a condition to the Buyer’s obligation to purchase the Debenture from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The consideration for this Option Agreement and the Call Right (as defined below) set forth herein shall consist solely of the Buyer’s agreement to purchase the Debenture, which will benefit the Stockholder;</w:t>
      </w:r>
    </w:p>
    <w:p>
      <w:pPr>
        <w:spacing w:after="0" w:line="155" w:lineRule="exact"/>
        <w:rPr>
          <w:sz w:val="20"/>
          <w:szCs w:val="20"/>
          <w:color w:val="auto"/>
        </w:rPr>
      </w:pPr>
    </w:p>
    <w:p>
      <w:pPr>
        <w:jc w:val="both"/>
        <w:ind w:firstLine="635"/>
        <w:spacing w:after="0" w:line="26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pursuant to the terms and conditions set forth in this Option Agreement, the Stockholder is granting to the Buyer,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Buyer is accepting from the Stockholder, a call option to purchase from the Stockholder an aggregate of up to 40,000 High Voting Shares and 230,751 Ordinary Shares (as reflected after giving effect to the Reverse Share Split) (collectively, the “</w:t>
      </w:r>
      <w:r>
        <w:rPr>
          <w:rFonts w:ascii="Times New Roman" w:cs="Times New Roman" w:eastAsia="Times New Roman" w:hAnsi="Times New Roman"/>
          <w:sz w:val="19"/>
          <w:szCs w:val="19"/>
          <w:b w:val="1"/>
          <w:bCs w:val="1"/>
          <w:color w:val="auto"/>
        </w:rPr>
        <w:t>Call Shares</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jc w:val="both"/>
        <w:ind w:firstLine="635"/>
        <w:spacing w:after="0" w:line="289"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the foregoing and the mutual and dependent covenants hereinafter set forth, the parties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hereto agree as follows:</w:t>
      </w:r>
    </w:p>
    <w:p>
      <w:pPr>
        <w:spacing w:after="0" w:line="140" w:lineRule="exact"/>
        <w:rPr>
          <w:sz w:val="20"/>
          <w:szCs w:val="20"/>
          <w:color w:val="auto"/>
        </w:rPr>
      </w:pPr>
    </w:p>
    <w:p>
      <w:pPr>
        <w:ind w:left="1460" w:hanging="819"/>
        <w:spacing w:after="0"/>
        <w:tabs>
          <w:tab w:leader="none" w:pos="14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Call Option</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jc w:val="both"/>
        <w:ind w:firstLine="1276"/>
        <w:spacing w:after="0" w:line="253" w:lineRule="auto"/>
        <w:tabs>
          <w:tab w:leader="none" w:pos="2240" w:val="left"/>
        </w:tabs>
        <w:numPr>
          <w:ilvl w:val="1"/>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 to Buy</w:t>
      </w:r>
      <w:r>
        <w:rPr>
          <w:rFonts w:ascii="Times New Roman" w:cs="Times New Roman" w:eastAsia="Times New Roman" w:hAnsi="Times New Roman"/>
          <w:sz w:val="19"/>
          <w:szCs w:val="19"/>
          <w:color w:val="auto"/>
        </w:rPr>
        <w:t>. Subject to the terms and conditions of this Option Agreement, at any time on or prior to 5:00 p.m. (Eastern time) on the four (4) year anniversary of the Effective Date (the “</w:t>
      </w:r>
      <w:r>
        <w:rPr>
          <w:rFonts w:ascii="Times New Roman" w:cs="Times New Roman" w:eastAsia="Times New Roman" w:hAnsi="Times New Roman"/>
          <w:sz w:val="19"/>
          <w:szCs w:val="19"/>
          <w:b w:val="1"/>
          <w:bCs w:val="1"/>
          <w:color w:val="auto"/>
        </w:rPr>
        <w:t>Call Expiration Time</w:t>
      </w:r>
      <w:r>
        <w:rPr>
          <w:rFonts w:ascii="Times New Roman" w:cs="Times New Roman" w:eastAsia="Times New Roman" w:hAnsi="Times New Roman"/>
          <w:sz w:val="19"/>
          <w:szCs w:val="19"/>
          <w:color w:val="auto"/>
        </w:rPr>
        <w:t>”), the Stockholder hereby grants to the Buyer, and the Buyer accepts from the Stockholder, the right (the “</w:t>
      </w:r>
      <w:r>
        <w:rPr>
          <w:rFonts w:ascii="Times New Roman" w:cs="Times New Roman" w:eastAsia="Times New Roman" w:hAnsi="Times New Roman"/>
          <w:sz w:val="19"/>
          <w:szCs w:val="19"/>
          <w:b w:val="1"/>
          <w:bCs w:val="1"/>
          <w:color w:val="auto"/>
        </w:rPr>
        <w:t>Call Right</w:t>
      </w:r>
      <w:r>
        <w:rPr>
          <w:rFonts w:ascii="Times New Roman" w:cs="Times New Roman" w:eastAsia="Times New Roman" w:hAnsi="Times New Roman"/>
          <w:sz w:val="19"/>
          <w:szCs w:val="19"/>
          <w:color w:val="auto"/>
        </w:rPr>
        <w:t>”), but not the obligation, to purchase from the Stockholder from time to time, some or all of the Call Shares at the Call Purchase Price (as defined below). For the avoidance of doubt, (i) the Buyer may exercise the Call Right on multiple occasions, with respect to a portion of the Call Shares, and (ii) if the Buyer has not delivered a Call Exercise Notice (as defined below) to the Stockholder by the Call Expiration Time, this Option Agreement and the Buyer’s rights hereunder shall automatically expire and be terminated, effective immediately following the Call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276860</wp:posOffset>
            </wp:positionV>
            <wp:extent cx="71348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07" w:name="page108"/>
    <w:bookmarkEnd w:id="107"/>
    <w:p>
      <w:pPr>
        <w:ind w:left="2020" w:hanging="764"/>
        <w:spacing w:after="0"/>
        <w:tabs>
          <w:tab w:leader="none" w:pos="202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Procedures</w:t>
      </w:r>
      <w:r>
        <w:rPr>
          <w:rFonts w:ascii="Times New Roman" w:cs="Times New Roman" w:eastAsia="Times New Roman" w:hAnsi="Times New Roman"/>
          <w:sz w:val="19"/>
          <w:szCs w:val="19"/>
          <w:color w:val="auto"/>
        </w:rPr>
        <w:t>.</w:t>
      </w:r>
    </w:p>
    <w:p>
      <w:pPr>
        <w:spacing w:after="0" w:line="218" w:lineRule="exact"/>
        <w:rPr>
          <w:rFonts w:ascii="Times New Roman" w:cs="Times New Roman" w:eastAsia="Times New Roman" w:hAnsi="Times New Roman"/>
          <w:sz w:val="19"/>
          <w:szCs w:val="19"/>
          <w:color w:val="auto"/>
        </w:rPr>
      </w:pPr>
    </w:p>
    <w:p>
      <w:pPr>
        <w:jc w:val="both"/>
        <w:ind w:left="-20" w:firstLine="1912"/>
        <w:spacing w:after="0" w:line="266" w:lineRule="auto"/>
        <w:tabs>
          <w:tab w:leader="none" w:pos="2752"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Buyer desires to buy Call Shares pursuant to </w:t>
      </w:r>
      <w:r>
        <w:rPr>
          <w:rFonts w:ascii="Times New Roman" w:cs="Times New Roman" w:eastAsia="Times New Roman" w:hAnsi="Times New Roman"/>
          <w:sz w:val="19"/>
          <w:szCs w:val="19"/>
          <w:u w:val="single" w:color="auto"/>
          <w:color w:val="auto"/>
        </w:rPr>
        <w:t>Section 1(a)</w:t>
      </w:r>
      <w:r>
        <w:rPr>
          <w:rFonts w:ascii="Times New Roman" w:cs="Times New Roman" w:eastAsia="Times New Roman" w:hAnsi="Times New Roman"/>
          <w:sz w:val="19"/>
          <w:szCs w:val="19"/>
          <w:color w:val="auto"/>
        </w:rPr>
        <w:t>, the Buyer shall deliver to the Stockholder a written, unconditional and irrevocable notice (the “</w:t>
      </w:r>
      <w:r>
        <w:rPr>
          <w:rFonts w:ascii="Times New Roman" w:cs="Times New Roman" w:eastAsia="Times New Roman" w:hAnsi="Times New Roman"/>
          <w:sz w:val="19"/>
          <w:szCs w:val="19"/>
          <w:b w:val="1"/>
          <w:bCs w:val="1"/>
          <w:color w:val="auto"/>
        </w:rPr>
        <w:t>Call Exercise Notice</w:t>
      </w:r>
      <w:r>
        <w:rPr>
          <w:rFonts w:ascii="Times New Roman" w:cs="Times New Roman" w:eastAsia="Times New Roman" w:hAnsi="Times New Roman"/>
          <w:sz w:val="19"/>
          <w:szCs w:val="19"/>
          <w:color w:val="auto"/>
        </w:rPr>
        <w:t>”) of the Buyer’s election to exercise a Call Right, with its calculation of the Call Purchase Price.</w:t>
      </w:r>
    </w:p>
    <w:p>
      <w:pPr>
        <w:spacing w:after="0" w:line="160" w:lineRule="exact"/>
        <w:rPr>
          <w:rFonts w:ascii="Times New Roman" w:cs="Times New Roman" w:eastAsia="Times New Roman" w:hAnsi="Times New Roman"/>
          <w:sz w:val="19"/>
          <w:szCs w:val="19"/>
          <w:color w:val="auto"/>
        </w:rPr>
      </w:pPr>
    </w:p>
    <w:p>
      <w:pPr>
        <w:jc w:val="both"/>
        <w:ind w:left="-20" w:firstLine="1912"/>
        <w:spacing w:after="0" w:line="251" w:lineRule="auto"/>
        <w:tabs>
          <w:tab w:leader="none" w:pos="2656"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delivering the Call Exercise Notice, the Stockholder shall be deemed to represent and warrant to the Buyer (and, if applicable, its permitted assignee) as of the date of the Call Exercise Notice and as of the applicable Call Right Closing Date (as defined below) that (A) the Stockholder has full right, title and interest in and to the Call Shares; (B) the Stockholder has all the necessary power, capacity and authority, and has taken all necessary action, to sell, transfer and assign the Call Shares as contemplated by this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 (C) the Call Shares are free and clear of any and all liens, mortgages, pledges, security interests, options, rights of first offer, encumbrances or other restrictions or limitations of any nature whatsoever other than those arising as a result of or under the terms of this Agreement, save for the right of pledged vested over the Call Shares in favour of the Buyer; and (D) no consent, approval, order or authorization of, or registration, qualification, designation, declaration or filing with, any governmental entity or any other person or entity is required on the part of the Stockholder in order to enable the Stockholder to sell, transfer and deliver the Call Shares to the Buyer (or its permitted assignee).</w:t>
      </w:r>
    </w:p>
    <w:p>
      <w:pPr>
        <w:spacing w:after="0" w:line="180" w:lineRule="exact"/>
        <w:rPr>
          <w:rFonts w:ascii="Times New Roman" w:cs="Times New Roman" w:eastAsia="Times New Roman" w:hAnsi="Times New Roman"/>
          <w:sz w:val="19"/>
          <w:szCs w:val="19"/>
          <w:color w:val="auto"/>
        </w:rPr>
      </w:pPr>
    </w:p>
    <w:p>
      <w:pPr>
        <w:ind w:left="-20" w:firstLine="1912"/>
        <w:spacing w:after="0" w:line="284" w:lineRule="auto"/>
        <w:tabs>
          <w:tab w:leader="none" w:pos="2656"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1(c)</w:t>
      </w:r>
      <w:r>
        <w:rPr>
          <w:rFonts w:ascii="Times New Roman" w:cs="Times New Roman" w:eastAsia="Times New Roman" w:hAnsi="Times New Roman"/>
          <w:sz w:val="19"/>
          <w:szCs w:val="19"/>
          <w:color w:val="auto"/>
        </w:rPr>
        <w:t xml:space="preserve"> below, the closing of any sale of the Call Shares pursuant to this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 xml:space="preserve"> (each such closing, a “</w:t>
      </w:r>
      <w:r>
        <w:rPr>
          <w:rFonts w:ascii="Times New Roman" w:cs="Times New Roman" w:eastAsia="Times New Roman" w:hAnsi="Times New Roman"/>
          <w:sz w:val="19"/>
          <w:szCs w:val="19"/>
          <w:b w:val="1"/>
          <w:bCs w:val="1"/>
          <w:color w:val="auto"/>
        </w:rPr>
        <w:t>Call Right Closing Date</w:t>
      </w:r>
      <w:r>
        <w:rPr>
          <w:rFonts w:ascii="Times New Roman" w:cs="Times New Roman" w:eastAsia="Times New Roman" w:hAnsi="Times New Roman"/>
          <w:sz w:val="19"/>
          <w:szCs w:val="19"/>
          <w:color w:val="auto"/>
        </w:rPr>
        <w:t>”) shall take place no later than 3 days following receipt by the Stockholder of the Call Exercise Notice.</w:t>
      </w:r>
    </w:p>
    <w:p>
      <w:pPr>
        <w:spacing w:after="0" w:line="144" w:lineRule="exact"/>
        <w:rPr>
          <w:rFonts w:ascii="Times New Roman" w:cs="Times New Roman" w:eastAsia="Times New Roman" w:hAnsi="Times New Roman"/>
          <w:sz w:val="19"/>
          <w:szCs w:val="19"/>
          <w:color w:val="auto"/>
        </w:rPr>
      </w:pPr>
    </w:p>
    <w:p>
      <w:pPr>
        <w:jc w:val="both"/>
        <w:ind w:left="-20" w:firstLine="1276"/>
        <w:spacing w:after="0" w:line="259" w:lineRule="auto"/>
        <w:tabs>
          <w:tab w:leader="none" w:pos="207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Call Purchase Price</w:t>
      </w:r>
      <w:r>
        <w:rPr>
          <w:rFonts w:ascii="Times New Roman" w:cs="Times New Roman" w:eastAsia="Times New Roman" w:hAnsi="Times New Roman"/>
          <w:sz w:val="19"/>
          <w:szCs w:val="19"/>
          <w:color w:val="auto"/>
        </w:rPr>
        <w:t>. In the event the Buyer exercises the Call Right hereunder, the aggregate purchase price at which the Buyer (or its permitted assignee) shall purchase Call Shares (the “</w:t>
      </w:r>
      <w:r>
        <w:rPr>
          <w:rFonts w:ascii="Times New Roman" w:cs="Times New Roman" w:eastAsia="Times New Roman" w:hAnsi="Times New Roman"/>
          <w:sz w:val="19"/>
          <w:szCs w:val="19"/>
          <w:b w:val="1"/>
          <w:bCs w:val="1"/>
          <w:color w:val="auto"/>
        </w:rPr>
        <w:t>Call Purchase Price</w:t>
      </w:r>
      <w:r>
        <w:rPr>
          <w:rFonts w:ascii="Times New Roman" w:cs="Times New Roman" w:eastAsia="Times New Roman" w:hAnsi="Times New Roman"/>
          <w:sz w:val="19"/>
          <w:szCs w:val="19"/>
          <w:color w:val="auto"/>
        </w:rPr>
        <w:t>”) shall be equal to $0.025 per High Voting Share and $0.0015 per Ordinary Share, prior to giving effect to the Reverse Share Split (which after giving effect to the Reverse Share Split shall be equal to $1.875 per High Voting Share and $0.1125 per Ordinary Share).</w:t>
      </w:r>
    </w:p>
    <w:p>
      <w:pPr>
        <w:spacing w:after="0" w:line="168" w:lineRule="exact"/>
        <w:rPr>
          <w:rFonts w:ascii="Times New Roman" w:cs="Times New Roman" w:eastAsia="Times New Roman" w:hAnsi="Times New Roman"/>
          <w:sz w:val="19"/>
          <w:szCs w:val="19"/>
          <w:color w:val="auto"/>
        </w:rPr>
      </w:pPr>
    </w:p>
    <w:p>
      <w:pPr>
        <w:jc w:val="both"/>
        <w:ind w:left="-20" w:firstLine="1276"/>
        <w:spacing w:after="0" w:line="254" w:lineRule="auto"/>
        <w:tabs>
          <w:tab w:leader="none" w:pos="2143"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w:t>
      </w:r>
      <w:r>
        <w:rPr>
          <w:rFonts w:ascii="Times New Roman" w:cs="Times New Roman" w:eastAsia="Times New Roman" w:hAnsi="Times New Roman"/>
          <w:sz w:val="19"/>
          <w:szCs w:val="19"/>
          <w:color w:val="auto"/>
        </w:rPr>
        <w:t xml:space="preserve">. The Buyer and the Stockholder shall take all actions as may be reasonably necessary to consummate each sale contemplated by this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 xml:space="preserve">, including, without limitation, entering into agreements and delivering certificates and instruments and consents as may be deemed necessary or appropriate. Further, the Buyer and the Stockholder acknowledge that the transfer of High Voting Shares requires the approval of the management board of the Company, such in accordance with article 16 of the Company's articles of association. The Buyer and the Stockholder will take all reasonable actions to obtain the required approval of the management board of the Company for each sale and transfer as contemplated by this </w:t>
      </w:r>
      <w:r>
        <w:rPr>
          <w:rFonts w:ascii="Times New Roman" w:cs="Times New Roman" w:eastAsia="Times New Roman" w:hAnsi="Times New Roman"/>
          <w:sz w:val="19"/>
          <w:szCs w:val="19"/>
          <w:u w:val="single" w:color="auto"/>
          <w:color w:val="auto"/>
        </w:rPr>
        <w:t>Section 1</w:t>
      </w:r>
      <w:r>
        <w:rPr>
          <w:rFonts w:ascii="Times New Roman" w:cs="Times New Roman" w:eastAsia="Times New Roman" w:hAnsi="Times New Roman"/>
          <w:sz w:val="19"/>
          <w:szCs w:val="19"/>
          <w:color w:val="auto"/>
        </w:rPr>
        <w:t>.</w:t>
      </w:r>
    </w:p>
    <w:p>
      <w:pPr>
        <w:spacing w:after="0" w:line="174" w:lineRule="exact"/>
        <w:rPr>
          <w:rFonts w:ascii="Times New Roman" w:cs="Times New Roman" w:eastAsia="Times New Roman" w:hAnsi="Times New Roman"/>
          <w:sz w:val="19"/>
          <w:szCs w:val="19"/>
          <w:color w:val="auto"/>
        </w:rPr>
      </w:pPr>
    </w:p>
    <w:p>
      <w:pPr>
        <w:jc w:val="both"/>
        <w:ind w:left="-20" w:firstLine="1276"/>
        <w:spacing w:after="0" w:line="256" w:lineRule="auto"/>
        <w:tabs>
          <w:tab w:leader="none" w:pos="2207"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Closing</w:t>
      </w:r>
      <w:r>
        <w:rPr>
          <w:rFonts w:ascii="Times New Roman" w:cs="Times New Roman" w:eastAsia="Times New Roman" w:hAnsi="Times New Roman"/>
          <w:sz w:val="19"/>
          <w:szCs w:val="19"/>
          <w:color w:val="auto"/>
        </w:rPr>
        <w:t>. On each Call Right Closing Date, the Stockholder and the Buyer shall enter into a transfer agreement to transfer the applicable Call Shares from the Stockholder to the Buyer, against receipt of the Call Purchase Price in respect of such Call Shares. In exchange for the Call Shares, on each Call Right Closing Date, the Buyer (or its permitted assignee) will pay the Call Purchase Price for the applicable Call Shares in cash by wire transfer of immediately available funds on such Call Right Closing Date to an account designated by the Stockholder in writing.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71348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20"/>
          </w:cols>
          <w:pgMar w:left="340" w:top="567" w:right="339" w:bottom="1440" w:gutter="0" w:footer="0" w:header="0"/>
        </w:sectPr>
      </w:pPr>
    </w:p>
    <w:bookmarkStart w:id="108" w:name="page109"/>
    <w:bookmarkEnd w:id="108"/>
    <w:p>
      <w:pPr>
        <w:jc w:val="both"/>
        <w:ind w:firstLine="1276"/>
        <w:spacing w:after="0" w:line="252" w:lineRule="auto"/>
        <w:tabs>
          <w:tab w:leader="none" w:pos="2086"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Beneficial Ownership</w:t>
      </w:r>
      <w:r>
        <w:rPr>
          <w:rFonts w:ascii="Times New Roman" w:cs="Times New Roman" w:eastAsia="Times New Roman" w:hAnsi="Times New Roman"/>
          <w:sz w:val="19"/>
          <w:szCs w:val="19"/>
          <w:color w:val="auto"/>
        </w:rPr>
        <w:t>. The Buyer shall not have the right to exercise any portion of this Option Agreement, pursuant to a Call Exercise Notice or otherwise, to the extent that after giving effect to such exercise, the Buyer, together with any affiliate thereof, would beneficially own (as determined in accordance with Section 13(d) of the Exchange Act and the rules promulgated thereunder) in excess of 4.99% of (i) the number of High Voting Shares outstanding, (ii) the number of Ordinary Shares outstanding, or (iii) the voting power of the total capital of the Company (including due to the voting rights of the High Voting Shares). The ownership limitations in this Section may be waived by the Buyer upon not less than 65 days prior notice to the Company and the Stockholder. Upon the written request of the Buyer, the Company shall within one (1) trading day confirm in writing to the Buyer the number of High Voting Shares and Ordinary Shares then outstanding. Until a Call Right Closing Date, the Stockholder will remain authorized to exercise the voting rights on the relevant Call Shares.</w:t>
      </w:r>
    </w:p>
    <w:p>
      <w:pPr>
        <w:spacing w:after="0" w:line="176" w:lineRule="exact"/>
        <w:rPr>
          <w:rFonts w:ascii="Times New Roman" w:cs="Times New Roman" w:eastAsia="Times New Roman" w:hAnsi="Times New Roman"/>
          <w:sz w:val="19"/>
          <w:szCs w:val="19"/>
          <w:color w:val="auto"/>
        </w:rPr>
      </w:pPr>
    </w:p>
    <w:p>
      <w:pPr>
        <w:jc w:val="both"/>
        <w:ind w:firstLine="1276"/>
        <w:spacing w:after="0" w:line="254" w:lineRule="auto"/>
        <w:tabs>
          <w:tab w:leader="none" w:pos="207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Treasury Threshold under the Dutch Civil Code.</w:t>
      </w:r>
      <w:r>
        <w:rPr>
          <w:rFonts w:ascii="Times New Roman" w:cs="Times New Roman" w:eastAsia="Times New Roman" w:hAnsi="Times New Roman"/>
          <w:sz w:val="19"/>
          <w:szCs w:val="19"/>
          <w:color w:val="auto"/>
        </w:rPr>
        <w:t xml:space="preserve"> Under the articles of association of the Company, and in accordance with the procedures referred therein, each High Voting Share can be converted into 25 Ordinary Shares, out of which 24 Ordinary Shares are relinquished by the holder to the Company for no consideration. The Buyer and the Stockholder acknowledge that pursuant to Section 2:98 paragraph 2, of the Dutch Civil Code, the Company cannot hold more than half of its issued nominal share capital. If, as a result of any transaction the Company will exceed the aforementioned threshold, the Buyer and the Stockholder hereby agree that any action on their part resulting in exceeding such threshold is postponed until the Company has taken appropriate measures.</w:t>
      </w:r>
    </w:p>
    <w:p>
      <w:pPr>
        <w:spacing w:after="0" w:line="174" w:lineRule="exact"/>
        <w:rPr>
          <w:rFonts w:ascii="Times New Roman" w:cs="Times New Roman" w:eastAsia="Times New Roman" w:hAnsi="Times New Roman"/>
          <w:sz w:val="19"/>
          <w:szCs w:val="19"/>
          <w:color w:val="auto"/>
        </w:rPr>
      </w:pPr>
    </w:p>
    <w:p>
      <w:pPr>
        <w:ind w:left="1460" w:hanging="819"/>
        <w:spacing w:after="0"/>
        <w:tabs>
          <w:tab w:leader="none" w:pos="146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18" w:lineRule="exact"/>
        <w:rPr>
          <w:sz w:val="20"/>
          <w:szCs w:val="20"/>
          <w:color w:val="auto"/>
        </w:rPr>
      </w:pPr>
    </w:p>
    <w:p>
      <w:pPr>
        <w:jc w:val="both"/>
        <w:ind w:firstLine="1271"/>
        <w:spacing w:after="0" w:line="242" w:lineRule="auto"/>
        <w:rPr>
          <w:sz w:val="20"/>
          <w:szCs w:val="20"/>
          <w:color w:val="auto"/>
        </w:rPr>
      </w:pPr>
      <w:r>
        <w:rPr>
          <w:rFonts w:ascii="Times New Roman" w:cs="Times New Roman" w:eastAsia="Times New Roman" w:hAnsi="Times New Roman"/>
          <w:sz w:val="19"/>
          <w:szCs w:val="19"/>
          <w:color w:val="auto"/>
        </w:rPr>
        <w:t>All notices and other communications given or made pursuant hereto shall be in writing and shall be deemed to have been duly given or made (a) as of the date delivered, if delivered personally, (b) on the date the delivering party receives confirmation, if delivered by email, (c) three (3)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Section 2):</w:t>
      </w:r>
    </w:p>
    <w:p>
      <w:pPr>
        <w:spacing w:after="0" w:line="16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If to Buyer:</w:t>
      </w:r>
    </w:p>
    <w:p>
      <w:pPr>
        <w:spacing w:after="0" w:line="200" w:lineRule="exact"/>
        <w:rPr>
          <w:sz w:val="20"/>
          <w:szCs w:val="20"/>
          <w:color w:val="auto"/>
        </w:rPr>
      </w:pPr>
    </w:p>
    <w:p>
      <w:pPr>
        <w:spacing w:after="0" w:line="28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YA II PN, Ltd.</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c/o Yorkville Advisors Global, LP</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1012 Springfield Ave</w:t>
      </w:r>
    </w:p>
    <w:p>
      <w:pPr>
        <w:spacing w:after="0" w:line="12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Mountainside, New Jersey 07092</w:t>
      </w:r>
    </w:p>
    <w:p>
      <w:pPr>
        <w:spacing w:after="0" w:line="13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Email: mangelo@yorkvilleadvisors.com</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9" w:name="page110"/>
    <w:bookmarkEnd w:id="109"/>
    <w:p>
      <w:pPr>
        <w:ind w:left="1080"/>
        <w:spacing w:after="0"/>
        <w:rPr>
          <w:sz w:val="20"/>
          <w:szCs w:val="20"/>
          <w:color w:val="auto"/>
        </w:rPr>
      </w:pPr>
      <w:r>
        <w:rPr>
          <w:rFonts w:ascii="Times New Roman" w:cs="Times New Roman" w:eastAsia="Times New Roman" w:hAnsi="Times New Roman"/>
          <w:sz w:val="19"/>
          <w:szCs w:val="19"/>
          <w:color w:val="auto"/>
        </w:rPr>
        <w:t>With a copy (which shall not constitute notice) to:</w:t>
      </w:r>
    </w:p>
    <w:p>
      <w:pPr>
        <w:spacing w:after="0" w:line="2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Legal Department</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1012 Springfield Avenue</w:t>
      </w:r>
    </w:p>
    <w:p>
      <w:pPr>
        <w:spacing w:after="0" w:line="1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Mountainside, New Jersey 07092</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Email: legal@yorkvilleadvisors.com</w:t>
      </w:r>
    </w:p>
    <w:p>
      <w:pPr>
        <w:spacing w:after="0" w:line="200" w:lineRule="exact"/>
        <w:rPr>
          <w:sz w:val="20"/>
          <w:szCs w:val="20"/>
          <w:color w:val="auto"/>
        </w:rPr>
      </w:pP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If to Stockholder:</w:t>
      </w:r>
    </w:p>
    <w:p>
      <w:pPr>
        <w:spacing w:after="0" w:line="2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SVSE LLC</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9800 Quaye Side Dr Unit 105</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Wellington, FL 33411</w:t>
      </w:r>
    </w:p>
    <w:p>
      <w:pPr>
        <w:spacing w:after="0" w:line="1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Attention: George O’Leary</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E-Mail: goleary@sksconsulting.us</w:t>
      </w:r>
    </w:p>
    <w:p>
      <w:pPr>
        <w:spacing w:after="0" w:line="200" w:lineRule="exact"/>
        <w:rPr>
          <w:sz w:val="20"/>
          <w:szCs w:val="20"/>
          <w:color w:val="auto"/>
        </w:rPr>
      </w:pP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With a copy (which shall not constitute notice) to:</w:t>
      </w:r>
    </w:p>
    <w:p>
      <w:pPr>
        <w:spacing w:after="0" w:line="20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Sono Group N.V.</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Waldmeisterstraße 93</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80935 Munich, Germany</w:t>
      </w:r>
    </w:p>
    <w:p>
      <w:pPr>
        <w:spacing w:after="0" w:line="1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Telephone: +49 (89) 4520 5818 </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Attention: Legal Department</w:t>
      </w:r>
    </w:p>
    <w:p>
      <w:pPr>
        <w:spacing w:after="0" w:line="1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color w:val="auto"/>
        </w:rPr>
        <w:t>E-Mail:  legal@sonomotors.com</w:t>
      </w:r>
    </w:p>
    <w:p>
      <w:pPr>
        <w:spacing w:after="0" w:line="205" w:lineRule="exact"/>
        <w:rPr>
          <w:sz w:val="20"/>
          <w:szCs w:val="20"/>
          <w:color w:val="auto"/>
        </w:rPr>
      </w:pPr>
    </w:p>
    <w:p>
      <w:pPr>
        <w:ind w:left="-360" w:firstLine="641"/>
        <w:spacing w:after="0" w:line="284" w:lineRule="auto"/>
        <w:tabs>
          <w:tab w:leader="none" w:pos="11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 to Transfer of the Shares</w:t>
      </w:r>
      <w:r>
        <w:rPr>
          <w:rFonts w:ascii="Times New Roman" w:cs="Times New Roman" w:eastAsia="Times New Roman" w:hAnsi="Times New Roman"/>
          <w:sz w:val="19"/>
          <w:szCs w:val="19"/>
          <w:color w:val="auto"/>
        </w:rPr>
        <w:t>. Each of the Buyer and the Stockholder hereby consents to the sales and transfers of the Call Shares by the Stockholder to the Buyer in the manner contemplated by this Option Agreement.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wp:posOffset>
            </wp:positionV>
            <wp:extent cx="71348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540"/>
          </w:cols>
          <w:pgMar w:left="680" w:top="567" w:right="679" w:bottom="1440" w:gutter="0" w:footer="0" w:header="0"/>
        </w:sectPr>
      </w:pPr>
    </w:p>
    <w:bookmarkStart w:id="110" w:name="page111"/>
    <w:bookmarkEnd w:id="110"/>
    <w:p>
      <w:pPr>
        <w:ind w:firstLine="641"/>
        <w:spacing w:after="0" w:line="284" w:lineRule="auto"/>
        <w:tabs>
          <w:tab w:leader="none" w:pos="1645"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Disposal</w:t>
      </w:r>
      <w:r>
        <w:rPr>
          <w:rFonts w:ascii="Times New Roman" w:cs="Times New Roman" w:eastAsia="Times New Roman" w:hAnsi="Times New Roman"/>
          <w:sz w:val="19"/>
          <w:szCs w:val="19"/>
          <w:color w:val="auto"/>
        </w:rPr>
        <w:t>. For so long as this Option Agreement remains in effect, without the prior written consent of the Buyer, the Stockholder shall not sell, transfer or otherwise dispose of any of the Call Shares.</w:t>
      </w:r>
    </w:p>
    <w:p>
      <w:pPr>
        <w:spacing w:after="0" w:line="144" w:lineRule="exact"/>
        <w:rPr>
          <w:rFonts w:ascii="Times New Roman" w:cs="Times New Roman" w:eastAsia="Times New Roman" w:hAnsi="Times New Roman"/>
          <w:sz w:val="19"/>
          <w:szCs w:val="19"/>
          <w:color w:val="auto"/>
        </w:rPr>
      </w:pPr>
    </w:p>
    <w:p>
      <w:pPr>
        <w:jc w:val="both"/>
        <w:ind w:firstLine="641"/>
        <w:spacing w:after="0" w:line="266" w:lineRule="auto"/>
        <w:tabs>
          <w:tab w:leader="none" w:pos="1526"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Option Agreement constitutes the sole and entire agreement of the parties to this Option Agreement with respect to the subject matter contained herein, and supersedes all prior and contemporaneous understandings and agreements, both written and oral, with respect to such subject matter.</w:t>
      </w:r>
    </w:p>
    <w:p>
      <w:pPr>
        <w:spacing w:after="0" w:line="160" w:lineRule="exact"/>
        <w:rPr>
          <w:rFonts w:ascii="Times New Roman" w:cs="Times New Roman" w:eastAsia="Times New Roman" w:hAnsi="Times New Roman"/>
          <w:sz w:val="19"/>
          <w:szCs w:val="19"/>
          <w:color w:val="auto"/>
        </w:rPr>
      </w:pPr>
    </w:p>
    <w:p>
      <w:pPr>
        <w:jc w:val="both"/>
        <w:ind w:firstLine="641"/>
        <w:spacing w:after="0" w:line="259" w:lineRule="auto"/>
        <w:tabs>
          <w:tab w:leader="none" w:pos="1491"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 and Assigns</w:t>
      </w:r>
      <w:r>
        <w:rPr>
          <w:rFonts w:ascii="Times New Roman" w:cs="Times New Roman" w:eastAsia="Times New Roman" w:hAnsi="Times New Roman"/>
          <w:sz w:val="19"/>
          <w:szCs w:val="19"/>
          <w:color w:val="auto"/>
        </w:rPr>
        <w:t xml:space="preserve">. This Option Agreement shall be binding upon and shall inure to the benefit of the parties hereto and their respective successors and permitted assigns. However, neither this Option Agreement nor any of the rights or obligations hereunder may otherwise be transferred or assigned by (i) the Stockholder without the prior written consent of Buyer and (ii) Buyer without the prior written consent of the Stockholder. Any attempted transfer or assignment in violation of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shall be void </w:t>
      </w:r>
      <w:r>
        <w:rPr>
          <w:rFonts w:ascii="Times New Roman" w:cs="Times New Roman" w:eastAsia="Times New Roman" w:hAnsi="Times New Roman"/>
          <w:sz w:val="19"/>
          <w:szCs w:val="19"/>
          <w:i w:val="1"/>
          <w:iCs w:val="1"/>
          <w:color w:val="auto"/>
        </w:rPr>
        <w:t>ab initio</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9"/>
          <w:szCs w:val="19"/>
          <w:color w:val="auto"/>
        </w:rPr>
      </w:pPr>
    </w:p>
    <w:p>
      <w:pPr>
        <w:jc w:val="both"/>
        <w:ind w:firstLine="641"/>
        <w:spacing w:after="0" w:line="266" w:lineRule="auto"/>
        <w:tabs>
          <w:tab w:leader="none" w:pos="138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 Third-Party Beneficiaries</w:t>
      </w:r>
      <w:r>
        <w:rPr>
          <w:rFonts w:ascii="Times New Roman" w:cs="Times New Roman" w:eastAsia="Times New Roman" w:hAnsi="Times New Roman"/>
          <w:sz w:val="19"/>
          <w:szCs w:val="19"/>
          <w:color w:val="auto"/>
        </w:rPr>
        <w:t>. This Option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Option Agreement.</w:t>
      </w:r>
    </w:p>
    <w:p>
      <w:pPr>
        <w:spacing w:after="0" w:line="173" w:lineRule="exact"/>
        <w:rPr>
          <w:rFonts w:ascii="Times New Roman" w:cs="Times New Roman" w:eastAsia="Times New Roman" w:hAnsi="Times New Roman"/>
          <w:sz w:val="19"/>
          <w:szCs w:val="19"/>
          <w:color w:val="auto"/>
        </w:rPr>
      </w:pPr>
    </w:p>
    <w:p>
      <w:pPr>
        <w:ind w:left="1520" w:hanging="879"/>
        <w:spacing w:after="0"/>
        <w:tabs>
          <w:tab w:leader="none" w:pos="152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The headings in this Option Agreement are for reference only and shall not affect the interpretation of this Option</w:t>
      </w:r>
    </w:p>
    <w:p>
      <w:pPr>
        <w:spacing w:after="0" w:line="28"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Agreement.</w:t>
      </w:r>
    </w:p>
    <w:p>
      <w:pPr>
        <w:spacing w:after="0" w:line="196" w:lineRule="exact"/>
        <w:rPr>
          <w:rFonts w:ascii="Times New Roman" w:cs="Times New Roman" w:eastAsia="Times New Roman" w:hAnsi="Times New Roman"/>
          <w:sz w:val="19"/>
          <w:szCs w:val="19"/>
          <w:color w:val="auto"/>
        </w:rPr>
      </w:pPr>
    </w:p>
    <w:p>
      <w:pPr>
        <w:jc w:val="both"/>
        <w:ind w:firstLine="641"/>
        <w:spacing w:after="0" w:line="254" w:lineRule="auto"/>
        <w:tabs>
          <w:tab w:leader="none" w:pos="1685"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Modification; Waiver</w:t>
      </w:r>
      <w:r>
        <w:rPr>
          <w:rFonts w:ascii="Times New Roman" w:cs="Times New Roman" w:eastAsia="Times New Roman" w:hAnsi="Times New Roman"/>
          <w:sz w:val="19"/>
          <w:szCs w:val="19"/>
          <w:color w:val="auto"/>
        </w:rPr>
        <w:t>. This Option Agreement may only be amended, modified or supplemented by an agreement in writing signed by the Stockholder and Buyer. No waiver by any party of any of the provisions hereof shall be effective unless explicitly set forth in writing and signed by the party so waiving. Except as otherwise set forth in this Option Agreement, no failure to exercise, or delay in exercising, any rights, remedy, power or privilege arising from this Option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74" w:lineRule="exact"/>
        <w:rPr>
          <w:rFonts w:ascii="Times New Roman" w:cs="Times New Roman" w:eastAsia="Times New Roman" w:hAnsi="Times New Roman"/>
          <w:sz w:val="19"/>
          <w:szCs w:val="19"/>
          <w:color w:val="auto"/>
        </w:rPr>
      </w:pPr>
    </w:p>
    <w:p>
      <w:pPr>
        <w:jc w:val="both"/>
        <w:ind w:firstLine="641"/>
        <w:spacing w:after="0" w:line="254" w:lineRule="auto"/>
        <w:tabs>
          <w:tab w:leader="none" w:pos="1517"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any term or provision of this Option Agreement is invalid, illegal or unenforceable in any jurisdiction, such invalidity, illegality or unenforceability shall not affect any other term or provision of this Option Agreement or invalidate or render unenforceable such term or provision in any other jurisdiction. Upon such determination that any term or other provision is invalid, illegal or unenforceable, the parties hereto shall negotiate in good faith to modify this Option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4" w:lineRule="exact"/>
        <w:rPr>
          <w:rFonts w:ascii="Times New Roman" w:cs="Times New Roman" w:eastAsia="Times New Roman" w:hAnsi="Times New Roman"/>
          <w:sz w:val="19"/>
          <w:szCs w:val="19"/>
          <w:color w:val="auto"/>
        </w:rPr>
      </w:pPr>
    </w:p>
    <w:p>
      <w:pPr>
        <w:jc w:val="both"/>
        <w:ind w:firstLine="641"/>
        <w:spacing w:after="0" w:line="254" w:lineRule="auto"/>
        <w:tabs>
          <w:tab w:leader="none" w:pos="151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Specific Performance.</w:t>
      </w:r>
      <w:r>
        <w:rPr>
          <w:rFonts w:ascii="Times New Roman" w:cs="Times New Roman" w:eastAsia="Times New Roman" w:hAnsi="Times New Roman"/>
          <w:sz w:val="19"/>
          <w:szCs w:val="19"/>
          <w:color w:val="auto"/>
        </w:rPr>
        <w:t xml:space="preserve"> The parties agree that irreparable damage would occur in the event that any of the provisions of this Option Agreement were not performed in accordance with their specific terms or were otherwise breached. Accordingly, the parties agree that, in addition to any other remedies, each party shall be entitled to enforce the terms of this Option Agreement by a decree of specific performance without the necessity of proving the inadequacy of money damages as a remedy. Each party hereby waives any requirement for the securing or posting of any bond in connection with such remedy. Each party further agrees that the only permitted objection that it may raise in response to any action for equitable relief is that it contests the existence of a breach or threatened breach of this Option Agreement.</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1" w:name="page112"/>
    <w:bookmarkEnd w:id="111"/>
    <w:p>
      <w:pPr>
        <w:jc w:val="both"/>
        <w:ind w:firstLine="641"/>
        <w:spacing w:after="0" w:line="259" w:lineRule="auto"/>
        <w:tabs>
          <w:tab w:leader="none" w:pos="153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Option Agreement, and all claims or causes of action (whether in contract or tort) that may be based upon, arise out of or relate to this Option Agreement, or the negotiation, execution or performance of this Option Agreement (including any claim or cause of action based upon, arising out of or related to any representation or warranty made in or in connection with this Option Agreement or as an inducement to enter into this Option Agreement), shall be governed by the internal laws of New York.</w:t>
      </w:r>
    </w:p>
    <w:p>
      <w:pPr>
        <w:spacing w:after="0" w:line="168" w:lineRule="exact"/>
        <w:rPr>
          <w:rFonts w:ascii="Times New Roman" w:cs="Times New Roman" w:eastAsia="Times New Roman" w:hAnsi="Times New Roman"/>
          <w:sz w:val="19"/>
          <w:szCs w:val="19"/>
          <w:color w:val="auto"/>
        </w:rPr>
      </w:pPr>
    </w:p>
    <w:p>
      <w:pPr>
        <w:jc w:val="both"/>
        <w:ind w:firstLine="641"/>
        <w:spacing w:after="0" w:line="251" w:lineRule="auto"/>
        <w:tabs>
          <w:tab w:leader="none" w:pos="147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Jurisdiction; Court Proceedings; Waiver of Jury Trial.</w:t>
      </w:r>
      <w:r>
        <w:rPr>
          <w:rFonts w:ascii="Times New Roman" w:cs="Times New Roman" w:eastAsia="Times New Roman" w:hAnsi="Times New Roman"/>
          <w:sz w:val="19"/>
          <w:szCs w:val="19"/>
          <w:color w:val="auto"/>
        </w:rPr>
        <w:t xml:space="preserve"> Any dispute against any party to this Option Agreement arising out of or in any way relating to this Option Agreement shall be brought in any federal or state court located in the State of New York, New York County and each of the parties hereby submits to the exclusive jurisdiction of such courts for such purpose. Each party irrevocably and unconditionally agrees not to assert (a) any objection which it may ever have to the laying of venue in any federal or state court located in the State of New York, New York County, (b) any claim brought in any such court has been brought in an inconvenient forum or (c) any claim that such court does not have jurisdiction with respect to such dispute. EACH PARTY IRREVOCABLY AND UNCONDITIONALLY WAIVES ANY RIGHT TO A TRIAL BY JURY AND AGREES THAT ANY OF THEM MAY FILE A COPY OF THIS PARAGRAPH WITH ANY COURT AS WRITTEN EVIDENCE OF THE KNOWING, VOLUNTARY AND BARGAINED-FOR AGREEMENT AMONG THE PARTIES IRREVOCABLY TO WAIVE ITS RIGHT TO TRIAL BY JURY IN ANY LITIGATION.</w:t>
      </w:r>
    </w:p>
    <w:p>
      <w:pPr>
        <w:spacing w:after="0" w:line="180" w:lineRule="exact"/>
        <w:rPr>
          <w:rFonts w:ascii="Times New Roman" w:cs="Times New Roman" w:eastAsia="Times New Roman" w:hAnsi="Times New Roman"/>
          <w:sz w:val="19"/>
          <w:szCs w:val="19"/>
          <w:color w:val="auto"/>
        </w:rPr>
      </w:pPr>
    </w:p>
    <w:p>
      <w:pPr>
        <w:jc w:val="both"/>
        <w:ind w:firstLine="641"/>
        <w:spacing w:after="0" w:line="262" w:lineRule="auto"/>
        <w:tabs>
          <w:tab w:leader="none" w:pos="1464"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Option Agreement may be executed in counterparts, each of which shall be deemed an original, but all of which shall together be deemed to be one and the same agreement. A signed copy of this Option Agreement delivered by facsimile, e-mail or other means of electronic transmission shall be deemed to have the same legal effect as delivery of an original signed copy of this Option Agreement.</w:t>
      </w:r>
    </w:p>
    <w:p>
      <w:pPr>
        <w:spacing w:after="0" w:line="396" w:lineRule="exact"/>
        <w:rPr>
          <w:rFonts w:ascii="Times New Roman" w:cs="Times New Roman" w:eastAsia="Times New Roman" w:hAnsi="Times New Roman"/>
          <w:sz w:val="19"/>
          <w:szCs w:val="19"/>
          <w:color w:val="auto"/>
        </w:rPr>
      </w:pPr>
    </w:p>
    <w:p>
      <w:pPr>
        <w:jc w:val="both"/>
        <w:ind w:firstLine="641"/>
        <w:spacing w:after="0" w:line="259" w:lineRule="auto"/>
        <w:tabs>
          <w:tab w:leader="none" w:pos="1491"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Strict Construction</w:t>
      </w:r>
      <w:r>
        <w:rPr>
          <w:rFonts w:ascii="Times New Roman" w:cs="Times New Roman" w:eastAsia="Times New Roman" w:hAnsi="Times New Roman"/>
          <w:sz w:val="19"/>
          <w:szCs w:val="19"/>
          <w:color w:val="auto"/>
        </w:rPr>
        <w:t>. The parties to this Option Agreement have participated jointly in the negotiation and drafting of this Option Agreement. In the event an ambiguity or question of intent or interpretation arises, this Option Agreement will be construed as if drafted jointly by the parties, and no presumption or burden of proof will arise favoring or disfavoring any party by virtue of the authorship of any of the provisions of this Option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FOLLOWS]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48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2" w:name="page113"/>
    <w:bookmarkEnd w:id="112"/>
    <w:p>
      <w:pPr>
        <w:ind w:left="64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executed this Call Option Agreement on the date first written above.</w:t>
      </w:r>
    </w:p>
    <w:p>
      <w:pPr>
        <w:spacing w:after="0" w:line="2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STOCKHOLDER:</w:t>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SVSE LLC</w:t>
      </w: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color w:val="auto"/>
        </w:rPr>
        <w:t>By: ___________________________</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color w:val="auto"/>
        </w:rPr>
        <w:t>Name: George O’Leary</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color w:val="auto"/>
        </w:rPr>
        <w:t>Title: Member</w:t>
      </w: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b w:val="1"/>
          <w:bCs w:val="1"/>
          <w:color w:val="auto"/>
        </w:rPr>
        <w:t>BUYER:</w:t>
      </w:r>
    </w:p>
    <w:p>
      <w:pPr>
        <w:spacing w:after="0" w:line="2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color w:val="auto"/>
        </w:rPr>
        <w:t>YA II PN, LTD.</w:t>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color w:val="auto"/>
        </w:rPr>
        <w:t>By: Yorkville Advisors Global, LP</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color w:val="auto"/>
        </w:rPr>
        <w:t>Its: Investment Manager</w:t>
      </w:r>
    </w:p>
    <w:p>
      <w:pPr>
        <w:sectPr>
          <w:pgSz w:w="11900" w:h="16838" w:orient="portrait"/>
          <w:cols w:equalWidth="0" w:num="1">
            <w:col w:w="10139"/>
          </w:cols>
          <w:pgMar w:left="320" w:top="563"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9"/>
          <w:szCs w:val="19"/>
          <w:color w:val="auto"/>
        </w:rPr>
        <w:t>By:</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9"/>
          <w:szCs w:val="19"/>
          <w:color w:val="auto"/>
        </w:rPr>
        <w:t>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right="639" w:firstLine="25"/>
        <w:spacing w:after="0" w:line="284" w:lineRule="auto"/>
        <w:rPr>
          <w:sz w:val="20"/>
          <w:szCs w:val="20"/>
          <w:color w:val="auto"/>
        </w:rPr>
      </w:pPr>
      <w:r>
        <w:rPr>
          <w:rFonts w:ascii="Times New Roman" w:cs="Times New Roman" w:eastAsia="Times New Roman" w:hAnsi="Times New Roman"/>
          <w:sz w:val="19"/>
          <w:szCs w:val="19"/>
          <w:color w:val="auto"/>
        </w:rPr>
        <w:t>Yorkville Advisor Global II, LLC General Partner</w:t>
      </w:r>
    </w:p>
    <w:p>
      <w:pPr>
        <w:spacing w:after="0" w:line="200" w:lineRule="exact"/>
        <w:rPr>
          <w:sz w:val="20"/>
          <w:szCs w:val="20"/>
          <w:color w:val="auto"/>
        </w:rPr>
      </w:pPr>
    </w:p>
    <w:p>
      <w:pPr>
        <w:sectPr>
          <w:pgSz w:w="11900" w:h="16838" w:orient="portrait"/>
          <w:cols w:equalWidth="0" w:num="2">
            <w:col w:w="6540" w:space="320"/>
            <w:col w:w="3279"/>
          </w:cols>
          <w:pgMar w:left="320" w:top="563" w:right="1440" w:bottom="1440" w:gutter="0" w:footer="0" w:header="0"/>
          <w:type w:val="continuous"/>
        </w:sectPr>
      </w:pPr>
    </w:p>
    <w:p>
      <w:pPr>
        <w:spacing w:after="0" w:line="18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9"/>
          <w:szCs w:val="19"/>
          <w:color w:val="auto"/>
        </w:rPr>
        <w:t>By:__________________________________</w:t>
      </w:r>
    </w:p>
    <w:p>
      <w:pPr>
        <w:spacing w:after="0" w:line="29" w:lineRule="exact"/>
        <w:rPr>
          <w:sz w:val="20"/>
          <w:szCs w:val="20"/>
          <w:color w:val="auto"/>
        </w:rPr>
      </w:pPr>
    </w:p>
    <w:p>
      <w:pPr>
        <w:ind w:left="6260"/>
        <w:spacing w:after="0"/>
        <w:tabs>
          <w:tab w:leader="none" w:pos="7100" w:val="left"/>
        </w:tabs>
        <w:rPr>
          <w:sz w:val="20"/>
          <w:szCs w:val="20"/>
          <w:color w:val="auto"/>
        </w:rPr>
      </w:pPr>
      <w:r>
        <w:rPr>
          <w:rFonts w:ascii="Times New Roman" w:cs="Times New Roman" w:eastAsia="Times New Roman" w:hAnsi="Times New Roman"/>
          <w:sz w:val="19"/>
          <w:szCs w:val="19"/>
          <w:color w:val="auto"/>
        </w:rPr>
        <w:t>Name:</w:t>
      </w:r>
      <w:r>
        <w:rPr>
          <w:sz w:val="20"/>
          <w:szCs w:val="20"/>
          <w:color w:val="auto"/>
        </w:rPr>
        <w:tab/>
      </w:r>
      <w:r>
        <w:rPr>
          <w:rFonts w:ascii="Times New Roman" w:cs="Times New Roman" w:eastAsia="Times New Roman" w:hAnsi="Times New Roman"/>
          <w:sz w:val="19"/>
          <w:szCs w:val="19"/>
          <w:color w:val="auto"/>
        </w:rPr>
        <w:t>Michael Rosselli,</w:t>
      </w:r>
    </w:p>
    <w:p>
      <w:pPr>
        <w:spacing w:after="0" w:line="7" w:lineRule="exact"/>
        <w:rPr>
          <w:sz w:val="20"/>
          <w:szCs w:val="20"/>
          <w:color w:val="auto"/>
        </w:rPr>
      </w:pPr>
    </w:p>
    <w:p>
      <w:pPr>
        <w:ind w:left="6260"/>
        <w:spacing w:after="0"/>
        <w:tabs>
          <w:tab w:leader="none" w:pos="700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  Partner</w:t>
      </w:r>
    </w:p>
    <w:p>
      <w:pPr>
        <w:sectPr>
          <w:pgSz w:w="11900" w:h="16838" w:orient="portrait"/>
          <w:cols w:equalWidth="0" w:num="1">
            <w:col w:w="10139"/>
          </w:cols>
          <w:pgMar w:left="320" w:top="5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Acknowledgement by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SONO GROUP N.V.</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George O’Leary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[Signature Page to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71348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139"/>
          </w:cols>
          <w:pgMar w:left="320" w:top="563" w:right="1440" w:bottom="1440" w:gutter="0" w:footer="0" w:header="0"/>
          <w:type w:val="continuous"/>
        </w:sectPr>
      </w:pPr>
    </w:p>
    <w:bookmarkStart w:id="113" w:name="page114"/>
    <w:bookmarkEnd w:id="113"/>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EXCHANGE AGREEMENT</w:t>
      </w:r>
    </w:p>
    <w:p>
      <w:pPr>
        <w:spacing w:after="0" w:line="217" w:lineRule="exact"/>
        <w:rPr>
          <w:sz w:val="20"/>
          <w:szCs w:val="20"/>
          <w:color w:val="auto"/>
        </w:rPr>
      </w:pPr>
    </w:p>
    <w:p>
      <w:pPr>
        <w:jc w:val="both"/>
        <w:ind w:firstLine="63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EXCHANGE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30, 2024, is between</w:t>
      </w:r>
      <w:r>
        <w:rPr>
          <w:rFonts w:ascii="Times New Roman" w:cs="Times New Roman" w:eastAsia="Times New Roman" w:hAnsi="Times New Roman"/>
          <w:sz w:val="18"/>
          <w:szCs w:val="18"/>
          <w:b w:val="1"/>
          <w:bCs w:val="1"/>
          <w:color w:val="auto"/>
        </w:rPr>
        <w:t xml:space="preserve"> SONO GROUP N.V., </w:t>
      </w:r>
      <w:r>
        <w:rPr>
          <w:rFonts w:ascii="Times New Roman" w:cs="Times New Roman" w:eastAsia="Times New Roman" w:hAnsi="Times New Roman"/>
          <w:sz w:val="18"/>
          <w:szCs w:val="18"/>
          <w:color w:val="auto"/>
        </w:rPr>
        <w:t>a Dutch public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The Company and the Investor may each be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WITNESSETH</w:t>
      </w:r>
    </w:p>
    <w:p>
      <w:pPr>
        <w:spacing w:after="0" w:line="217"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Investor is the holder of (i) a convertible debenture issued on December 7, 2022 in the original principal amount of $11,100,000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as “SEV-1,” (“</w:t>
      </w:r>
      <w:r>
        <w:rPr>
          <w:rFonts w:ascii="Times New Roman" w:cs="Times New Roman" w:eastAsia="Times New Roman" w:hAnsi="Times New Roman"/>
          <w:sz w:val="18"/>
          <w:szCs w:val="18"/>
          <w:u w:val="single" w:color="auto"/>
          <w:color w:val="auto"/>
        </w:rPr>
        <w:t>Debenture 1</w:t>
      </w:r>
      <w:r>
        <w:rPr>
          <w:rFonts w:ascii="Times New Roman" w:cs="Times New Roman" w:eastAsia="Times New Roman" w:hAnsi="Times New Roman"/>
          <w:sz w:val="18"/>
          <w:szCs w:val="18"/>
          <w:color w:val="auto"/>
        </w:rPr>
        <w:t>”), (ii) a convertible debenture issued on December 8, 2022 in the original principal amount of $10,000,000 and designated as “SEV-2,” (“</w:t>
      </w:r>
      <w:r>
        <w:rPr>
          <w:rFonts w:ascii="Times New Roman" w:cs="Times New Roman" w:eastAsia="Times New Roman" w:hAnsi="Times New Roman"/>
          <w:sz w:val="18"/>
          <w:szCs w:val="18"/>
          <w:u w:val="single" w:color="auto"/>
          <w:color w:val="auto"/>
        </w:rPr>
        <w:t>Debenture 2</w:t>
      </w:r>
      <w:r>
        <w:rPr>
          <w:rFonts w:ascii="Times New Roman" w:cs="Times New Roman" w:eastAsia="Times New Roman" w:hAnsi="Times New Roman"/>
          <w:sz w:val="18"/>
          <w:szCs w:val="18"/>
          <w:color w:val="auto"/>
        </w:rPr>
        <w:t>”), and (iii) a convertible debenture issued on December 20, 2022 in the original principal amount of $10,000,000 and designated as “SEV-3,” (“</w:t>
      </w:r>
      <w:r>
        <w:rPr>
          <w:rFonts w:ascii="Times New Roman" w:cs="Times New Roman" w:eastAsia="Times New Roman" w:hAnsi="Times New Roman"/>
          <w:sz w:val="18"/>
          <w:szCs w:val="18"/>
          <w:u w:val="single" w:color="auto"/>
          <w:color w:val="auto"/>
        </w:rPr>
        <w:t>Debenture 3</w:t>
      </w:r>
      <w:r>
        <w:rPr>
          <w:rFonts w:ascii="Times New Roman" w:cs="Times New Roman" w:eastAsia="Times New Roman" w:hAnsi="Times New Roman"/>
          <w:sz w:val="18"/>
          <w:szCs w:val="18"/>
          <w:color w:val="auto"/>
        </w:rPr>
        <w:t>,” and collectively with Debenture 1 and Debenture 2, the “</w:t>
      </w:r>
      <w:r>
        <w:rPr>
          <w:rFonts w:ascii="Times New Roman" w:cs="Times New Roman" w:eastAsia="Times New Roman" w:hAnsi="Times New Roman"/>
          <w:sz w:val="18"/>
          <w:szCs w:val="18"/>
          <w:u w:val="single" w:color="auto"/>
          <w:color w:val="auto"/>
        </w:rPr>
        <w:t>2022 Debentures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the aggregate outstanding balance owed under the 2022 Debentures is as set forth on Schedule 3(p) attached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197"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Investor is the holder of (i) a convertible debenture issued on February 5, 2024 in the original principal amount of $4,317,600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as “SEV-4,” (“</w:t>
      </w:r>
      <w:r>
        <w:rPr>
          <w:rFonts w:ascii="Times New Roman" w:cs="Times New Roman" w:eastAsia="Times New Roman" w:hAnsi="Times New Roman"/>
          <w:sz w:val="18"/>
          <w:szCs w:val="18"/>
          <w:u w:val="single" w:color="auto"/>
          <w:color w:val="auto"/>
        </w:rPr>
        <w:t>Debenture 4</w:t>
      </w:r>
      <w:r>
        <w:rPr>
          <w:rFonts w:ascii="Times New Roman" w:cs="Times New Roman" w:eastAsia="Times New Roman" w:hAnsi="Times New Roman"/>
          <w:sz w:val="18"/>
          <w:szCs w:val="18"/>
          <w:color w:val="auto"/>
        </w:rPr>
        <w:t>”), (ii) a convertible debenture issued on August 30, 2024 in the original principal amount of $3,338,100 and designated as “SEV-5,” and (iii) a convertible debenture in the original principal amount of $5,000,000 and designated as “SEV-6” (“</w:t>
      </w:r>
      <w:r>
        <w:rPr>
          <w:rFonts w:ascii="Times New Roman" w:cs="Times New Roman" w:eastAsia="Times New Roman" w:hAnsi="Times New Roman"/>
          <w:sz w:val="18"/>
          <w:szCs w:val="18"/>
          <w:u w:val="single" w:color="auto"/>
          <w:color w:val="auto"/>
        </w:rPr>
        <w:t>Debenture 6</w:t>
      </w:r>
      <w:r>
        <w:rPr>
          <w:rFonts w:ascii="Times New Roman" w:cs="Times New Roman" w:eastAsia="Times New Roman" w:hAnsi="Times New Roman"/>
          <w:sz w:val="18"/>
          <w:szCs w:val="18"/>
          <w:color w:val="auto"/>
        </w:rPr>
        <w:t>,” and collectively with Debenture 4 and Debenture 5, the “</w:t>
      </w:r>
      <w:r>
        <w:rPr>
          <w:rFonts w:ascii="Times New Roman" w:cs="Times New Roman" w:eastAsia="Times New Roman" w:hAnsi="Times New Roman"/>
          <w:sz w:val="18"/>
          <w:szCs w:val="18"/>
          <w:u w:val="single" w:color="auto"/>
          <w:color w:val="auto"/>
        </w:rPr>
        <w:t>2024 Debentures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the aggregate outstanding balance owed under the 2024 Debentures is as set forth on Schedule 3(p) attached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197" w:lineRule="exact"/>
        <w:rPr>
          <w:sz w:val="20"/>
          <w:szCs w:val="20"/>
          <w:color w:val="auto"/>
        </w:rPr>
      </w:pPr>
    </w:p>
    <w:p>
      <w:pPr>
        <w:jc w:val="both"/>
        <w:ind w:firstLine="635"/>
        <w:spacing w:after="0" w:line="27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Management Board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has resolved to issue preferred stock of the Company consisting of 1,242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having a nominal value of three hundred euro (EUR 300) (each such share, a “</w:t>
      </w:r>
      <w:r>
        <w:rPr>
          <w:rFonts w:ascii="Times New Roman" w:cs="Times New Roman" w:eastAsia="Times New Roman" w:hAnsi="Times New Roman"/>
          <w:sz w:val="17"/>
          <w:szCs w:val="17"/>
          <w:u w:val="single" w:color="auto"/>
          <w:color w:val="auto"/>
        </w:rPr>
        <w:t>Preferred Share</w:t>
      </w:r>
      <w:r>
        <w:rPr>
          <w:rFonts w:ascii="Times New Roman" w:cs="Times New Roman" w:eastAsia="Times New Roman" w:hAnsi="Times New Roman"/>
          <w:sz w:val="17"/>
          <w:szCs w:val="17"/>
          <w:color w:val="auto"/>
        </w:rPr>
        <w:t>”) which are convertible into ordinary shares of the Company, each having a nominal value of one eurocent (EUR 0.01) (the “</w:t>
      </w:r>
      <w:r>
        <w:rPr>
          <w:rFonts w:ascii="Times New Roman" w:cs="Times New Roman" w:eastAsia="Times New Roman" w:hAnsi="Times New Roman"/>
          <w:sz w:val="17"/>
          <w:szCs w:val="17"/>
          <w:u w:val="single" w:color="auto"/>
          <w:color w:val="auto"/>
        </w:rPr>
        <w:t>Ordinary Shares</w:t>
      </w:r>
      <w:r>
        <w:rPr>
          <w:rFonts w:ascii="Times New Roman" w:cs="Times New Roman" w:eastAsia="Times New Roman" w:hAnsi="Times New Roman"/>
          <w:sz w:val="17"/>
          <w:szCs w:val="17"/>
          <w:color w:val="auto"/>
        </w:rPr>
        <w:t>”) pursuant to the articles of association of the Company as they will read as of the Closing Date (as defined herein), with each Preferred Shares convertible into thirty thousand (30,000) Ordinary Shares (the “</w:t>
      </w:r>
      <w:r>
        <w:rPr>
          <w:rFonts w:ascii="Times New Roman" w:cs="Times New Roman" w:eastAsia="Times New Roman" w:hAnsi="Times New Roman"/>
          <w:sz w:val="17"/>
          <w:szCs w:val="17"/>
          <w:u w:val="single" w:color="auto"/>
          <w:color w:val="auto"/>
        </w:rPr>
        <w:t>Conversion Ratio</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635"/>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 desire to enter into this transaction (A) for the exchange of (i) the 2022 Debentures for 801 validly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fully paid, and non-assessable Preferred Shares of the Company, and (ii) the 2024 Debentures for 441 validly issued, fully paid, and non-assessable Preferred Shares of the Company, in each case pursuant to an applicable exemption from registration under the rules and as promulgated by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347345</wp:posOffset>
            </wp:positionV>
            <wp:extent cx="71348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4" w:name="page115"/>
    <w:bookmarkEnd w:id="114"/>
    <w:p>
      <w:pPr>
        <w:ind w:firstLine="635"/>
        <w:spacing w:after="0" w:line="27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Preferred Shares and the Ordinary Shares issuable upon the conversion of the Preferred Shares (as converted,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17" w:lineRule="exact"/>
        <w:rPr>
          <w:sz w:val="20"/>
          <w:szCs w:val="20"/>
          <w:color w:val="auto"/>
        </w:rPr>
      </w:pPr>
    </w:p>
    <w:p>
      <w:pPr>
        <w:ind w:firstLine="635"/>
        <w:spacing w:after="0" w:line="27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covenants contained herein and for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and the Investor hereby agree as follows:</w:t>
      </w:r>
    </w:p>
    <w:p>
      <w:pPr>
        <w:spacing w:after="0" w:line="164" w:lineRule="exact"/>
        <w:rPr>
          <w:sz w:val="20"/>
          <w:szCs w:val="20"/>
          <w:color w:val="auto"/>
        </w:rPr>
      </w:pPr>
    </w:p>
    <w:p>
      <w:pPr>
        <w:ind w:left="720" w:hanging="635"/>
        <w:spacing w:after="0"/>
        <w:tabs>
          <w:tab w:leader="none" w:pos="7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THE EXCHANGE.</w:t>
      </w:r>
    </w:p>
    <w:p>
      <w:pPr>
        <w:spacing w:after="0" w:line="218" w:lineRule="exact"/>
        <w:rPr>
          <w:rFonts w:ascii="Times New Roman" w:cs="Times New Roman" w:eastAsia="Times New Roman" w:hAnsi="Times New Roman"/>
          <w:sz w:val="18"/>
          <w:szCs w:val="18"/>
          <w:b w:val="1"/>
          <w:bCs w:val="1"/>
          <w:color w:val="auto"/>
        </w:rPr>
      </w:pPr>
    </w:p>
    <w:p>
      <w:pPr>
        <w:jc w:val="both"/>
        <w:ind w:left="100" w:right="100" w:firstLine="630"/>
        <w:spacing w:after="0" w:line="267" w:lineRule="auto"/>
        <w:tabs>
          <w:tab w:leader="none" w:pos="1717" w:val="left"/>
        </w:tabs>
        <w:numPr>
          <w:ilvl w:val="2"/>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of Debentures for the Preferred Shares</w:t>
      </w:r>
      <w:r>
        <w:rPr>
          <w:rFonts w:ascii="Times New Roman" w:cs="Times New Roman" w:eastAsia="Times New Roman" w:hAnsi="Times New Roman"/>
          <w:sz w:val="17"/>
          <w:szCs w:val="17"/>
          <w:color w:val="auto"/>
        </w:rPr>
        <w:t>. On the date upon which all the conditions precedent set forth in Section 1(e) shall have been satisfied (such date being referred to herein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 upon the terms and subject to the conditions set forth herein, the Company agrees to issue to the Investor an aggregate of 1,242 Preferred Shares solely in exchange for the surrender and cancellation of (i) the 2022 Debentures and</w:t>
      </w:r>
    </w:p>
    <w:p>
      <w:pPr>
        <w:ind w:left="360" w:hanging="266"/>
        <w:spacing w:after="0"/>
        <w:tabs>
          <w:tab w:leader="none" w:pos="3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Debentures by the Investor, and for no additional consideration (collectively,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18"/>
          <w:szCs w:val="18"/>
          <w:color w:val="auto"/>
        </w:rPr>
      </w:pPr>
    </w:p>
    <w:p>
      <w:pPr>
        <w:jc w:val="both"/>
        <w:ind w:left="100" w:right="100" w:firstLine="630"/>
        <w:spacing w:after="0" w:line="254" w:lineRule="auto"/>
        <w:tabs>
          <w:tab w:leader="none" w:pos="1727"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w:t>
      </w:r>
      <w:r>
        <w:rPr>
          <w:rFonts w:ascii="Times New Roman" w:cs="Times New Roman" w:eastAsia="Times New Roman" w:hAnsi="Times New Roman"/>
          <w:sz w:val="18"/>
          <w:szCs w:val="18"/>
          <w:color w:val="auto"/>
        </w:rPr>
        <w:t>. On the Closing Date, the Company shall deliver or cause to be delivered to the Investor the following: (i) this Agreement, and (ii) a total of 1,242 Preferred Shares, duly issued to the Investor and registered in the name of the Investor in the Company's shareholder's register. On or prior to the Closing Date, the Investor shall deliver or cause to be delivered to the Company the following: (i) this Agreement and (ii) the 2022 Debentures and the 2024 Debentures for cancellation.</w:t>
      </w:r>
    </w:p>
    <w:p>
      <w:pPr>
        <w:spacing w:after="0" w:line="182" w:lineRule="exact"/>
        <w:rPr>
          <w:rFonts w:ascii="Times New Roman" w:cs="Times New Roman" w:eastAsia="Times New Roman" w:hAnsi="Times New Roman"/>
          <w:sz w:val="18"/>
          <w:szCs w:val="18"/>
          <w:color w:val="auto"/>
        </w:rPr>
      </w:pPr>
    </w:p>
    <w:p>
      <w:pPr>
        <w:jc w:val="both"/>
        <w:ind w:left="100" w:right="100" w:firstLine="630"/>
        <w:spacing w:after="0" w:line="258" w:lineRule="auto"/>
        <w:tabs>
          <w:tab w:leader="none" w:pos="1783"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3(a)(9)</w:t>
      </w:r>
      <w:r>
        <w:rPr>
          <w:rFonts w:ascii="Times New Roman" w:cs="Times New Roman" w:eastAsia="Times New Roman" w:hAnsi="Times New Roman"/>
          <w:sz w:val="18"/>
          <w:szCs w:val="18"/>
          <w:color w:val="auto"/>
        </w:rPr>
        <w:t>. Assuming the accuracy of the representations and warranties of each of the Company and the Investor set forth in Sections 2 and 3 of this Agreement, the Parties acknowledge and agree that the purpose of such representations and warranties is, among other things, to ensure that the Exchange qualifies as an exchange of securities under Section 3(a)(9) of the Securities Act.</w:t>
      </w:r>
    </w:p>
    <w:p>
      <w:pPr>
        <w:spacing w:after="0" w:line="179" w:lineRule="exact"/>
        <w:rPr>
          <w:rFonts w:ascii="Times New Roman" w:cs="Times New Roman" w:eastAsia="Times New Roman" w:hAnsi="Times New Roman"/>
          <w:sz w:val="18"/>
          <w:szCs w:val="18"/>
          <w:color w:val="auto"/>
        </w:rPr>
      </w:pPr>
    </w:p>
    <w:p>
      <w:pPr>
        <w:jc w:val="both"/>
        <w:ind w:left="100" w:right="100" w:firstLine="630"/>
        <w:spacing w:after="0" w:line="254" w:lineRule="auto"/>
        <w:tabs>
          <w:tab w:leader="none" w:pos="178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The Company confirms that the Conversion Shares shall be subject to any registration rights the Investor may have with the Company, including those provided by the Registration Rights Agreement, dated December 7, 2022, by and between the Company and the Investor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provided that the Company and Investor shall work together in good faith to give effect to those rights as necessary given the Company is not currently listed on a national securities exchange.</w:t>
      </w:r>
    </w:p>
    <w:p>
      <w:pPr>
        <w:spacing w:after="0" w:line="182" w:lineRule="exact"/>
        <w:rPr>
          <w:rFonts w:ascii="Times New Roman" w:cs="Times New Roman" w:eastAsia="Times New Roman" w:hAnsi="Times New Roman"/>
          <w:sz w:val="18"/>
          <w:szCs w:val="18"/>
          <w:color w:val="auto"/>
        </w:rPr>
      </w:pPr>
    </w:p>
    <w:p>
      <w:pPr>
        <w:ind w:left="1640" w:hanging="910"/>
        <w:spacing w:after="0"/>
        <w:tabs>
          <w:tab w:leader="none" w:pos="164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p>
    <w:p>
      <w:pPr>
        <w:spacing w:after="0" w:line="216" w:lineRule="exact"/>
        <w:rPr>
          <w:rFonts w:ascii="Times New Roman" w:cs="Times New Roman" w:eastAsia="Times New Roman" w:hAnsi="Times New Roman"/>
          <w:sz w:val="18"/>
          <w:szCs w:val="18"/>
          <w:color w:val="auto"/>
        </w:rPr>
      </w:pPr>
    </w:p>
    <w:p>
      <w:pPr>
        <w:jc w:val="both"/>
        <w:ind w:firstLine="2547"/>
        <w:spacing w:after="0" w:line="251" w:lineRule="auto"/>
        <w:tabs>
          <w:tab w:leader="none" w:pos="3391" w:val="left"/>
        </w:tabs>
        <w:numPr>
          <w:ilvl w:val="3"/>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closings on the Closing Date, are subject to the following conditions being met: (1) the accuracy in all material respects on the Closing Date of the representations and warranties of the Investor contained herein (unless as of a specific date therein in which case they shall be accurate as of such date), (2) all obligations, covenants and agreements of the Investor required to be performed at or prior to the Closing Date shall have been performed; and, (3) the delivery by the Investor of the items set forth in Section 1(b)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282575</wp:posOffset>
            </wp:positionV>
            <wp:extent cx="71348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115" w:name="page116"/>
    <w:bookmarkEnd w:id="115"/>
    <w:p>
      <w:pPr>
        <w:jc w:val="both"/>
        <w:ind w:left="-85" w:firstLine="2547"/>
        <w:spacing w:after="0" w:line="249" w:lineRule="auto"/>
        <w:tabs>
          <w:tab w:leader="none" w:pos="322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Investor hereunder in connection with the closings on the Closing Date are subject to the following conditions being met: (1) the accuracy in all material respects on the Closing Date of the representations and warranties of the Company contained herein (unless as of a specific date therein in which case they shall be accurate as of such date), (2) the delivery by the Company of the items set forth in Section 1(b) of this Agreement; (3) the Company shall have obtained all governmental, regulatory or third-party consents and approvals, if any, necessary for the issuance of the Securities, including without limitation, those required by the OTCQB, if any, (4) the Company shall have received notice from Nasdaq that the Company has met all the applicable requirements for the listing of its Ordinary Shares on the Nasdaq Capital Market, (5) the article of incorporation shall have been amended to introduce the Preferred Shares in the capital of the Company, and (6) the Investor shall have received evidence of the approval of the Board in a form satisfactory to the Investor for the transactions contemplated hereby.</w:t>
      </w:r>
    </w:p>
    <w:p>
      <w:pPr>
        <w:spacing w:after="0" w:line="185" w:lineRule="exact"/>
        <w:rPr>
          <w:rFonts w:ascii="Times New Roman" w:cs="Times New Roman" w:eastAsia="Times New Roman" w:hAnsi="Times New Roman"/>
          <w:sz w:val="18"/>
          <w:szCs w:val="18"/>
          <w:color w:val="auto"/>
        </w:rPr>
      </w:pPr>
    </w:p>
    <w:p>
      <w:pPr>
        <w:ind w:left="635" w:hanging="635"/>
        <w:spacing w:after="0"/>
        <w:tabs>
          <w:tab w:leader="none" w:pos="635"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INVESTOR’S REPRESENTATIONS AND WARRANTIES.</w:t>
      </w:r>
    </w:p>
    <w:p>
      <w:pPr>
        <w:spacing w:after="0" w:line="219" w:lineRule="exact"/>
        <w:rPr>
          <w:sz w:val="20"/>
          <w:szCs w:val="20"/>
          <w:color w:val="auto"/>
        </w:rPr>
      </w:pPr>
    </w:p>
    <w:p>
      <w:pPr>
        <w:ind w:left="555"/>
        <w:spacing w:after="0"/>
        <w:rPr>
          <w:sz w:val="20"/>
          <w:szCs w:val="20"/>
          <w:color w:val="auto"/>
        </w:rPr>
      </w:pPr>
      <w:r>
        <w:rPr>
          <w:rFonts w:ascii="Times New Roman" w:cs="Times New Roman" w:eastAsia="Times New Roman" w:hAnsi="Times New Roman"/>
          <w:sz w:val="18"/>
          <w:szCs w:val="18"/>
          <w:color w:val="auto"/>
        </w:rPr>
        <w:t>The Investor hereby represents and warrants to the Company that, as of the date hereof and as of the Closing Date:</w:t>
      </w:r>
    </w:p>
    <w:p>
      <w:pPr>
        <w:spacing w:after="0" w:line="217" w:lineRule="exact"/>
        <w:rPr>
          <w:sz w:val="20"/>
          <w:szCs w:val="20"/>
          <w:color w:val="auto"/>
        </w:rPr>
      </w:pPr>
    </w:p>
    <w:p>
      <w:pPr>
        <w:jc w:val="both"/>
        <w:ind w:left="-85" w:firstLine="721"/>
        <w:spacing w:after="0" w:line="249" w:lineRule="auto"/>
        <w:tabs>
          <w:tab w:leader="none" w:pos="14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xml:space="preserve"> The Investor is acquiring the Securities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Securities for any minimum or other specific term and reserves the right to dispose of the Securities at any time in accordance with, or pursuant to, a registration statement covering such Securities or an available exemption under the Securities Act. The Investor does not presently have any agreement or understanding, directly or indirectly, with any Person to distribute any of the Securities. “Person” means an individual, corporation, limited liability company, association, partnership, limited partnership, syndicate, person (including, without limitation, a “person” as defined in Section 13(d)(3) of the Exchange Act), trust, association, or other entity and any Governmental Entity (as defined below).</w:t>
      </w:r>
    </w:p>
    <w:p>
      <w:pPr>
        <w:spacing w:after="0" w:line="187" w:lineRule="exact"/>
        <w:rPr>
          <w:rFonts w:ascii="Times New Roman" w:cs="Times New Roman" w:eastAsia="Times New Roman" w:hAnsi="Times New Roman"/>
          <w:sz w:val="18"/>
          <w:szCs w:val="18"/>
          <w:color w:val="auto"/>
        </w:rPr>
      </w:pPr>
    </w:p>
    <w:p>
      <w:pPr>
        <w:ind w:left="1895" w:hanging="1250"/>
        <w:spacing w:after="0"/>
        <w:tabs>
          <w:tab w:leader="none" w:pos="18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The Investor is an institutional “Accredited Investor” as that term is defined in Rule 501(a)(3) of</w:t>
      </w:r>
    </w:p>
    <w:p>
      <w:pPr>
        <w:spacing w:after="0" w:line="22" w:lineRule="exact"/>
        <w:rPr>
          <w:rFonts w:ascii="Times New Roman" w:cs="Times New Roman" w:eastAsia="Times New Roman" w:hAnsi="Times New Roman"/>
          <w:sz w:val="18"/>
          <w:szCs w:val="18"/>
          <w:color w:val="auto"/>
        </w:rPr>
      </w:pPr>
    </w:p>
    <w:p>
      <w:pPr>
        <w:ind w:left="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D.</w:t>
      </w:r>
    </w:p>
    <w:p>
      <w:pPr>
        <w:spacing w:after="0" w:line="199" w:lineRule="exact"/>
        <w:rPr>
          <w:rFonts w:ascii="Times New Roman" w:cs="Times New Roman" w:eastAsia="Times New Roman" w:hAnsi="Times New Roman"/>
          <w:sz w:val="18"/>
          <w:szCs w:val="18"/>
          <w:color w:val="auto"/>
        </w:rPr>
      </w:pPr>
    </w:p>
    <w:p>
      <w:pPr>
        <w:jc w:val="both"/>
        <w:ind w:left="15" w:right="100" w:firstLine="630"/>
        <w:spacing w:after="0" w:line="251" w:lineRule="auto"/>
        <w:tabs>
          <w:tab w:leader="none" w:pos="19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Investor understands that the Securities are being offered and sold to it in reliance on specific exemptions from the registration requirements of United States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 pursuant to applicable United States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282575</wp:posOffset>
            </wp:positionV>
            <wp:extent cx="71348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155"/>
          </w:cols>
          <w:pgMar w:left="405" w:top="465" w:right="339" w:bottom="1440" w:gutter="0" w:footer="0" w:header="0"/>
        </w:sectPr>
      </w:pPr>
    </w:p>
    <w:bookmarkStart w:id="116" w:name="page117"/>
    <w:bookmarkEnd w:id="116"/>
    <w:p>
      <w:pPr>
        <w:jc w:val="both"/>
        <w:ind w:left="-540" w:firstLine="630"/>
        <w:spacing w:after="0" w:line="249" w:lineRule="auto"/>
        <w:tabs>
          <w:tab w:leader="none" w:pos="115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Investor and its advisors (and its counsel), if any, have been furnished with all materials relating to the business, finances and operations of the Company and information the Investor deemed material to making an informed investment decision regarding its purchase of the Securities, which have been requested by the Investor. The Investor and its advisors, if any, have been afforded the opportunity to ask questions of the Company and its management. Neither such inquiries nor any other due diligence investigations conducted by the Investor or its advisors, if any, or its representatives shall modify, amend or affect the Investor’s right to rely on the Company’s representations and warranties contained in Section 3 below. The Investor understands that its investment in the Securities involves a high degree of risk. The Investor has sought such accounting, legal and tax advice, as it has considered necessary to make an informed investment decision with respect to its acquisition of the Securities.</w:t>
      </w:r>
    </w:p>
    <w:p>
      <w:pPr>
        <w:spacing w:after="0" w:line="190" w:lineRule="exact"/>
        <w:rPr>
          <w:rFonts w:ascii="Times New Roman" w:cs="Times New Roman" w:eastAsia="Times New Roman" w:hAnsi="Times New Roman"/>
          <w:sz w:val="18"/>
          <w:szCs w:val="18"/>
          <w:color w:val="auto"/>
        </w:rPr>
      </w:pPr>
    </w:p>
    <w:p>
      <w:pPr>
        <w:jc w:val="both"/>
        <w:ind w:left="-540" w:firstLine="630"/>
        <w:spacing w:after="0" w:line="248" w:lineRule="auto"/>
        <w:tabs>
          <w:tab w:leader="none" w:pos="12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or Resale</w:t>
      </w:r>
      <w:r>
        <w:rPr>
          <w:rFonts w:ascii="Times New Roman" w:cs="Times New Roman" w:eastAsia="Times New Roman" w:hAnsi="Times New Roman"/>
          <w:sz w:val="18"/>
          <w:szCs w:val="18"/>
          <w:color w:val="auto"/>
        </w:rPr>
        <w:t>. The Investor understands that: (i) the Securities have not been registered under the Securities Act or any state securities laws, and may not be offered for sale, sold, assigned or transferred unless (A) subsequently registered thereunder, (B) the Investor shall have delivered to the Company an opinion of counsel, in a generally acceptable form, to the effect that such Securities to be sold, assigned or transferred may be sold, assigned or transferred pursuant to an exemption from such registration requirements, or (C) the Investor provides the Company with reasonable assurances (in the form of seller and broker representation letters) and a legal opinion under Section 2(e)(i)(B) that such Securities can be sold, assigned or transferred pursuant to Rule 144 promulgated under the Securities Act, as amended (or a successor rule thereto) (collectively,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in each case following the applicable holding period set forth therein;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spacing w:after="0" w:line="190" w:lineRule="exact"/>
        <w:rPr>
          <w:rFonts w:ascii="Times New Roman" w:cs="Times New Roman" w:eastAsia="Times New Roman" w:hAnsi="Times New Roman"/>
          <w:sz w:val="18"/>
          <w:szCs w:val="18"/>
          <w:color w:val="auto"/>
        </w:rPr>
      </w:pPr>
    </w:p>
    <w:p>
      <w:pPr>
        <w:ind w:left="-540" w:right="20" w:firstLine="630"/>
        <w:spacing w:after="0" w:line="271" w:lineRule="auto"/>
        <w:tabs>
          <w:tab w:leader="none" w:pos="102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Investor agrees to the imprinting, so long as it is required by this Section 2(f), of a restrictive legend on the Securities in substantially the following form:</w:t>
      </w:r>
    </w:p>
    <w:p>
      <w:pPr>
        <w:spacing w:after="0" w:line="168" w:lineRule="exact"/>
        <w:rPr>
          <w:sz w:val="20"/>
          <w:szCs w:val="20"/>
          <w:color w:val="auto"/>
        </w:rPr>
      </w:pPr>
    </w:p>
    <w:p>
      <w:pPr>
        <w:jc w:val="both"/>
        <w:ind w:right="540"/>
        <w:spacing w:after="0" w:line="265" w:lineRule="auto"/>
        <w:rPr>
          <w:sz w:val="20"/>
          <w:szCs w:val="20"/>
          <w:color w:val="auto"/>
        </w:rPr>
      </w:pPr>
      <w:r>
        <w:rPr>
          <w:rFonts w:ascii="Times New Roman" w:cs="Times New Roman" w:eastAsia="Times New Roman" w:hAnsi="Times New Roman"/>
          <w:sz w:val="17"/>
          <w:szCs w:val="17"/>
          <w:color w:val="auto"/>
        </w:rPr>
        <w:t>THE SECURITIES FOR WHICH THIS CERTIFICATE HAS BEEN ISSUED AND THOSE SECURITIES INTO WHICH THEY ARE CONVERTIBLE, IF APPLICABLE, HAVE NOT BEEN REGISTERED UNDER THE SECURITIES ACT OF 1933, AS AMENDED, OR APPLICABLE STATE SECURITIES LAWS. THE SECURITIES AND THOSE SECURITIES INTO WHICH THEY ARE CONVERTIBLE, IF APPLICABLE,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276860</wp:posOffset>
            </wp:positionV>
            <wp:extent cx="71348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500"/>
          </w:cols>
          <w:pgMar w:left="960" w:top="465" w:right="439" w:bottom="1440" w:gutter="0" w:footer="0" w:header="0"/>
        </w:sectPr>
      </w:pPr>
    </w:p>
    <w:bookmarkStart w:id="117" w:name="page118"/>
    <w:bookmarkEnd w:id="117"/>
    <w:p>
      <w:pPr>
        <w:jc w:val="both"/>
        <w:spacing w:after="0" w:line="249" w:lineRule="auto"/>
        <w:rPr>
          <w:sz w:val="20"/>
          <w:szCs w:val="20"/>
          <w:color w:val="auto"/>
        </w:rPr>
      </w:pPr>
      <w:r>
        <w:rPr>
          <w:rFonts w:ascii="Times New Roman" w:cs="Times New Roman" w:eastAsia="Times New Roman" w:hAnsi="Times New Roman"/>
          <w:sz w:val="18"/>
          <w:szCs w:val="18"/>
          <w:color w:val="auto"/>
        </w:rPr>
        <w:t>Certificates for the Conversion Shares shall not contain any legend (including the legend set forth above), (i) while a registration statement covering the resale of such Conversion Shares is effective under the Securities Act, (ii) following any sale of such Conversion Shares pursuant to Rule 144, (iii) if such Conversion Shares are eligible for sale under Rule 144, or (iv) if such legend is not required under applicable requirements of the Securities Act (including judicial interpretations and pronouncements issued by the staff of the SEC). The Investor agrees that the removal of the restrictive legend from certificates for Securities as set forth in this Section 3(f) is predicated upon the Company’s reliance that the Investor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191" w:lineRule="exact"/>
        <w:rPr>
          <w:sz w:val="20"/>
          <w:szCs w:val="20"/>
          <w:color w:val="auto"/>
        </w:rPr>
      </w:pPr>
    </w:p>
    <w:p>
      <w:pPr>
        <w:jc w:val="both"/>
        <w:ind w:left="100" w:right="100" w:firstLine="630"/>
        <w:spacing w:after="0" w:line="258" w:lineRule="auto"/>
        <w:tabs>
          <w:tab w:leader="none" w:pos="19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Investor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79" w:lineRule="exact"/>
        <w:rPr>
          <w:rFonts w:ascii="Times New Roman" w:cs="Times New Roman" w:eastAsia="Times New Roman" w:hAnsi="Times New Roman"/>
          <w:sz w:val="18"/>
          <w:szCs w:val="18"/>
          <w:color w:val="auto"/>
        </w:rPr>
      </w:pPr>
    </w:p>
    <w:p>
      <w:pPr>
        <w:jc w:val="both"/>
        <w:ind w:left="100" w:right="100" w:firstLine="630"/>
        <w:spacing w:after="0" w:line="254" w:lineRule="auto"/>
        <w:tabs>
          <w:tab w:leader="none" w:pos="17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This Agreement has been duly and validly authorized, executed and delivered on behalf of the Investor and shall constitute the legal, valid and binding obligations of the Investor enforceable against the Investor in accordance with its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82" w:lineRule="exact"/>
        <w:rPr>
          <w:rFonts w:ascii="Times New Roman" w:cs="Times New Roman" w:eastAsia="Times New Roman" w:hAnsi="Times New Roman"/>
          <w:sz w:val="18"/>
          <w:szCs w:val="18"/>
          <w:color w:val="auto"/>
        </w:rPr>
      </w:pPr>
    </w:p>
    <w:p>
      <w:pPr>
        <w:jc w:val="both"/>
        <w:ind w:left="100" w:right="100" w:firstLine="630"/>
        <w:spacing w:after="0" w:line="249" w:lineRule="auto"/>
        <w:tabs>
          <w:tab w:leader="none" w:pos="17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Investor of this Agreement and the consummation by the Investor of the transactions contemplated hereby will not (i) result in a violation of the organizational documents of the Investor, (ii) conflict with, or constitute a default (or an event which with notice or lapse of time or both would become a default) under, or give to others any rights of termination, amendment, acceleration or cancellation of, any agreement, indenture or instrument to which the Investor is a party or (iii) result in a violation of any law, rule, regulation, order, judgment or decree (including federal and state securities laws) applicable to the Investor, except, in the case of clauses (ii) and (iii) above, for such conflicts, defaults, rights or violations which could not, individually or in the aggregate, reasonably be expected to have a material adverse effect on the ability of the Investor to perform its obligations hereunder.</w:t>
      </w:r>
    </w:p>
    <w:p>
      <w:pPr>
        <w:spacing w:after="0" w:line="190" w:lineRule="exact"/>
        <w:rPr>
          <w:rFonts w:ascii="Times New Roman" w:cs="Times New Roman" w:eastAsia="Times New Roman" w:hAnsi="Times New Roman"/>
          <w:sz w:val="18"/>
          <w:szCs w:val="18"/>
          <w:color w:val="auto"/>
        </w:rPr>
      </w:pPr>
    </w:p>
    <w:p>
      <w:pPr>
        <w:jc w:val="both"/>
        <w:ind w:left="100" w:right="100" w:firstLine="630"/>
        <w:spacing w:after="0" w:line="258" w:lineRule="auto"/>
        <w:tabs>
          <w:tab w:leader="none" w:pos="19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The Investor understands that no United States federal or state agency or any other government or governmental agency has passed on or made any recommendation or endorsement in connection with the Exchange or the fairness or suitability of the investment in the Securities nor have such authorities passed upon or endorsed the merits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276860</wp:posOffset>
            </wp:positionV>
            <wp:extent cx="71348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bookmarkStart w:id="118" w:name="page119"/>
    <w:bookmarkEnd w:id="118"/>
    <w:p>
      <w:pPr>
        <w:jc w:val="both"/>
        <w:ind w:left="15" w:firstLine="630"/>
        <w:spacing w:after="0" w:line="258" w:lineRule="auto"/>
        <w:tabs>
          <w:tab w:leader="none" w:pos="172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The Investor acknowledges that the Company has made no representation regarding the potential or actual tax consequences for the Investor which will result from entering into the Agreement and from consummation of the Exchange. The Investor acknowledges that it bears complete responsibility for obtaining adequate tax advice regarding the Agreement and the Exchange.</w:t>
      </w:r>
    </w:p>
    <w:p>
      <w:pPr>
        <w:spacing w:after="0" w:line="179" w:lineRule="exact"/>
        <w:rPr>
          <w:rFonts w:ascii="Times New Roman" w:cs="Times New Roman" w:eastAsia="Times New Roman" w:hAnsi="Times New Roman"/>
          <w:sz w:val="18"/>
          <w:szCs w:val="18"/>
          <w:color w:val="auto"/>
        </w:rPr>
      </w:pPr>
    </w:p>
    <w:p>
      <w:pPr>
        <w:jc w:val="both"/>
        <w:ind w:left="15" w:firstLine="630"/>
        <w:spacing w:after="0" w:line="258" w:lineRule="auto"/>
        <w:tabs>
          <w:tab w:leader="none" w:pos="172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Investor is not (i) an officer or director of the Company or any of its Subsidiaries (as defined herein), (ii) an “affiliate” (as defined in Rule 144) of the Company or any of its Subsidiaries or (iii) a “beneficial owner” of more than 10% of the Ordinary Shares (as defined for purposes of Rule 13d-3 of the Securities Exchange Act of 1934, as amended (the “Exchange Act”)).</w:t>
      </w:r>
    </w:p>
    <w:p>
      <w:pPr>
        <w:spacing w:after="0" w:line="179" w:lineRule="exact"/>
        <w:rPr>
          <w:rFonts w:ascii="Times New Roman" w:cs="Times New Roman" w:eastAsia="Times New Roman" w:hAnsi="Times New Roman"/>
          <w:sz w:val="18"/>
          <w:szCs w:val="18"/>
          <w:color w:val="auto"/>
        </w:rPr>
      </w:pPr>
    </w:p>
    <w:p>
      <w:pPr>
        <w:jc w:val="both"/>
        <w:ind w:left="15" w:firstLine="630"/>
        <w:spacing w:after="0" w:line="258" w:lineRule="auto"/>
        <w:tabs>
          <w:tab w:leader="none" w:pos="158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Encumbrances or Rights</w:t>
      </w:r>
      <w:r>
        <w:rPr>
          <w:rFonts w:ascii="Times New Roman" w:cs="Times New Roman" w:eastAsia="Times New Roman" w:hAnsi="Times New Roman"/>
          <w:sz w:val="18"/>
          <w:szCs w:val="18"/>
          <w:color w:val="auto"/>
        </w:rPr>
        <w:t>. The Investor is the legal and beneficial owner of the 2022 Debentures and the 2024 Debenture, and has continuously held such securities since their issuance. The 2022 Debentures and the 2024 Debentures are free from all preemptive or similar rights, mortgages, defects, claims, liens, pledges, charges, taxes, rights of first refusal, encumbrances, security interests and other encumbrances.</w:t>
      </w:r>
    </w:p>
    <w:p>
      <w:pPr>
        <w:spacing w:after="0" w:line="179" w:lineRule="exact"/>
        <w:rPr>
          <w:rFonts w:ascii="Times New Roman" w:cs="Times New Roman" w:eastAsia="Times New Roman" w:hAnsi="Times New Roman"/>
          <w:sz w:val="18"/>
          <w:szCs w:val="18"/>
          <w:color w:val="auto"/>
        </w:rPr>
      </w:pPr>
    </w:p>
    <w:p>
      <w:pPr>
        <w:jc w:val="both"/>
        <w:ind w:left="15" w:firstLine="630"/>
        <w:spacing w:after="0" w:line="251" w:lineRule="auto"/>
        <w:tabs>
          <w:tab w:leader="none" w:pos="177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The Investor has not directly or indirectly, nor has any Person acting on behalf of or pursuant to any understanding with the Investor, engaged in any transactions in the securities of the Company (including, without limitation, any Short Sales (as defined below) involving the Company's securities) during the period commencing as of the time that the Investor first contacted the Company or the Company's agents regarding the specific investment in the Company contemplated by this Agreement and ending immediately prior to the execution of this Agreement by the Investor.</w:t>
      </w:r>
    </w:p>
    <w:p>
      <w:pPr>
        <w:spacing w:after="0" w:line="186" w:lineRule="exact"/>
        <w:rPr>
          <w:rFonts w:ascii="Times New Roman" w:cs="Times New Roman" w:eastAsia="Times New Roman" w:hAnsi="Times New Roman"/>
          <w:sz w:val="18"/>
          <w:szCs w:val="18"/>
          <w:color w:val="auto"/>
        </w:rPr>
      </w:pPr>
    </w:p>
    <w:p>
      <w:pPr>
        <w:ind w:left="635" w:hanging="635"/>
        <w:spacing w:after="0"/>
        <w:tabs>
          <w:tab w:leader="none" w:pos="635"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19" w:lineRule="exact"/>
        <w:rPr>
          <w:sz w:val="20"/>
          <w:szCs w:val="20"/>
          <w:color w:val="auto"/>
        </w:rPr>
      </w:pPr>
    </w:p>
    <w:p>
      <w:pPr>
        <w:ind w:left="555"/>
        <w:spacing w:after="0"/>
        <w:rPr>
          <w:sz w:val="20"/>
          <w:szCs w:val="20"/>
          <w:color w:val="auto"/>
        </w:rPr>
      </w:pPr>
      <w:r>
        <w:rPr>
          <w:rFonts w:ascii="Times New Roman" w:cs="Times New Roman" w:eastAsia="Times New Roman" w:hAnsi="Times New Roman"/>
          <w:sz w:val="18"/>
          <w:szCs w:val="18"/>
          <w:color w:val="auto"/>
        </w:rPr>
        <w:t>The Company hereby makes the representations and warranties set forth below to the Investor:</w:t>
      </w:r>
    </w:p>
    <w:p>
      <w:pPr>
        <w:spacing w:after="0" w:line="217" w:lineRule="exact"/>
        <w:rPr>
          <w:sz w:val="20"/>
          <w:szCs w:val="20"/>
          <w:color w:val="auto"/>
        </w:rPr>
      </w:pPr>
    </w:p>
    <w:p>
      <w:pPr>
        <w:jc w:val="both"/>
        <w:ind w:left="15" w:firstLine="630"/>
        <w:spacing w:after="0" w:line="247" w:lineRule="auto"/>
        <w:tabs>
          <w:tab w:leader="none" w:pos="16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are entities duly formed, validly existing and, except as disclosed in the SEC Documents (as defined herein), in good standing (to the extent good standing is a known concept in the applicable jurisdiction) under the laws of the jurisdiction in which they are formed, and have the requisite power and authority to own their properties and to carry on their business as now being conducted and as presently proposed to be conducted. The Company and each of its Subsidiaries is duly qualified as a foreign entity to do business and is in good standing (to the extent good standing is a known concept in the applicable jurisdiction)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means any material adverse effect on (i) the business, properties, assets, liabilities, operations (including results thereof) or condition (financial or otherwise) of the Company and its Subsidiaries, taken as a whole, (ii) the transactions contemplated hereby or in any of the other Transaction Documents or any other agreements or instruments to be entered into by the Company in connection herewith or therewith or (iii) the authority or ability of the Company to perform any of its obligations under any of the Transaction Documents (as defined below).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any Person in which the Company, directly or indirectly, owns a majority of the outstanding capital stock having voting power or holds a majority of the equity or similar interest of such Person, and each of the foregoing, is individually referred to herein as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287020</wp:posOffset>
            </wp:positionV>
            <wp:extent cx="71348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055"/>
          </w:cols>
          <w:pgMar w:left="405" w:top="465" w:right="439" w:bottom="1440" w:gutter="0" w:footer="0" w:header="0"/>
        </w:sectPr>
      </w:pPr>
    </w:p>
    <w:bookmarkStart w:id="119" w:name="page120"/>
    <w:bookmarkEnd w:id="119"/>
    <w:p>
      <w:pPr>
        <w:jc w:val="both"/>
        <w:ind w:left="-630" w:firstLine="630"/>
        <w:spacing w:after="0" w:line="247" w:lineRule="auto"/>
        <w:tabs>
          <w:tab w:leader="none" w:pos="105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power and authority to enter into and perform its obligations under this Agreement and any other Transaction Documents and to issue the Preferred Shares in accordance with the terms hereof and thereof. The execution and delivery of this Agreement and any other Transaction Documents by the Company and the consummation by the Company of the transactions contemplated hereby and thereby (including, without limitation, the issuance of the Preferred Shares and the reservation for issuance and issuance of the Conversion Shares issuable upon conversion of the Preferred Shares), have been duly authorized by the Board and the Company’s supervisory board (the “</w:t>
      </w:r>
      <w:r>
        <w:rPr>
          <w:rFonts w:ascii="Times New Roman" w:cs="Times New Roman" w:eastAsia="Times New Roman" w:hAnsi="Times New Roman"/>
          <w:sz w:val="18"/>
          <w:szCs w:val="18"/>
          <w:u w:val="single" w:color="auto"/>
          <w:color w:val="auto"/>
        </w:rPr>
        <w:t>Supervisory Board</w:t>
      </w:r>
      <w:r>
        <w:rPr>
          <w:rFonts w:ascii="Times New Roman" w:cs="Times New Roman" w:eastAsia="Times New Roman" w:hAnsi="Times New Roman"/>
          <w:sz w:val="18"/>
          <w:szCs w:val="18"/>
          <w:color w:val="auto"/>
        </w:rPr>
        <w:t>”) and no further filing, consent or authorization is required by the Company, the Board, the Supervisory Board, the Company’s general meeting of shareholders or any Governmental Entity (as defined below). This Agreement has been, and any other Transaction Documents to which the Company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Registration Rights Agreement, and any other agreements and instruments entered into by the Company and the Investor or delivered by the Company in connection with the transactions contemplated hereby, as may be amended from time to time.</w:t>
      </w:r>
    </w:p>
    <w:p>
      <w:pPr>
        <w:spacing w:after="0" w:line="194" w:lineRule="exact"/>
        <w:rPr>
          <w:rFonts w:ascii="Times New Roman" w:cs="Times New Roman" w:eastAsia="Times New Roman" w:hAnsi="Times New Roman"/>
          <w:sz w:val="18"/>
          <w:szCs w:val="18"/>
          <w:color w:val="auto"/>
        </w:rPr>
      </w:pPr>
    </w:p>
    <w:p>
      <w:pPr>
        <w:jc w:val="both"/>
        <w:ind w:left="-630" w:firstLine="630"/>
        <w:spacing w:after="0" w:line="264" w:lineRule="auto"/>
        <w:tabs>
          <w:tab w:leader="none" w:pos="973"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Securities</w:t>
      </w:r>
      <w:r>
        <w:rPr>
          <w:rFonts w:ascii="Times New Roman" w:cs="Times New Roman" w:eastAsia="Times New Roman" w:hAnsi="Times New Roman"/>
          <w:sz w:val="17"/>
          <w:szCs w:val="17"/>
          <w:color w:val="auto"/>
        </w:rPr>
        <w:t xml:space="preserve">. The issuance of the Preferred Shares has been duly authorized and, upon issuance and payment in accordance with the terms of the Transaction Documents the Preferred Shares shall be validly issued, fully paid and nonassessable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meaning that the holders of the Preferred Shares will not by reason of merely being such a holder, be subject to assessment or calls by the Company or its creditors for further payment on such Securities)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with respect to the issuance thereof. On the Closing Date, the articles of association of the Company will be amended to introduce Preferred Shares in the capital of the Company. Pursuant to those amended articles of association, each Preferred Share is convertible into 30,000 Ordinary Shares. Upon conversion of the Preferred Shares in accordance with their terms, the Conversion Shares, will be validly issued, fully paid and nonassessable (meaning that the holders of the Conversion Shares will not by reason of merely being such a holder, be subject to assessment or calls by the Company or its creditors for further payment on such Conversion Shares) and free from all preemptive or similar rights or Liens with respect to the issue thereof, with the holders being entitled to all rights accorded to a holder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276860</wp:posOffset>
            </wp:positionV>
            <wp:extent cx="71348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410"/>
          </w:cols>
          <w:pgMar w:left="1050" w:top="465" w:right="439" w:bottom="1440" w:gutter="0" w:footer="0" w:header="0"/>
        </w:sectPr>
      </w:pPr>
    </w:p>
    <w:bookmarkStart w:id="120" w:name="page121"/>
    <w:bookmarkEnd w:id="120"/>
    <w:p>
      <w:pPr>
        <w:jc w:val="both"/>
        <w:ind w:left="-630" w:firstLine="630"/>
        <w:spacing w:after="0" w:line="248" w:lineRule="auto"/>
        <w:tabs>
          <w:tab w:leader="none" w:pos="9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Preferred Shares, the Conversion Shares, and the reservation for issuance of the Conversion Shares from the Company’s authorized share capital) will not (i) result in a violation of the Company’s articles of association, or other organizational documents of the Company, or any capital stock or other securities of the Company (ii) conflict with, or constitute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U.S. federal and state securities laws and regulations, the securities laws of the jurisdictions of the Company's incorporation or in which it or its Subsidiaries operate and the rules and regulations of the OTCQB and including all applicable laws, rules and regulations of the country of incorporation of the Company) applicable to the Company or any of its Subsidiaries or by which any property or asset of the Company or any of its Subsidiaries is bound or affected, except in the case of (ii) and (iii) for any conflict, default, right or violation that would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jc w:val="both"/>
        <w:ind w:left="-630" w:firstLine="630"/>
        <w:spacing w:after="0" w:line="247" w:lineRule="auto"/>
        <w:tabs>
          <w:tab w:leader="none" w:pos="12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is not required to obtain any material consent from, authorization or order of, or make any filing or registration with (other than any filings as may be required by any federal or state securities agencies and any filings as may be required by the OTCQB), any Governmental Entity (as defined below) or any regulatory or self regulatory agency or any other Person in order for it to execute, deliver or perform any of its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each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OTCQB and has no knowledge of any facts or circumstances which could reasonably lead to delisting or suspension of the Ordinary Shares in the foreseeable future. The issuance of all of the Securities hereunder does not require obtaining the approval of the OTCQB, the stockholders of the Company or any other Person or Governmental Entity. “Governmental Entity”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285115</wp:posOffset>
            </wp:positionV>
            <wp:extent cx="71348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410"/>
          </w:cols>
          <w:pgMar w:left="1050" w:top="465" w:right="439" w:bottom="1440" w:gutter="0" w:footer="0" w:header="0"/>
        </w:sectPr>
      </w:pPr>
    </w:p>
    <w:bookmarkStart w:id="121" w:name="page122"/>
    <w:bookmarkEnd w:id="121"/>
    <w:p>
      <w:pPr>
        <w:jc w:val="both"/>
        <w:ind w:left="-630" w:firstLine="630"/>
        <w:spacing w:after="0" w:line="248" w:lineRule="auto"/>
        <w:tabs>
          <w:tab w:leader="none" w:pos="114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Investor's Purchase of Securities.</w:t>
      </w:r>
      <w:r>
        <w:rPr>
          <w:rFonts w:ascii="Times New Roman" w:cs="Times New Roman" w:eastAsia="Times New Roman" w:hAnsi="Times New Roman"/>
          <w:sz w:val="18"/>
          <w:szCs w:val="18"/>
          <w:color w:val="auto"/>
        </w:rPr>
        <w:t xml:space="preserve"> The Company acknowledges and agrees that the Investor is acting solely in the capacity of an arm's length purchaser with respect to the Transaction Documents and the transactions contemplated hereby and thereby and that the Investor is not (i) an officer or director of the Company or any of its Subsidiaries, (ii) to its knowledge, an "affiliate" (as defined in Rule 144) of the Company or any of its Subsidiaries or (iii) to its knowledge, a “beneficial owner” of more than 10% of the shares of Ordinary Shares (as defined for purposes of Rule 13d-3 of the 1934 Act). The Company further acknowledges that neither the Investor (nor any affiliate of the Investor) is acting as a financial advisor or fiduciary of the Company or any of its Subsidiaries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Securities. The Company further represents to the Investor that the Company's decision to enter into the Transaction Documents to which it is a party has been based solely on the independent evaluation by the Company and its representatives.</w:t>
      </w:r>
    </w:p>
    <w:p>
      <w:pPr>
        <w:spacing w:after="0" w:line="190" w:lineRule="exact"/>
        <w:rPr>
          <w:rFonts w:ascii="Times New Roman" w:cs="Times New Roman" w:eastAsia="Times New Roman" w:hAnsi="Times New Roman"/>
          <w:sz w:val="18"/>
          <w:szCs w:val="18"/>
          <w:color w:val="auto"/>
        </w:rPr>
      </w:pPr>
    </w:p>
    <w:p>
      <w:pPr>
        <w:jc w:val="both"/>
        <w:ind w:left="-630" w:firstLine="630"/>
        <w:spacing w:after="0" w:line="246" w:lineRule="auto"/>
        <w:tabs>
          <w:tab w:leader="none" w:pos="9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 Since December 31, 2023, the Company has filed all reports and other documents required to be filed by it with the SEC pursuant to the reporting requirements of the Exchange Act (all of the foregoing filed prior to the date hereof and all exhibits and appendices included therein and financial statements, notes and schedules thereto and documents incorporated by reference therein are hereinafter referred to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The Company has delivered or has made available to the Investor or their respective representatives true, correct and complete copies of each of the SEC Documents not available on the EDGAR system. To the best of the Company’s knowledge, as of their respective dates, the SEC Documents complied in all material respects with the requirements of the Exchange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To the best of the Company’s knowledge,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International Financial Reporting Standards (“IFRS”) as issued by the International Accounting Standards Board, consistently applied, during the periods involved (except, if applicable, (i) as may be otherwise indicated in such financial statements or the notes thereto, or (ii) in the case of unaudited interim statements, to the extent they may exclude footnotes or may be condensed or summary statements) and, to the best of the Company’s knowledge,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the Investor which is not included in the SEC Documents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nor is the Company currently aware of facts or circumstances which would require the Company to amend or restate any of the Financial Statements, in each case, in order for any of the Financials Statements to be in compliance with IFRS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290195</wp:posOffset>
            </wp:positionV>
            <wp:extent cx="71348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410"/>
          </w:cols>
          <w:pgMar w:left="1050" w:top="465" w:right="439" w:bottom="1440" w:gutter="0" w:footer="0" w:header="0"/>
        </w:sectPr>
      </w:pPr>
    </w:p>
    <w:bookmarkStart w:id="122" w:name="page123"/>
    <w:bookmarkEnd w:id="122"/>
    <w:p>
      <w:pPr>
        <w:jc w:val="both"/>
        <w:ind w:left="-630" w:firstLine="630"/>
        <w:spacing w:after="0" w:line="248" w:lineRule="auto"/>
        <w:tabs>
          <w:tab w:leader="none" w:pos="91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the date of the Company's most recent audited financial statements contained in its Form 20-F, and except as disclosed in the SEC Documents that have been filed after the date of such Form 20-F, there has been no Material Adverse Effect, nor any event or occurrence specifically affecting the Company or its Subsidiaries that would be reasonably expected to result in a Material Adverse Effect. Since the date of the Company's most recent audited financial statements contained in its Form 20-F, neither the Company nor any of its Subsidiaries has (i) declared or paid any dividends, (ii) sold any material assets, individually or in the aggregate, outside of the ordinary course of business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192" w:lineRule="exact"/>
        <w:rPr>
          <w:rFonts w:ascii="Times New Roman" w:cs="Times New Roman" w:eastAsia="Times New Roman" w:hAnsi="Times New Roman"/>
          <w:sz w:val="18"/>
          <w:szCs w:val="18"/>
          <w:color w:val="auto"/>
        </w:rPr>
      </w:pPr>
    </w:p>
    <w:p>
      <w:pPr>
        <w:jc w:val="both"/>
        <w:ind w:left="-630" w:firstLine="630"/>
        <w:spacing w:after="0" w:line="254" w:lineRule="auto"/>
        <w:tabs>
          <w:tab w:leader="none" w:pos="10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Events, Liabilities, Developments or Circumstances</w:t>
      </w:r>
      <w:r>
        <w:rPr>
          <w:rFonts w:ascii="Times New Roman" w:cs="Times New Roman" w:eastAsia="Times New Roman" w:hAnsi="Times New Roman"/>
          <w:sz w:val="18"/>
          <w:szCs w:val="18"/>
          <w:color w:val="auto"/>
        </w:rPr>
        <w:t>. No event, liability, development or circumstance has occurred or exists, or is reasonably expected to exist or occur specific to the Company, any of its Subsidiaries or any of their respective businesses, properties, liabilities, prospects, operations (including results thereof) or condition (financial or otherwise), that has not been publicly disclosed or disclosed with the Investor at an earlier moment in time and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278765</wp:posOffset>
            </wp:positionV>
            <wp:extent cx="71348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410"/>
          </w:cols>
          <w:pgMar w:left="1050" w:top="465" w:right="439" w:bottom="1440" w:gutter="0" w:footer="0" w:header="0"/>
        </w:sectPr>
      </w:pPr>
    </w:p>
    <w:bookmarkStart w:id="123" w:name="page124"/>
    <w:bookmarkEnd w:id="123"/>
    <w:p>
      <w:pPr>
        <w:jc w:val="both"/>
        <w:ind w:left="-630" w:firstLine="630"/>
        <w:spacing w:after="0" w:line="264" w:lineRule="auto"/>
        <w:tabs>
          <w:tab w:leader="none" w:pos="116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w:t>
      </w:r>
      <w:r>
        <w:rPr>
          <w:rFonts w:ascii="Times New Roman" w:cs="Times New Roman" w:eastAsia="Times New Roman" w:hAnsi="Times New Roman"/>
          <w:sz w:val="17"/>
          <w:szCs w:val="17"/>
          <w:color w:val="auto"/>
        </w:rPr>
        <w:t>. Neither the Company nor any of its Subsidiaries nor, to the knowledge of the Company, any director, officer, agent, employee, nor any other person acting for or on behalf of the Company or any of its Subsidiaries (individually and collectively, a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have violated the U.S. Foreign Corrupt Practices Act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7"/>
          <w:szCs w:val="17"/>
          <w:u w:val="single" w:color="auto"/>
          <w:color w:val="auto"/>
        </w:rPr>
        <w:t>Government Official</w:t>
      </w:r>
      <w:r>
        <w:rPr>
          <w:rFonts w:ascii="Times New Roman" w:cs="Times New Roman" w:eastAsia="Times New Roman" w:hAnsi="Times New Roman"/>
          <w:sz w:val="17"/>
          <w:szCs w:val="17"/>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in violation of applicable law, of: (i)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 (ii) assisting the Company or its Subsidiaries in obtaining or retaining business for or with, or directing business to, the Company or its Subsidiaries.</w:t>
      </w:r>
    </w:p>
    <w:p>
      <w:pPr>
        <w:spacing w:after="0" w:line="175" w:lineRule="exact"/>
        <w:rPr>
          <w:rFonts w:ascii="Times New Roman" w:cs="Times New Roman" w:eastAsia="Times New Roman" w:hAnsi="Times New Roman"/>
          <w:sz w:val="17"/>
          <w:szCs w:val="17"/>
          <w:color w:val="auto"/>
        </w:rPr>
      </w:pPr>
    </w:p>
    <w:p>
      <w:pPr>
        <w:ind w:left="910" w:hanging="910"/>
        <w:spacing w:after="0"/>
        <w:tabs>
          <w:tab w:leader="none" w:pos="91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Capitalization</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ind w:left="1690" w:hanging="1144"/>
        <w:spacing w:after="0"/>
        <w:tabs>
          <w:tab w:leader="none" w:pos="169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jc w:val="both"/>
        <w:ind w:left="10" w:firstLine="1171"/>
        <w:spacing w:after="0" w:line="273" w:lineRule="auto"/>
        <w:tabs>
          <w:tab w:leader="none" w:pos="2238" w:val="left"/>
        </w:tabs>
        <w:numPr>
          <w:ilvl w:val="2"/>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High Voting Shares</w:t>
      </w:r>
      <w:r>
        <w:rPr>
          <w:rFonts w:ascii="Times New Roman" w:cs="Times New Roman" w:eastAsia="Times New Roman" w:hAnsi="Times New Roman"/>
          <w:sz w:val="17"/>
          <w:szCs w:val="17"/>
          <w:color w:val="auto"/>
        </w:rPr>
        <w:t>” means (i) as of the date hereof, the Company's high voting shares, nominal value of one euro and fifty eurocents (EUR 1.50) per share that form part of the Company’s authorized and/or issued share capital from time to time, as applicable and (ii) after giving effect to a 1-for-75 reverse share split (the “</w:t>
      </w:r>
      <w:r>
        <w:rPr>
          <w:rFonts w:ascii="Times New Roman" w:cs="Times New Roman" w:eastAsia="Times New Roman" w:hAnsi="Times New Roman"/>
          <w:sz w:val="17"/>
          <w:szCs w:val="17"/>
          <w:u w:val="single" w:color="auto"/>
          <w:color w:val="auto"/>
        </w:rPr>
        <w:t>Proposed Reverse Share Split</w:t>
      </w:r>
      <w:r>
        <w:rPr>
          <w:rFonts w:ascii="Times New Roman" w:cs="Times New Roman" w:eastAsia="Times New Roman" w:hAnsi="Times New Roman"/>
          <w:sz w:val="17"/>
          <w:szCs w:val="17"/>
          <w:color w:val="auto"/>
        </w:rPr>
        <w:t>”), the Company’s high voting shares, nominal value 25 eurocent (EUR 0.25) per share that form part of the Company’s authorized and/or issued share capital from time to time, as applicable.</w:t>
      </w:r>
    </w:p>
    <w:p>
      <w:pPr>
        <w:spacing w:after="0" w:line="169" w:lineRule="exact"/>
        <w:rPr>
          <w:rFonts w:ascii="Times New Roman" w:cs="Times New Roman" w:eastAsia="Times New Roman" w:hAnsi="Times New Roman"/>
          <w:sz w:val="17"/>
          <w:szCs w:val="17"/>
          <w:color w:val="auto"/>
        </w:rPr>
      </w:pPr>
    </w:p>
    <w:p>
      <w:pPr>
        <w:jc w:val="both"/>
        <w:ind w:left="10" w:firstLine="536"/>
        <w:spacing w:after="0" w:line="258" w:lineRule="auto"/>
        <w:tabs>
          <w:tab w:leader="none" w:pos="172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 Capital</w:t>
      </w:r>
      <w:r>
        <w:rPr>
          <w:rFonts w:ascii="Times New Roman" w:cs="Times New Roman" w:eastAsia="Times New Roman" w:hAnsi="Times New Roman"/>
          <w:sz w:val="18"/>
          <w:szCs w:val="18"/>
          <w:color w:val="auto"/>
        </w:rPr>
        <w:t>. As of the date hereof, the authorized share capital of the Company consists of (A) 320,000,000 Ordinary Shares, of which, 105,740,729 are issued and outstanding, (B) 4,000,000 High Voting Shares, of which 3,000,000 are issued and outstanding, and (C) zero Preferred Shares.</w:t>
      </w:r>
    </w:p>
    <w:p>
      <w:pPr>
        <w:spacing w:after="0" w:line="179" w:lineRule="exact"/>
        <w:rPr>
          <w:rFonts w:ascii="Times New Roman" w:cs="Times New Roman" w:eastAsia="Times New Roman" w:hAnsi="Times New Roman"/>
          <w:sz w:val="18"/>
          <w:szCs w:val="18"/>
          <w:color w:val="auto"/>
        </w:rPr>
      </w:pPr>
    </w:p>
    <w:p>
      <w:pPr>
        <w:jc w:val="both"/>
        <w:ind w:left="10" w:firstLine="536"/>
        <w:spacing w:after="0" w:line="258" w:lineRule="auto"/>
        <w:tabs>
          <w:tab w:leader="none" w:pos="161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Available Shares</w:t>
      </w:r>
      <w:r>
        <w:rPr>
          <w:rFonts w:ascii="Times New Roman" w:cs="Times New Roman" w:eastAsia="Times New Roman" w:hAnsi="Times New Roman"/>
          <w:sz w:val="18"/>
          <w:szCs w:val="18"/>
          <w:color w:val="auto"/>
        </w:rPr>
        <w:t>. All of such outstanding shares in the Company's capital are duly authorized and have been validly issued and are fully paid and non-assessable (meaning that the holders of those shares will not by reason of merely being such a holder, be subject to assessment or calls by the Company or its creditors for further payment on such shares).</w:t>
      </w:r>
    </w:p>
    <w:p>
      <w:pPr>
        <w:spacing w:after="0" w:line="179" w:lineRule="exact"/>
        <w:rPr>
          <w:rFonts w:ascii="Times New Roman" w:cs="Times New Roman" w:eastAsia="Times New Roman" w:hAnsi="Times New Roman"/>
          <w:sz w:val="18"/>
          <w:szCs w:val="18"/>
          <w:color w:val="auto"/>
        </w:rPr>
      </w:pPr>
    </w:p>
    <w:p>
      <w:pPr>
        <w:jc w:val="both"/>
        <w:ind w:left="10" w:firstLine="536"/>
        <w:spacing w:after="0" w:line="258" w:lineRule="auto"/>
        <w:tabs>
          <w:tab w:leader="none" w:pos="161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 Capital</w:t>
      </w:r>
      <w:r>
        <w:rPr>
          <w:rFonts w:ascii="Times New Roman" w:cs="Times New Roman" w:eastAsia="Times New Roman" w:hAnsi="Times New Roman"/>
          <w:sz w:val="18"/>
          <w:szCs w:val="18"/>
          <w:color w:val="auto"/>
        </w:rPr>
        <w:t>. After giving effect to the Proposed Reverse Share Split and the consummation of the transactions contemplated by this Agreement, the authorized share capital of the Company will consist of (A) 120,000,000 Ordinary Shares, (B) 50,000 High Voting Shares, and (C) 1,250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276860</wp:posOffset>
            </wp:positionV>
            <wp:extent cx="71348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410"/>
          </w:cols>
          <w:pgMar w:left="1050" w:top="465" w:right="439" w:bottom="1440" w:gutter="0" w:footer="0" w:header="0"/>
        </w:sectPr>
      </w:pPr>
    </w:p>
    <w:bookmarkStart w:id="124" w:name="page125"/>
    <w:bookmarkEnd w:id="124"/>
    <w:p>
      <w:pPr>
        <w:ind w:left="10" w:firstLine="536"/>
        <w:spacing w:after="0" w:line="271" w:lineRule="auto"/>
        <w:tabs>
          <w:tab w:leader="none" w:pos="185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The Company has furnished to the Investor or filed on EDGAR true, correct and complete copies of the Company's Articles of Association, as amended and as in effect on the date hereof (the “</w:t>
      </w:r>
      <w:r>
        <w:rPr>
          <w:rFonts w:ascii="Times New Roman" w:cs="Times New Roman" w:eastAsia="Times New Roman" w:hAnsi="Times New Roman"/>
          <w:sz w:val="18"/>
          <w:szCs w:val="18"/>
          <w:u w:val="single" w:color="auto"/>
          <w:color w:val="auto"/>
        </w:rPr>
        <w:t>Articles of Association</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jc w:val="both"/>
        <w:ind w:left="-630" w:firstLine="630"/>
        <w:spacing w:after="0" w:line="251" w:lineRule="auto"/>
        <w:tabs>
          <w:tab w:leader="none" w:pos="97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or any of its Subsidiaries.</w:t>
      </w:r>
    </w:p>
    <w:p>
      <w:pPr>
        <w:spacing w:after="0" w:line="188" w:lineRule="exact"/>
        <w:rPr>
          <w:rFonts w:ascii="Times New Roman" w:cs="Times New Roman" w:eastAsia="Times New Roman" w:hAnsi="Times New Roman"/>
          <w:sz w:val="18"/>
          <w:szCs w:val="18"/>
          <w:color w:val="auto"/>
        </w:rPr>
      </w:pPr>
    </w:p>
    <w:p>
      <w:pPr>
        <w:jc w:val="both"/>
        <w:ind w:left="-630" w:firstLine="630"/>
        <w:spacing w:after="0" w:line="248" w:lineRule="auto"/>
        <w:tabs>
          <w:tab w:leader="none" w:pos="100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Matters</w:t>
      </w:r>
      <w:r>
        <w:rPr>
          <w:rFonts w:ascii="Times New Roman" w:cs="Times New Roman" w:eastAsia="Times New Roman" w:hAnsi="Times New Roman"/>
          <w:sz w:val="18"/>
          <w:szCs w:val="18"/>
          <w:color w:val="auto"/>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Her Majesty’s Treasury, or other relevant sanctions authorities, including, without limitation, designation on OFAC’s Specially Designated Nationals and Blocked Persons List or OFAC’s Foreign Sanctions Evaders List or other relevant sanctions authority (collectively, “Sanctions”), or (ii) located, organized or resident in a country or territory that is the subject of Sanctions that broadly prohibit dealings with that country or territory (including, without limitation, the Crimea, Zaporizhzhia and Kherson regions of Ukraine, the Donetsk People’s Republic and Luhansk People’s Republic in Ukraine, Cuba, Iran, North Korea, Russia, Sudan and Syria (the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spacing w:after="0" w:line="190" w:lineRule="exact"/>
        <w:rPr>
          <w:rFonts w:ascii="Times New Roman" w:cs="Times New Roman" w:eastAsia="Times New Roman" w:hAnsi="Times New Roman"/>
          <w:sz w:val="18"/>
          <w:szCs w:val="18"/>
          <w:color w:val="auto"/>
        </w:rPr>
      </w:pPr>
    </w:p>
    <w:p>
      <w:pPr>
        <w:jc w:val="both"/>
        <w:ind w:left="-630" w:firstLine="630"/>
        <w:spacing w:after="0" w:line="258" w:lineRule="auto"/>
        <w:tabs>
          <w:tab w:leader="none" w:pos="91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in any form of general solicitation or general advertising (within the meaning of Regulation D under the Securities Act) in connection with the offer or sale of the Securities.</w:t>
      </w:r>
    </w:p>
    <w:p>
      <w:pPr>
        <w:spacing w:after="0" w:line="179" w:lineRule="exact"/>
        <w:rPr>
          <w:rFonts w:ascii="Times New Roman" w:cs="Times New Roman" w:eastAsia="Times New Roman" w:hAnsi="Times New Roman"/>
          <w:sz w:val="18"/>
          <w:szCs w:val="18"/>
          <w:color w:val="auto"/>
        </w:rPr>
      </w:pPr>
    </w:p>
    <w:p>
      <w:pPr>
        <w:jc w:val="both"/>
        <w:ind w:left="-630" w:firstLine="630"/>
        <w:spacing w:after="0" w:line="254" w:lineRule="auto"/>
        <w:tabs>
          <w:tab w:leader="none" w:pos="10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Exemptions</w:t>
      </w:r>
      <w:r>
        <w:rPr>
          <w:rFonts w:ascii="Times New Roman" w:cs="Times New Roman" w:eastAsia="Times New Roman" w:hAnsi="Times New Roman"/>
          <w:sz w:val="18"/>
          <w:szCs w:val="18"/>
          <w:color w:val="auto"/>
        </w:rPr>
        <w:t>. Assuming the accuracy of the representations and warranties of the Investor contained herein, the offer and issuance by the Company of the Securities is exempt from registration under the Securities Act. The Company covenants and represents to the Investor that neither the Company nor any of its Subsidiaries has received, anticipates receiving, has any agreement to receive or has been given any promise to receive any consideration from the Investor or any other Person in connection with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278765</wp:posOffset>
            </wp:positionV>
            <wp:extent cx="71348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410"/>
          </w:cols>
          <w:pgMar w:left="1050" w:top="465" w:right="439" w:bottom="1440" w:gutter="0" w:footer="0" w:header="0"/>
        </w:sectPr>
      </w:pPr>
    </w:p>
    <w:bookmarkStart w:id="125" w:name="page126"/>
    <w:bookmarkEnd w:id="125"/>
    <w:p>
      <w:pPr>
        <w:jc w:val="both"/>
        <w:ind w:left="94" w:right="100" w:firstLine="630"/>
        <w:spacing w:after="0" w:line="251" w:lineRule="auto"/>
        <w:tabs>
          <w:tab w:leader="none" w:pos="178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represents to, and agrees with, the Investor, that the Preferred Shares issued to the Investor hereunder are being acquired from the Company solely in exchange for the Investor’s 2022 Debentures and the Investor’s 2024 Debentures, and that full purchase price for the Investor’s initial acquisition of the applicable 2022 Debenture or 2024 Debenture was paid on the initial acquisition date set forth on Schedule 3(p) attached hereto corresponding to such debenture. The Company agrees that, except as may be required of it as a result of a change in the law or SEC regulations occurring after the date hereof, it will not assert anything to the contrary to this Section 3(p).</w:t>
      </w:r>
    </w:p>
    <w:p>
      <w:pPr>
        <w:spacing w:after="0" w:line="186" w:lineRule="exact"/>
        <w:rPr>
          <w:rFonts w:ascii="Times New Roman" w:cs="Times New Roman" w:eastAsia="Times New Roman" w:hAnsi="Times New Roman"/>
          <w:sz w:val="18"/>
          <w:szCs w:val="18"/>
          <w:color w:val="auto"/>
        </w:rPr>
      </w:pPr>
    </w:p>
    <w:p>
      <w:pPr>
        <w:ind w:left="634" w:hanging="634"/>
        <w:spacing w:after="0"/>
        <w:tabs>
          <w:tab w:leader="none" w:pos="634"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w:t>
      </w:r>
    </w:p>
    <w:p>
      <w:pPr>
        <w:spacing w:after="0" w:line="218" w:lineRule="exact"/>
        <w:rPr>
          <w:rFonts w:ascii="Times New Roman" w:cs="Times New Roman" w:eastAsia="Times New Roman" w:hAnsi="Times New Roman"/>
          <w:sz w:val="18"/>
          <w:szCs w:val="18"/>
          <w:b w:val="1"/>
          <w:bCs w:val="1"/>
          <w:color w:val="auto"/>
        </w:rPr>
      </w:pPr>
    </w:p>
    <w:p>
      <w:pPr>
        <w:jc w:val="both"/>
        <w:ind w:left="-6" w:firstLine="721"/>
        <w:spacing w:after="0" w:line="254" w:lineRule="auto"/>
        <w:tabs>
          <w:tab w:leader="none" w:pos="147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For the period beginning on the date hereof and ending 90 days following the date upon which the Investor has made its last conversion of Preferred Shares into Conversion Shares (the “</w:t>
      </w:r>
      <w:r>
        <w:rPr>
          <w:rFonts w:ascii="Times New Roman" w:cs="Times New Roman" w:eastAsia="Times New Roman" w:hAnsi="Times New Roman"/>
          <w:sz w:val="18"/>
          <w:szCs w:val="18"/>
          <w:u w:val="single" w:color="auto"/>
          <w:color w:val="auto"/>
        </w:rPr>
        <w:t>Reporting Period</w:t>
      </w:r>
      <w:r>
        <w:rPr>
          <w:rFonts w:ascii="Times New Roman" w:cs="Times New Roman" w:eastAsia="Times New Roman" w:hAnsi="Times New Roman"/>
          <w:sz w:val="18"/>
          <w:szCs w:val="18"/>
          <w:color w:val="auto"/>
        </w:rPr>
        <w:t>”), the Company shall use its best efforts file on a timely basis all reports required to be filed with the SEC pursuant to the Exchange Act, and the Company shall not terminate its status as an issuer required to file reports under the Exchange Act even if the Exchange Act or the rules and regulations thereunder would no longer require or otherwise permit such termination.</w:t>
      </w:r>
    </w:p>
    <w:p>
      <w:pPr>
        <w:spacing w:after="0" w:line="182" w:lineRule="exact"/>
        <w:rPr>
          <w:rFonts w:ascii="Times New Roman" w:cs="Times New Roman" w:eastAsia="Times New Roman" w:hAnsi="Times New Roman"/>
          <w:sz w:val="18"/>
          <w:szCs w:val="18"/>
          <w:color w:val="auto"/>
        </w:rPr>
      </w:pPr>
    </w:p>
    <w:p>
      <w:pPr>
        <w:jc w:val="both"/>
        <w:ind w:left="-6" w:firstLine="721"/>
        <w:spacing w:after="0" w:line="248" w:lineRule="auto"/>
        <w:tabs>
          <w:tab w:leader="none" w:pos="147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As soon as possible after the Closing Date, the Company shall secure the listing or designation for quotation (as the case may be) of its Ordinary Shares and all of the Conversion Shares upon the Nasdaq Capital Market (or such other national securities exchange or automated quotation system, if any, as may be agreed by the Investor, each an “</w:t>
      </w:r>
      <w:r>
        <w:rPr>
          <w:rFonts w:ascii="Times New Roman" w:cs="Times New Roman" w:eastAsia="Times New Roman" w:hAnsi="Times New Roman"/>
          <w:sz w:val="18"/>
          <w:szCs w:val="18"/>
          <w:u w:val="single" w:color="auto"/>
          <w:color w:val="auto"/>
        </w:rPr>
        <w:t>Eligible Market</w:t>
      </w:r>
      <w:r>
        <w:rPr>
          <w:rFonts w:ascii="Times New Roman" w:cs="Times New Roman" w:eastAsia="Times New Roman" w:hAnsi="Times New Roman"/>
          <w:sz w:val="18"/>
          <w:szCs w:val="18"/>
          <w:color w:val="auto"/>
        </w:rPr>
        <w:t>”), subject to official notice of issuance, and shall use reasonable efforts to maintain such listing or designation for quotation (as the case may be) of the Ordinary Share and all the Conversion Shares issuable from time to time under the terms of the Transaction Documents on such Eligible Market for the Reporting Period. Neither the Company nor any of its Subsidiaries shall take any action which could be reasonably expected to result in the delisting or suspension of the Ordinary Shares on an Eligible Market during the Reporting Period. The Company shall pay all fees and expenses in connection with satisfying its obligations under this Section 4(b). If, at any time during the Reporting Period, the issuance of Conversions Shares shall be subject to any limitations by the rules and regulations of any Eligible Market, then the Company shall use its commercially reasonable efforts to promptly call and hold a special meeting of stockholders for the purpose of seeking the approval of its stockholders as required by the applicable rules of the Eligible Market, for issuances of shares in excess of any such limitations, and the Board of shall recommend that the Company’s stockholders vote in favor of such resolution.</w:t>
      </w:r>
    </w:p>
    <w:p>
      <w:pPr>
        <w:spacing w:after="0" w:line="188" w:lineRule="exact"/>
        <w:rPr>
          <w:rFonts w:ascii="Times New Roman" w:cs="Times New Roman" w:eastAsia="Times New Roman" w:hAnsi="Times New Roman"/>
          <w:sz w:val="18"/>
          <w:szCs w:val="18"/>
          <w:color w:val="auto"/>
        </w:rPr>
      </w:pPr>
    </w:p>
    <w:p>
      <w:pPr>
        <w:jc w:val="both"/>
        <w:ind w:left="-6" w:firstLine="721"/>
        <w:spacing w:after="0" w:line="263" w:lineRule="auto"/>
        <w:tabs>
          <w:tab w:leader="none" w:pos="157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Disclosure of Transactions and Other Material Information</w:t>
      </w:r>
      <w:r>
        <w:rPr>
          <w:rFonts w:ascii="Times New Roman" w:cs="Times New Roman" w:eastAsia="Times New Roman" w:hAnsi="Times New Roman"/>
          <w:sz w:val="17"/>
          <w:szCs w:val="17"/>
          <w:color w:val="auto"/>
        </w:rPr>
        <w:t>. On or before 9:30 a.m., New York time, on the first Business Day after the date of this Agreement, the Company shall file with the SEC a current report on Form 6-K (including all exhibits thereto, the “</w:t>
      </w:r>
      <w:r>
        <w:rPr>
          <w:rFonts w:ascii="Times New Roman" w:cs="Times New Roman" w:eastAsia="Times New Roman" w:hAnsi="Times New Roman"/>
          <w:sz w:val="17"/>
          <w:szCs w:val="17"/>
          <w:u w:val="single" w:color="auto"/>
          <w:color w:val="auto"/>
        </w:rPr>
        <w:t>Current Report</w:t>
      </w:r>
      <w:r>
        <w:rPr>
          <w:rFonts w:ascii="Times New Roman" w:cs="Times New Roman" w:eastAsia="Times New Roman" w:hAnsi="Times New Roman"/>
          <w:sz w:val="17"/>
          <w:szCs w:val="17"/>
          <w:color w:val="auto"/>
        </w:rPr>
        <w:t>”) disclosing (i) all the material terms of the transactions contemplated by the Transaction Documents and attaching all the material Transaction Documents (including, without limitation, this Agreement and all schedules to this Agreement) as exhibits, and (ii) all material nonpublic information concerning the Company disclosed to the Investor. From and after the filing of the Current Report, the Investor shall not be in possession of any material non-public information concerning the Company disclosed to the Investor by the Company or its representatives. The Company understands and confirms that the Investor will rely on the foregoing representation in effecting securities transactions. In addition, effective upon the filing of the Current Report the Company acknowledges and agrees that any and all confidentiality or similar obligations with respect to the transactions contemplated by the Transaction Documents, or any information related to the Company or any Subsidiary, whether written or oral, between the Company, any of its Subsidiaries or any of their respective officers, directors, affiliates, employees or agents, on the one hand, and the Investor or any of its affiliates, on the other hand, shall terminate. The Company shall not, and the Company shall cause each of its Subsidiaries and each of its and their respective officers, directors, employees and agents not to, provide the Investor with any material, nonpublic information regarding the Company or any of its Subsidiaries from and after the date hereof without first obtaining the express prior written consent of the Investor (which may be granted or withheld in the Investor's sole discretion). As used herein “Business Day” means any day other than a Saturday, Sunday or other day on which commercial banks in New York, New York are authorized or required by law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275590</wp:posOffset>
            </wp:positionV>
            <wp:extent cx="71348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34"/>
          </w:cols>
          <w:pgMar w:left="326" w:top="465" w:right="339" w:bottom="1440" w:gutter="0" w:footer="0" w:header="0"/>
        </w:sectPr>
      </w:pPr>
    </w:p>
    <w:bookmarkStart w:id="126" w:name="page127"/>
    <w:bookmarkEnd w:id="126"/>
    <w:p>
      <w:pPr>
        <w:jc w:val="both"/>
        <w:ind w:left="-94" w:firstLine="721"/>
        <w:spacing w:after="0" w:line="258" w:lineRule="auto"/>
        <w:tabs>
          <w:tab w:leader="none" w:pos="155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Selling</w:t>
      </w:r>
      <w:r>
        <w:rPr>
          <w:rFonts w:ascii="Times New Roman" w:cs="Times New Roman" w:eastAsia="Times New Roman" w:hAnsi="Times New Roman"/>
          <w:sz w:val="18"/>
          <w:szCs w:val="18"/>
          <w:color w:val="auto"/>
        </w:rPr>
        <w:t>. The Investor hereby agrees that it shall not directly or indirectly, engage in any Short Sales involving the Company’s securities at any time during the Reporting Period. “Short Sales” means all “short sales” as defined in Rule 200 promulgated under Regulation SHO under the Exchange Act.</w:t>
      </w:r>
    </w:p>
    <w:p>
      <w:pPr>
        <w:spacing w:after="0" w:line="179" w:lineRule="exact"/>
        <w:rPr>
          <w:rFonts w:ascii="Times New Roman" w:cs="Times New Roman" w:eastAsia="Times New Roman" w:hAnsi="Times New Roman"/>
          <w:sz w:val="18"/>
          <w:szCs w:val="18"/>
          <w:color w:val="auto"/>
        </w:rPr>
      </w:pPr>
    </w:p>
    <w:p>
      <w:pPr>
        <w:jc w:val="both"/>
        <w:ind w:left="6" w:right="100" w:firstLine="630"/>
        <w:spacing w:after="0" w:line="273" w:lineRule="auto"/>
        <w:tabs>
          <w:tab w:leader="none" w:pos="1609"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Trading Information</w:t>
      </w:r>
      <w:r>
        <w:rPr>
          <w:rFonts w:ascii="Times New Roman" w:cs="Times New Roman" w:eastAsia="Times New Roman" w:hAnsi="Times New Roman"/>
          <w:sz w:val="17"/>
          <w:szCs w:val="17"/>
          <w:color w:val="auto"/>
        </w:rPr>
        <w:t>. Upon the Company’s request, the Investor agrees to provide the Company with trading reports setting forth the number and average sales prices of Ordinary Shares sold by the Investor in the prior trading week along with the total aggregate number of Ordinary Shares traded on each Trading Day. “Trading Day” means a day on which the Ordinary Shares are quoted or traded on an Eligible Market on which the Ordinary Shares are then quoted or listed; provided, that in the event that the Ordinary Shares are not listed or quoted, then Trading Day shall mean a Business Day.</w:t>
      </w:r>
    </w:p>
    <w:p>
      <w:pPr>
        <w:spacing w:after="0" w:line="169" w:lineRule="exact"/>
        <w:rPr>
          <w:rFonts w:ascii="Times New Roman" w:cs="Times New Roman" w:eastAsia="Times New Roman" w:hAnsi="Times New Roman"/>
          <w:sz w:val="17"/>
          <w:szCs w:val="17"/>
          <w:color w:val="auto"/>
        </w:rPr>
      </w:pPr>
    </w:p>
    <w:p>
      <w:pPr>
        <w:jc w:val="both"/>
        <w:ind w:left="6" w:right="100" w:firstLine="630"/>
        <w:spacing w:after="0" w:line="262" w:lineRule="auto"/>
        <w:tabs>
          <w:tab w:leader="none" w:pos="1647"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Issuances, Agreements, and Charter Amendments</w:t>
      </w:r>
      <w:r>
        <w:rPr>
          <w:rFonts w:ascii="Times New Roman" w:cs="Times New Roman" w:eastAsia="Times New Roman" w:hAnsi="Times New Roman"/>
          <w:sz w:val="17"/>
          <w:szCs w:val="17"/>
          <w:color w:val="auto"/>
        </w:rPr>
        <w:t>. For the period beginning on the date hereof and ending upon the date the Investor has made its last conversion of Preferred Shares into Conversions Shares, unless the Investor shall have given prior written consent, the Company shall not, and shall not permit any of its subsidiaries (whether or not a subsidiary on the date hereof) to, directly or indirectly (i) amend its charter documents, including, without limitation, its Articles of Association, in any manner that materially and adversely affects any rights of the holders of the Preferred Shares, (ii) make any payments in respect of any related party debt, (iii) other than Permitted Indebtedness, enter into, create, incur, assume, guarantee or suffer to exist any indebtedness for borrowed money of any kind, including, but not limited to, a guarantee, on or with respect to any of its property or assets now owned or hereafter acquired or any interest therein or any income or profits therefrom, (iv) other than Permitted Liens, enter into, create, incur, assume or suffer to exist any lien, security interest, option or other charge or encumbrance of any kind, on or with respect to any of its property or assets now owned or hereafter acquired or any interest therein or any income or profits therefrom, (v) redeem any shares of its capital stock or issue any Preferred Shares, other than to or from the Investor, (vi) enter into, agree to enter into, or effect, any Variable Rate Transaction other than with the Investor,</w:t>
      </w:r>
    </w:p>
    <w:p>
      <w:pPr>
        <w:jc w:val="both"/>
        <w:ind w:left="6" w:right="100" w:hanging="6"/>
        <w:spacing w:after="0" w:line="248" w:lineRule="auto"/>
        <w:tabs>
          <w:tab w:leader="none" w:pos="3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shares, issue any shares, or reclassify any existing shares into any series of shares, senior to or on parity with the Preferred Shares as to liquidation, or conversion, or (viii) become subject to any agreement that would materially restrict the Company’s ability to perform its obligations under the terms of the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282575</wp:posOffset>
            </wp:positionV>
            <wp:extent cx="71348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146"/>
          </w:cols>
          <w:pgMar w:left="414" w:top="465" w:right="339" w:bottom="1440" w:gutter="0" w:footer="0" w:header="0"/>
        </w:sectPr>
      </w:pPr>
    </w:p>
    <w:bookmarkStart w:id="127" w:name="page128"/>
    <w:bookmarkEnd w:id="127"/>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shall mean (i) any indebtedness existing on the initial date of this Agreement, (ii) indebtedness to trade creditors incurred in the ordinary course of business, (iii) indebtedness incurred solely for the purpose of financing the acquisition or lease of any equipment, including capital lease obligations with no recourse other than to such equipment; (iv) any Indebtedness not existing at the time hereof and not covered in (i) through (iii) above not to exceed an aggregate of Two Hundred Fifty Thousand Dollars ($250,000) at any one time;</w:t>
      </w:r>
    </w:p>
    <w:p>
      <w:pPr>
        <w:spacing w:after="0" w:line="183" w:lineRule="exact"/>
        <w:rPr>
          <w:sz w:val="20"/>
          <w:szCs w:val="20"/>
          <w:color w:val="auto"/>
        </w:rPr>
      </w:pPr>
    </w:p>
    <w:p>
      <w:pPr>
        <w:jc w:val="both"/>
        <w:ind w:left="20" w:right="10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shall mean (i) inchoate liens for taxes, assessments or governmental charges or levies (A) not yet due, as to which the grace period, if any, related thereto has not yet expired, or (B) being contested in good faith and by appropriate proceedings for which adequate reserves have been established; (ii) liens of carriers, materialmen, warehousemen, mechanics and landlords and other similar liens which secure amounts which are not yet overdue by more than 60 days or which are being contested in good faith by appropriate proceedings for which adequate reserves have been established; (iii) licenses, sublicenses, leases or subleases granted to other persons not materially interfering with the conduct of the business of the Company or any Subsidiary; (vi) liens 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and (vii)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w:t>
      </w:r>
    </w:p>
    <w:p>
      <w:pPr>
        <w:spacing w:after="0" w:line="197" w:lineRule="exact"/>
        <w:rPr>
          <w:sz w:val="20"/>
          <w:szCs w:val="20"/>
          <w:color w:val="auto"/>
        </w:rPr>
      </w:pPr>
    </w:p>
    <w:p>
      <w:pPr>
        <w:jc w:val="both"/>
        <w:ind w:left="20" w:right="10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mean a transaction in which the Company (i) issues or sells any equity or debt securities that are convertible into, exchangeable or exercisable for, or include the right to receive additional shares of Ordinary Shares either (A) at a conversion price, exercise price, exchange rate or other price that is based upon and/or varies with the trading prices of or quotations for the Ordinary Shares at any time after the initial issuance of such equity or debt securities,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Ordinary Shares (including, without limitation, any “full ratchet” or “weighted average” anti-dilution provisions, but not including any standard anti-dilution protection for any reorganization, recapitalization, non-cash dividend, stock split or other similar transaction), or (ii) enters into any agreement, including but not limited to an “equity line of credit,” or other continuous offering or similar offering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285115</wp:posOffset>
            </wp:positionV>
            <wp:extent cx="71348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520"/>
          </w:cols>
          <w:pgMar w:left="1040" w:top="465" w:right="339" w:bottom="1440" w:gutter="0" w:footer="0" w:header="0"/>
        </w:sectPr>
      </w:pPr>
    </w:p>
    <w:bookmarkStart w:id="128" w:name="page129"/>
    <w:bookmarkEnd w:id="128"/>
    <w:p>
      <w:pPr>
        <w:jc w:val="both"/>
        <w:ind w:left="94" w:right="100" w:firstLine="630"/>
        <w:spacing w:after="0" w:line="251" w:lineRule="auto"/>
        <w:tabs>
          <w:tab w:leader="none" w:pos="166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 of Preferred Shares</w:t>
      </w:r>
      <w:r>
        <w:rPr>
          <w:rFonts w:ascii="Times New Roman" w:cs="Times New Roman" w:eastAsia="Times New Roman" w:hAnsi="Times New Roman"/>
          <w:sz w:val="18"/>
          <w:szCs w:val="18"/>
          <w:color w:val="auto"/>
        </w:rPr>
        <w:t>. The Investor shall not have the right to convert any Preferred Shares to the extent that after giving effect to such conversion the Investor, together with any affiliate thereof, would beneficially own (as determined in accordance with Section 13(d) of the Exchange Act and the rules promulgated thereunder) in excess of 4.99% of the number of shares of Ordinary Shares or the voting power of the Ordinary Shares outstanding immediately after giving effect to such conversion. The ownership limitations in this Section 4(g) may be waived by the Investor upon not less than 65 days prior notice to the Company.</w:t>
      </w:r>
    </w:p>
    <w:p>
      <w:pPr>
        <w:spacing w:after="0" w:line="188" w:lineRule="exact"/>
        <w:rPr>
          <w:rFonts w:ascii="Times New Roman" w:cs="Times New Roman" w:eastAsia="Times New Roman" w:hAnsi="Times New Roman"/>
          <w:sz w:val="18"/>
          <w:szCs w:val="18"/>
          <w:color w:val="auto"/>
        </w:rPr>
      </w:pPr>
    </w:p>
    <w:p>
      <w:pPr>
        <w:jc w:val="both"/>
        <w:ind w:left="94" w:right="100" w:firstLine="630"/>
        <w:spacing w:after="0" w:line="248" w:lineRule="auto"/>
        <w:tabs>
          <w:tab w:leader="none" w:pos="178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Repurchase for No Consideration</w:t>
      </w:r>
      <w:r>
        <w:rPr>
          <w:rFonts w:ascii="Times New Roman" w:cs="Times New Roman" w:eastAsia="Times New Roman" w:hAnsi="Times New Roman"/>
          <w:sz w:val="18"/>
          <w:szCs w:val="18"/>
          <w:color w:val="auto"/>
        </w:rPr>
        <w:t>. In connection with the conversion of each Preferred Share, the effective conversion price (“</w:t>
      </w:r>
      <w:r>
        <w:rPr>
          <w:rFonts w:ascii="Times New Roman" w:cs="Times New Roman" w:eastAsia="Times New Roman" w:hAnsi="Times New Roman"/>
          <w:sz w:val="18"/>
          <w:szCs w:val="18"/>
          <w:u w:val="single" w:color="auto"/>
          <w:color w:val="auto"/>
        </w:rPr>
        <w:t>Effective Conversion Price</w:t>
      </w:r>
      <w:r>
        <w:rPr>
          <w:rFonts w:ascii="Times New Roman" w:cs="Times New Roman" w:eastAsia="Times New Roman" w:hAnsi="Times New Roman"/>
          <w:sz w:val="18"/>
          <w:szCs w:val="18"/>
          <w:color w:val="auto"/>
        </w:rPr>
        <w:t>”) shall be a price per share equal to 85% of the lowest daily volume weighted average price of the Ordinary Shares during the 10 Trading Days immediately preceding the date of the conversion notice, subject to a floor price (the “</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equal to 20% of the closing price of the Ordinary Shares immediately prior to the date hereof. Upon the conversion of each Preferred Share, the Investor shall surrender the Preferred Share being converted, plus the Investor will automatically sell and transfer to the Company for no consideration (the “</w:t>
      </w:r>
      <w:r>
        <w:rPr>
          <w:rFonts w:ascii="Times New Roman" w:cs="Times New Roman" w:eastAsia="Times New Roman" w:hAnsi="Times New Roman"/>
          <w:sz w:val="18"/>
          <w:szCs w:val="18"/>
          <w:u w:val="single" w:color="auto"/>
          <w:color w:val="auto"/>
        </w:rPr>
        <w:t>Repurchase</w:t>
      </w:r>
      <w:r>
        <w:rPr>
          <w:rFonts w:ascii="Times New Roman" w:cs="Times New Roman" w:eastAsia="Times New Roman" w:hAnsi="Times New Roman"/>
          <w:sz w:val="18"/>
          <w:szCs w:val="18"/>
          <w:color w:val="auto"/>
        </w:rPr>
        <w:t>”) additional Preferred Shares such that the total number of Preferred Shares surrendered and subject to the Repurchase shall be equal to (a) the total number of Ordinary Shares issuable upon such conversion, multiplied by (b) the Effective Conversion Price, divided by (c) 30,000. The Parties acknowledge that pursuant to Section 2:98 paragraph 2, of the Dutch Civil Code, the Company cannot hold more than half of its issued nominal share capital. If, as a result of the Repurchase the Company will exceed the aforementioned threshold, the Parties hereby agree that such repurchase for no consideration is postponed until the Company has taken appropriate measures.</w:t>
      </w:r>
    </w:p>
    <w:p>
      <w:pPr>
        <w:spacing w:after="0" w:line="188" w:lineRule="exact"/>
        <w:rPr>
          <w:rFonts w:ascii="Times New Roman" w:cs="Times New Roman" w:eastAsia="Times New Roman" w:hAnsi="Times New Roman"/>
          <w:sz w:val="18"/>
          <w:szCs w:val="18"/>
          <w:color w:val="auto"/>
        </w:rPr>
      </w:pPr>
    </w:p>
    <w:p>
      <w:pPr>
        <w:ind w:left="634" w:hanging="634"/>
        <w:spacing w:after="0"/>
        <w:tabs>
          <w:tab w:leader="none" w:pos="634"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 LEGEND.</w:t>
      </w:r>
    </w:p>
    <w:p>
      <w:pPr>
        <w:spacing w:after="0" w:line="218" w:lineRule="exact"/>
        <w:rPr>
          <w:rFonts w:ascii="Times New Roman" w:cs="Times New Roman" w:eastAsia="Times New Roman" w:hAnsi="Times New Roman"/>
          <w:sz w:val="18"/>
          <w:szCs w:val="18"/>
          <w:b w:val="1"/>
          <w:bCs w:val="1"/>
          <w:color w:val="auto"/>
        </w:rPr>
      </w:pPr>
    </w:p>
    <w:p>
      <w:pPr>
        <w:jc w:val="both"/>
        <w:ind w:left="-6" w:firstLine="721"/>
        <w:spacing w:after="0" w:line="273" w:lineRule="auto"/>
        <w:tabs>
          <w:tab w:leader="none" w:pos="1478"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Company shall maintain at its principal executive offices or with the transfer agent and registrar of the Company (or at such other office or agency of the Company as it may designate by notice to the Investor), a register for the Preferred Shares in which the Company shall record the name and address of the Person in whose name the Preferred Shares have been issued and the number of Preferred Shares held by such Person from time to time. The Company shall keep the register open and available at all times during business hours for inspection of the Investor or its legal representatives.</w:t>
      </w:r>
    </w:p>
    <w:p>
      <w:pPr>
        <w:spacing w:after="0" w:line="169" w:lineRule="exact"/>
        <w:rPr>
          <w:rFonts w:ascii="Times New Roman" w:cs="Times New Roman" w:eastAsia="Times New Roman" w:hAnsi="Times New Roman"/>
          <w:sz w:val="17"/>
          <w:szCs w:val="17"/>
          <w:color w:val="auto"/>
        </w:rPr>
      </w:pPr>
    </w:p>
    <w:p>
      <w:pPr>
        <w:jc w:val="both"/>
        <w:ind w:left="-6" w:firstLine="721"/>
        <w:spacing w:after="0" w:line="250" w:lineRule="auto"/>
        <w:tabs>
          <w:tab w:leader="none" w:pos="145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Securities may only be disposed of in compliance with state and federal securities laws. In connection with any transfer of Securities other than pursuant to an effective registration statement or Rule 144, to the Company or to an Affiliate of the Investor or in connection with a pledge as contemplated herein,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the Investor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282575</wp:posOffset>
            </wp:positionV>
            <wp:extent cx="71348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34"/>
          </w:cols>
          <w:pgMar w:left="326" w:top="465" w:right="339" w:bottom="1440" w:gutter="0" w:footer="0" w:header="0"/>
        </w:sectPr>
      </w:pPr>
    </w:p>
    <w:bookmarkStart w:id="129" w:name="page130"/>
    <w:bookmarkEnd w:id="129"/>
    <w:p>
      <w:pPr>
        <w:ind w:left="634" w:hanging="634"/>
        <w:spacing w:after="0"/>
        <w:tabs>
          <w:tab w:leader="none" w:pos="634"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19" w:lineRule="exact"/>
        <w:rPr>
          <w:sz w:val="20"/>
          <w:szCs w:val="20"/>
          <w:color w:val="auto"/>
        </w:rPr>
      </w:pPr>
    </w:p>
    <w:p>
      <w:pPr>
        <w:jc w:val="both"/>
        <w:ind w:left="94" w:right="100" w:firstLine="635"/>
        <w:spacing w:after="0" w:line="249" w:lineRule="auto"/>
        <w:rPr>
          <w:sz w:val="20"/>
          <w:szCs w:val="20"/>
          <w:color w:val="auto"/>
        </w:rPr>
      </w:pPr>
      <w:r>
        <w:rPr>
          <w:rFonts w:ascii="Times New Roman" w:cs="Times New Roman" w:eastAsia="Times New Roman" w:hAnsi="Times New Roman"/>
          <w:sz w:val="18"/>
          <w:szCs w:val="18"/>
          <w:color w:val="auto"/>
        </w:rPr>
        <w:t>In the event that the Closing shall not have occurred by January 15, 2025, then the Investor shall have the right to terminate its obligations under this Agreement at any time on or after the close of business on such date without liability of the Investor to any other party; provided, however, the right to terminate this Agreement under this Section 6 shall not be available to the Investor if the failure of the transactions contemplated by this Agreement to have been consummated by such date is the result of the Investor's breach of this Agreement, provided further that no such termination shall affect any obligation of the Company under this Agreement to reimburse the Investor for the expenses described herein unless the Investor shall be deemed to breach this Agreement. Nothing contained in this Section 6 shall be deemed to release any party from any liability for any breach by such party of the terms and provisions of this Agreement or any other Transaction Documents or to impair the right of any party to compel specific performance by any other party of its obligations under this Agreement or any other Transaction Documents.</w:t>
      </w:r>
    </w:p>
    <w:p>
      <w:pPr>
        <w:spacing w:after="0" w:line="186" w:lineRule="exact"/>
        <w:rPr>
          <w:sz w:val="20"/>
          <w:szCs w:val="20"/>
          <w:color w:val="auto"/>
        </w:rPr>
      </w:pPr>
    </w:p>
    <w:p>
      <w:pPr>
        <w:ind w:left="634" w:hanging="634"/>
        <w:spacing w:after="0"/>
        <w:tabs>
          <w:tab w:leader="none" w:pos="634"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18" w:lineRule="exact"/>
        <w:rPr>
          <w:rFonts w:ascii="Times New Roman" w:cs="Times New Roman" w:eastAsia="Times New Roman" w:hAnsi="Times New Roman"/>
          <w:sz w:val="18"/>
          <w:szCs w:val="18"/>
          <w:b w:val="1"/>
          <w:bCs w:val="1"/>
          <w:color w:val="auto"/>
        </w:rPr>
      </w:pPr>
    </w:p>
    <w:p>
      <w:pPr>
        <w:ind w:left="-6" w:right="20" w:firstLine="721"/>
        <w:spacing w:after="0" w:line="271" w:lineRule="auto"/>
        <w:tabs>
          <w:tab w:leader="none" w:pos="158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xml:space="preserve"> The recitals to this Agreement are a material and substantive part of this Agreement. The recitals are incorporated herein and made part of this Agreement.</w:t>
      </w:r>
    </w:p>
    <w:p>
      <w:pPr>
        <w:spacing w:after="0" w:line="167" w:lineRule="exact"/>
        <w:rPr>
          <w:rFonts w:ascii="Times New Roman" w:cs="Times New Roman" w:eastAsia="Times New Roman" w:hAnsi="Times New Roman"/>
          <w:sz w:val="18"/>
          <w:szCs w:val="18"/>
          <w:color w:val="auto"/>
        </w:rPr>
      </w:pPr>
    </w:p>
    <w:p>
      <w:pPr>
        <w:jc w:val="both"/>
        <w:ind w:left="-6" w:firstLine="721"/>
        <w:spacing w:after="0" w:line="247" w:lineRule="auto"/>
        <w:tabs>
          <w:tab w:leader="none" w:pos="169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Jury Trial</w:t>
      </w:r>
      <w:r>
        <w:rPr>
          <w:rFonts w:ascii="Times New Roman" w:cs="Times New Roman" w:eastAsia="Times New Roman" w:hAnsi="Times New Roman"/>
          <w:sz w:val="18"/>
          <w:szCs w:val="18"/>
          <w:color w:val="auto"/>
        </w:rPr>
        <w:t>.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Investor from bringing suit or taking other legal action against the Company in any other jurisdiction to collect on the Company's obligations to such Investor or to enforce a judgment or other court ruling in favor of such Investor. EACH 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1348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34"/>
          </w:cols>
          <w:pgMar w:left="326" w:top="463" w:right="339" w:bottom="1440" w:gutter="0" w:footer="0" w:header="0"/>
        </w:sectPr>
      </w:pPr>
    </w:p>
    <w:bookmarkStart w:id="130" w:name="page131"/>
    <w:bookmarkEnd w:id="130"/>
    <w:p>
      <w:pPr>
        <w:jc w:val="both"/>
        <w:ind w:left="-6" w:firstLine="721"/>
        <w:spacing w:after="0" w:line="251" w:lineRule="auto"/>
        <w:tabs>
          <w:tab w:leader="none" w:pos="15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8" w:lineRule="exact"/>
        <w:rPr>
          <w:rFonts w:ascii="Times New Roman" w:cs="Times New Roman" w:eastAsia="Times New Roman" w:hAnsi="Times New Roman"/>
          <w:sz w:val="18"/>
          <w:szCs w:val="18"/>
          <w:color w:val="auto"/>
        </w:rPr>
      </w:pPr>
    </w:p>
    <w:p>
      <w:pPr>
        <w:jc w:val="both"/>
        <w:ind w:left="-6" w:firstLine="721"/>
        <w:spacing w:after="0" w:line="251" w:lineRule="auto"/>
        <w:tabs>
          <w:tab w:leader="none" w:pos="161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words “execution,” “signed,” “signature,” and words of like import in this Agreement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rFonts w:ascii="Times New Roman" w:cs="Times New Roman" w:eastAsia="Times New Roman" w:hAnsi="Times New Roman"/>
          <w:sz w:val="18"/>
          <w:szCs w:val="18"/>
          <w:color w:val="auto"/>
        </w:rPr>
      </w:pPr>
    </w:p>
    <w:p>
      <w:pPr>
        <w:jc w:val="both"/>
        <w:ind w:left="-6" w:firstLine="721"/>
        <w:spacing w:after="0" w:line="251" w:lineRule="auto"/>
        <w:tabs>
          <w:tab w:leader="none" w:pos="147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Gender</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8" w:lineRule="exact"/>
        <w:rPr>
          <w:rFonts w:ascii="Times New Roman" w:cs="Times New Roman" w:eastAsia="Times New Roman" w:hAnsi="Times New Roman"/>
          <w:sz w:val="18"/>
          <w:szCs w:val="18"/>
          <w:color w:val="auto"/>
        </w:rPr>
      </w:pPr>
    </w:p>
    <w:p>
      <w:pPr>
        <w:jc w:val="both"/>
        <w:ind w:left="-6" w:firstLine="721"/>
        <w:spacing w:after="0" w:line="250" w:lineRule="auto"/>
        <w:tabs>
          <w:tab w:leader="none" w:pos="177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supersedes all other prior oral or written agreements between the Investor, the Company, their affiliates and persons acting on their behalf with respect to the matters discussed herein (including, without limitation, any term sheets) and this Agreement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No provision of this Agreement may be waived or amended other than by an instrument in writing signed by the party to be charged with enforcement.</w:t>
      </w:r>
    </w:p>
    <w:p>
      <w:pPr>
        <w:spacing w:after="0" w:line="188" w:lineRule="exact"/>
        <w:rPr>
          <w:rFonts w:ascii="Times New Roman" w:cs="Times New Roman" w:eastAsia="Times New Roman" w:hAnsi="Times New Roman"/>
          <w:sz w:val="18"/>
          <w:szCs w:val="18"/>
          <w:color w:val="auto"/>
        </w:rPr>
      </w:pPr>
    </w:p>
    <w:p>
      <w:pPr>
        <w:jc w:val="both"/>
        <w:ind w:left="-6" w:firstLine="721"/>
        <w:spacing w:after="0" w:line="270" w:lineRule="auto"/>
        <w:tabs>
          <w:tab w:leader="none" w:pos="157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consents, waivers or other communications required or permitted to be given under the terms of this Agreement must be in writing by letter and email and will be deemed to have been delivered: upon the later of (A) either (i) receipt, when delivered personally or (ii) one</w:t>
      </w:r>
    </w:p>
    <w:p>
      <w:pPr>
        <w:spacing w:after="0" w:line="1" w:lineRule="exact"/>
        <w:rPr>
          <w:rFonts w:ascii="Times New Roman" w:cs="Times New Roman" w:eastAsia="Times New Roman" w:hAnsi="Times New Roman"/>
          <w:sz w:val="17"/>
          <w:szCs w:val="17"/>
          <w:color w:val="auto"/>
        </w:rPr>
      </w:pPr>
    </w:p>
    <w:p>
      <w:pPr>
        <w:ind w:left="-6" w:firstLine="6"/>
        <w:spacing w:after="0" w:line="251" w:lineRule="auto"/>
        <w:tabs>
          <w:tab w:leader="none" w:pos="2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1348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34"/>
          </w:cols>
          <w:pgMar w:left="326" w:top="46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SONO GROUP N.V.</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Waldmeisterstr. 93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80935 Munich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 @sonomotors.com</w:t>
      </w:r>
    </w:p>
    <w:p>
      <w:pPr>
        <w:spacing w:after="0" w:line="200" w:lineRule="exact"/>
        <w:rPr>
          <w:sz w:val="20"/>
          <w:szCs w:val="20"/>
          <w:color w:val="auto"/>
        </w:rPr>
      </w:pPr>
    </w:p>
    <w:p>
      <w:pPr>
        <w:sectPr>
          <w:pgSz w:w="11900" w:h="16838" w:orient="portrait"/>
          <w:cols w:equalWidth="0" w:num="2">
            <w:col w:w="3340" w:space="720"/>
            <w:col w:w="7180"/>
          </w:cols>
          <w:pgMar w:left="320" w:top="465" w:right="339"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Nederland N.V.</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Strawinskyhuis Prinses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Amaliaplein 3 1077 XS Amsterdam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(0)20 541 98 88</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Pabe Suurd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Pabe.Suurd@dlapiper.com</w:t>
      </w:r>
    </w:p>
    <w:p>
      <w:pPr>
        <w:spacing w:after="0" w:line="200" w:lineRule="exact"/>
        <w:rPr>
          <w:sz w:val="20"/>
          <w:szCs w:val="20"/>
          <w:color w:val="auto"/>
        </w:rPr>
      </w:pPr>
    </w:p>
    <w:p>
      <w:pPr>
        <w:sectPr>
          <w:pgSz w:w="11900" w:h="16838" w:orient="portrait"/>
          <w:cols w:equalWidth="0" w:num="2">
            <w:col w:w="3340" w:space="720"/>
            <w:col w:w="7180"/>
          </w:cols>
          <w:pgMar w:left="320" w:top="465" w:right="33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Investor, to:</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Department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Yorkville Advisors Global, LP</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 Springfield Avenue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Mountainside, NJ 07092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legal@yorkvilleadvisors.com</w:t>
      </w:r>
    </w:p>
    <w:p>
      <w:pPr>
        <w:spacing w:after="0" w:line="200" w:lineRule="exact"/>
        <w:rPr>
          <w:sz w:val="20"/>
          <w:szCs w:val="20"/>
          <w:color w:val="auto"/>
        </w:rPr>
      </w:pPr>
    </w:p>
    <w:p>
      <w:pPr>
        <w:sectPr>
          <w:pgSz w:w="11900" w:h="16838" w:orient="portrait"/>
          <w:cols w:equalWidth="0" w:num="2">
            <w:col w:w="3340" w:space="720"/>
            <w:col w:w="7180"/>
          </w:cols>
          <w:pgMar w:left="320" w:top="465" w:right="339" w:bottom="1440" w:gutter="0" w:footer="0" w:header="0"/>
          <w:type w:val="continuous"/>
        </w:sectPr>
      </w:pPr>
    </w:p>
    <w:p>
      <w:pPr>
        <w:spacing w:after="0" w:line="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 to such other address,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an overnight courier service shall be rebuttable evidence of personal service, receipt by facsimile or receipt from an overnight courier service in accordance with clause (i), (ii) or (iii) above, respectively</w:t>
      </w:r>
    </w:p>
    <w:p>
      <w:pPr>
        <w:spacing w:after="0" w:line="188" w:lineRule="exact"/>
        <w:rPr>
          <w:sz w:val="20"/>
          <w:szCs w:val="20"/>
          <w:color w:val="auto"/>
        </w:rPr>
      </w:pPr>
    </w:p>
    <w:p>
      <w:pPr>
        <w:jc w:val="both"/>
        <w:ind w:firstLine="721"/>
        <w:spacing w:after="0" w:line="250" w:lineRule="auto"/>
        <w:tabs>
          <w:tab w:leader="none" w:pos="150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including any purchasers of any of the Convertible Debentures (but excluding any purchasers of Conversion Shares, unless pursuant to a written assignment by the Investor). The Company shall not assign this Agreement or any rights or obligations hereunder without the prior written consent of the Investor. In connection with any transfer of any or all of its Securities, the Investor may assign all, or a portion, of its rights and obligations hereunder in connection with such Securities without the consent of the Company, in which event such assignee shall be deemed to be the Investor hereunder with respect to such transferred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282575</wp:posOffset>
            </wp:positionV>
            <wp:extent cx="71348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type w:val="continuous"/>
        </w:sectPr>
      </w:pPr>
    </w:p>
    <w:bookmarkStart w:id="132" w:name="page133"/>
    <w:bookmarkEnd w:id="132"/>
    <w:p>
      <w:pPr>
        <w:ind w:left="779" w:hanging="779"/>
        <w:spacing w:after="0"/>
        <w:tabs>
          <w:tab w:leader="none" w:pos="77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jc w:val="both"/>
        <w:ind w:left="-721" w:firstLine="2547"/>
        <w:spacing w:after="0" w:line="247" w:lineRule="auto"/>
        <w:tabs>
          <w:tab w:leader="none" w:pos="285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Investor's execution and delivery of the Transaction Documents and acquiring the Securities thereunder and in addition to all of the Company's other obligations under the Transaction Documents, the Company shall defend, protect, indemnify and hold harmless the Investor its stockholders, partners, members, officers, directors, employees and agents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and against any and all actions, causes of action, suits, claims, losses, costs, penalties, fees, liabilities and damages, and expenses in connection therewith, and including reasonable attorneys' fees and disbursements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incurred by any Indemnitee as a result of, or arising out of, or relating to (i) any misrepresentation or breach of any representation or warranty made by the Company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 or (C) the status of the Investor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The Company will not be liable to any Indemnitee under the foregoing indemnification provisions, for any settlement by an Indemnitee effected without the Company’s prior written consent (except as set forth below), or (b) to the extent that any Indemnified Liability of such Indemnitee is finally determined by a court or arbitral tribunal to have resulted from the willful misconduct or gross negligence of the Investor or any other Indemnitee, and any expenses incurred in connection therewith that were previously reimbursed to the Investor or any other Indemnitee by the Company will be repaid to the Company by the Investor and such other Indemnitee.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88" w:lineRule="exact"/>
        <w:rPr>
          <w:rFonts w:ascii="Times New Roman" w:cs="Times New Roman" w:eastAsia="Times New Roman" w:hAnsi="Times New Roman"/>
          <w:sz w:val="18"/>
          <w:szCs w:val="18"/>
          <w:color w:val="auto"/>
        </w:rPr>
      </w:pPr>
    </w:p>
    <w:p>
      <w:pPr>
        <w:jc w:val="both"/>
        <w:ind w:left="-721" w:firstLine="2547"/>
        <w:spacing w:after="0" w:line="261" w:lineRule="auto"/>
        <w:tabs>
          <w:tab w:leader="none" w:pos="2592"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by an Indemnitee under this Section 7(i) of notice of the commencement of any action or proceeding (including any governmental action or proceeding) involving an Indemnified Liability, such Indemnitee shall, if a claim in respect thereof is to be made against the Company under this Section 7(i), deliver to the Company a written notice of the commencement thereof, and the Company shall have the right to participate in, and, to the extent the Company so desires, to assume control of the defense thereof with counsel mutually reasonably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7(i), except to the extent that the Company is materially and adversely prejudiced in its ability to defend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285115</wp:posOffset>
            </wp:positionV>
            <wp:extent cx="71348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0519"/>
          </w:cols>
          <w:pgMar w:left="1041" w:top="465" w:right="339" w:bottom="1440" w:gutter="0" w:footer="0" w:header="0"/>
        </w:sectPr>
      </w:pPr>
    </w:p>
    <w:bookmarkStart w:id="133" w:name="page134"/>
    <w:bookmarkEnd w:id="133"/>
    <w:p>
      <w:pPr>
        <w:ind w:firstLine="2547"/>
        <w:spacing w:after="0" w:line="271" w:lineRule="auto"/>
        <w:tabs>
          <w:tab w:leader="none" w:pos="339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7(i) shall be made by periodic payments of the amount thereof during the course of the investigation or defense, within ten (10) days after bills supporting the Indemnified Liabilities are received by the Company.</w:t>
      </w:r>
    </w:p>
    <w:p>
      <w:pPr>
        <w:spacing w:after="0" w:line="167" w:lineRule="exact"/>
        <w:rPr>
          <w:rFonts w:ascii="Times New Roman" w:cs="Times New Roman" w:eastAsia="Times New Roman" w:hAnsi="Times New Roman"/>
          <w:sz w:val="18"/>
          <w:szCs w:val="18"/>
          <w:color w:val="auto"/>
        </w:rPr>
      </w:pPr>
    </w:p>
    <w:p>
      <w:pPr>
        <w:ind w:left="3320" w:hanging="773"/>
        <w:spacing w:after="0"/>
        <w:tabs>
          <w:tab w:leader="none" w:pos="332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agreement contained herein shall be in addition to (A) any cause of action or similar right of the</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Indemnitee against the Company or others, and (B) any liabilities the Company may be subject to pursuant to the law.</w:t>
      </w:r>
    </w:p>
    <w:p>
      <w:pPr>
        <w:spacing w:after="0" w:line="199" w:lineRule="exact"/>
        <w:rPr>
          <w:rFonts w:ascii="Times New Roman" w:cs="Times New Roman" w:eastAsia="Times New Roman" w:hAnsi="Times New Roman"/>
          <w:sz w:val="17"/>
          <w:szCs w:val="17"/>
          <w:color w:val="auto"/>
        </w:rPr>
      </w:pPr>
    </w:p>
    <w:p>
      <w:pPr>
        <w:ind w:firstLine="721"/>
        <w:spacing w:after="0" w:line="271" w:lineRule="auto"/>
        <w:tabs>
          <w:tab w:leader="none" w:pos="16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6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[REMAINDER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1108710</wp:posOffset>
            </wp:positionV>
            <wp:extent cx="71348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bookmarkStart w:id="134" w:name="page135"/>
    <w:bookmarkEnd w:id="134"/>
    <w:p>
      <w:pPr>
        <w:ind w:firstLine="635"/>
        <w:spacing w:after="0" w:line="27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and the Company have caused their respective signature page to this Exchange Agreement to be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as of the date first written above.</w:t>
      </w:r>
    </w:p>
    <w:p>
      <w:pPr>
        <w:spacing w:after="0" w:line="1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George O’ Leary                 </w:t>
      </w:r>
      <w:r>
        <w:rPr>
          <w:rFonts w:ascii="Times New Roman" w:cs="Times New Roman" w:eastAsia="Times New Roman" w:hAnsi="Times New Roman"/>
          <w:sz w:val="18"/>
          <w:szCs w:val="18"/>
          <w:color w:val="auto"/>
        </w:rPr>
        <w:t> </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961390</wp:posOffset>
            </wp:positionV>
            <wp:extent cx="71348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35" w:name="page136"/>
    <w:bookmarkEnd w:id="135"/>
    <w:p>
      <w:pPr>
        <w:ind w:firstLine="635"/>
        <w:spacing w:after="0" w:line="27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Investor and the Company have caused their respective signature page to this Exchange Agreement to be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as of the date first written above.</w:t>
      </w:r>
    </w:p>
    <w:p>
      <w:pPr>
        <w:spacing w:after="0" w:line="1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19" w:lineRule="exact"/>
        <w:rPr>
          <w:sz w:val="20"/>
          <w:szCs w:val="20"/>
          <w:color w:val="auto"/>
        </w:rPr>
      </w:pPr>
    </w:p>
    <w:p>
      <w:pPr>
        <w:ind w:left="564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Yorkville Advisors Global, LP</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1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Yorkville Advisors Global II, LLC</w:t>
      </w:r>
    </w:p>
    <w:p>
      <w:pPr>
        <w:spacing w:after="0" w:line="22" w:lineRule="exact"/>
        <w:rPr>
          <w:sz w:val="20"/>
          <w:szCs w:val="20"/>
          <w:color w:val="auto"/>
        </w:rPr>
      </w:pPr>
    </w:p>
    <w:p>
      <w:pPr>
        <w:ind w:left="5940"/>
        <w:spacing w:after="0"/>
        <w:tabs>
          <w:tab w:leader="none" w:pos="62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7"/>
          <w:szCs w:val="17"/>
          <w:color w:val="auto"/>
        </w:rPr>
        <w:t>General Partner</w:t>
      </w:r>
    </w:p>
    <w:p>
      <w:pPr>
        <w:spacing w:after="0" w:line="1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  /s/ Michael Rosselli                        </w:t>
      </w:r>
      <w:r>
        <w:rPr>
          <w:rFonts w:ascii="Times New Roman" w:cs="Times New Roman" w:eastAsia="Times New Roman" w:hAnsi="Times New Roman"/>
          <w:sz w:val="18"/>
          <w:szCs w:val="18"/>
          <w:color w:val="auto"/>
        </w:rPr>
        <w:t> </w:t>
      </w:r>
    </w:p>
    <w:p>
      <w:pPr>
        <w:spacing w:after="0" w:line="2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Michael Rosselli</w:t>
      </w:r>
    </w:p>
    <w:p>
      <w:pPr>
        <w:spacing w:after="0" w:line="5" w:lineRule="exact"/>
        <w:rPr>
          <w:sz w:val="20"/>
          <w:szCs w:val="20"/>
          <w:color w:val="auto"/>
        </w:rPr>
      </w:pPr>
    </w:p>
    <w:p>
      <w:pPr>
        <w:ind w:left="5940"/>
        <w:spacing w:after="0"/>
        <w:tabs>
          <w:tab w:leader="none" w:pos="642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1230630</wp:posOffset>
            </wp:positionV>
            <wp:extent cx="71348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7"/>
          <w:szCs w:val="17"/>
          <w:color w:val="auto"/>
        </w:rPr>
        <w:t>SCHEDULE 3(P)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4089400</wp:posOffset>
            </wp:positionV>
            <wp:extent cx="71348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41910"/>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156210</wp:posOffset>
            </wp:positionV>
            <wp:extent cx="7197090" cy="2823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7090" cy="2823845"/>
                    </a:xfrm>
                    <a:prstGeom prst="rect">
                      <a:avLst/>
                    </a:prstGeom>
                    <a:noFill/>
                  </pic:spPr>
                </pic:pic>
              </a:graphicData>
            </a:graphic>
          </wp:anchor>
        </w:drawing>
      </w:r>
    </w:p>
    <w:p>
      <w:pPr>
        <w:sectPr>
          <w:pgSz w:w="11900" w:h="16838" w:orient="portrait"/>
          <w:cols w:equalWidth="0" w:num="1">
            <w:col w:w="9019"/>
          </w:cols>
          <w:pgMar w:left="1440" w:top="465"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169545</wp:posOffset>
            </wp:positionV>
            <wp:extent cx="2286000" cy="22860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86000" cy="228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2B41"/>
        </w:rPr>
        <w:t>Sono Group N.V. pro forma condensed consolidated Balance Sheet and Statement of Income as of and for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914400</wp:posOffset>
            </wp:positionV>
            <wp:extent cx="71348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p>
      <w:pPr>
        <w:sectPr>
          <w:pgSz w:w="11900" w:h="16838" w:orient="portrait"/>
          <w:cols w:equalWidth="0" w:num="1">
            <w:col w:w="11200"/>
          </w:cols>
          <w:pgMar w:left="360" w:top="108"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29"/>
        </w:trPr>
        <w:tc>
          <w:tcPr>
            <w:tcW w:w="7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8"/>
        </w:trPr>
        <w:tc>
          <w:tcPr>
            <w:tcW w:w="78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Proforma Condensed Consolidated Statements of Income (Loss)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3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20" w:type="dxa"/>
            <w:vAlign w:val="bottom"/>
            <w:gridSpan w:val="2"/>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45"/>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0000EE"/>
                <w:w w:val="97"/>
              </w:rPr>
              <w:t>Proforma Condensed Consolidated Balance Sheets</w:t>
            </w:r>
          </w:p>
        </w:tc>
        <w:tc>
          <w:tcPr>
            <w:tcW w:w="4260" w:type="dxa"/>
            <w:vAlign w:val="bottom"/>
            <w:gridSpan w:val="4"/>
          </w:tcPr>
          <w:p>
            <w:pPr>
              <w:spacing w:after="0"/>
              <w:rPr>
                <w:sz w:val="21"/>
                <w:szCs w:val="21"/>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3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45"/>
        </w:trPr>
        <w:tc>
          <w:tcPr>
            <w:tcW w:w="78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 xml:space="preserve">A. New Issuance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 Million Debenture Adjustment</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3740" w:type="dxa"/>
            <w:vAlign w:val="bottom"/>
            <w:gridSpan w:val="2"/>
            <w:shd w:val="clear" w:color="auto" w:fill="0000EE"/>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45"/>
        </w:trPr>
        <w:tc>
          <w:tcPr>
            <w:tcW w:w="78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B. Conversion of all existing debt to preferred equity</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3461"/>
        </w:trPr>
        <w:tc>
          <w:tcPr>
            <w:tcW w:w="3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6"/>
        </w:trPr>
        <w:tc>
          <w:tcPr>
            <w:tcW w:w="36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3300" w:type="dxa"/>
            <w:vAlign w:val="bottom"/>
            <w:shd w:val="clear" w:color="auto" w:fill="000000"/>
          </w:tcPr>
          <w:p>
            <w:pPr>
              <w:spacing w:after="0"/>
              <w:rPr>
                <w:sz w:val="5"/>
                <w:szCs w:val="5"/>
                <w:color w:val="auto"/>
              </w:rPr>
            </w:pPr>
          </w:p>
        </w:tc>
        <w:tc>
          <w:tcPr>
            <w:tcW w:w="33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Condensed Consolidated Statements of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34860" cy="563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5632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shd w:val="clear" w:color="auto" w:fill="A6A6A6"/>
          </w:tcPr>
          <w:p>
            <w:pPr>
              <w:spacing w:after="0"/>
              <w:rPr>
                <w:sz w:val="18"/>
                <w:szCs w:val="18"/>
                <w:color w:val="auto"/>
              </w:rPr>
            </w:pPr>
          </w:p>
        </w:tc>
        <w:tc>
          <w:tcPr>
            <w:tcW w:w="198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Nine months ended</w:t>
            </w:r>
          </w:p>
        </w:tc>
        <w:tc>
          <w:tcPr>
            <w:tcW w:w="3820" w:type="dxa"/>
            <w:vAlign w:val="bottom"/>
            <w:gridSpan w:val="2"/>
            <w:shd w:val="clear" w:color="auto" w:fill="A6A6A6"/>
          </w:tcPr>
          <w:p>
            <w:pPr>
              <w:jc w:val="right"/>
              <w:ind w:right="952"/>
              <w:spacing w:after="0"/>
              <w:rPr>
                <w:sz w:val="20"/>
                <w:szCs w:val="20"/>
                <w:color w:val="auto"/>
              </w:rPr>
            </w:pPr>
            <w:r>
              <w:rPr>
                <w:rFonts w:ascii="Times New Roman" w:cs="Times New Roman" w:eastAsia="Times New Roman" w:hAnsi="Times New Roman"/>
                <w:sz w:val="18"/>
                <w:szCs w:val="18"/>
                <w:b w:val="1"/>
                <w:bCs w:val="1"/>
                <w:color w:val="FFFFFF"/>
              </w:rPr>
              <w:t>Pro Forma Adjustments</w:t>
            </w: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Pro Forma Combined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3600" w:type="dxa"/>
            <w:vAlign w:val="bottom"/>
            <w:shd w:val="clear" w:color="auto" w:fill="A6A6A6"/>
          </w:tcPr>
          <w:p>
            <w:pPr>
              <w:spacing w:after="0"/>
              <w:rPr>
                <w:sz w:val="8"/>
                <w:szCs w:val="8"/>
                <w:color w:val="auto"/>
              </w:rPr>
            </w:pPr>
          </w:p>
        </w:tc>
        <w:tc>
          <w:tcPr>
            <w:tcW w:w="1980" w:type="dxa"/>
            <w:vAlign w:val="bottom"/>
            <w:vMerge w:val="continue"/>
            <w:shd w:val="clear" w:color="auto" w:fill="A6A6A6"/>
          </w:tcPr>
          <w:p>
            <w:pPr>
              <w:spacing w:after="0"/>
              <w:rPr>
                <w:sz w:val="8"/>
                <w:szCs w:val="8"/>
                <w:color w:val="auto"/>
              </w:rPr>
            </w:pPr>
          </w:p>
        </w:tc>
        <w:tc>
          <w:tcPr>
            <w:tcW w:w="18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mUSD 5 New</w:t>
            </w:r>
          </w:p>
        </w:tc>
        <w:tc>
          <w:tcPr>
            <w:tcW w:w="19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Debt to Equity</w:t>
            </w:r>
          </w:p>
        </w:tc>
        <w:tc>
          <w:tcPr>
            <w:tcW w:w="1840" w:type="dxa"/>
            <w:vAlign w:val="bottom"/>
            <w:vMerge w:val="continue"/>
            <w:shd w:val="clear" w:color="auto" w:fill="A6A6A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600" w:type="dxa"/>
            <w:vAlign w:val="bottom"/>
            <w:shd w:val="clear" w:color="auto" w:fill="A6A6A6"/>
          </w:tcPr>
          <w:p>
            <w:pPr>
              <w:spacing w:after="0"/>
              <w:rPr>
                <w:sz w:val="10"/>
                <w:szCs w:val="10"/>
                <w:color w:val="auto"/>
              </w:rPr>
            </w:pPr>
          </w:p>
        </w:tc>
        <w:tc>
          <w:tcPr>
            <w:tcW w:w="198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September 30, 2024</w:t>
            </w:r>
          </w:p>
        </w:tc>
        <w:tc>
          <w:tcPr>
            <w:tcW w:w="1860" w:type="dxa"/>
            <w:vAlign w:val="bottom"/>
            <w:vMerge w:val="continue"/>
            <w:shd w:val="clear" w:color="auto" w:fill="A6A6A6"/>
          </w:tcPr>
          <w:p>
            <w:pPr>
              <w:spacing w:after="0"/>
              <w:rPr>
                <w:sz w:val="10"/>
                <w:szCs w:val="10"/>
                <w:color w:val="auto"/>
              </w:rPr>
            </w:pPr>
          </w:p>
        </w:tc>
        <w:tc>
          <w:tcPr>
            <w:tcW w:w="1960" w:type="dxa"/>
            <w:vAlign w:val="bottom"/>
            <w:vMerge w:val="continue"/>
            <w:shd w:val="clear" w:color="auto" w:fill="A6A6A6"/>
          </w:tcPr>
          <w:p>
            <w:pPr>
              <w:spacing w:after="0"/>
              <w:rPr>
                <w:sz w:val="10"/>
                <w:szCs w:val="10"/>
                <w:color w:val="auto"/>
              </w:rPr>
            </w:pP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Following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600" w:type="dxa"/>
            <w:vAlign w:val="bottom"/>
            <w:shd w:val="clear" w:color="auto" w:fill="A6A6A6"/>
          </w:tcPr>
          <w:p>
            <w:pPr>
              <w:spacing w:after="0"/>
              <w:rPr>
                <w:sz w:val="8"/>
                <w:szCs w:val="8"/>
                <w:color w:val="auto"/>
              </w:rPr>
            </w:pPr>
          </w:p>
        </w:tc>
        <w:tc>
          <w:tcPr>
            <w:tcW w:w="1980" w:type="dxa"/>
            <w:vAlign w:val="bottom"/>
            <w:vMerge w:val="continue"/>
            <w:shd w:val="clear" w:color="auto" w:fill="A6A6A6"/>
          </w:tcPr>
          <w:p>
            <w:pPr>
              <w:spacing w:after="0"/>
              <w:rPr>
                <w:sz w:val="8"/>
                <w:szCs w:val="8"/>
                <w:color w:val="auto"/>
              </w:rPr>
            </w:pPr>
          </w:p>
        </w:tc>
        <w:tc>
          <w:tcPr>
            <w:tcW w:w="18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Convertible Debenture</w:t>
            </w:r>
          </w:p>
        </w:tc>
        <w:tc>
          <w:tcPr>
            <w:tcW w:w="19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Conversion Adjustments</w:t>
            </w:r>
          </w:p>
        </w:tc>
        <w:tc>
          <w:tcPr>
            <w:tcW w:w="1840" w:type="dxa"/>
            <w:vAlign w:val="bottom"/>
            <w:vMerge w:val="continue"/>
            <w:shd w:val="clear" w:color="auto" w:fill="A6A6A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600" w:type="dxa"/>
            <w:vAlign w:val="bottom"/>
            <w:shd w:val="clear" w:color="auto" w:fill="A6A6A6"/>
          </w:tcPr>
          <w:p>
            <w:pPr>
              <w:spacing w:after="0"/>
              <w:rPr>
                <w:sz w:val="10"/>
                <w:szCs w:val="10"/>
                <w:color w:val="auto"/>
              </w:rPr>
            </w:pPr>
          </w:p>
        </w:tc>
        <w:tc>
          <w:tcPr>
            <w:tcW w:w="198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(unaudited)</w:t>
            </w:r>
          </w:p>
        </w:tc>
        <w:tc>
          <w:tcPr>
            <w:tcW w:w="1860" w:type="dxa"/>
            <w:vAlign w:val="bottom"/>
            <w:vMerge w:val="continue"/>
            <w:shd w:val="clear" w:color="auto" w:fill="A6A6A6"/>
          </w:tcPr>
          <w:p>
            <w:pPr>
              <w:spacing w:after="0"/>
              <w:rPr>
                <w:sz w:val="10"/>
                <w:szCs w:val="10"/>
                <w:color w:val="auto"/>
              </w:rPr>
            </w:pPr>
          </w:p>
        </w:tc>
        <w:tc>
          <w:tcPr>
            <w:tcW w:w="1960" w:type="dxa"/>
            <w:vAlign w:val="bottom"/>
            <w:vMerge w:val="continue"/>
            <w:shd w:val="clear" w:color="auto" w:fill="A6A6A6"/>
          </w:tcPr>
          <w:p>
            <w:pPr>
              <w:spacing w:after="0"/>
              <w:rPr>
                <w:sz w:val="10"/>
                <w:szCs w:val="10"/>
                <w:color w:val="auto"/>
              </w:rPr>
            </w:pPr>
          </w:p>
        </w:tc>
        <w:tc>
          <w:tcPr>
            <w:tcW w:w="184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Recapitalization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600" w:type="dxa"/>
            <w:vAlign w:val="bottom"/>
            <w:shd w:val="clear" w:color="auto" w:fill="A6A6A6"/>
          </w:tcPr>
          <w:p>
            <w:pPr>
              <w:spacing w:after="0"/>
              <w:rPr>
                <w:sz w:val="9"/>
                <w:szCs w:val="9"/>
                <w:color w:val="auto"/>
              </w:rPr>
            </w:pPr>
          </w:p>
        </w:tc>
        <w:tc>
          <w:tcPr>
            <w:tcW w:w="1980" w:type="dxa"/>
            <w:vAlign w:val="bottom"/>
            <w:vMerge w:val="continue"/>
            <w:shd w:val="clear" w:color="auto" w:fill="A6A6A6"/>
          </w:tcPr>
          <w:p>
            <w:pPr>
              <w:spacing w:after="0"/>
              <w:rPr>
                <w:sz w:val="9"/>
                <w:szCs w:val="9"/>
                <w:color w:val="auto"/>
              </w:rPr>
            </w:pPr>
          </w:p>
        </w:tc>
        <w:tc>
          <w:tcPr>
            <w:tcW w:w="18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(A)</w:t>
            </w:r>
          </w:p>
        </w:tc>
        <w:tc>
          <w:tcPr>
            <w:tcW w:w="19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1"/>
              </w:rPr>
              <w:t>(B)</w:t>
            </w:r>
          </w:p>
        </w:tc>
        <w:tc>
          <w:tcPr>
            <w:tcW w:w="1840" w:type="dxa"/>
            <w:vAlign w:val="bottom"/>
            <w:vMerge w:val="continue"/>
            <w:shd w:val="clear" w:color="auto" w:fill="A6A6A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3600" w:type="dxa"/>
            <w:vAlign w:val="bottom"/>
            <w:shd w:val="clear" w:color="auto" w:fill="A6A6A6"/>
          </w:tcPr>
          <w:p>
            <w:pPr>
              <w:spacing w:after="0"/>
              <w:rPr>
                <w:sz w:val="10"/>
                <w:szCs w:val="10"/>
                <w:color w:val="auto"/>
              </w:rPr>
            </w:pPr>
          </w:p>
        </w:tc>
        <w:tc>
          <w:tcPr>
            <w:tcW w:w="1980" w:type="dxa"/>
            <w:vAlign w:val="bottom"/>
            <w:shd w:val="clear" w:color="auto" w:fill="A6A6A6"/>
          </w:tcPr>
          <w:p>
            <w:pPr>
              <w:spacing w:after="0"/>
              <w:rPr>
                <w:sz w:val="10"/>
                <w:szCs w:val="10"/>
                <w:color w:val="auto"/>
              </w:rPr>
            </w:pPr>
          </w:p>
        </w:tc>
        <w:tc>
          <w:tcPr>
            <w:tcW w:w="1860" w:type="dxa"/>
            <w:vAlign w:val="bottom"/>
            <w:vMerge w:val="continue"/>
            <w:shd w:val="clear" w:color="auto" w:fill="A6A6A6"/>
          </w:tcPr>
          <w:p>
            <w:pPr>
              <w:spacing w:after="0"/>
              <w:rPr>
                <w:sz w:val="10"/>
                <w:szCs w:val="10"/>
                <w:color w:val="auto"/>
              </w:rPr>
            </w:pPr>
          </w:p>
        </w:tc>
        <w:tc>
          <w:tcPr>
            <w:tcW w:w="1960" w:type="dxa"/>
            <w:vAlign w:val="bottom"/>
            <w:vMerge w:val="continue"/>
            <w:shd w:val="clear" w:color="auto" w:fill="A6A6A6"/>
          </w:tcPr>
          <w:p>
            <w:pPr>
              <w:spacing w:after="0"/>
              <w:rPr>
                <w:sz w:val="10"/>
                <w:szCs w:val="10"/>
                <w:color w:val="auto"/>
              </w:rPr>
            </w:pPr>
          </w:p>
        </w:tc>
        <w:tc>
          <w:tcPr>
            <w:tcW w:w="1840" w:type="dxa"/>
            <w:vAlign w:val="bottom"/>
            <w:shd w:val="clear" w:color="auto" w:fill="A6A6A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600" w:type="dxa"/>
            <w:vAlign w:val="bottom"/>
            <w:vMerge w:val="continue"/>
          </w:tcPr>
          <w:p>
            <w:pPr>
              <w:spacing w:after="0"/>
              <w:rPr>
                <w:sz w:val="16"/>
                <w:szCs w:val="16"/>
                <w:color w:val="auto"/>
              </w:rPr>
            </w:pPr>
          </w:p>
        </w:tc>
        <w:tc>
          <w:tcPr>
            <w:tcW w:w="19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Gross loss</w:t>
            </w:r>
          </w:p>
        </w:tc>
        <w:tc>
          <w:tcPr>
            <w:tcW w:w="1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36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Cost of development expenses</w:t>
            </w:r>
          </w:p>
        </w:tc>
        <w:tc>
          <w:tcPr>
            <w:tcW w:w="19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(1,075)</w:t>
            </w:r>
          </w:p>
        </w:tc>
        <w:tc>
          <w:tcPr>
            <w:tcW w:w="18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line="187" w:lineRule="exact"/>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(4,331)</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(expenses)/income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Gain/(loss) on deconsolidation/reconsolidation</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63,549</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63,549</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Operating Income/(Loss)</w:t>
            </w:r>
          </w:p>
        </w:tc>
        <w:tc>
          <w:tcPr>
            <w:tcW w:w="1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57,773</w:t>
            </w:r>
          </w:p>
        </w:tc>
        <w:tc>
          <w:tcPr>
            <w:tcW w:w="18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57,773</w:t>
            </w:r>
          </w:p>
        </w:tc>
        <w:tc>
          <w:tcPr>
            <w:tcW w:w="0" w:type="dxa"/>
            <w:vAlign w:val="bottom"/>
          </w:tcPr>
          <w:p>
            <w:pPr>
              <w:spacing w:after="0"/>
              <w:rPr>
                <w:sz w:val="1"/>
                <w:szCs w:val="1"/>
                <w:color w:val="auto"/>
              </w:rPr>
            </w:pPr>
          </w:p>
        </w:tc>
      </w:tr>
      <w:tr>
        <w:trPr>
          <w:trHeight w:val="39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(5,496)</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Income/(Loss) before tax</w:t>
            </w:r>
          </w:p>
        </w:tc>
        <w:tc>
          <w:tcPr>
            <w:tcW w:w="1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56,414</w:t>
            </w:r>
          </w:p>
        </w:tc>
        <w:tc>
          <w:tcPr>
            <w:tcW w:w="18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(552)</w:t>
            </w:r>
          </w:p>
        </w:tc>
        <w:tc>
          <w:tcPr>
            <w:tcW w:w="1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55,860</w:t>
            </w:r>
          </w:p>
        </w:tc>
        <w:tc>
          <w:tcPr>
            <w:tcW w:w="0" w:type="dxa"/>
            <w:vAlign w:val="bottom"/>
          </w:tcPr>
          <w:p>
            <w:pPr>
              <w:spacing w:after="0"/>
              <w:rPr>
                <w:sz w:val="1"/>
                <w:szCs w:val="1"/>
                <w:color w:val="auto"/>
              </w:rPr>
            </w:pPr>
          </w:p>
        </w:tc>
      </w:tr>
      <w:tr>
        <w:trPr>
          <w:trHeight w:val="187"/>
        </w:trPr>
        <w:tc>
          <w:tcPr>
            <w:tcW w:w="360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Taxes on income</w:t>
            </w:r>
          </w:p>
        </w:tc>
        <w:tc>
          <w:tcPr>
            <w:tcW w:w="198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
              <w:spacing w:after="0" w:line="18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360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Income/(Loss) for the period</w:t>
            </w:r>
          </w:p>
        </w:tc>
        <w:tc>
          <w:tcPr>
            <w:tcW w:w="19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56,414</w:t>
            </w:r>
          </w:p>
        </w:tc>
        <w:tc>
          <w:tcPr>
            <w:tcW w:w="18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(552)</w:t>
            </w:r>
          </w:p>
        </w:tc>
        <w:tc>
          <w:tcPr>
            <w:tcW w:w="19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55,860</w:t>
            </w:r>
          </w:p>
        </w:tc>
        <w:tc>
          <w:tcPr>
            <w:tcW w:w="0" w:type="dxa"/>
            <w:vAlign w:val="bottom"/>
          </w:tcPr>
          <w:p>
            <w:pPr>
              <w:spacing w:after="0"/>
              <w:rPr>
                <w:sz w:val="1"/>
                <w:szCs w:val="1"/>
                <w:color w:val="auto"/>
              </w:rPr>
            </w:pPr>
          </w:p>
        </w:tc>
      </w:tr>
      <w:tr>
        <w:trPr>
          <w:trHeight w:val="2667"/>
        </w:trPr>
        <w:tc>
          <w:tcPr>
            <w:tcW w:w="3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600" w:type="dxa"/>
            <w:vAlign w:val="bottom"/>
            <w:shd w:val="clear" w:color="auto" w:fill="000000"/>
          </w:tcPr>
          <w:p>
            <w:pPr>
              <w:spacing w:after="0"/>
              <w:rPr>
                <w:sz w:val="5"/>
                <w:szCs w:val="5"/>
                <w:color w:val="auto"/>
              </w:rPr>
            </w:pPr>
          </w:p>
        </w:tc>
        <w:tc>
          <w:tcPr>
            <w:tcW w:w="198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196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7" w:right="3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Proforma Condensed Consolidated Balance Sheets</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A6A6A6"/>
          </w:tcPr>
          <w:p>
            <w:pPr>
              <w:spacing w:after="0"/>
              <w:rPr>
                <w:sz w:val="18"/>
                <w:szCs w:val="18"/>
                <w:color w:val="auto"/>
              </w:rPr>
            </w:pPr>
          </w:p>
        </w:tc>
        <w:tc>
          <w:tcPr>
            <w:tcW w:w="208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September 30,</w:t>
            </w:r>
          </w:p>
        </w:tc>
        <w:tc>
          <w:tcPr>
            <w:tcW w:w="3200" w:type="dxa"/>
            <w:vAlign w:val="bottom"/>
            <w:gridSpan w:val="2"/>
            <w:shd w:val="clear" w:color="auto" w:fill="A6A6A6"/>
          </w:tcPr>
          <w:p>
            <w:pPr>
              <w:jc w:val="right"/>
              <w:ind w:right="692"/>
              <w:spacing w:after="0"/>
              <w:rPr>
                <w:sz w:val="20"/>
                <w:szCs w:val="20"/>
                <w:color w:val="auto"/>
              </w:rPr>
            </w:pPr>
            <w:r>
              <w:rPr>
                <w:rFonts w:ascii="Times New Roman" w:cs="Times New Roman" w:eastAsia="Times New Roman" w:hAnsi="Times New Roman"/>
                <w:sz w:val="18"/>
                <w:szCs w:val="18"/>
                <w:b w:val="1"/>
                <w:bCs w:val="1"/>
                <w:color w:val="FFFFFF"/>
              </w:rPr>
              <w:t>Pro Forma Adjustments</w:t>
            </w:r>
          </w:p>
        </w:tc>
        <w:tc>
          <w:tcPr>
            <w:tcW w:w="166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Pro Forma Combined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shd w:val="clear" w:color="auto" w:fill="A6A6A6"/>
          </w:tcPr>
          <w:p>
            <w:pPr>
              <w:spacing w:after="0"/>
              <w:rPr>
                <w:sz w:val="17"/>
                <w:szCs w:val="17"/>
                <w:color w:val="auto"/>
              </w:rPr>
            </w:pPr>
          </w:p>
        </w:tc>
        <w:tc>
          <w:tcPr>
            <w:tcW w:w="2080" w:type="dxa"/>
            <w:vAlign w:val="bottom"/>
            <w:vMerge w:val="continue"/>
            <w:shd w:val="clear" w:color="auto" w:fill="A6A6A6"/>
          </w:tcPr>
          <w:p>
            <w:pPr>
              <w:spacing w:after="0"/>
              <w:rPr>
                <w:sz w:val="17"/>
                <w:szCs w:val="17"/>
                <w:color w:val="auto"/>
              </w:rPr>
            </w:pPr>
          </w:p>
        </w:tc>
        <w:tc>
          <w:tcPr>
            <w:tcW w:w="1640" w:type="dxa"/>
            <w:vAlign w:val="bottom"/>
            <w:shd w:val="clear" w:color="auto" w:fill="A6A6A6"/>
          </w:tcPr>
          <w:p>
            <w:pPr>
              <w:jc w:val="center"/>
              <w:ind w:right="212"/>
              <w:spacing w:after="0" w:line="199" w:lineRule="exact"/>
              <w:rPr>
                <w:sz w:val="20"/>
                <w:szCs w:val="20"/>
                <w:color w:val="auto"/>
              </w:rPr>
            </w:pPr>
            <w:r>
              <w:rPr>
                <w:rFonts w:ascii="Times New Roman" w:cs="Times New Roman" w:eastAsia="Times New Roman" w:hAnsi="Times New Roman"/>
                <w:sz w:val="18"/>
                <w:szCs w:val="18"/>
                <w:b w:val="1"/>
                <w:bCs w:val="1"/>
                <w:color w:val="FFFFFF"/>
                <w:w w:val="99"/>
              </w:rPr>
              <w:t>mUSD 5 New</w:t>
            </w:r>
          </w:p>
        </w:tc>
        <w:tc>
          <w:tcPr>
            <w:tcW w:w="1560" w:type="dxa"/>
            <w:vAlign w:val="bottom"/>
            <w:shd w:val="clear" w:color="auto" w:fill="A6A6A6"/>
          </w:tcPr>
          <w:p>
            <w:pPr>
              <w:jc w:val="center"/>
              <w:ind w:right="52"/>
              <w:spacing w:after="0" w:line="199" w:lineRule="exact"/>
              <w:rPr>
                <w:sz w:val="20"/>
                <w:szCs w:val="20"/>
                <w:color w:val="auto"/>
              </w:rPr>
            </w:pPr>
            <w:r>
              <w:rPr>
                <w:rFonts w:ascii="Times New Roman" w:cs="Times New Roman" w:eastAsia="Times New Roman" w:hAnsi="Times New Roman"/>
                <w:sz w:val="18"/>
                <w:szCs w:val="18"/>
                <w:b w:val="1"/>
                <w:bCs w:val="1"/>
                <w:color w:val="FFFFFF"/>
                <w:w w:val="97"/>
              </w:rPr>
              <w:t>Debt to Equity</w:t>
            </w:r>
          </w:p>
        </w:tc>
        <w:tc>
          <w:tcPr>
            <w:tcW w:w="1660" w:type="dxa"/>
            <w:vAlign w:val="bottom"/>
            <w:vMerge w:val="continue"/>
            <w:shd w:val="clear" w:color="auto" w:fill="A6A6A6"/>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A6A6A6"/>
          </w:tcPr>
          <w:p>
            <w:pPr>
              <w:spacing w:after="0"/>
              <w:rPr>
                <w:sz w:val="18"/>
                <w:szCs w:val="18"/>
                <w:color w:val="auto"/>
              </w:rPr>
            </w:pPr>
          </w:p>
        </w:tc>
        <w:tc>
          <w:tcPr>
            <w:tcW w:w="20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640" w:type="dxa"/>
            <w:vAlign w:val="bottom"/>
            <w:shd w:val="clear" w:color="auto" w:fill="A6A6A6"/>
          </w:tcPr>
          <w:p>
            <w:pPr>
              <w:jc w:val="center"/>
              <w:ind w:right="212"/>
              <w:spacing w:after="0"/>
              <w:rPr>
                <w:sz w:val="20"/>
                <w:szCs w:val="20"/>
                <w:color w:val="auto"/>
              </w:rPr>
            </w:pPr>
            <w:r>
              <w:rPr>
                <w:rFonts w:ascii="Times New Roman" w:cs="Times New Roman" w:eastAsia="Times New Roman" w:hAnsi="Times New Roman"/>
                <w:sz w:val="18"/>
                <w:szCs w:val="18"/>
                <w:b w:val="1"/>
                <w:bCs w:val="1"/>
                <w:color w:val="FFFFFF"/>
                <w:w w:val="98"/>
              </w:rPr>
              <w:t>Convertible</w:t>
            </w:r>
          </w:p>
        </w:tc>
        <w:tc>
          <w:tcPr>
            <w:tcW w:w="1560" w:type="dxa"/>
            <w:vAlign w:val="bottom"/>
            <w:shd w:val="clear" w:color="auto" w:fill="A6A6A6"/>
          </w:tcPr>
          <w:p>
            <w:pPr>
              <w:jc w:val="center"/>
              <w:ind w:right="52"/>
              <w:spacing w:after="0"/>
              <w:rPr>
                <w:sz w:val="20"/>
                <w:szCs w:val="20"/>
                <w:color w:val="auto"/>
              </w:rPr>
            </w:pPr>
            <w:r>
              <w:rPr>
                <w:rFonts w:ascii="Times New Roman" w:cs="Times New Roman" w:eastAsia="Times New Roman" w:hAnsi="Times New Roman"/>
                <w:sz w:val="18"/>
                <w:szCs w:val="18"/>
                <w:b w:val="1"/>
                <w:bCs w:val="1"/>
                <w:color w:val="FFFFFF"/>
                <w:w w:val="97"/>
              </w:rPr>
              <w:t>Conversion</w:t>
            </w:r>
          </w:p>
        </w:tc>
        <w:tc>
          <w:tcPr>
            <w:tcW w:w="166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following</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80" w:type="dxa"/>
            <w:vAlign w:val="bottom"/>
            <w:shd w:val="clear" w:color="auto" w:fill="A6A6A6"/>
          </w:tcPr>
          <w:p>
            <w:pPr>
              <w:spacing w:after="0"/>
              <w:rPr>
                <w:sz w:val="19"/>
                <w:szCs w:val="19"/>
                <w:color w:val="auto"/>
              </w:rPr>
            </w:pPr>
          </w:p>
        </w:tc>
        <w:tc>
          <w:tcPr>
            <w:tcW w:w="20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Unaudited</w:t>
            </w:r>
          </w:p>
        </w:tc>
        <w:tc>
          <w:tcPr>
            <w:tcW w:w="1640" w:type="dxa"/>
            <w:vAlign w:val="bottom"/>
            <w:shd w:val="clear" w:color="auto" w:fill="A6A6A6"/>
          </w:tcPr>
          <w:p>
            <w:pPr>
              <w:jc w:val="center"/>
              <w:ind w:right="212"/>
              <w:spacing w:after="0"/>
              <w:rPr>
                <w:sz w:val="20"/>
                <w:szCs w:val="20"/>
                <w:color w:val="auto"/>
              </w:rPr>
            </w:pPr>
            <w:r>
              <w:rPr>
                <w:rFonts w:ascii="Times New Roman" w:cs="Times New Roman" w:eastAsia="Times New Roman" w:hAnsi="Times New Roman"/>
                <w:sz w:val="18"/>
                <w:szCs w:val="18"/>
                <w:b w:val="1"/>
                <w:bCs w:val="1"/>
                <w:color w:val="FFFFFF"/>
                <w:w w:val="96"/>
              </w:rPr>
              <w:t>Debenture</w:t>
            </w:r>
          </w:p>
        </w:tc>
        <w:tc>
          <w:tcPr>
            <w:tcW w:w="1560" w:type="dxa"/>
            <w:vAlign w:val="bottom"/>
            <w:shd w:val="clear" w:color="auto" w:fill="A6A6A6"/>
          </w:tcPr>
          <w:p>
            <w:pPr>
              <w:jc w:val="center"/>
              <w:ind w:right="72"/>
              <w:spacing w:after="0"/>
              <w:rPr>
                <w:sz w:val="20"/>
                <w:szCs w:val="20"/>
                <w:color w:val="auto"/>
              </w:rPr>
            </w:pPr>
            <w:r>
              <w:rPr>
                <w:rFonts w:ascii="Times New Roman" w:cs="Times New Roman" w:eastAsia="Times New Roman" w:hAnsi="Times New Roman"/>
                <w:sz w:val="18"/>
                <w:szCs w:val="18"/>
                <w:b w:val="1"/>
                <w:bCs w:val="1"/>
                <w:color w:val="FFFFFF"/>
                <w:w w:val="97"/>
              </w:rPr>
              <w:t>Adjustments</w:t>
            </w:r>
          </w:p>
        </w:tc>
        <w:tc>
          <w:tcPr>
            <w:tcW w:w="166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Recapitalization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80" w:type="dxa"/>
            <w:vAlign w:val="bottom"/>
            <w:shd w:val="clear" w:color="auto" w:fill="A6A6A6"/>
          </w:tcPr>
          <w:p>
            <w:pPr>
              <w:spacing w:after="0"/>
              <w:rPr>
                <w:sz w:val="20"/>
                <w:szCs w:val="20"/>
                <w:color w:val="auto"/>
              </w:rPr>
            </w:pPr>
          </w:p>
        </w:tc>
        <w:tc>
          <w:tcPr>
            <w:tcW w:w="2080" w:type="dxa"/>
            <w:vAlign w:val="bottom"/>
            <w:shd w:val="clear" w:color="auto" w:fill="A6A6A6"/>
          </w:tcPr>
          <w:p>
            <w:pPr>
              <w:spacing w:after="0"/>
              <w:rPr>
                <w:sz w:val="20"/>
                <w:szCs w:val="20"/>
                <w:color w:val="auto"/>
              </w:rPr>
            </w:pPr>
          </w:p>
        </w:tc>
        <w:tc>
          <w:tcPr>
            <w:tcW w:w="1640" w:type="dxa"/>
            <w:vAlign w:val="bottom"/>
            <w:shd w:val="clear" w:color="auto" w:fill="A6A6A6"/>
          </w:tcPr>
          <w:p>
            <w:pPr>
              <w:jc w:val="center"/>
              <w:ind w:right="232"/>
              <w:spacing w:after="0"/>
              <w:rPr>
                <w:sz w:val="20"/>
                <w:szCs w:val="20"/>
                <w:color w:val="auto"/>
              </w:rPr>
            </w:pPr>
            <w:r>
              <w:rPr>
                <w:rFonts w:ascii="Times New Roman" w:cs="Times New Roman" w:eastAsia="Times New Roman" w:hAnsi="Times New Roman"/>
                <w:sz w:val="18"/>
                <w:szCs w:val="18"/>
                <w:b w:val="1"/>
                <w:bCs w:val="1"/>
                <w:color w:val="FFFFFF"/>
                <w:w w:val="95"/>
              </w:rPr>
              <w:t>(A)</w:t>
            </w:r>
          </w:p>
        </w:tc>
        <w:tc>
          <w:tcPr>
            <w:tcW w:w="1560" w:type="dxa"/>
            <w:vAlign w:val="bottom"/>
            <w:shd w:val="clear" w:color="auto" w:fill="A6A6A6"/>
          </w:tcPr>
          <w:p>
            <w:pPr>
              <w:jc w:val="center"/>
              <w:ind w:right="72"/>
              <w:spacing w:after="0"/>
              <w:rPr>
                <w:sz w:val="20"/>
                <w:szCs w:val="20"/>
                <w:color w:val="auto"/>
              </w:rPr>
            </w:pPr>
            <w:r>
              <w:rPr>
                <w:rFonts w:ascii="Times New Roman" w:cs="Times New Roman" w:eastAsia="Times New Roman" w:hAnsi="Times New Roman"/>
                <w:sz w:val="18"/>
                <w:szCs w:val="18"/>
                <w:b w:val="1"/>
                <w:bCs w:val="1"/>
                <w:color w:val="FFFFFF"/>
                <w:w w:val="99"/>
              </w:rPr>
              <w:t>(B)</w:t>
            </w:r>
          </w:p>
        </w:tc>
        <w:tc>
          <w:tcPr>
            <w:tcW w:w="1660" w:type="dxa"/>
            <w:vAlign w:val="bottom"/>
            <w:shd w:val="clear" w:color="auto" w:fill="A6A6A6"/>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16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color w:val="auto"/>
                <w:w w:val="97"/>
              </w:rPr>
              <w:t>kEUR</w:t>
            </w:r>
          </w:p>
        </w:tc>
        <w:tc>
          <w:tcPr>
            <w:tcW w:w="15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color w:val="auto"/>
                <w:w w:val="97"/>
              </w:rPr>
              <w:t>kEUR</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0" w:type="dxa"/>
            <w:vAlign w:val="bottom"/>
          </w:tcPr>
          <w:p>
            <w:pPr>
              <w:spacing w:after="0"/>
              <w:rPr>
                <w:sz w:val="1"/>
                <w:szCs w:val="1"/>
                <w:color w:val="auto"/>
              </w:rPr>
            </w:pPr>
          </w:p>
        </w:tc>
      </w:tr>
      <w:tr>
        <w:trPr>
          <w:trHeight w:val="39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80</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985</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rPr>
              <w:t>1,115</w:t>
            </w:r>
          </w:p>
        </w:tc>
        <w:tc>
          <w:tcPr>
            <w:tcW w:w="1640" w:type="dxa"/>
            <w:vAlign w:val="bottom"/>
            <w:tcBorders>
              <w:top w:val="single" w:sz="8" w:color="auto"/>
              <w:bottom w:val="single" w:sz="8" w:color="auto"/>
            </w:tcBorders>
          </w:tcPr>
          <w:p>
            <w:pPr>
              <w:jc w:val="right"/>
              <w:ind w:right="52"/>
              <w:spacing w:after="0" w:line="20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8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Current assets</w:t>
            </w:r>
          </w:p>
        </w:tc>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178</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424</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2,957</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4,749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rPr>
              <w:t>3,559</w:t>
            </w:r>
          </w:p>
        </w:tc>
        <w:tc>
          <w:tcPr>
            <w:tcW w:w="1640" w:type="dxa"/>
            <w:vAlign w:val="bottom"/>
            <w:tcBorders>
              <w:top w:val="single" w:sz="8" w:color="auto"/>
              <w:bottom w:val="single" w:sz="8" w:color="auto"/>
            </w:tcBorders>
          </w:tcPr>
          <w:p>
            <w:pPr>
              <w:jc w:val="right"/>
              <w:ind w:right="52"/>
              <w:spacing w:after="0" w:line="20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8,308</w:t>
            </w: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Total assets</w:t>
            </w:r>
          </w:p>
        </w:tc>
        <w:tc>
          <w:tcPr>
            <w:tcW w:w="2080" w:type="dxa"/>
            <w:vAlign w:val="bottom"/>
            <w:tcBorders>
              <w:bottom w:val="single" w:sz="8" w:color="auto"/>
            </w:tcBorders>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4,674</w:t>
            </w:r>
          </w:p>
        </w:tc>
        <w:tc>
          <w:tcPr>
            <w:tcW w:w="1640" w:type="dxa"/>
            <w:vAlign w:val="bottom"/>
            <w:tcBorders>
              <w:bottom w:val="single" w:sz="8" w:color="auto"/>
            </w:tcBorders>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rPr>
              <w:t>4,749</w:t>
            </w:r>
          </w:p>
        </w:tc>
        <w:tc>
          <w:tcPr>
            <w:tcW w:w="15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9,423</w:t>
            </w:r>
          </w:p>
        </w:tc>
        <w:tc>
          <w:tcPr>
            <w:tcW w:w="0" w:type="dxa"/>
            <w:vAlign w:val="bottom"/>
          </w:tcPr>
          <w:p>
            <w:pPr>
              <w:spacing w:after="0"/>
              <w:rPr>
                <w:sz w:val="1"/>
                <w:szCs w:val="1"/>
                <w:color w:val="auto"/>
              </w:rPr>
            </w:pPr>
          </w:p>
        </w:tc>
      </w:tr>
      <w:tr>
        <w:trPr>
          <w:trHeight w:val="39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AND LIABILITIES</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2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Subscribed capital</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10,844</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36,990</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287,904</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287,904</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(327,924)</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(328,476)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Borders>
              <w:top w:val="single" w:sz="8" w:color="auto"/>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18"/>
                <w:szCs w:val="18"/>
                <w:color w:val="auto"/>
              </w:rPr>
              <w:t>Total Equity</w:t>
            </w:r>
          </w:p>
        </w:tc>
        <w:tc>
          <w:tcPr>
            <w:tcW w:w="2080" w:type="dxa"/>
            <w:vAlign w:val="bottom"/>
            <w:tcBorders>
              <w:top w:val="single" w:sz="8" w:color="auto"/>
              <w:bottom w:val="single" w:sz="8" w:color="auto"/>
            </w:tcBorders>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rPr>
              <w:t>(29,176)</w:t>
            </w:r>
          </w:p>
        </w:tc>
        <w:tc>
          <w:tcPr>
            <w:tcW w:w="1640" w:type="dxa"/>
            <w:vAlign w:val="bottom"/>
            <w:tcBorders>
              <w:top w:val="single" w:sz="8" w:color="auto"/>
              <w:bottom w:val="single" w:sz="8" w:color="auto"/>
            </w:tcBorders>
          </w:tcPr>
          <w:p>
            <w:pPr>
              <w:jc w:val="right"/>
              <w:ind w:right="52"/>
              <w:spacing w:after="0" w:line="20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36,438</w:t>
            </w:r>
          </w:p>
        </w:tc>
        <w:tc>
          <w:tcPr>
            <w:tcW w:w="16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7,262</w:t>
            </w:r>
          </w:p>
        </w:tc>
        <w:tc>
          <w:tcPr>
            <w:tcW w:w="0" w:type="dxa"/>
            <w:vAlign w:val="bottom"/>
          </w:tcPr>
          <w:p>
            <w:pPr>
              <w:spacing w:after="0"/>
              <w:rPr>
                <w:sz w:val="1"/>
                <w:szCs w:val="1"/>
                <w:color w:val="auto"/>
              </w:rPr>
            </w:pPr>
          </w:p>
        </w:tc>
      </w:tr>
      <w:tr>
        <w:trPr>
          <w:trHeight w:val="39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938</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rPr>
              <w:t>938</w:t>
            </w:r>
          </w:p>
        </w:tc>
        <w:tc>
          <w:tcPr>
            <w:tcW w:w="1640" w:type="dxa"/>
            <w:vAlign w:val="bottom"/>
            <w:tcBorders>
              <w:top w:val="single" w:sz="8" w:color="auto"/>
              <w:bottom w:val="single" w:sz="8" w:color="auto"/>
            </w:tcBorders>
          </w:tcPr>
          <w:p>
            <w:pPr>
              <w:jc w:val="right"/>
              <w:ind w:right="52"/>
              <w:spacing w:after="0" w:line="206"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398"/>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31,689</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4,749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(36,438)</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955</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268</w:t>
            </w: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Borders>
              <w:top w:val="single" w:sz="8" w:color="auto"/>
              <w:bottom w:val="single" w:sz="8" w:color="auto"/>
            </w:tcBorders>
          </w:tcPr>
          <w:p>
            <w:pPr>
              <w:spacing w:after="0"/>
              <w:rPr>
                <w:sz w:val="17"/>
                <w:szCs w:val="17"/>
                <w:color w:val="auto"/>
              </w:rPr>
            </w:pPr>
          </w:p>
        </w:tc>
        <w:tc>
          <w:tcPr>
            <w:tcW w:w="2080" w:type="dxa"/>
            <w:vAlign w:val="bottom"/>
            <w:tcBorders>
              <w:top w:val="single" w:sz="8" w:color="auto"/>
              <w:bottom w:val="single" w:sz="8" w:color="auto"/>
            </w:tcBorders>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rPr>
              <w:t>32,912</w:t>
            </w:r>
          </w:p>
        </w:tc>
        <w:tc>
          <w:tcPr>
            <w:tcW w:w="1640" w:type="dxa"/>
            <w:vAlign w:val="bottom"/>
            <w:tcBorders>
              <w:top w:val="single" w:sz="8" w:color="auto"/>
              <w:bottom w:val="single" w:sz="8" w:color="auto"/>
            </w:tcBorders>
          </w:tcPr>
          <w:p>
            <w:pPr>
              <w:jc w:val="right"/>
              <w:ind w:right="52"/>
              <w:spacing w:after="0" w:line="206" w:lineRule="exact"/>
              <w:rPr>
                <w:sz w:val="20"/>
                <w:szCs w:val="20"/>
                <w:color w:val="auto"/>
              </w:rPr>
            </w:pPr>
            <w:r>
              <w:rPr>
                <w:rFonts w:ascii="Times New Roman" w:cs="Times New Roman" w:eastAsia="Times New Roman" w:hAnsi="Times New Roman"/>
                <w:sz w:val="18"/>
                <w:szCs w:val="18"/>
                <w:color w:val="auto"/>
              </w:rPr>
              <w:t>4,749</w:t>
            </w:r>
          </w:p>
        </w:tc>
        <w:tc>
          <w:tcPr>
            <w:tcW w:w="15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(36,438)</w:t>
            </w:r>
          </w:p>
        </w:tc>
        <w:tc>
          <w:tcPr>
            <w:tcW w:w="16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4280" w:type="dxa"/>
            <w:vAlign w:val="bottom"/>
            <w:tcBorders>
              <w:bottom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Total equity and liabilities</w:t>
            </w:r>
          </w:p>
        </w:tc>
        <w:tc>
          <w:tcPr>
            <w:tcW w:w="2080" w:type="dxa"/>
            <w:vAlign w:val="bottom"/>
            <w:tcBorders>
              <w:bottom w:val="single" w:sz="8" w:color="auto"/>
            </w:tcBorders>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4,674</w:t>
            </w:r>
          </w:p>
        </w:tc>
        <w:tc>
          <w:tcPr>
            <w:tcW w:w="1640" w:type="dxa"/>
            <w:vAlign w:val="bottom"/>
            <w:tcBorders>
              <w:bottom w:val="single" w:sz="8" w:color="auto"/>
            </w:tcBorders>
          </w:tcPr>
          <w:p>
            <w:pPr>
              <w:jc w:val="right"/>
              <w:ind w:right="52"/>
              <w:spacing w:after="0" w:line="205" w:lineRule="exact"/>
              <w:rPr>
                <w:sz w:val="20"/>
                <w:szCs w:val="20"/>
                <w:color w:val="auto"/>
              </w:rPr>
            </w:pPr>
            <w:r>
              <w:rPr>
                <w:rFonts w:ascii="Times New Roman" w:cs="Times New Roman" w:eastAsia="Times New Roman" w:hAnsi="Times New Roman"/>
                <w:sz w:val="18"/>
                <w:szCs w:val="18"/>
                <w:color w:val="auto"/>
              </w:rPr>
              <w:t>4,749</w:t>
            </w:r>
          </w:p>
        </w:tc>
        <w:tc>
          <w:tcPr>
            <w:tcW w:w="15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9,423</w:t>
            </w:r>
          </w:p>
        </w:tc>
        <w:tc>
          <w:tcPr>
            <w:tcW w:w="0" w:type="dxa"/>
            <w:vAlign w:val="bottom"/>
          </w:tcPr>
          <w:p>
            <w:pPr>
              <w:spacing w:after="0"/>
              <w:rPr>
                <w:sz w:val="1"/>
                <w:szCs w:val="1"/>
                <w:color w:val="auto"/>
              </w:rPr>
            </w:pPr>
          </w:p>
        </w:tc>
      </w:tr>
      <w:tr>
        <w:trPr>
          <w:trHeight w:val="76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280" w:type="dxa"/>
            <w:vAlign w:val="bottom"/>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-5764530</wp:posOffset>
            </wp:positionV>
            <wp:extent cx="7134860" cy="688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6889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320" w:lineRule="exact"/>
        <w:rPr>
          <w:sz w:val="20"/>
          <w:szCs w:val="20"/>
          <w:color w:val="auto"/>
        </w:rPr>
      </w:pPr>
    </w:p>
    <w:p>
      <w:pPr>
        <w:ind w:left="720" w:hanging="396"/>
        <w:spacing w:after="0"/>
        <w:tabs>
          <w:tab w:leader="none" w:pos="7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Issuance of $5 Million Debenture Adjustment</w:t>
      </w: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part of its strategic financial restructuring, Sono Group N.V. has entered into a Securities Purchase Agreement with Yorkville to issue a new secured convertible debenture with a principal amount of $5.0 million, subject to Nasdaq approving the Company’s requested uplisting to The Nasdaq Capital Market. The funding will be completed immediately prior to the uplisting.</w:t>
      </w:r>
    </w:p>
    <w:p>
      <w:pPr>
        <w:spacing w:after="0" w:line="177" w:lineRule="exact"/>
        <w:rPr>
          <w:sz w:val="20"/>
          <w:szCs w:val="20"/>
          <w:color w:val="auto"/>
        </w:rPr>
      </w:pPr>
    </w:p>
    <w:p>
      <w:pPr>
        <w:ind w:left="700" w:hanging="376"/>
        <w:spacing w:after="0"/>
        <w:tabs>
          <w:tab w:leader="none" w:pos="7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all existing debt to preferred equity</w:t>
      </w:r>
    </w:p>
    <w:p>
      <w:pPr>
        <w:spacing w:after="0" w:line="21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7"/>
          <w:szCs w:val="17"/>
          <w:color w:val="auto"/>
        </w:rPr>
        <w:t>Sono Group N.V. signed an Exchange Agreement with Yorkville to convert the newly issued debenture, along with all other existing outstanding convertible debentures, into preferred equity. The total debt being exchanged amounts to approximately $37.2 million, including the $32.2 million of previously issued convertible debentures and the $5.0 million new debenture, subject to Nasdaq approving the Company’s requested uplisting to The Nasdaq Capital Market.</w:t>
      </w:r>
    </w:p>
    <w:p>
      <w:pPr>
        <w:spacing w:after="0" w:line="16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the agreement, this debt will be converted into 1,242 newly issued preferred shares, each with a nominal value of €300. These shares are convertible into 30,000 ordinary shares post-implementation of the reverse stock split. The conversion will be completed immediately prior to the uplisting, and the resulting equity adjustment will be $37.2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1503680</wp:posOffset>
            </wp:positionV>
            <wp:extent cx="71348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41910"/>
                    </a:xfrm>
                    <a:prstGeom prst="rect">
                      <a:avLst/>
                    </a:prstGeom>
                    <a:noFill/>
                  </pic:spPr>
                </pic:pic>
              </a:graphicData>
            </a:graphic>
          </wp:anchor>
        </w:drawing>
      </w:r>
    </w:p>
    <w:sectPr>
      <w:pgSz w:w="11900" w:h="16838" w:orient="portrait"/>
      <w:cols w:equalWidth="0" w:num="1">
        <w:col w:w="11240"/>
      </w:cols>
      <w:pgMar w:left="320" w:top="2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lowerRoman"/>
      <w:start w:val="1"/>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1)"/>
      <w:numFmt w:val="lowerLetter"/>
      <w:start w:val="2"/>
    </w:lvl>
  </w:abstractNum>
  <w:abstractNum w:abstractNumId="3">
    <w:nsid w:val="542289EC"/>
    <w:multiLevelType w:val="hybridMultilevel"/>
    <w:lvl w:ilvl="0">
      <w:lvlJc w:val="left"/>
      <w:lvlText w:val="(%1)"/>
      <w:numFmt w:val="lowerLetter"/>
      <w:start w:val="4"/>
    </w:lvl>
  </w:abstractNum>
  <w:abstractNum w:abstractNumId="4">
    <w:nsid w:val="6DE91B18"/>
    <w:multiLevelType w:val="hybridMultilevel"/>
    <w:lvl w:ilvl="0">
      <w:lvlJc w:val="left"/>
      <w:lvlText w:val="%1."/>
      <w:numFmt w:val="decimal"/>
      <w:start w:val="2"/>
    </w:lvl>
    <w:lvl w:ilvl="1">
      <w:lvlJc w:val="left"/>
      <w:lvlText w:val="(%2)"/>
      <w:numFmt w:val="lowerLetter"/>
      <w:start w:val="1"/>
    </w:lvl>
  </w:abstractNum>
  <w:abstractNum w:abstractNumId="5">
    <w:nsid w:val="38437FDB"/>
    <w:multiLevelType w:val="hybridMultilevel"/>
    <w:lvl w:ilvl="0">
      <w:lvlJc w:val="left"/>
      <w:lvlText w:val="%1"/>
      <w:numFmt w:val="decimal"/>
      <w:start w:val="144"/>
    </w:lvl>
    <w:lvl w:ilvl="1">
      <w:lvlJc w:val="left"/>
      <w:lvlText w:val="%2"/>
      <w:numFmt w:val="lowerLetter"/>
      <w:start w:val="1"/>
    </w:lvl>
  </w:abstractNum>
  <w:abstractNum w:abstractNumId="6">
    <w:nsid w:val="7644A45C"/>
    <w:multiLevelType w:val="hybridMultilevel"/>
    <w:lvl w:ilvl="0">
      <w:lvlJc w:val="left"/>
      <w:lvlText w:val="(%1)"/>
      <w:numFmt w:val="lowerLetter"/>
      <w:start w:val="7"/>
    </w:lvl>
  </w:abstractNum>
  <w:abstractNum w:abstractNumId="7">
    <w:nsid w:val="32FFF902"/>
    <w:multiLevelType w:val="hybridMultilevel"/>
    <w:lvl w:ilvl="0">
      <w:lvlJc w:val="left"/>
      <w:lvlText w:val="%1."/>
      <w:numFmt w:val="decimal"/>
      <w:start w:val="3"/>
    </w:lvl>
  </w:abstractNum>
  <w:abstractNum w:abstractNumId="8">
    <w:nsid w:val="684A481A"/>
    <w:multiLevelType w:val="hybridMultilevel"/>
    <w:lvl w:ilvl="0">
      <w:lvlJc w:val="left"/>
      <w:lvlText w:val="(%1)"/>
      <w:numFmt w:val="lowerLetter"/>
      <w:start w:val="3"/>
    </w:lvl>
  </w:abstractNum>
  <w:abstractNum w:abstractNumId="9">
    <w:nsid w:val="579478FE"/>
    <w:multiLevelType w:val="hybridMultilevel"/>
    <w:lvl w:ilvl="0">
      <w:lvlJc w:val="left"/>
      <w:lvlText w:val="(%1)"/>
      <w:numFmt w:val="lowerLetter"/>
      <w:start w:val="4"/>
    </w:lvl>
  </w:abstractNum>
  <w:abstractNum w:abstractNumId="10">
    <w:nsid w:val="749ABB43"/>
    <w:multiLevelType w:val="hybridMultilevel"/>
    <w:lvl w:ilvl="0">
      <w:lvlJc w:val="left"/>
      <w:lvlText w:val="(%1)"/>
      <w:numFmt w:val="lowerLetter"/>
      <w:start w:val="9"/>
    </w:lvl>
  </w:abstractNum>
  <w:abstractNum w:abstractNumId="11">
    <w:nsid w:val="3DC240FB"/>
    <w:multiLevelType w:val="hybridMultilevel"/>
    <w:lvl w:ilvl="0">
      <w:lvlJc w:val="left"/>
      <w:lvlText w:val="(%1)"/>
      <w:numFmt w:val="lowerLetter"/>
      <w:start w:val="11"/>
    </w:lvl>
  </w:abstractNum>
  <w:abstractNum w:abstractNumId="12">
    <w:nsid w:val="1BA026FA"/>
    <w:multiLevelType w:val="hybridMultilevel"/>
    <w:lvl w:ilvl="0">
      <w:lvlJc w:val="left"/>
      <w:lvlText w:val="(%1)"/>
      <w:numFmt w:val="lowerRoman"/>
      <w:start w:val="1"/>
    </w:lvl>
  </w:abstractNum>
  <w:abstractNum w:abstractNumId="13">
    <w:nsid w:val="79A1DEAA"/>
    <w:multiLevelType w:val="hybridMultilevel"/>
    <w:lvl w:ilvl="0">
      <w:lvlJc w:val="left"/>
      <w:lvlText w:val="(%1)"/>
      <w:numFmt w:val="upperLetter"/>
      <w:start w:val="1"/>
    </w:lvl>
  </w:abstractNum>
  <w:abstractNum w:abstractNumId="14">
    <w:nsid w:val="75C6C33A"/>
    <w:multiLevelType w:val="hybridMultilevel"/>
    <w:lvl w:ilvl="0">
      <w:lvlJc w:val="left"/>
      <w:lvlText w:val="(%1)"/>
      <w:numFmt w:val="lowerRoman"/>
      <w:start w:val="2"/>
    </w:lvl>
  </w:abstractNum>
  <w:abstractNum w:abstractNumId="15">
    <w:nsid w:val="12E685FB"/>
    <w:multiLevelType w:val="hybridMultilevel"/>
    <w:lvl w:ilvl="0">
      <w:lvlJc w:val="left"/>
      <w:lvlText w:val="(%1)"/>
      <w:numFmt w:val="lowerRoman"/>
      <w:start w:val="3"/>
    </w:lvl>
  </w:abstractNum>
  <w:abstractNum w:abstractNumId="16">
    <w:nsid w:val="70C6A529"/>
    <w:multiLevelType w:val="hybridMultilevel"/>
    <w:lvl w:ilvl="0">
      <w:lvlJc w:val="left"/>
      <w:lvlText w:val="(%1)"/>
      <w:numFmt w:val="lowerRoman"/>
      <w:start w:val="5"/>
    </w:lvl>
  </w:abstractNum>
  <w:abstractNum w:abstractNumId="17">
    <w:nsid w:val="520EEDD1"/>
    <w:multiLevelType w:val="hybridMultilevel"/>
    <w:lvl w:ilvl="0">
      <w:lvlJc w:val="left"/>
      <w:lvlText w:val="(%1)"/>
      <w:numFmt w:val="lowerRoman"/>
      <w:start w:val="6"/>
    </w:lvl>
  </w:abstractNum>
  <w:abstractNum w:abstractNumId="18">
    <w:nsid w:val="374A3FE6"/>
    <w:multiLevelType w:val="hybridMultilevel"/>
    <w:lvl w:ilvl="0">
      <w:lvlJc w:val="left"/>
      <w:lvlText w:val="(%1)"/>
      <w:numFmt w:val="lowerLetter"/>
      <w:start w:val="15"/>
    </w:lvl>
  </w:abstractNum>
  <w:abstractNum w:abstractNumId="19">
    <w:nsid w:val="4F4EF005"/>
    <w:multiLevelType w:val="hybridMultilevel"/>
    <w:lvl w:ilvl="0">
      <w:lvlJc w:val="left"/>
      <w:lvlText w:val="(%1)"/>
      <w:numFmt w:val="lowerLetter"/>
      <w:start w:val="17"/>
    </w:lvl>
  </w:abstractNum>
  <w:abstractNum w:abstractNumId="20">
    <w:nsid w:val="23F9C13C"/>
    <w:multiLevelType w:val="hybridMultilevel"/>
    <w:lvl w:ilvl="0">
      <w:lvlJc w:val="left"/>
      <w:lvlText w:val="(%1)"/>
      <w:numFmt w:val="lowerLetter"/>
      <w:start w:val="20"/>
    </w:lvl>
  </w:abstractNum>
  <w:abstractNum w:abstractNumId="21">
    <w:nsid w:val="649BB77C"/>
    <w:multiLevelType w:val="hybridMultilevel"/>
    <w:lvl w:ilvl="0">
      <w:lvlJc w:val="left"/>
      <w:lvlText w:val="%1."/>
      <w:numFmt w:val="decimal"/>
      <w:start w:val="4"/>
    </w:lvl>
    <w:lvl w:ilvl="1">
      <w:lvlJc w:val="left"/>
      <w:lvlText w:val="(%2)"/>
      <w:numFmt w:val="lowerLetter"/>
      <w:start w:val="1"/>
    </w:lvl>
  </w:abstractNum>
  <w:abstractNum w:abstractNumId="22">
    <w:nsid w:val="275AC794"/>
    <w:multiLevelType w:val="hybridMultilevel"/>
    <w:lvl w:ilvl="0">
      <w:lvlJc w:val="left"/>
      <w:lvlText w:val="%1"/>
      <w:numFmt w:val="lowerLetter"/>
      <w:start w:val="1"/>
    </w:lvl>
    <w:lvl w:ilvl="1">
      <w:lvlJc w:val="left"/>
      <w:lvlText w:val="(%2)"/>
      <w:numFmt w:val="lowerLetter"/>
      <w:start w:val="5"/>
    </w:lvl>
  </w:abstractNum>
  <w:abstractNum w:abstractNumId="23">
    <w:nsid w:val="39386575"/>
    <w:multiLevelType w:val="hybridMultilevel"/>
    <w:lvl w:ilvl="0">
      <w:lvlJc w:val="left"/>
      <w:lvlText w:val="(%1)"/>
      <w:numFmt w:val="lowerLetter"/>
      <w:start w:val="9"/>
    </w:lvl>
    <w:lvl w:ilvl="1">
      <w:lvlJc w:val="left"/>
      <w:lvlText w:val="(%2)"/>
      <w:numFmt w:val="lowerLetter"/>
      <w:start w:val="7"/>
    </w:lvl>
  </w:abstractNum>
  <w:abstractNum w:abstractNumId="24">
    <w:nsid w:val="1CF10FD8"/>
    <w:multiLevelType w:val="hybridMultilevel"/>
    <w:lvl w:ilvl="0">
      <w:lvlJc w:val="left"/>
      <w:lvlText w:val="%1"/>
      <w:numFmt w:val="decimal"/>
      <w:start w:val="1"/>
    </w:lvl>
    <w:lvl w:ilvl="1">
      <w:lvlJc w:val="left"/>
      <w:lvlText w:val="(%2)"/>
      <w:numFmt w:val="lowerLetter"/>
      <w:start w:val="10"/>
    </w:lvl>
  </w:abstractNum>
  <w:abstractNum w:abstractNumId="25">
    <w:nsid w:val="180115BE"/>
    <w:multiLevelType w:val="hybridMultilevel"/>
    <w:lvl w:ilvl="0">
      <w:lvlJc w:val="left"/>
      <w:lvlText w:val="%1."/>
      <w:numFmt w:val="decimal"/>
      <w:start w:val="5"/>
    </w:lvl>
    <w:lvl w:ilvl="1">
      <w:lvlJc w:val="left"/>
      <w:lvlText w:val="(%2)"/>
      <w:numFmt w:val="lowerLetter"/>
      <w:start w:val="1"/>
    </w:lvl>
  </w:abstractNum>
  <w:abstractNum w:abstractNumId="26">
    <w:nsid w:val="235BA861"/>
    <w:multiLevelType w:val="hybridMultilevel"/>
    <w:lvl w:ilvl="0">
      <w:lvlJc w:val="left"/>
      <w:lvlText w:val="%1"/>
      <w:numFmt w:val="decimal"/>
      <w:start w:val="1"/>
    </w:lvl>
    <w:lvl w:ilvl="1">
      <w:lvlJc w:val="left"/>
      <w:lvlText w:val="(%2)"/>
      <w:numFmt w:val="lowerLetter"/>
      <w:start w:val="2"/>
    </w:lvl>
  </w:abstractNum>
  <w:abstractNum w:abstractNumId="27">
    <w:nsid w:val="47398C89"/>
    <w:multiLevelType w:val="hybridMultilevel"/>
    <w:lvl w:ilvl="0">
      <w:lvlJc w:val="left"/>
      <w:lvlText w:val="%1."/>
      <w:numFmt w:val="decimal"/>
      <w:start w:val="7"/>
    </w:lvl>
    <w:lvl w:ilvl="1">
      <w:lvlJc w:val="left"/>
      <w:lvlText w:val="%2"/>
      <w:numFmt w:val="lowerLetter"/>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1)"/>
      <w:numFmt w:val="lowerLetter"/>
      <w:start w:val="4"/>
    </w:lvl>
  </w:abstractNum>
  <w:abstractNum w:abstractNumId="30">
    <w:nsid w:val="741226BB"/>
    <w:multiLevelType w:val="hybridMultilevel"/>
    <w:lvl w:ilvl="0">
      <w:lvlJc w:val="left"/>
      <w:lvlText w:val="%1."/>
      <w:numFmt w:val="decimal"/>
      <w:start w:val="8"/>
    </w:lvl>
  </w:abstractNum>
  <w:abstractNum w:abstractNumId="31">
    <w:nsid w:val="D34B6A8"/>
    <w:multiLevelType w:val="hybridMultilevel"/>
    <w:lvl w:ilvl="0">
      <w:lvlJc w:val="left"/>
      <w:lvlText w:val="%1."/>
      <w:numFmt w:val="decimal"/>
      <w:start w:val="9"/>
    </w:lvl>
    <w:lvl w:ilvl="1">
      <w:lvlJc w:val="left"/>
      <w:lvlText w:val="(%2)"/>
      <w:numFmt w:val="lowerLetter"/>
      <w:start w:val="1"/>
    </w:lvl>
  </w:abstractNum>
  <w:abstractNum w:abstractNumId="32">
    <w:nsid w:val="10233C99"/>
    <w:multiLevelType w:val="hybridMultilevel"/>
    <w:lvl w:ilvl="0">
      <w:lvlJc w:val="left"/>
      <w:lvlText w:val="(%1)"/>
      <w:numFmt w:val="lowerLetter"/>
      <w:start w:val="3"/>
    </w:lvl>
  </w:abstractNum>
  <w:abstractNum w:abstractNumId="33">
    <w:nsid w:val="3F6AB60F"/>
    <w:multiLevelType w:val="hybridMultilevel"/>
    <w:lvl w:ilvl="0">
      <w:lvlJc w:val="left"/>
      <w:lvlText w:val="(%1)"/>
      <w:numFmt w:val="lowerLetter"/>
      <w:start w:val="6"/>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lowerLetter"/>
      <w:start w:val="8"/>
    </w:lvl>
  </w:abstractNum>
  <w:abstractNum w:abstractNumId="36">
    <w:nsid w:val="77AE35EB"/>
    <w:multiLevelType w:val="hybridMultilevel"/>
    <w:lvl w:ilvl="0">
      <w:lvlJc w:val="left"/>
      <w:lvlText w:val="(%1)"/>
      <w:numFmt w:val="lowerRoman"/>
      <w:start w:val="1"/>
    </w:lvl>
    <w:lvl w:ilvl="1">
      <w:lvlJc w:val="left"/>
      <w:lvlText w:val="(%2)"/>
      <w:numFmt w:val="lowerRoman"/>
      <w:start w:val="1"/>
    </w:lvl>
  </w:abstractNum>
  <w:abstractNum w:abstractNumId="37">
    <w:nsid w:val="579BE4F1"/>
    <w:multiLevelType w:val="hybridMultilevel"/>
    <w:lvl w:ilvl="0">
      <w:lvlJc w:val="left"/>
      <w:lvlText w:val="(%1)"/>
      <w:numFmt w:val="lowerRoman"/>
      <w:start w:val="3"/>
    </w:lvl>
  </w:abstractNum>
  <w:abstractNum w:abstractNumId="38">
    <w:nsid w:val="310C50B3"/>
    <w:multiLevelType w:val="hybridMultilevel"/>
    <w:lvl w:ilvl="0">
      <w:lvlJc w:val="left"/>
      <w:lvlText w:val="(%1)"/>
      <w:numFmt w:val="decimal"/>
      <w:start w:val="4"/>
    </w:lvl>
  </w:abstractNum>
  <w:abstractNum w:abstractNumId="39">
    <w:nsid w:val="5FF87E05"/>
    <w:multiLevelType w:val="hybridMultilevel"/>
    <w:lvl w:ilvl="0">
      <w:lvlJc w:val="left"/>
      <w:lvlText w:val="(%1)"/>
      <w:numFmt w:val="lowerRoman"/>
      <w:start w:val="11"/>
    </w:lvl>
  </w:abstractNum>
  <w:abstractNum w:abstractNumId="40">
    <w:nsid w:val="2F305DEF"/>
    <w:multiLevelType w:val="hybridMultilevel"/>
    <w:lvl w:ilvl="0">
      <w:lvlJc w:val="left"/>
      <w:lvlText w:val="(%1)"/>
      <w:numFmt w:val="decimal"/>
      <w:start w:val="2"/>
    </w:lvl>
  </w:abstractNum>
  <w:abstractNum w:abstractNumId="41">
    <w:nsid w:val="25A70BF7"/>
    <w:multiLevelType w:val="hybridMultilevel"/>
    <w:lvl w:ilvl="0">
      <w:lvlJc w:val="left"/>
      <w:lvlText w:val="(%1)"/>
      <w:numFmt w:val="decimal"/>
      <w:start w:val="10"/>
    </w:lvl>
  </w:abstractNum>
  <w:abstractNum w:abstractNumId="42">
    <w:nsid w:val="1DBABF00"/>
    <w:multiLevelType w:val="hybridMultilevel"/>
    <w:lvl w:ilvl="0">
      <w:lvlJc w:val="left"/>
      <w:lvlText w:val="(%1)"/>
      <w:numFmt w:val="lowerLetter"/>
      <w:start w:val="5"/>
    </w:lvl>
  </w:abstractNum>
  <w:abstractNum w:abstractNumId="43">
    <w:nsid w:val="4AD084E9"/>
    <w:multiLevelType w:val="hybridMultilevel"/>
    <w:lvl w:ilvl="0">
      <w:lvlJc w:val="left"/>
      <w:lvlText w:val="(%1)"/>
      <w:numFmt w:val="lowerLetter"/>
      <w:start w:val="9"/>
    </w:lvl>
  </w:abstractNum>
  <w:abstractNum w:abstractNumId="44">
    <w:nsid w:val="1F48EAA1"/>
    <w:multiLevelType w:val="hybridMultilevel"/>
    <w:lvl w:ilvl="0">
      <w:lvlJc w:val="left"/>
      <w:lvlText w:val="%1"/>
      <w:numFmt w:val="lowerLetter"/>
      <w:start w:val="1"/>
    </w:lvl>
    <w:lvl w:ilvl="1">
      <w:lvlJc w:val="left"/>
      <w:lvlText w:val="(%2)"/>
      <w:numFmt w:val="lowerLetter"/>
      <w:start w:val="13"/>
    </w:lvl>
  </w:abstractNum>
  <w:abstractNum w:abstractNumId="45">
    <w:nsid w:val="1381823A"/>
    <w:multiLevelType w:val="hybridMultilevel"/>
    <w:lvl w:ilvl="0">
      <w:lvlJc w:val="left"/>
      <w:lvlText w:val="(%1)"/>
      <w:numFmt w:val="lowerLetter"/>
      <w:start w:val="22"/>
    </w:lvl>
    <w:lvl w:ilvl="1">
      <w:lvlJc w:val="left"/>
      <w:lvlText w:val="%2"/>
      <w:numFmt w:val="lowerLetter"/>
      <w:start w:val="1"/>
    </w:lvl>
  </w:abstractNum>
  <w:abstractNum w:abstractNumId="46">
    <w:nsid w:val="5DB70AE5"/>
    <w:multiLevelType w:val="hybridMultilevel"/>
    <w:lvl w:ilvl="0">
      <w:lvlJc w:val="left"/>
      <w:lvlText w:val="(%1)"/>
      <w:numFmt w:val="lowerLetter"/>
      <w:start w:val="14"/>
    </w:lvl>
  </w:abstractNum>
  <w:abstractNum w:abstractNumId="47">
    <w:nsid w:val="100F8FCA"/>
    <w:multiLevelType w:val="hybridMultilevel"/>
    <w:lvl w:ilvl="0">
      <w:lvlJc w:val="left"/>
      <w:lvlText w:val="(%1)"/>
      <w:numFmt w:val="lowerLetter"/>
      <w:start w:val="18"/>
    </w:lvl>
  </w:abstractNum>
  <w:abstractNum w:abstractNumId="48">
    <w:nsid w:val="6590700B"/>
    <w:multiLevelType w:val="hybridMultilevel"/>
    <w:lvl w:ilvl="0">
      <w:lvlJc w:val="left"/>
      <w:lvlText w:val="(%1)"/>
      <w:numFmt w:val="lowerLetter"/>
      <w:start w:val="19"/>
    </w:lvl>
  </w:abstractNum>
  <w:abstractNum w:abstractNumId="49">
    <w:nsid w:val="15014ACB"/>
    <w:multiLevelType w:val="hybridMultilevel"/>
    <w:lvl w:ilvl="0">
      <w:lvlJc w:val="left"/>
      <w:lvlText w:val="%1."/>
      <w:numFmt w:val="decimal"/>
      <w:start w:val="1"/>
    </w:lvl>
    <w:lvl w:ilvl="1">
      <w:lvlJc w:val="left"/>
      <w:lvlText w:val="(%2)"/>
      <w:numFmt w:val="lowerLetter"/>
      <w:start w:val="1"/>
    </w:lvl>
  </w:abstractNum>
  <w:abstractNum w:abstractNumId="50">
    <w:nsid w:val="5F5E7FD0"/>
    <w:multiLevelType w:val="hybridMultilevel"/>
    <w:lvl w:ilvl="0">
      <w:lvlJc w:val="left"/>
      <w:lvlText w:val="(%1)"/>
      <w:numFmt w:val="lowerLetter"/>
      <w:start w:val="2"/>
    </w:lvl>
    <w:lvl w:ilvl="1">
      <w:lvlJc w:val="left"/>
      <w:lvlText w:val="(%2)"/>
      <w:numFmt w:val="lowerRoman"/>
      <w:start w:val="1"/>
    </w:lvl>
  </w:abstractNum>
  <w:abstractNum w:abstractNumId="51">
    <w:nsid w:val="98A3148"/>
    <w:multiLevelType w:val="hybridMultilevel"/>
    <w:lvl w:ilvl="0">
      <w:lvlJc w:val="left"/>
      <w:lvlText w:val="%1"/>
      <w:numFmt w:val="decimal"/>
      <w:start w:val="1"/>
    </w:lvl>
    <w:lvl w:ilvl="1">
      <w:lvlJc w:val="left"/>
      <w:lvlText w:val="(%2)"/>
      <w:numFmt w:val="lowerLetter"/>
      <w:start w:val="6"/>
    </w:lvl>
  </w:abstractNum>
  <w:abstractNum w:abstractNumId="52">
    <w:nsid w:val="799D0247"/>
    <w:multiLevelType w:val="hybridMultilevel"/>
    <w:lvl w:ilvl="0">
      <w:lvlJc w:val="left"/>
      <w:lvlText w:val="%1."/>
      <w:numFmt w:val="decimal"/>
      <w:start w:val="2"/>
    </w:lvl>
    <w:lvl w:ilvl="1">
      <w:lvlJc w:val="left"/>
      <w:lvlText w:val="%2"/>
      <w:numFmt w:val="lowerLetter"/>
      <w:start w:val="1"/>
    </w:lvl>
  </w:abstractNum>
  <w:abstractNum w:abstractNumId="53">
    <w:nsid w:val="6B94764"/>
    <w:multiLevelType w:val="hybridMultilevel"/>
    <w:lvl w:ilvl="0">
      <w:lvlJc w:val="left"/>
      <w:lvlText w:val="%1."/>
      <w:numFmt w:val="decimal"/>
      <w:start w:val="3"/>
    </w:lvl>
  </w:abstractNum>
  <w:abstractNum w:abstractNumId="54">
    <w:nsid w:val="42C296BD"/>
    <w:multiLevelType w:val="hybridMultilevel"/>
    <w:lvl w:ilvl="0">
      <w:lvlJc w:val="left"/>
      <w:lvlText w:val="%1."/>
      <w:numFmt w:val="decimal"/>
      <w:start w:val="4"/>
    </w:lvl>
  </w:abstractNum>
  <w:abstractNum w:abstractNumId="55">
    <w:nsid w:val="168E121F"/>
    <w:multiLevelType w:val="hybridMultilevel"/>
    <w:lvl w:ilvl="0">
      <w:lvlJc w:val="left"/>
      <w:lvlText w:val="%1."/>
      <w:numFmt w:val="decimal"/>
      <w:start w:val="12"/>
    </w:lvl>
  </w:abstractNum>
  <w:abstractNum w:abstractNumId="56">
    <w:nsid w:val="1EBA5D23"/>
    <w:multiLevelType w:val="hybridMultilevel"/>
    <w:lvl w:ilvl="0">
      <w:lvlJc w:val="left"/>
      <w:lvlText w:val="%1."/>
      <w:numFmt w:val="decimal"/>
      <w:start w:val="1"/>
    </w:lvl>
    <w:lvl w:ilvl="1">
      <w:lvlJc w:val="left"/>
      <w:lvlText w:val="(%2)"/>
      <w:numFmt w:val="lowerLetter"/>
      <w:start w:val="34"/>
    </w:lvl>
    <w:lvl w:ilvl="2">
      <w:lvlJc w:val="left"/>
      <w:lvlText w:val="(%3)"/>
      <w:numFmt w:val="lowerLetter"/>
      <w:start w:val="1"/>
    </w:lvl>
    <w:lvl w:ilvl="3">
      <w:lvlJc w:val="left"/>
      <w:lvlText w:val="%4"/>
      <w:numFmt w:val="lowerLetter"/>
      <w:start w:val="1"/>
    </w:lvl>
  </w:abstractNum>
  <w:abstractNum w:abstractNumId="57">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9"/>
    </w:lvl>
  </w:abstractNum>
  <w:abstractNum w:abstractNumId="58">
    <w:nsid w:val="5DC79EA8"/>
    <w:multiLevelType w:val="hybridMultilevel"/>
    <w:lvl w:ilvl="0">
      <w:lvlJc w:val="left"/>
      <w:lvlText w:val="%1"/>
      <w:numFmt w:val="decimal"/>
      <w:start w:val="1"/>
    </w:lvl>
    <w:lvl w:ilvl="1">
      <w:lvlJc w:val="left"/>
      <w:lvlText w:val="(%2)"/>
      <w:numFmt w:val="lowerRoman"/>
      <w:start w:val="2"/>
    </w:lvl>
  </w:abstractNum>
  <w:abstractNum w:abstractNumId="59">
    <w:nsid w:val="540A471C"/>
    <w:multiLevelType w:val="hybridMultilevel"/>
    <w:lvl w:ilvl="0">
      <w:lvlJc w:val="left"/>
      <w:lvlText w:val="%1."/>
      <w:numFmt w:val="decimal"/>
      <w:start w:val="2"/>
    </w:lvl>
    <w:lvl w:ilvl="1">
      <w:lvlJc w:val="left"/>
      <w:lvlText w:val="%2"/>
      <w:numFmt w:val="lowerRoman"/>
      <w:start w:val="1"/>
    </w:lvl>
  </w:abstractNum>
  <w:abstractNum w:abstractNumId="60">
    <w:nsid w:val="7BD3EE7B"/>
    <w:multiLevelType w:val="hybridMultilevel"/>
    <w:lvl w:ilvl="0">
      <w:lvlJc w:val="left"/>
      <w:lvlText w:val="(%1)"/>
      <w:numFmt w:val="lowerLetter"/>
      <w:start w:val="1"/>
    </w:lvl>
  </w:abstractNum>
  <w:abstractNum w:abstractNumId="61">
    <w:nsid w:val="51D9C564"/>
    <w:multiLevelType w:val="hybridMultilevel"/>
    <w:lvl w:ilvl="0">
      <w:lvlJc w:val="left"/>
      <w:lvlText w:val="(%1)"/>
      <w:numFmt w:val="lowerLetter"/>
      <w:start w:val="4"/>
    </w:lvl>
  </w:abstractNum>
  <w:abstractNum w:abstractNumId="62">
    <w:nsid w:val="613EFDC5"/>
    <w:multiLevelType w:val="hybridMultilevel"/>
    <w:lvl w:ilvl="0">
      <w:lvlJc w:val="left"/>
      <w:lvlText w:val="(%1)"/>
      <w:numFmt w:val="lowerLetter"/>
      <w:start w:val="7"/>
    </w:lvl>
  </w:abstractNum>
  <w:abstractNum w:abstractNumId="63">
    <w:nsid w:val="BF72B14"/>
    <w:multiLevelType w:val="hybridMultilevel"/>
    <w:lvl w:ilvl="0">
      <w:lvlJc w:val="left"/>
      <w:lvlText w:val="%1"/>
      <w:numFmt w:val="decimal"/>
      <w:start w:val="1"/>
    </w:lvl>
    <w:lvl w:ilvl="1">
      <w:lvlJc w:val="left"/>
      <w:lvlText w:val="(%2)"/>
      <w:numFmt w:val="lowerLetter"/>
      <w:start w:val="11"/>
    </w:lvl>
  </w:abstractNum>
  <w:abstractNum w:abstractNumId="64">
    <w:nsid w:val="11447B73"/>
    <w:multiLevelType w:val="hybridMultilevel"/>
    <w:lvl w:ilvl="0">
      <w:lvlJc w:val="left"/>
      <w:lvlText w:val="%1."/>
      <w:numFmt w:val="decimal"/>
      <w:start w:val="3"/>
    </w:lvl>
    <w:lvl w:ilvl="1">
      <w:lvlJc w:val="left"/>
      <w:lvlText w:val="%2"/>
      <w:numFmt w:val="lowerLetter"/>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2"/>
    </w:lvl>
  </w:abstractNum>
  <w:abstractNum w:abstractNumId="67">
    <w:nsid w:val="8F2B15E"/>
    <w:multiLevelType w:val="hybridMultilevel"/>
    <w:lvl w:ilvl="0">
      <w:lvlJc w:val="left"/>
      <w:lvlText w:val="(%1)"/>
      <w:numFmt w:val="lowerLetter"/>
      <w:start w:val="4"/>
    </w:lvl>
  </w:abstractNum>
  <w:abstractNum w:abstractNumId="68">
    <w:nsid w:val="1A32234B"/>
    <w:multiLevelType w:val="hybridMultilevel"/>
    <w:lvl w:ilvl="0">
      <w:lvlJc w:val="left"/>
      <w:lvlText w:val="(%1)"/>
      <w:numFmt w:val="lowerLetter"/>
      <w:start w:val="6"/>
    </w:lvl>
  </w:abstractNum>
  <w:abstractNum w:abstractNumId="69">
    <w:nsid w:val="3B0FD379"/>
    <w:multiLevelType w:val="hybridMultilevel"/>
    <w:lvl w:ilvl="0">
      <w:lvlJc w:val="left"/>
      <w:lvlText w:val="(%1)"/>
      <w:numFmt w:val="lowerLetter"/>
      <w:start w:val="8"/>
    </w:lvl>
  </w:abstractNum>
  <w:abstractNum w:abstractNumId="70">
    <w:nsid w:val="68EB2F63"/>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71">
    <w:nsid w:val="4962813B"/>
    <w:multiLevelType w:val="hybridMultilevel"/>
    <w:lvl w:ilvl="0">
      <w:lvlJc w:val="left"/>
      <w:lvlText w:val="%1"/>
      <w:numFmt w:val="lowerLetter"/>
      <w:start w:val="1"/>
    </w:lvl>
    <w:lvl w:ilvl="1">
      <w:lvlJc w:val="left"/>
      <w:lvlText w:val="(%2)"/>
      <w:numFmt w:val="lowerLetter"/>
      <w:start w:val="22"/>
    </w:lvl>
  </w:abstractNum>
  <w:abstractNum w:abstractNumId="72">
    <w:nsid w:val="60B6DF70"/>
    <w:multiLevelType w:val="hybridMultilevel"/>
    <w:lvl w:ilvl="0">
      <w:lvlJc w:val="left"/>
      <w:lvlText w:val="(%1)"/>
      <w:numFmt w:val="lowerLetter"/>
      <w:start w:val="12"/>
    </w:lvl>
    <w:lvl w:ilvl="1">
      <w:lvlJc w:val="left"/>
      <w:lvlText w:val="%2"/>
      <w:numFmt w:val="lowerLetter"/>
      <w:start w:val="1"/>
    </w:lvl>
  </w:abstractNum>
  <w:abstractNum w:abstractNumId="73">
    <w:nsid w:val="6A5EE64"/>
    <w:multiLevelType w:val="hybridMultilevel"/>
    <w:lvl w:ilvl="0">
      <w:lvlJc w:val="left"/>
      <w:lvlText w:val="%1"/>
      <w:numFmt w:val="decimal"/>
      <w:start w:val="1"/>
    </w:lvl>
    <w:lvl w:ilvl="1">
      <w:lvlJc w:val="left"/>
      <w:lvlText w:val="(%2)"/>
      <w:numFmt w:val="lowerLetter"/>
      <w:start w:val="16"/>
    </w:lvl>
  </w:abstractNum>
  <w:abstractNum w:abstractNumId="74">
    <w:nsid w:val="14330624"/>
    <w:multiLevelType w:val="hybridMultilevel"/>
    <w:lvl w:ilvl="0">
      <w:lvlJc w:val="left"/>
      <w:lvlText w:val="%1."/>
      <w:numFmt w:val="decimal"/>
      <w:start w:val="4"/>
    </w:lvl>
    <w:lvl w:ilvl="1">
      <w:lvlJc w:val="left"/>
      <w:lvlText w:val="(%2)"/>
      <w:numFmt w:val="lowerLetter"/>
      <w:start w:val="1"/>
    </w:lvl>
  </w:abstractNum>
  <w:abstractNum w:abstractNumId="75">
    <w:nsid w:val="7FFFCA11"/>
    <w:multiLevelType w:val="hybridMultilevel"/>
    <w:lvl w:ilvl="0">
      <w:lvlJc w:val="left"/>
      <w:lvlText w:val="%1"/>
      <w:numFmt w:val="lowerRoman"/>
      <w:start w:val="1"/>
    </w:lvl>
    <w:lvl w:ilvl="1">
      <w:lvlJc w:val="left"/>
      <w:lvlText w:val="(%2)"/>
      <w:numFmt w:val="lowerLetter"/>
      <w:start w:val="4"/>
    </w:lvl>
  </w:abstractNum>
  <w:abstractNum w:abstractNumId="76">
    <w:nsid w:val="1A27709E"/>
    <w:multiLevelType w:val="hybridMultilevel"/>
    <w:lvl w:ilvl="0">
      <w:lvlJc w:val="left"/>
      <w:lvlText w:val="(%1)"/>
      <w:numFmt w:val="lowerRoman"/>
      <w:start w:val="7"/>
    </w:lvl>
    <w:lvl w:ilvl="1">
      <w:lvlJc w:val="left"/>
      <w:lvlText w:val="%2"/>
      <w:numFmt w:val="lowerLetter"/>
      <w:start w:val="1"/>
    </w:lvl>
  </w:abstractNum>
  <w:abstractNum w:abstractNumId="77">
    <w:nsid w:val="71EA1109"/>
    <w:multiLevelType w:val="hybridMultilevel"/>
    <w:lvl w:ilvl="0">
      <w:lvlJc w:val="left"/>
      <w:lvlText w:val="%1"/>
      <w:numFmt w:val="decimal"/>
      <w:start w:val="1"/>
    </w:lvl>
    <w:lvl w:ilvl="1">
      <w:lvlJc w:val="left"/>
      <w:lvlText w:val="(%2)"/>
      <w:numFmt w:val="lowerLetter"/>
      <w:start w:val="7"/>
    </w:lvl>
  </w:abstractNum>
  <w:abstractNum w:abstractNumId="78">
    <w:nsid w:val="100F59DC"/>
    <w:multiLevelType w:val="hybridMultilevel"/>
    <w:lvl w:ilvl="0">
      <w:lvlJc w:val="left"/>
      <w:lvlText w:val="%1."/>
      <w:numFmt w:val="decimal"/>
      <w:start w:val="5"/>
    </w:lvl>
    <w:lvl w:ilvl="1">
      <w:lvlJc w:val="left"/>
      <w:lvlText w:val="(%2)"/>
      <w:numFmt w:val="lowerLetter"/>
      <w:start w:val="1"/>
    </w:lvl>
  </w:abstractNum>
  <w:abstractNum w:abstractNumId="79">
    <w:nsid w:val="7FB7E0AA"/>
    <w:multiLevelType w:val="hybridMultilevel"/>
    <w:lvl w:ilvl="0">
      <w:lvlJc w:val="left"/>
      <w:lvlText w:val="%1."/>
      <w:numFmt w:val="decimal"/>
      <w:start w:val="6"/>
    </w:lvl>
  </w:abstractNum>
  <w:abstractNum w:abstractNumId="80">
    <w:nsid w:val="6EB5BD4"/>
    <w:multiLevelType w:val="hybridMultilevel"/>
    <w:lvl w:ilvl="0">
      <w:lvlJc w:val="left"/>
      <w:lvlText w:val="%1."/>
      <w:numFmt w:val="decimal"/>
      <w:start w:val="7"/>
    </w:lvl>
    <w:lvl w:ilvl="1">
      <w:lvlJc w:val="left"/>
      <w:lvlText w:val="(%2)"/>
      <w:numFmt w:val="lowerLetter"/>
      <w:start w:val="1"/>
    </w:lvl>
  </w:abstractNum>
  <w:abstractNum w:abstractNumId="81">
    <w:nsid w:val="6F6DD9AC"/>
    <w:multiLevelType w:val="hybridMultilevel"/>
    <w:lvl w:ilvl="0">
      <w:lvlJc w:val="left"/>
      <w:lvlText w:val="%1"/>
      <w:numFmt w:val="decimal"/>
      <w:start w:val="1"/>
    </w:lvl>
    <w:lvl w:ilvl="1">
      <w:lvlJc w:val="left"/>
      <w:lvlText w:val="(%2)"/>
      <w:numFmt w:val="lowerLetter"/>
      <w:start w:val="3"/>
    </w:lvl>
  </w:abstractNum>
  <w:abstractNum w:abstractNumId="82">
    <w:nsid w:val="94211F2"/>
    <w:multiLevelType w:val="hybridMultilevel"/>
    <w:lvl w:ilvl="0">
      <w:lvlJc w:val="left"/>
      <w:lvlText w:val="(%1)"/>
      <w:numFmt w:val="decimal"/>
      <w:start w:val="1"/>
    </w:lvl>
    <w:lvl w:ilvl="1">
      <w:lvlJc w:val="left"/>
      <w:lvlText w:val="%2"/>
      <w:numFmt w:val="lowerLetter"/>
      <w:start w:val="1"/>
    </w:lvl>
  </w:abstractNum>
  <w:abstractNum w:abstractNumId="83">
    <w:nsid w:val="885E1B"/>
    <w:multiLevelType w:val="hybridMultilevel"/>
    <w:lvl w:ilvl="0">
      <w:lvlJc w:val="left"/>
      <w:lvlText w:val="(%1)"/>
      <w:numFmt w:val="lowerLetter"/>
      <w:start w:val="8"/>
    </w:lvl>
  </w:abstractNum>
  <w:abstractNum w:abstractNumId="84">
    <w:nsid w:val="76272110"/>
    <w:multiLevelType w:val="hybridMultilevel"/>
    <w:lvl w:ilvl="0">
      <w:lvlJc w:val="left"/>
      <w:lvlText w:val="(%1)"/>
      <w:numFmt w:val="lowerRoman"/>
      <w:start w:val="1"/>
    </w:lvl>
    <w:lvl w:ilvl="1">
      <w:lvlJc w:val="left"/>
      <w:lvlText w:val="(%2)"/>
      <w:numFmt w:val="lowerRoman"/>
      <w:start w:val="1"/>
    </w:lvl>
  </w:abstractNum>
  <w:abstractNum w:abstractNumId="85">
    <w:nsid w:val="4C04A8AF"/>
    <w:multiLevelType w:val="hybridMultilevel"/>
    <w:lvl w:ilvl="0">
      <w:lvlJc w:val="left"/>
      <w:lvlText w:val="%1"/>
      <w:numFmt w:val="lowerLetter"/>
      <w:start w:val="1"/>
    </w:lvl>
    <w:lvl w:ilvl="1">
      <w:lvlJc w:val="left"/>
      <w:lvlText w:val="(%2)"/>
      <w:numFmt w:val="lowerRoman"/>
      <w:start w:val="3"/>
    </w:lvl>
  </w:abstractNum>
  <w:abstractNum w:abstractNumId="86">
    <w:nsid w:val="1716703B"/>
    <w:multiLevelType w:val="hybridMultilevel"/>
    <w:lvl w:ilvl="0">
      <w:lvlJc w:val="left"/>
      <w:lvlText w:val="(%1)"/>
      <w:numFmt w:val="lowerLetter"/>
      <w:start w:val="10"/>
    </w:lvl>
    <w:lvl w:ilvl="1">
      <w:lvlJc w:val="left"/>
      <w:lvlText w:val="%2"/>
      <w:numFmt w:val="lowerRoman"/>
      <w:start w:val="1"/>
    </w:lvl>
  </w:abstractNum>
  <w:abstractNum w:abstractNumId="87">
    <w:nsid w:val="14E17E33"/>
    <w:multiLevelType w:val="hybridMultilevel"/>
    <w:lvl w:ilvl="0">
      <w:lvlJc w:val="left"/>
      <w:lvlText w:val="%1."/>
      <w:numFmt w:val="upperLetter"/>
      <w:start w:val="1"/>
    </w:lvl>
  </w:abstractNum>
  <w:abstractNum w:abstractNumId="88">
    <w:nsid w:val="3222E7CD"/>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2024-12-30T12:07:35Z</dcterms:created>
  <dcterms:modified xsi:type="dcterms:W3CDTF">2024-12-30T12:07:35Z</dcterms:modified>
</cp:coreProperties>
</file>