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6, 2025</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200" w:right="339" w:bottom="1440" w:gutter="0" w:footer="0" w:header="0"/>
          <w:type w:val="continuous"/>
        </w:sectPr>
      </w:pPr>
    </w:p>
    <w:p>
      <w:pPr>
        <w:spacing w:after="0" w:line="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31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31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w:t>
            </w:r>
          </w:p>
        </w:tc>
        <w:tc>
          <w:tcPr>
            <w:tcW w:w="3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4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7"/>
        </w:trPr>
        <w:tc>
          <w:tcPr>
            <w:tcW w:w="3180" w:type="dxa"/>
            <w:vAlign w:val="bottom"/>
            <w:tcBorders>
              <w:left w:val="single" w:sz="8" w:color="auto"/>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including the Company’s receipt of notice from Nasdaq that the Company has met all the applicable requirements for listing of the Company’s ordinary shares (the “Ordinary Shares”) on the Nasdaq Capital Market. The Company and Yorkville subsequently entered into five Omnibus Amendments to Transaction Documents, respectively dated February 12, 2025 (the “First Omnibus Amendment”), March 7, 2025 (the “Second Omnibus Amendment”), March 25, 2025 (the “Third Omnibus Amendment”), April 24, 2025 (the “Fourth Omnibus Amendment”) and May 26, 2025, pursuant to which the Company and Yorkville agreed to modify certain terms of the Securities Purchase Agreement and the Exchange Agreement.</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July 6, 2025, the Company and Yorkville entered into a sixth Omnibus Amendment to Transaction Documents, effective as of June 30, 2025 (the “New Omnibus Amendment”), pursuant to which the parties agreed to modify the terms of the Securities Purchase Agreement, the Exchange Agreement and certain convertible debentures previously issued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New Omnibus Amendment, the parties agreed to extend the maturity date from July 1, 2025 to August 1, 2025 for the four convertible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debentures previously issued by the Company, including the (1) Convertible Debenture issued on December 7, 2022 in the original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million (“Debenture SEV-1”), (2) Convertible Debenture issued on December 8, 2022 in the original principal amount of $10.0 million (“Debenture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SEV-2”), (3) Convertible Debenture issued on December 20, 2022 in the original principal amount of $10.0 million (“Debenture SEV-3”), and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Debenture issued on February 5, 2024 in the original principal amount of $4,317,600 (“Debenture SEV-4,” and collectively with Debenture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SEV-1, Debenture SEV-2, and Debenture SEV-3, the “Maturing Debentures”).</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New Omnibus Amendment, the parties also agreed to extend the termination dates of the Securities Purchase Agreement and the Exchange Agreement to August 1, 2025.</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Omnibus Amendment does not purport to be complete and is qualified in its entirety by the terms of the New Omnibus Amendment,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 is filed with this Current Report on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2"/>
          </w:tcPr>
          <w:p>
            <w:pPr>
              <w:spacing w:after="0"/>
              <w:rPr>
                <w:sz w:val="18"/>
                <w:szCs w:val="18"/>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76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Sixth Omnibus Amendment to Transaction Documents dated July 6, 2025</w:t>
            </w:r>
          </w:p>
        </w:tc>
      </w:tr>
      <w:tr>
        <w:trPr>
          <w:trHeight w:val="20"/>
        </w:trPr>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7"/>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c>
          <w:tcPr>
            <w:tcW w:w="4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2025</w:t>
      </w:r>
    </w:p>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left="20" w:right="320" w:firstLine="847"/>
        <w:spacing w:after="0" w:line="256"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on July 6, 2025 effective as of June 30,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(3) the Funding Commitment Letter entered into on November 17, 2023, as amended from time to time, between the Company and the Investor (the “</w:t>
      </w:r>
      <w:r>
        <w:rPr>
          <w:rFonts w:ascii="Times New Roman" w:cs="Times New Roman" w:eastAsia="Times New Roman" w:hAnsi="Times New Roman"/>
          <w:sz w:val="18"/>
          <w:szCs w:val="18"/>
          <w:u w:val="single" w:color="auto"/>
          <w:color w:val="auto"/>
        </w:rPr>
        <w:t>Funding Commitment Letter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20" w:right="3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June 30, 2025, the Investor is the holder of the following convertible debentures (among others) that have a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July 1, 2025: (1) Convertible Debenture issued on December 7, 2022 in the original principal amount of $11.1 million (“</w:t>
      </w:r>
      <w:r>
        <w:rPr>
          <w:rFonts w:ascii="Times New Roman" w:cs="Times New Roman" w:eastAsia="Times New Roman" w:hAnsi="Times New Roman"/>
          <w:sz w:val="18"/>
          <w:szCs w:val="18"/>
          <w:u w:val="single" w:color="auto"/>
          <w:color w:val="auto"/>
        </w:rPr>
        <w:t>Debenture SEV-1</w:t>
      </w:r>
      <w:r>
        <w:rPr>
          <w:rFonts w:ascii="Times New Roman" w:cs="Times New Roman" w:eastAsia="Times New Roman" w:hAnsi="Times New Roman"/>
          <w:sz w:val="18"/>
          <w:szCs w:val="18"/>
          <w:color w:val="auto"/>
        </w:rPr>
        <w:t>”), (2) Convertible Debenture issued on December 8, 2022 in the original principal amount of $10.0 million (“</w:t>
      </w:r>
      <w:r>
        <w:rPr>
          <w:rFonts w:ascii="Times New Roman" w:cs="Times New Roman" w:eastAsia="Times New Roman" w:hAnsi="Times New Roman"/>
          <w:sz w:val="18"/>
          <w:szCs w:val="18"/>
          <w:u w:val="single" w:color="auto"/>
          <w:color w:val="auto"/>
        </w:rPr>
        <w:t>Debenture SEV-2</w:t>
      </w:r>
      <w:r>
        <w:rPr>
          <w:rFonts w:ascii="Times New Roman" w:cs="Times New Roman" w:eastAsia="Times New Roman" w:hAnsi="Times New Roman"/>
          <w:sz w:val="18"/>
          <w:szCs w:val="18"/>
          <w:color w:val="auto"/>
        </w:rPr>
        <w:t>”), (3) Convertible Debenture issued on December 20, 2022 in the original principal amount of $10.0 million (“</w:t>
      </w:r>
      <w:r>
        <w:rPr>
          <w:rFonts w:ascii="Times New Roman" w:cs="Times New Roman" w:eastAsia="Times New Roman" w:hAnsi="Times New Roman"/>
          <w:sz w:val="18"/>
          <w:szCs w:val="18"/>
          <w:u w:val="single" w:color="auto"/>
          <w:color w:val="auto"/>
        </w:rPr>
        <w:t>Debenture SEV-3</w:t>
      </w:r>
      <w:r>
        <w:rPr>
          <w:rFonts w:ascii="Times New Roman" w:cs="Times New Roman" w:eastAsia="Times New Roman" w:hAnsi="Times New Roman"/>
          <w:sz w:val="18"/>
          <w:szCs w:val="18"/>
          <w:color w:val="auto"/>
        </w:rPr>
        <w:t>”), and (4) Convertible Debenture issued on February 5, 2024 in the original principal amount of $4,317,600 (“</w:t>
      </w:r>
      <w:r>
        <w:rPr>
          <w:rFonts w:ascii="Times New Roman" w:cs="Times New Roman" w:eastAsia="Times New Roman" w:hAnsi="Times New Roman"/>
          <w:sz w:val="18"/>
          <w:szCs w:val="18"/>
          <w:u w:val="single" w:color="auto"/>
          <w:color w:val="auto"/>
        </w:rPr>
        <w:t>Debenture SEV-4</w:t>
      </w:r>
      <w:r>
        <w:rPr>
          <w:rFonts w:ascii="Times New Roman" w:cs="Times New Roman" w:eastAsia="Times New Roman" w:hAnsi="Times New Roman"/>
          <w:sz w:val="18"/>
          <w:szCs w:val="18"/>
          <w:color w:val="auto"/>
        </w:rPr>
        <w:t>,” and collectively with Debenture SEV-1, Debenture SEV-2, and Debenture SEV-3, the “</w:t>
      </w:r>
      <w:r>
        <w:rPr>
          <w:rFonts w:ascii="Times New Roman" w:cs="Times New Roman" w:eastAsia="Times New Roman" w:hAnsi="Times New Roman"/>
          <w:sz w:val="18"/>
          <w:szCs w:val="18"/>
          <w:u w:val="single" w:color="auto"/>
          <w:color w:val="auto"/>
        </w:rPr>
        <w:t>Maturing Debentures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20"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Company’s efforts to satisfy all the applicable requirements for the listing of its Ordinary Shares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Capital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the Company has requested an extension to the deadline to satisfy the conditions set forth in the Exchange Agreement, and pursuant to the terms and conditions of this Amendment, the Investor agrees to such extension.</w:t>
      </w:r>
    </w:p>
    <w:p>
      <w:pPr>
        <w:spacing w:after="0" w:line="171" w:lineRule="exact"/>
        <w:rPr>
          <w:sz w:val="20"/>
          <w:szCs w:val="20"/>
          <w:color w:val="auto"/>
        </w:rPr>
      </w:pPr>
    </w:p>
    <w:p>
      <w:pPr>
        <w:jc w:val="both"/>
        <w:ind w:left="20"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pursuant to the Securities Purchase Agreement, the Investor shall have the right to terminate its obligation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Debentures thereunder if the closing has not occurred by a certain date, and the Company has requested an extension to such date, and pursuant to the terms and conditions of this Amendment, the Investor agrees to such extension.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 Exchange Agreement, and Maturing Debentures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the termination date with respect to the obligations of the Investor under the Securities Purchase Agreement set forth in Section 8 thereof shall be extended August 1, 2025.</w:t>
      </w:r>
    </w:p>
    <w:p>
      <w:pPr>
        <w:spacing w:after="0" w:line="16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the termination date with respect to the obligations of the Investor under the Exchange Agreement set forth in Section 6 thereof shall be extended August 1, 2025.</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the Maturity Date of the Matured Debentures shall be extended to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32" w:hanging="332"/>
        <w:spacing w:after="0" w:line="286"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 and the Exchange Agreement.</w:t>
      </w:r>
    </w:p>
    <w:p>
      <w:pPr>
        <w:spacing w:after="0" w:line="154"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3298190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12"/>
          </w:cols>
          <w:pgMar w:left="328" w:top="576" w:right="659" w:bottom="1440" w:gutter="0" w:footer="0" w:header="0"/>
        </w:sectPr>
      </w:pPr>
    </w:p>
    <w:bookmarkStart w:id="5" w:name="page6"/>
    <w:bookmarkEnd w:id="5"/>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37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George O’Leary</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40" w:top="819" w:right="419" w:bottom="1440" w:gutter="0" w:footer="0" w:header="0"/>
        </w:sectPr>
      </w:pPr>
    </w:p>
    <w:bookmarkStart w:id="6" w:name="page7"/>
    <w:bookmarkEnd w:id="6"/>
    <w:p>
      <w:pPr>
        <w:ind w:left="3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Rosselli</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Title: Partner</w:t>
      </w:r>
    </w:p>
    <w:sectPr>
      <w:pgSz w:w="11900" w:h="16838" w:orient="portrait"/>
      <w:cols w:equalWidth="0" w:num="1">
        <w:col w:w="9019"/>
      </w:cols>
      <w:pgMar w:left="144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2025-07-08T15:36:18Z</dcterms:created>
  <dcterms:modified xsi:type="dcterms:W3CDTF">2025-07-08T15:36:18Z</dcterms:modified>
</cp:coreProperties>
</file>