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425_083126.htm"/>
      <w:bookmarkStart w:id="1" w:name="ksf425_083126"/>
      <w:bookmarkEnd w:id="0"/>
      <w:bookmarkEnd w:id="1"/>
      <w:r>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color w:val="333333"/>
          <w:sz w:val="36"/>
        </w:rPr>
      </w:pPr>
      <w:r>
        <w:rPr>
          <w:rFonts w:ascii="Times New Roman;Times;Serif" w:hAnsi="Times New Roman;Times;Serif"/>
          <w:b/>
          <w:i w:val="false"/>
          <w:caps w:val="false"/>
          <w:smallCaps w:val="false"/>
          <w:color w:val="333333"/>
          <w:sz w:val="36"/>
        </w:rPr>
        <w:t>UNITED STATES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color w:val="333333"/>
          <w:sz w:val="36"/>
        </w:rPr>
      </w:pPr>
      <w:r>
        <w:rPr>
          <w:rFonts w:ascii="Times New Roman;Times;Serif" w:hAnsi="Times New Roman;Times;Serif"/>
          <w:b/>
          <w:i w:val="false"/>
          <w:caps w:val="false"/>
          <w:smallCaps w:val="false"/>
          <w:color w:val="333333"/>
          <w:sz w:val="36"/>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color w:val="333333"/>
          <w:sz w:val="20"/>
        </w:rPr>
      </w:pPr>
      <w:r>
        <w:rPr>
          <w:rFonts w:ascii="Times New Roman;Times;Serif" w:hAnsi="Times New Roman;Times;Serif"/>
          <w:b/>
          <w:i w:val="false"/>
          <w:caps w:val="false"/>
          <w:smallCaps w:val="false"/>
          <w:color w:val="333333"/>
          <w:sz w:val="20"/>
        </w:rPr>
        <w:t>Washington, D.C. 20549</w:t>
      </w:r>
    </w:p>
    <w:p>
      <w:pPr>
        <w:pStyle w:val="TextBody"/>
        <w:shd w:fill="FFFFFF" w:val="clear"/>
        <w:bidi w:val="0"/>
        <w:spacing w:before="0" w:after="0"/>
        <w:ind w:left="0" w:right="0" w:hanging="0"/>
        <w:jc w:val="center"/>
        <w:rPr>
          <w:caps w:val="false"/>
          <w:smallCaps w:val="false"/>
          <w:color w:val="333333"/>
        </w:rPr>
      </w:pPr>
      <w:r>
        <w:rPr>
          <w:caps w:val="false"/>
          <w:smallCaps w:val="false"/>
          <w:color w:val="333333"/>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333333"/>
          <w:sz w:val="36"/>
        </w:rPr>
      </w:pPr>
      <w:r>
        <w:rPr>
          <w:rFonts w:ascii="Times New Roman;Times;Serif" w:hAnsi="Times New Roman;Times;Serif"/>
          <w:b/>
          <w:i w:val="false"/>
          <w:caps w:val="false"/>
          <w:smallCaps w:val="false"/>
          <w:color w:val="333333"/>
          <w:sz w:val="36"/>
        </w:rPr>
        <w:t>FORM 8-K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color w:val="333333"/>
          <w:sz w:val="20"/>
        </w:rPr>
      </w:pPr>
      <w:r>
        <w:rPr>
          <w:rFonts w:ascii="Times New Roman;Times;Serif" w:hAnsi="Times New Roman;Times;Serif"/>
          <w:b/>
          <w:i w:val="false"/>
          <w:caps w:val="false"/>
          <w:smallCaps w:val="false"/>
          <w:color w:val="333333"/>
          <w:sz w:val="20"/>
        </w:rPr>
        <w:t>CURRENT REPORT</w:t>
      </w:r>
    </w:p>
    <w:p>
      <w:pPr>
        <w:pStyle w:val="TextBody"/>
        <w:shd w:fill="FFFFFF" w:val="clear"/>
        <w:bidi w:val="0"/>
        <w:spacing w:before="0" w:after="0"/>
        <w:ind w:left="0" w:right="0" w:hanging="0"/>
        <w:jc w:val="center"/>
        <w:rPr>
          <w:rFonts w:ascii="Times New Roman;Times;Serif" w:hAnsi="Times New Roman;Times;Serif"/>
          <w:b/>
          <w:i w:val="false"/>
          <w:caps w:val="false"/>
          <w:smallCaps w:val="false"/>
          <w:color w:val="333333"/>
          <w:sz w:val="20"/>
        </w:rPr>
      </w:pPr>
      <w:r>
        <w:rPr>
          <w:rFonts w:ascii="Times New Roman;Times;Serif" w:hAnsi="Times New Roman;Times;Serif"/>
          <w:b/>
          <w:i w:val="false"/>
          <w:caps w:val="false"/>
          <w:smallCaps w:val="false"/>
          <w:color w:val="333333"/>
          <w:sz w:val="20"/>
        </w:rPr>
        <w:t xml:space="preserve">PURSUANT TO SECTION 13 OR 15(D)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color w:val="333333"/>
          <w:sz w:val="20"/>
        </w:rPr>
      </w:pPr>
      <w:r>
        <w:rPr>
          <w:rFonts w:ascii="Times New Roman;Times;Serif" w:hAnsi="Times New Roman;Times;Serif"/>
          <w:b/>
          <w:i w:val="false"/>
          <w:caps w:val="false"/>
          <w:smallCaps w:val="false"/>
          <w:color w:val="333333"/>
          <w:sz w:val="20"/>
        </w:rPr>
        <w:t>OF THE SECURITIES EXCHANGE ACT OF 1934</w:t>
      </w:r>
    </w:p>
    <w:p>
      <w:pPr>
        <w:pStyle w:val="TextBody"/>
        <w:shd w:fill="FFFFFF" w:val="clear"/>
        <w:bidi w:val="0"/>
        <w:spacing w:before="0" w:after="0"/>
        <w:ind w:left="0" w:right="0" w:hanging="0"/>
        <w:jc w:val="center"/>
        <w:rPr>
          <w:caps w:val="false"/>
          <w:smallCaps w:val="false"/>
          <w:color w:val="333333"/>
        </w:rPr>
      </w:pPr>
      <w:r>
        <w:rPr>
          <w:caps w:val="false"/>
          <w:smallCaps w:val="false"/>
          <w:color w:val="333333"/>
        </w:rPr>
        <w:t> </w:t>
      </w:r>
    </w:p>
    <w:p>
      <w:pPr>
        <w:pStyle w:val="TextBody"/>
        <w:shd w:fill="FFFFFF" w:val="clear"/>
        <w:bidi w:val="0"/>
        <w:spacing w:before="0" w:after="0"/>
        <w:ind w:left="0" w:right="0" w:hanging="0"/>
        <w:jc w:val="center"/>
        <w:rPr>
          <w:caps w:val="false"/>
          <w:smallCaps w:val="false"/>
          <w:color w:val="333333"/>
        </w:rPr>
      </w:pPr>
      <w:r>
        <w:rPr>
          <w:caps w:val="false"/>
          <w:smallCaps w:val="false"/>
          <w:color w:val="333333"/>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color w:val="333333"/>
          <w:sz w:val="20"/>
        </w:rPr>
      </w:pPr>
      <w:r>
        <w:rPr>
          <w:rFonts w:ascii="Times New Roman;Times;Serif" w:hAnsi="Times New Roman;Times;Serif"/>
          <w:b/>
          <w:i w:val="false"/>
          <w:caps w:val="false"/>
          <w:smallCaps w:val="false"/>
          <w:color w:val="333333"/>
          <w:sz w:val="20"/>
        </w:rPr>
        <w:t>Date of Report (Date of earliest event reported): August 31,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333333"/>
          <w:sz w:val="20"/>
        </w:rPr>
      </w:pPr>
      <w:r>
        <w:rPr>
          <w:rFonts w:ascii="Times New Roman;Times;Serif" w:hAnsi="Times New Roman;Times;Serif"/>
          <w:b/>
          <w:i w:val="false"/>
          <w:caps w:val="false"/>
          <w:smallCaps w:val="false"/>
          <w:color w:val="333333"/>
          <w:sz w:val="48"/>
        </w:rPr>
        <w:t>Sono Group N.V.</w:t>
        <w:br/>
      </w:r>
      <w:r>
        <w:rPr>
          <w:rFonts w:ascii="Times New Roman;Times;Serif" w:hAnsi="Times New Roman;Times;Serif"/>
          <w:b/>
          <w:i w:val="false"/>
          <w:caps w:val="false"/>
          <w:smallCaps w:val="false"/>
          <w:color w:val="333333"/>
          <w:sz w:val="20"/>
        </w:rPr>
        <w:t>(Exact name of registrant as specified in its charter)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__________________________</w:t>
      </w:r>
    </w:p>
    <w:p>
      <w:pPr>
        <w:pStyle w:val="TextBody"/>
        <w:bidi w:val="0"/>
        <w:spacing w:before="0" w:after="0"/>
        <w:ind w:left="0" w:right="0" w:hanging="0"/>
        <w:jc w:val="center"/>
        <w:rPr>
          <w:caps w:val="false"/>
          <w:smallCaps w:val="false"/>
        </w:rPr>
      </w:pPr>
      <w:r>
        <w:rPr>
          <w:caps w:val="false"/>
          <w:smallCaps w:val="false"/>
        </w:rPr>
        <w:t> </w:t>
      </w:r>
    </w:p>
    <w:tbl>
      <w:tblPr>
        <w:tblW w:w="6870" w:type="dxa"/>
        <w:jc w:val="left"/>
        <w:tblInd w:w="0" w:type="dxa"/>
        <w:tblLayout w:type="fixed"/>
        <w:tblCellMar>
          <w:top w:w="0" w:type="dxa"/>
          <w:left w:w="0" w:type="dxa"/>
          <w:bottom w:w="0" w:type="dxa"/>
          <w:right w:w="0" w:type="dxa"/>
        </w:tblCellMar>
      </w:tblPr>
      <w:tblGrid>
        <w:gridCol w:w="2480"/>
        <w:gridCol w:w="2615"/>
        <w:gridCol w:w="1775"/>
      </w:tblGrid>
      <w:tr>
        <w:trPr/>
        <w:tc>
          <w:tcPr>
            <w:tcW w:w="2480" w:type="dxa"/>
            <w:tcBorders/>
            <w:vAlign w:val="center"/>
          </w:tcPr>
          <w:p>
            <w:pPr>
              <w:pStyle w:val="TableContents"/>
              <w:bidi w:val="0"/>
              <w:spacing w:before="0" w:after="0"/>
              <w:jc w:val="center"/>
              <w:rPr>
                <w:rFonts w:ascii="Times New Roman;Times;Serif" w:hAnsi="Times New Roman;Times;Serif"/>
                <w:b/>
                <w:i w:val="false"/>
                <w:caps w:val="false"/>
                <w:smallCaps w:val="false"/>
                <w:color w:val="333333"/>
                <w:sz w:val="20"/>
              </w:rPr>
            </w:pPr>
            <w:r>
              <w:rPr>
                <w:rFonts w:ascii="Times New Roman;Times;Serif" w:hAnsi="Times New Roman;Times;Serif"/>
                <w:b/>
                <w:i w:val="false"/>
                <w:caps w:val="false"/>
                <w:smallCaps w:val="false"/>
                <w:color w:val="333333"/>
                <w:sz w:val="20"/>
              </w:rPr>
              <w:t>The Netherlands</w:t>
            </w:r>
          </w:p>
        </w:tc>
        <w:tc>
          <w:tcPr>
            <w:tcW w:w="2615" w:type="dxa"/>
            <w:tcBorders/>
            <w:vAlign w:val="center"/>
          </w:tcPr>
          <w:p>
            <w:pPr>
              <w:pStyle w:val="TableContents"/>
              <w:bidi w:val="0"/>
              <w:spacing w:before="0" w:after="0"/>
              <w:jc w:val="center"/>
              <w:rPr>
                <w:rFonts w:ascii="Times New Roman;Times;Serif" w:hAnsi="Times New Roman;Times;Serif"/>
                <w:b/>
                <w:i w:val="false"/>
                <w:caps w:val="false"/>
                <w:smallCaps w:val="false"/>
                <w:color w:val="333333"/>
                <w:sz w:val="20"/>
              </w:rPr>
            </w:pPr>
            <w:r>
              <w:rPr>
                <w:rFonts w:ascii="Times New Roman;Times;Serif" w:hAnsi="Times New Roman;Times;Serif"/>
                <w:b/>
                <w:i w:val="false"/>
                <w:caps w:val="false"/>
                <w:smallCaps w:val="false"/>
                <w:color w:val="333333"/>
                <w:sz w:val="20"/>
              </w:rPr>
              <w:t>001-41066</w:t>
            </w:r>
          </w:p>
        </w:tc>
        <w:tc>
          <w:tcPr>
            <w:tcW w:w="1775" w:type="dxa"/>
            <w:tcBorders/>
            <w:vAlign w:val="center"/>
          </w:tcPr>
          <w:p>
            <w:pPr>
              <w:pStyle w:val="TableContents"/>
              <w:bidi w:val="0"/>
              <w:spacing w:before="0" w:after="0"/>
              <w:jc w:val="center"/>
              <w:rPr>
                <w:rFonts w:ascii="Times New Roman;Times;Serif" w:hAnsi="Times New Roman;Times;Serif"/>
                <w:b/>
                <w:i w:val="false"/>
                <w:caps w:val="false"/>
                <w:smallCaps w:val="false"/>
                <w:color w:val="333333"/>
                <w:sz w:val="20"/>
              </w:rPr>
            </w:pPr>
            <w:r>
              <w:rPr>
                <w:rFonts w:ascii="Times New Roman;Times;Serif" w:hAnsi="Times New Roman;Times;Serif"/>
                <w:b/>
                <w:i w:val="false"/>
                <w:caps w:val="false"/>
                <w:smallCaps w:val="false"/>
                <w:color w:val="333333"/>
                <w:sz w:val="20"/>
              </w:rPr>
              <w:t>98-1828632</w:t>
            </w:r>
          </w:p>
        </w:tc>
      </w:tr>
      <w:tr>
        <w:trPr/>
        <w:tc>
          <w:tcPr>
            <w:tcW w:w="2480" w:type="dxa"/>
            <w:tcBorders/>
            <w:vAlign w:val="center"/>
          </w:tcPr>
          <w:p>
            <w:pPr>
              <w:pStyle w:val="TableContents"/>
              <w:bidi w:val="0"/>
              <w:jc w:val="center"/>
              <w:rPr/>
            </w:pPr>
            <w:r>
              <w:rPr/>
              <w:t>(State or other jurisdiction</w:t>
            </w:r>
          </w:p>
          <w:p>
            <w:pPr>
              <w:pStyle w:val="TableContents"/>
              <w:bidi w:val="0"/>
              <w:spacing w:before="0" w:after="283"/>
              <w:jc w:val="center"/>
              <w:rPr/>
            </w:pPr>
            <w:r>
              <w:rPr/>
              <w:t>of incorporation)</w:t>
            </w:r>
          </w:p>
        </w:tc>
        <w:tc>
          <w:tcPr>
            <w:tcW w:w="2615" w:type="dxa"/>
            <w:tcBorders/>
            <w:vAlign w:val="center"/>
          </w:tcPr>
          <w:p>
            <w:pPr>
              <w:pStyle w:val="TableContents"/>
              <w:bidi w:val="0"/>
              <w:spacing w:before="0" w:after="283"/>
              <w:jc w:val="center"/>
              <w:rPr/>
            </w:pPr>
            <w:r>
              <w:rPr/>
              <w:t>(Commission File Number)</w:t>
            </w:r>
          </w:p>
        </w:tc>
        <w:tc>
          <w:tcPr>
            <w:tcW w:w="1775" w:type="dxa"/>
            <w:tcBorders/>
            <w:vAlign w:val="center"/>
          </w:tcPr>
          <w:p>
            <w:pPr>
              <w:pStyle w:val="TableContents"/>
              <w:bidi w:val="0"/>
              <w:jc w:val="center"/>
              <w:rPr/>
            </w:pPr>
            <w:r>
              <w:rPr/>
              <w:t>(IRS Employer</w:t>
            </w:r>
          </w:p>
          <w:p>
            <w:pPr>
              <w:pStyle w:val="TableContents"/>
              <w:bidi w:val="0"/>
              <w:spacing w:before="0" w:after="283"/>
              <w:jc w:val="center"/>
              <w:rPr/>
            </w:pPr>
            <w:r>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840" w:type="dxa"/>
        <w:jc w:val="left"/>
        <w:tblInd w:w="0" w:type="dxa"/>
        <w:tblLayout w:type="fixed"/>
        <w:tblCellMar>
          <w:top w:w="0" w:type="dxa"/>
          <w:left w:w="0" w:type="dxa"/>
          <w:bottom w:w="0" w:type="dxa"/>
          <w:right w:w="0" w:type="dxa"/>
        </w:tblCellMar>
      </w:tblPr>
      <w:tblGrid>
        <w:gridCol w:w="3755"/>
        <w:gridCol w:w="1085"/>
      </w:tblGrid>
      <w:tr>
        <w:trPr/>
        <w:tc>
          <w:tcPr>
            <w:tcW w:w="3755" w:type="dxa"/>
            <w:tcBorders/>
            <w:vAlign w:val="center"/>
          </w:tcPr>
          <w:p>
            <w:pPr>
              <w:pStyle w:val="TableContents"/>
              <w:bidi w:val="0"/>
              <w:jc w:val="center"/>
              <w:rPr/>
            </w:pPr>
            <w:r>
              <w:rPr/>
              <w:t>4965 Trinidad Drive</w:t>
            </w:r>
          </w:p>
          <w:p>
            <w:pPr>
              <w:pStyle w:val="TableContents"/>
              <w:bidi w:val="0"/>
              <w:spacing w:before="0" w:after="283"/>
              <w:jc w:val="center"/>
              <w:rPr/>
            </w:pPr>
            <w:r>
              <w:rPr/>
              <w:t>Land O’ Lakes, FL</w:t>
            </w:r>
          </w:p>
        </w:tc>
        <w:tc>
          <w:tcPr>
            <w:tcW w:w="1085" w:type="dxa"/>
            <w:tcBorders/>
            <w:vAlign w:val="center"/>
          </w:tcPr>
          <w:p>
            <w:pPr>
              <w:pStyle w:val="TableContents"/>
              <w:bidi w:val="0"/>
              <w:spacing w:before="0" w:after="283"/>
              <w:jc w:val="center"/>
              <w:rPr/>
            </w:pPr>
            <w:r>
              <w:rPr/>
              <w:t>34639</w:t>
            </w:r>
          </w:p>
        </w:tc>
      </w:tr>
      <w:tr>
        <w:trPr/>
        <w:tc>
          <w:tcPr>
            <w:tcW w:w="3755" w:type="dxa"/>
            <w:tcBorders/>
            <w:vAlign w:val="center"/>
          </w:tcPr>
          <w:p>
            <w:pPr>
              <w:pStyle w:val="TableContents"/>
              <w:bidi w:val="0"/>
              <w:spacing w:before="0" w:after="283"/>
              <w:jc w:val="center"/>
              <w:rPr/>
            </w:pPr>
            <w:r>
              <w:rPr/>
              <w:t>(Address of principal executive offices)</w:t>
            </w:r>
          </w:p>
        </w:tc>
        <w:tc>
          <w:tcPr>
            <w:tcW w:w="1085" w:type="dxa"/>
            <w:tcBorders/>
            <w:vAlign w:val="center"/>
          </w:tcPr>
          <w:p>
            <w:pPr>
              <w:pStyle w:val="TableContents"/>
              <w:bidi w:val="0"/>
              <w:spacing w:before="0" w:after="283"/>
              <w:jc w:val="center"/>
              <w:rPr/>
            </w:pPr>
            <w:r>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1 352-502-1191</w:t>
      </w:r>
    </w:p>
    <w:p>
      <w:pPr>
        <w:pStyle w:val="TextBody"/>
        <w:bidi w:val="0"/>
        <w:spacing w:before="0" w:after="0"/>
        <w:ind w:left="0" w:right="0" w:hanging="0"/>
        <w:jc w:val="center"/>
        <w:rPr>
          <w:rFonts w:ascii="Times New Roman;Times;Serif" w:hAnsi="Times New Roman;Times;Serif"/>
          <w:b w:val="false"/>
          <w:i w:val="false"/>
          <w:caps w:val="false"/>
          <w:smallCaps w:val="false"/>
          <w:color w:val="333333"/>
          <w:sz w:val="20"/>
        </w:rPr>
      </w:pPr>
      <w:r>
        <w:rPr>
          <w:rFonts w:ascii="Times New Roman;Times;Serif" w:hAnsi="Times New Roman;Times;Serif"/>
          <w:b w:val="false"/>
          <w:i w:val="false"/>
          <w:caps w:val="false"/>
          <w:smallCaps w:val="false"/>
          <w:color w:val="333333"/>
          <w:sz w:val="20"/>
        </w:rPr>
        <w:t>(Registrant’s telephone number, including area code)</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__________________________</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color w:val="333333"/>
          <w:sz w:val="20"/>
        </w:rPr>
      </w:pPr>
      <w:r>
        <w:rPr>
          <w:rFonts w:ascii="Times New Roman;Times;Serif" w:hAnsi="Times New Roman;Times;Serif"/>
          <w:b w:val="false"/>
          <w:i w:val="false"/>
          <w:caps w:val="false"/>
          <w:smallCaps w:val="false"/>
          <w:color w:val="333333"/>
          <w:sz w:val="20"/>
        </w:rPr>
        <w:t>Check the appropriate box below if the Form 8-K filing is intended to simultaneously satisfy the filing obligation of the registrant under any of the following provisions (see General Instruction A.2. below):</w:t>
      </w:r>
    </w:p>
    <w:p>
      <w:pPr>
        <w:pStyle w:val="TextBody"/>
        <w:shd w:fill="FFFFFF" w:val="clear"/>
        <w:bidi w:val="0"/>
        <w:spacing w:before="0" w:after="0"/>
        <w:ind w:left="0" w:right="0" w:hanging="0"/>
        <w:jc w:val="left"/>
        <w:rPr>
          <w:caps w:val="false"/>
          <w:smallCaps w:val="false"/>
          <w:color w:val="333333"/>
        </w:rPr>
      </w:pPr>
      <w:r>
        <w:rPr>
          <w:caps w:val="false"/>
          <w:smallCaps w:val="false"/>
          <w:color w:val="333333"/>
        </w:rPr>
        <w:t> </w:t>
      </w:r>
    </w:p>
    <w:tbl>
      <w:tblPr>
        <w:tblW w:w="8740" w:type="dxa"/>
        <w:jc w:val="left"/>
        <w:tblInd w:w="0" w:type="dxa"/>
        <w:tblLayout w:type="fixed"/>
        <w:tblCellMar>
          <w:top w:w="0" w:type="dxa"/>
          <w:left w:w="0" w:type="dxa"/>
          <w:bottom w:w="0" w:type="dxa"/>
          <w:right w:w="0" w:type="dxa"/>
        </w:tblCellMar>
      </w:tblPr>
      <w:tblGrid>
        <w:gridCol w:w="230"/>
        <w:gridCol w:w="8510"/>
      </w:tblGrid>
      <w:tr>
        <w:trPr/>
        <w:tc>
          <w:tcPr>
            <w:tcW w:w="230" w:type="dxa"/>
            <w:tcBorders/>
            <w:vAlign w:val="center"/>
          </w:tcPr>
          <w:p>
            <w:pPr>
              <w:pStyle w:val="TableContents"/>
              <w:bidi w:val="0"/>
              <w:spacing w:before="0" w:after="283"/>
              <w:jc w:val="left"/>
              <w:rPr/>
            </w:pPr>
            <w:r>
              <w:rPr/>
              <w:t>☒</w:t>
            </w:r>
          </w:p>
        </w:tc>
        <w:tc>
          <w:tcPr>
            <w:tcW w:w="85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Written communications pursuant to Rule 425 under the Securities Act (17 CFR 230.425)</w:t>
            </w:r>
          </w:p>
        </w:tc>
      </w:tr>
    </w:tbl>
    <w:p>
      <w:pPr>
        <w:pStyle w:val="TextBody"/>
        <w:shd w:fill="FFFFFF" w:val="clear"/>
        <w:bidi w:val="0"/>
        <w:spacing w:before="0" w:after="0"/>
        <w:ind w:left="0" w:right="0" w:hanging="0"/>
        <w:jc w:val="left"/>
        <w:rPr>
          <w:caps w:val="false"/>
          <w:smallCaps w:val="false"/>
          <w:color w:val="333333"/>
        </w:rPr>
      </w:pPr>
      <w:r>
        <w:rPr>
          <w:caps w:val="false"/>
          <w:smallCaps w:val="false"/>
          <w:color w:val="333333"/>
        </w:rPr>
        <w:t> </w:t>
      </w:r>
    </w:p>
    <w:tbl>
      <w:tblPr>
        <w:tblW w:w="8770" w:type="dxa"/>
        <w:jc w:val="left"/>
        <w:tblInd w:w="0" w:type="dxa"/>
        <w:tblLayout w:type="fixed"/>
        <w:tblCellMar>
          <w:top w:w="0" w:type="dxa"/>
          <w:left w:w="0" w:type="dxa"/>
          <w:bottom w:w="0" w:type="dxa"/>
          <w:right w:w="0" w:type="dxa"/>
        </w:tblCellMar>
      </w:tblPr>
      <w:tblGrid>
        <w:gridCol w:w="230"/>
        <w:gridCol w:w="8540"/>
      </w:tblGrid>
      <w:tr>
        <w:trPr/>
        <w:tc>
          <w:tcPr>
            <w:tcW w:w="230" w:type="dxa"/>
            <w:tcBorders/>
            <w:vAlign w:val="center"/>
          </w:tcPr>
          <w:p>
            <w:pPr>
              <w:pStyle w:val="TableContents"/>
              <w:bidi w:val="0"/>
              <w:spacing w:before="0" w:after="283"/>
              <w:jc w:val="left"/>
              <w:rPr/>
            </w:pPr>
            <w:r>
              <w:rPr/>
              <w:t>☐</w:t>
            </w:r>
          </w:p>
        </w:tc>
        <w:tc>
          <w:tcPr>
            <w:tcW w:w="8540" w:type="dxa"/>
            <w:tcBorders/>
            <w:vAlign w:val="center"/>
          </w:tcPr>
          <w:p>
            <w:pPr>
              <w:pStyle w:val="TableContents"/>
              <w:bidi w:val="0"/>
              <w:spacing w:before="0" w:after="283"/>
              <w:jc w:val="left"/>
              <w:rPr/>
            </w:pPr>
            <w:r>
              <w:rPr/>
              <w:t>Soliciting material pursuant to Rule 14a-12 under the Exchange Act (17 CFR 240.14a-12)</w:t>
            </w:r>
          </w:p>
        </w:tc>
      </w:tr>
    </w:tbl>
    <w:p>
      <w:pPr>
        <w:pStyle w:val="TextBody"/>
        <w:shd w:fill="FFFFFF" w:val="clear"/>
        <w:bidi w:val="0"/>
        <w:spacing w:before="0" w:after="0"/>
        <w:ind w:left="0" w:right="0" w:hanging="0"/>
        <w:jc w:val="left"/>
        <w:rPr>
          <w:caps w:val="false"/>
          <w:smallCaps w:val="false"/>
          <w:color w:val="333333"/>
        </w:rPr>
      </w:pPr>
      <w:r>
        <w:rPr>
          <w:caps w:val="false"/>
          <w:smallCaps w:val="false"/>
          <w:color w:val="333333"/>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Pre-commencement communications pursuant to Rule 14d-2(b) under the Exchange Act (17 CFR 240.14d-2(b))</w:t>
            </w:r>
          </w:p>
        </w:tc>
      </w:tr>
    </w:tbl>
    <w:p>
      <w:pPr>
        <w:pStyle w:val="TextBody"/>
        <w:shd w:fill="FFFFFF" w:val="clear"/>
        <w:bidi w:val="0"/>
        <w:spacing w:before="0" w:after="0"/>
        <w:ind w:left="0" w:right="0" w:hanging="0"/>
        <w:jc w:val="left"/>
        <w:rPr>
          <w:caps w:val="false"/>
          <w:smallCaps w:val="false"/>
          <w:color w:val="333333"/>
        </w:rPr>
      </w:pPr>
      <w:r>
        <w:rPr>
          <w:caps w:val="false"/>
          <w:smallCaps w:val="false"/>
          <w:color w:val="333333"/>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shd w:fill="FFFFFF" w:val="clear"/>
        <w:bidi w:val="0"/>
        <w:spacing w:before="0" w:after="0"/>
        <w:ind w:left="0" w:right="0" w:hanging="0"/>
        <w:jc w:val="left"/>
        <w:rPr>
          <w:caps w:val="false"/>
          <w:smallCaps w:val="false"/>
          <w:color w:val="333333"/>
        </w:rPr>
      </w:pPr>
      <w:r>
        <w:rPr>
          <w:caps w:val="false"/>
          <w:smallCaps w:val="false"/>
          <w:color w:val="333333"/>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color w:val="333333"/>
          <w:sz w:val="20"/>
        </w:rPr>
      </w:pPr>
      <w:r>
        <w:rPr>
          <w:rFonts w:ascii="Times New Roman;Times;Serif" w:hAnsi="Times New Roman;Times;Serif"/>
          <w:b w:val="false"/>
          <w:i w:val="false"/>
          <w:caps w:val="false"/>
          <w:smallCaps w:val="false"/>
          <w:color w:val="333333"/>
          <w:sz w:val="20"/>
        </w:rPr>
        <w:t>Securities registered pursuant to Section 12(b) of the Act:</w:t>
      </w:r>
    </w:p>
    <w:p>
      <w:pPr>
        <w:pStyle w:val="TextBody"/>
        <w:shd w:fill="FFFFFF" w:val="clear"/>
        <w:bidi w:val="0"/>
        <w:spacing w:before="0" w:after="0"/>
        <w:ind w:left="0" w:right="0" w:hanging="0"/>
        <w:jc w:val="left"/>
        <w:rPr>
          <w:caps w:val="false"/>
          <w:smallCaps w:val="false"/>
          <w:color w:val="333333"/>
        </w:rPr>
      </w:pPr>
      <w:r>
        <w:rPr>
          <w:caps w:val="false"/>
          <w:smallCaps w:val="false"/>
          <w:color w:val="333333"/>
        </w:rPr>
        <w:t> </w:t>
      </w:r>
    </w:p>
    <w:tbl>
      <w:tblPr>
        <w:tblW w:w="6615" w:type="dxa"/>
        <w:jc w:val="left"/>
        <w:tblInd w:w="-10" w:type="dxa"/>
        <w:tblLayout w:type="fixed"/>
        <w:tblCellMar>
          <w:top w:w="28" w:type="dxa"/>
          <w:left w:w="28" w:type="dxa"/>
          <w:bottom w:w="28" w:type="dxa"/>
          <w:right w:w="28" w:type="dxa"/>
        </w:tblCellMar>
      </w:tblPr>
      <w:tblGrid>
        <w:gridCol w:w="1490"/>
        <w:gridCol w:w="1535"/>
        <w:gridCol w:w="3590"/>
      </w:tblGrid>
      <w:tr>
        <w:trPr/>
        <w:tc>
          <w:tcPr>
            <w:tcW w:w="149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color w:val="333333"/>
                <w:sz w:val="20"/>
              </w:rPr>
            </w:pPr>
            <w:r>
              <w:rPr>
                <w:rFonts w:ascii="Times New Roman;Times;Serif" w:hAnsi="Times New Roman;Times;Serif"/>
                <w:b w:val="false"/>
                <w:i w:val="false"/>
                <w:caps w:val="false"/>
                <w:smallCaps w:val="false"/>
                <w:color w:val="333333"/>
                <w:sz w:val="20"/>
              </w:rPr>
              <w:t>Title of each class</w:t>
            </w:r>
          </w:p>
        </w:tc>
        <w:tc>
          <w:tcPr>
            <w:tcW w:w="15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333333"/>
                <w:sz w:val="20"/>
              </w:rPr>
            </w:pPr>
            <w:r>
              <w:rPr>
                <w:rFonts w:ascii="Times New Roman;Times;Serif" w:hAnsi="Times New Roman;Times;Serif"/>
                <w:b w:val="false"/>
                <w:i w:val="false"/>
                <w:caps w:val="false"/>
                <w:smallCaps w:val="false"/>
                <w:color w:val="333333"/>
                <w:sz w:val="20"/>
              </w:rPr>
              <w:t>Trading Symbol(s)</w:t>
            </w:r>
          </w:p>
        </w:tc>
        <w:tc>
          <w:tcPr>
            <w:tcW w:w="359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333333"/>
                <w:sz w:val="20"/>
              </w:rPr>
            </w:pPr>
            <w:r>
              <w:rPr>
                <w:rFonts w:ascii="Times New Roman;Times;Serif" w:hAnsi="Times New Roman;Times;Serif"/>
                <w:b w:val="false"/>
                <w:i w:val="false"/>
                <w:caps w:val="false"/>
                <w:smallCaps w:val="false"/>
                <w:color w:val="333333"/>
                <w:sz w:val="20"/>
              </w:rPr>
              <w:t>Name of each exchange on which registered</w:t>
            </w:r>
          </w:p>
        </w:tc>
      </w:tr>
      <w:tr>
        <w:trPr/>
        <w:tc>
          <w:tcPr>
            <w:tcW w:w="14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333333"/>
                <w:sz w:val="20"/>
              </w:rPr>
            </w:pPr>
            <w:r>
              <w:rPr>
                <w:rFonts w:ascii="Times New Roman;Times;Serif" w:hAnsi="Times New Roman;Times;Serif"/>
                <w:b w:val="false"/>
                <w:i w:val="false"/>
                <w:caps w:val="false"/>
                <w:smallCaps w:val="false"/>
                <w:color w:val="333333"/>
                <w:sz w:val="20"/>
              </w:rPr>
              <w:t>Ordinary shares</w:t>
            </w:r>
          </w:p>
        </w:tc>
        <w:tc>
          <w:tcPr>
            <w:tcW w:w="15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333333"/>
                <w:sz w:val="20"/>
              </w:rPr>
            </w:pPr>
            <w:r>
              <w:rPr>
                <w:rFonts w:ascii="Times New Roman;Times;Serif" w:hAnsi="Times New Roman;Times;Serif"/>
                <w:b w:val="false"/>
                <w:i w:val="false"/>
                <w:caps w:val="false"/>
                <w:smallCaps w:val="false"/>
                <w:color w:val="333333"/>
                <w:sz w:val="20"/>
              </w:rPr>
              <w:t>SSM</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333333"/>
                <w:sz w:val="20"/>
              </w:rPr>
            </w:pPr>
            <w:r>
              <w:rPr>
                <w:rFonts w:ascii="Times New Roman;Times;Serif" w:hAnsi="Times New Roman;Times;Serif"/>
                <w:b w:val="false"/>
                <w:i w:val="false"/>
                <w:caps w:val="false"/>
                <w:smallCaps w:val="false"/>
                <w:color w:val="333333"/>
                <w:sz w:val="20"/>
              </w:rPr>
              <w:t>The Nasdaq Stock Market LLC</w:t>
            </w:r>
          </w:p>
        </w:tc>
      </w:tr>
    </w:tbl>
    <w:p>
      <w:pPr>
        <w:pStyle w:val="TextBody"/>
        <w:shd w:fill="FFFFFF" w:val="clear"/>
        <w:bidi w:val="0"/>
        <w:spacing w:before="0" w:after="0"/>
        <w:ind w:left="0" w:right="0" w:hanging="0"/>
        <w:jc w:val="left"/>
        <w:rPr>
          <w:caps w:val="false"/>
          <w:smallCaps w:val="false"/>
          <w:color w:val="333333"/>
        </w:rPr>
      </w:pPr>
      <w:r>
        <w:rPr>
          <w:caps w:val="false"/>
          <w:smallCaps w:val="false"/>
          <w:color w:val="333333"/>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color w:val="333333"/>
          <w:sz w:val="20"/>
        </w:rPr>
      </w:pPr>
      <w:r>
        <w:rPr>
          <w:rFonts w:ascii="Times New Roman;Times;Serif" w:hAnsi="Times New Roman;Times;Serif"/>
          <w:b w:val="false"/>
          <w:i w:val="false"/>
          <w:caps w:val="false"/>
          <w:smallCaps w:val="false"/>
          <w:color w:val="333333"/>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hd w:fill="FFFFFF" w:val="clear"/>
        <w:bidi w:val="0"/>
        <w:spacing w:before="0" w:after="0"/>
        <w:ind w:left="0" w:right="0" w:hanging="0"/>
        <w:jc w:val="left"/>
        <w:rPr>
          <w:caps w:val="false"/>
          <w:smallCaps w:val="false"/>
          <w:color w:val="333333"/>
        </w:rPr>
      </w:pPr>
      <w:r>
        <w:rPr>
          <w:caps w:val="false"/>
          <w:smallCaps w:val="false"/>
          <w:color w:val="333333"/>
        </w:rPr>
        <w:t> </w:t>
      </w:r>
    </w:p>
    <w:p>
      <w:pPr>
        <w:pStyle w:val="TextBody"/>
        <w:shd w:fill="FFFFFF" w:val="clear"/>
        <w:bidi w:val="0"/>
        <w:spacing w:before="0" w:after="0"/>
        <w:ind w:left="0" w:right="0" w:hanging="0"/>
        <w:jc w:val="right"/>
        <w:rPr>
          <w:rFonts w:ascii="Calibri;Helvetica;Sans-Serif" w:hAnsi="Calibri;Helvetica;Sans-Serif"/>
          <w:b w:val="false"/>
          <w:i w:val="false"/>
          <w:caps w:val="false"/>
          <w:smallCaps w:val="false"/>
          <w:color w:val="333333"/>
          <w:sz w:val="20"/>
        </w:rPr>
      </w:pPr>
      <w:r>
        <w:rPr>
          <w:rFonts w:ascii="Times New Roman;Times;Serif" w:hAnsi="Times New Roman;Times;Serif"/>
          <w:b w:val="false"/>
          <w:i w:val="false"/>
          <w:caps w:val="false"/>
          <w:smallCaps w:val="false"/>
          <w:color w:val="333333"/>
          <w:sz w:val="20"/>
        </w:rPr>
        <w:t xml:space="preserve">Emerging growth company </w:t>
      </w:r>
      <w:r>
        <w:rPr>
          <w:rFonts w:ascii="Calibri;Helvetica;Sans-Serif" w:hAnsi="Calibri;Helvetica;Sans-Serif"/>
          <w:b w:val="false"/>
          <w:i w:val="false"/>
          <w:caps w:val="false"/>
          <w:smallCaps w:val="false"/>
          <w:color w:val="333333"/>
          <w:sz w:val="20"/>
        </w:rPr>
        <w:t>☒</w:t>
      </w:r>
    </w:p>
    <w:p>
      <w:pPr>
        <w:pStyle w:val="TextBody"/>
        <w:shd w:fill="FFFFFF" w:val="clear"/>
        <w:bidi w:val="0"/>
        <w:spacing w:before="0" w:after="0"/>
        <w:ind w:left="0" w:right="0" w:hanging="0"/>
        <w:jc w:val="right"/>
        <w:rPr>
          <w:caps w:val="false"/>
          <w:smallCaps w:val="false"/>
          <w:color w:val="333333"/>
        </w:rPr>
      </w:pPr>
      <w:r>
        <w:rPr>
          <w:caps w:val="false"/>
          <w:smallCaps w:val="false"/>
          <w:color w:val="333333"/>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color w:val="333333"/>
          <w:sz w:val="20"/>
        </w:rPr>
      </w:pPr>
      <w:r>
        <w:rPr>
          <w:rFonts w:ascii="Times New Roman;Times;Serif" w:hAnsi="Times New Roman;Times;Serif"/>
          <w:b w:val="false"/>
          <w:i w:val="false"/>
          <w:caps w:val="false"/>
          <w:smallCaps w:val="false"/>
          <w:color w:val="333333"/>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hd w:fill="FFFFFF" w:val="clear"/>
        <w:bidi w:val="0"/>
        <w:spacing w:before="0" w:after="0"/>
        <w:ind w:left="0" w:right="0" w:hanging="0"/>
        <w:jc w:val="left"/>
        <w:rPr>
          <w:caps w:val="false"/>
          <w:smallCaps w:val="false"/>
          <w:color w:val="333333"/>
        </w:rPr>
      </w:pPr>
      <w:r>
        <w:rPr>
          <w:caps w:val="false"/>
          <w:smallCaps w:val="false"/>
          <w:color w:val="333333"/>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color w:val="333333"/>
        </w:rPr>
      </w:pPr>
      <w:r>
        <w:rPr>
          <w:caps w:val="false"/>
          <w:smallCaps w:val="false"/>
          <w:color w:val="333333"/>
        </w:rPr>
        <w:t> </w:t>
      </w:r>
    </w:p>
    <w:tbl>
      <w:tblPr>
        <w:tblW w:w="5478" w:type="dxa"/>
        <w:jc w:val="left"/>
        <w:tblInd w:w="0" w:type="dxa"/>
        <w:tblLayout w:type="fixed"/>
        <w:tblCellMar>
          <w:top w:w="0" w:type="dxa"/>
          <w:left w:w="0" w:type="dxa"/>
          <w:bottom w:w="0" w:type="dxa"/>
          <w:right w:w="0" w:type="dxa"/>
        </w:tblCellMar>
      </w:tblPr>
      <w:tblGrid>
        <w:gridCol w:w="38"/>
        <w:gridCol w:w="965"/>
        <w:gridCol w:w="447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1.01</w:t>
            </w:r>
          </w:p>
        </w:tc>
        <w:tc>
          <w:tcPr>
            <w:tcW w:w="4475" w:type="dxa"/>
            <w:tcBorders/>
            <w:vAlign w:val="center"/>
          </w:tcPr>
          <w:p>
            <w:pPr>
              <w:pStyle w:val="TableContents"/>
              <w:bidi w:val="0"/>
              <w:spacing w:before="0" w:after="283"/>
              <w:jc w:val="left"/>
              <w:rPr>
                <w:b/>
              </w:rPr>
            </w:pPr>
            <w:r>
              <w:rPr>
                <w:b/>
              </w:rPr>
              <w:t>Entry into a Material Definitive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31, 2026, Sono Group N.V.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entered into a Share Purchase Agreement (the “</w:t>
      </w:r>
      <w:r>
        <w:rPr>
          <w:rFonts w:ascii="Times New Roman;Times;Serif" w:hAnsi="Times New Roman;Times;Serif"/>
          <w:b/>
          <w:i/>
          <w:caps w:val="false"/>
          <w:smallCaps w:val="false"/>
          <w:sz w:val="20"/>
        </w:rPr>
        <w:t>Purchase Agreement</w:t>
      </w:r>
      <w:r>
        <w:rPr>
          <w:rFonts w:ascii="Times New Roman;Times;Serif" w:hAnsi="Times New Roman;Times;Serif"/>
          <w:b w:val="false"/>
          <w:i w:val="false"/>
          <w:caps w:val="false"/>
          <w:smallCaps w:val="false"/>
          <w:sz w:val="20"/>
        </w:rPr>
        <w:t>”) with certain private purchasers (each, a “</w:t>
      </w:r>
      <w:r>
        <w:rPr>
          <w:rFonts w:ascii="Times New Roman;Times;Serif" w:hAnsi="Times New Roman;Times;Serif"/>
          <w:b/>
          <w:i/>
          <w:caps w:val="false"/>
          <w:smallCaps w:val="false"/>
          <w:sz w:val="20"/>
        </w:rPr>
        <w:t>Purchaser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caps w:val="false"/>
          <w:smallCaps w:val="false"/>
          <w:sz w:val="20"/>
        </w:rPr>
        <w:t>Purchasers</w:t>
      </w:r>
      <w:r>
        <w:rPr>
          <w:rFonts w:ascii="Times New Roman;Times;Serif" w:hAnsi="Times New Roman;Times;Serif"/>
          <w:b w:val="false"/>
          <w:i w:val="false"/>
          <w:caps w:val="false"/>
          <w:smallCaps w:val="false"/>
          <w:sz w:val="20"/>
        </w:rPr>
        <w:t>”), pursuant to which the Company agreed to issue and sell to the Purchasers, and the Purchasers agreed to purchase from the Company, an aggregate of 283,500 Ordinary Shares of the Company (the “</w:t>
      </w:r>
      <w:r>
        <w:rPr>
          <w:rFonts w:ascii="Times New Roman;Times;Serif" w:hAnsi="Times New Roman;Times;Serif"/>
          <w:b/>
          <w:i/>
          <w:caps w:val="false"/>
          <w:smallCaps w:val="false"/>
          <w:sz w:val="20"/>
        </w:rPr>
        <w:t>Purchased Shares</w:t>
      </w:r>
      <w:r>
        <w:rPr>
          <w:rFonts w:ascii="Times New Roman;Times;Serif" w:hAnsi="Times New Roman;Times;Serif"/>
          <w:b w:val="false"/>
          <w:i w:val="false"/>
          <w:caps w:val="false"/>
          <w:smallCaps w:val="false"/>
          <w:sz w:val="20"/>
        </w:rPr>
        <w:t>”) at a per share purchase price equal to the consolidated closing bid price of the Ordinary Shares on the Nasdaq Capital Market (“</w:t>
      </w:r>
      <w:r>
        <w:rPr>
          <w:rFonts w:ascii="Times New Roman;Times;Serif" w:hAnsi="Times New Roman;Times;Serif"/>
          <w:b/>
          <w:i/>
          <w:caps w:val="false"/>
          <w:smallCaps w:val="false"/>
          <w:sz w:val="20"/>
        </w:rPr>
        <w:t>Nasdaq</w:t>
      </w:r>
      <w:r>
        <w:rPr>
          <w:rFonts w:ascii="Times New Roman;Times;Serif" w:hAnsi="Times New Roman;Times;Serif"/>
          <w:b w:val="false"/>
          <w:i w:val="false"/>
          <w:caps w:val="false"/>
          <w:smallCaps w:val="false"/>
          <w:sz w:val="20"/>
        </w:rPr>
        <w:t>”) on the day immediately preceding the date of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Purchased Shares are being offered and sold pursuant to the Company’s effective registration statement on Form S-3 (File No. 333-295804) previously filed with the Securities and Exchange Commission (the “</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and a prospectus supplement to be filed with the SEC pursuant to Rule 424(b) under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Pursuant to the Purchase Agreement, the Company may not issue Ordinary Shares in excess of 19.9% of the aggregate voting power or 19.9% of the total outstanding Ordinary Shares, in accordance with applicable Nasdaq Stock Market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contains customary representations, warranties, and covenants of the Company and the Purchasers, as well as customary closing conditions and indemnification rights. Under the Purchase Agreement, the Company agreed to use the net proceeds from the sale of the Purchased Shares for working capital and general corporate purposes and not to use such proceeds: (a) for the satisfaction of any portion of the Company’s debt (other than payment of trade payables in the ordinary course of the Company’s business and prior practices), (b) for the redemption of any Ordinary Shares, (c) for the settlement of any outstanding litigation, or (d) in violation of the Foreign Corrupt Practices Act of 1977, as amended, or the regulations promulgated by the Office of Foreign Assets Control of the U.S. Treasury Department.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Share Purchase Agreement does not purport to be complete and is qualified in its entirety by reference to the full text of the Share Purchase Agreement, which is attached hereto as Exhibit 10.1 and is incorporated herein by reference.</w:t>
      </w:r>
    </w:p>
    <w:p>
      <w:pPr>
        <w:pStyle w:val="TextBody"/>
        <w:bidi w:val="0"/>
        <w:spacing w:before="0" w:after="0"/>
        <w:ind w:left="0" w:right="0" w:hanging="0"/>
        <w:jc w:val="both"/>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8"/>
        <w:gridCol w:w="965"/>
        <w:gridCol w:w="144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8.01</w:t>
            </w:r>
          </w:p>
        </w:tc>
        <w:tc>
          <w:tcPr>
            <w:tcW w:w="1445" w:type="dxa"/>
            <w:tcBorders/>
            <w:vAlign w:val="center"/>
          </w:tcPr>
          <w:p>
            <w:pPr>
              <w:pStyle w:val="TableContents"/>
              <w:bidi w:val="0"/>
              <w:spacing w:before="0" w:after="283"/>
              <w:jc w:val="left"/>
              <w:rPr>
                <w:b/>
              </w:rPr>
            </w:pPr>
            <w:r>
              <w:rPr>
                <w:b/>
              </w:rPr>
              <w:t>Other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Registration of Purchased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Item 1.01 above, the Purchased Shares are being offered and sold pursuant to the Company’s effective registration statement on Form S-3 (File No. 333-295804) previously filed with the SEC and a prospectus supplement to be filed with the SEC pursuant to Rule 424(b) under the Securities Act. The Company has applied to list the Purchased Shares on the Nasdaq Capital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Sports One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31, 2026, the Company and Sports One (“</w:t>
      </w:r>
      <w:r>
        <w:rPr>
          <w:rFonts w:ascii="Times New Roman;Times;Serif" w:hAnsi="Times New Roman;Times;Serif"/>
          <w:b/>
          <w:i/>
          <w:caps w:val="false"/>
          <w:smallCaps w:val="false"/>
          <w:sz w:val="20"/>
        </w:rPr>
        <w:t>Sports One</w:t>
      </w:r>
      <w:r>
        <w:rPr>
          <w:rFonts w:ascii="Times New Roman;Times;Serif" w:hAnsi="Times New Roman;Times;Serif"/>
          <w:b w:val="false"/>
          <w:i w:val="false"/>
          <w:caps w:val="false"/>
          <w:smallCaps w:val="false"/>
          <w:sz w:val="20"/>
        </w:rPr>
        <w:t>”), that has recently been formed to operate a sports intelligence business that provides real-time athlete-level data, social media value scoring, and quantified data for what each athlete is worth to sponsors, and which also intends to acquire and hold minority interests in professional sports teams with primary focus on the NBA, NFL, MLB and NHL, issued a joint press release, which is attached as Exhibit 99.1 hereto, announcing that they have entered into a non-binding letter of intent (the “</w:t>
      </w:r>
      <w:r>
        <w:rPr>
          <w:rFonts w:ascii="Times New Roman;Times;Serif" w:hAnsi="Times New Roman;Times;Serif"/>
          <w:b/>
          <w:i/>
          <w:caps w:val="false"/>
          <w:smallCaps w:val="false"/>
          <w:sz w:val="20"/>
        </w:rPr>
        <w:t>Letter of Intent</w:t>
      </w:r>
      <w:r>
        <w:rPr>
          <w:rFonts w:ascii="Times New Roman;Times;Serif" w:hAnsi="Times New Roman;Times;Serif"/>
          <w:b w:val="false"/>
          <w:i w:val="false"/>
          <w:caps w:val="false"/>
          <w:smallCaps w:val="false"/>
          <w:sz w:val="20"/>
        </w:rPr>
        <w:t>”) for a business combination. The Sports One sports intelligence business combines AI intellectual property and proprietary intelligence that does not currently exist in the market, enabling athletes as a new asset category and supports operating decisions for teams / universities (NIL), betting/prediction companies, and brands, among others. Through the business combination, Sports One will become a publicly listed company with a business that is uniquely anchored by long-term ownership of minority interests in major sports franchises, with the optionality provided by a scalable data-and-intelligence operation that opens up new categories for athlete engagement and value benchmarking. Unlike a traditional private investment fund with a fixed lifespan, the public permanent-capital structure will allow Sports One to hold and scale team interests indefinitely. Sports franchise interests have historically been difficult to access and remain highly illiquid. Sports One's publicly-traded approach will provide investors with daily liquidity, and exposure across a diversified portfolio of the major sports team and league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Letter of Intent, the Company and Sports One intend to enter into a definitive agreement pursuant to which the Company and Sports One would combine, with the former equityholders of both entities holding equity in the combined public company listed on a national stock exchange (the “</w:t>
      </w:r>
      <w:r>
        <w:rPr>
          <w:rFonts w:ascii="Times New Roman;Times;Serif" w:hAnsi="Times New Roman;Times;Serif"/>
          <w:b/>
          <w:i/>
          <w:caps w:val="false"/>
          <w:smallCaps w:val="false"/>
          <w:sz w:val="20"/>
        </w:rPr>
        <w:t>Surviving Company</w:t>
      </w:r>
      <w:r>
        <w:rPr>
          <w:rFonts w:ascii="Times New Roman;Times;Serif" w:hAnsi="Times New Roman;Times;Serif"/>
          <w:b w:val="false"/>
          <w:i w:val="false"/>
          <w:caps w:val="false"/>
          <w:smallCaps w:val="false"/>
          <w:sz w:val="20"/>
        </w:rPr>
        <w:t>”) and with Sports One’s existing equityholders owning a super-majority of the equity in the Surviving Company. The final terms of the definitive agreement are subject to the completion of due diligence to the Company’s satisfaction.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completion of the business combination is subject to the negotiation and execution of definitive documentation and satisfaction of customary closing conditions stated in the Letter of Intent, including (i) completion of any required regulatory review and (ii) approval of the transaction by the Company’s shareholders. Accordingly, no assurances can be made that the parties will successfully negotiate and enter into a definitive agreement, or that the proposed transaction will be consummated on the terms or timeframe currently contemplated,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Letter of Intent, the sole holder of the Company’s preferred shares, YA II PN, Ltd., has entered into a call option agreement with affiliates of Sports One to enable such parties to acquire approximately half of the issued and outstanding preferred shares currently held by YA II PN, Ltd. to the extent that such parties exercise the option provided for in such call option agreement prior to the expiration of such option fifteen calendar days after the closing of the business combination contemplated by the Letter of Intent. Pursuant to the call option agreement, YA II PN, Ltd. has agreed not to dispose of the 700 preferred shares subject to the call option agreement or to convert them to ordinary shares or shares of common stock prior to the expiration of the call option. There are no other restrictions on any shares held by YA II PN,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Letter of Intent, each of the Purchasers has entered into a lock-up agreement with Sports One, pursuant to which each such Purchaser has agreed not to transfer the Purchased Shares for a period of 180 days, subject to waiver upon the satisfaction of certain conditions. The Company is not a party to the lock-up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and Where to Find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definitive agreement is entered into in connection with the proposed business combination, the Company and Sports One will prepare a proxy statement/prospectus (the “</w:t>
      </w:r>
      <w:r>
        <w:rPr>
          <w:rFonts w:ascii="Times New Roman;Times;Serif" w:hAnsi="Times New Roman;Times;Serif"/>
          <w:b/>
          <w:i/>
          <w:caps w:val="false"/>
          <w:smallCaps w:val="false"/>
          <w:sz w:val="20"/>
        </w:rPr>
        <w:t>proxy statement/prospectus</w:t>
      </w:r>
      <w:r>
        <w:rPr>
          <w:rFonts w:ascii="Times New Roman;Times;Serif" w:hAnsi="Times New Roman;Times;Serif"/>
          <w:b w:val="false"/>
          <w:i w:val="false"/>
          <w:caps w:val="false"/>
          <w:smallCaps w:val="false"/>
          <w:sz w:val="20"/>
        </w:rPr>
        <w:t>”) to be filed with the United States Securities and Exchange Commission (the “</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and mailed to the Company’s shareholders. The Company and Sports One urge investors and other interested persons to read, when available, the proxy statement/prospectus, as well as other documents filed with the SEC, because these documents will contain important information about the proposed business combination. Such persons can also read the Company’s Annual Report on Form 10-K for the fiscal year ended December 31, 2025 (the “</w:t>
      </w:r>
      <w:r>
        <w:rPr>
          <w:rFonts w:ascii="Times New Roman;Times;Serif" w:hAnsi="Times New Roman;Times;Serif"/>
          <w:b/>
          <w:i/>
          <w:caps w:val="false"/>
          <w:smallCaps w:val="false"/>
          <w:sz w:val="20"/>
        </w:rPr>
        <w:t>Annual Report</w:t>
      </w:r>
      <w:r>
        <w:rPr>
          <w:rFonts w:ascii="Times New Roman;Times;Serif" w:hAnsi="Times New Roman;Times;Serif"/>
          <w:b w:val="false"/>
          <w:i w:val="false"/>
          <w:caps w:val="false"/>
          <w:smallCaps w:val="false"/>
          <w:sz w:val="20"/>
        </w:rPr>
        <w:t>”), for a description of the security holdings of its officers and directors and their respective interests as security holders in the consummation of the transactions described herein. The proxy statement statement/prospectus, once available, and the Annual Report can be obtained, without charge, at the SEC’s web site (http://www.sec.gov).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Sports One, and their respective directors, executive officers, and certain other members of management and employees may be deemed participants in any solicitation of proxies from the Company’s shareholders in connection with the proposed transaction. Information regarding the Company’s directors and executive officers is contained in the Company’s filings with the SEC. Additional information regarding the interests of such participants in the proposed transaction, which may, in some cases, be different than those of the Company’s and Sports One ’s equityholders generally, will be included in any proxy statement, registration statement, prospectus, or other relevant documents filed with the SEC if and when such documents become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certain forward-looking statements within the meaning of the Private Securities Litigation Reform Act of 1995, Section 27A of the Securities Act of 1933, as amended, and Section 21E of the Securities Exchange Act of 1934, as amended and other applicable securities laws. Forward-looking statements include, but are not limited to, statements regarding the proposed business combination between Sports One and the Company, the anticipated execution of definitive transaction agreements, the expected timing and completion of the proposed transaction, the anticipated enterprise value of the combined company, the potential future growth of the combined company, including any potential increase in enterprise value through future acquisitions, strategic transactions, investments, or organic growth initiatives, the proposed acquisition of minority interests in major sports franchises, the anticipated benefits of the proposed transaction, Sports One’s business strategy, market opportunities, growth prospects, technological development plans, acquisition strategy and future operating performance. Forward-looking statements generally may be identified by the use of words such as “anticipate,” “believe,” "contemplate," “continue,” “could,” “estimate,” “expect,” “forecast,” “intends,” “may,” “might,” “plan,’" "possible," “potential,” “predict,” “project,” “seek,” “should,” “target,” “will,” “would,” and similar expressions, although not all forward-looking statements contain such words. These forward-looking statements are based on current expectations, estimates, forecasts, assumptions, and projections about future events and are subject to numerous risks and uncertainties, many of which are beyond the control of Sports One and the Company. Actual results may differ materially from those expressed or implied by such forward-looking statements as a result of a variety of factors, including, but not limited to: the risk that the parties may be unable to negotiate or execute definitive agreements relating to the proposed transaction; the risk that the proposed transaction may not be completed in a timely manner or at all; the failure to satisfy any conditions to closing; the failure to obtain required shareholder approvals, regulatory approvals, financing arrangements, exchange listing approvals, or other necessary consents; changes in applicable laws, regulations, governmental policies, or market conditions; the occurrence of any event, change, or circumstance that could delay, prevent, or otherwise adversely affect the proposed transaction; the ability to maintain the listing of securities on Nasdaq or another national securities exchange; the availability of financing; general economic, financial, political, and business conditions; inflation, interest rates, foreign exchange fluctuations, and geopolitical developments; cybersecurity incidents; intellectual property risks; litigation risks; competition; technological changes; the ability of Sports One to successfully develop and commercialize its sports intelligence business, or to acquire and integrate minority interests in major sports franchises; the ability to realize anticipated synergies or benefits from acquisitions, strategic investments, or asset contributions; the ability to achieve projected growth objectives, valuation targets, operational milestones, or market opportunities; the future adoption, commercialization, and market acceptance of a sports intelligence business; and other risks and uncertainties that may be identified in any past or future filings made by the parties with the SEC in connection with the proposed transaction. Any references in this Current Report on Form 8-K to anticipated enterprise values, future valuation objectives, acquisition opportunities, strategic growth initiatives, market opportunities, expected benefits, or long-term business prospects are based on preliminary assumptions and management expectations that are inherently uncertain and subject to significant business, economic, competitive, regulatory, financing, and market risks. No assurance can be given that any acquisition, strategic initiative, growth objective, valuation target, expected benefit, or business plan described herein will be achieved. The proposed transaction is currently subject to a non-binding Letter of Intent. There can be no assurance that definitive agreements will be entered into, that the parties will successfully complete their due diligence, that any proposed asset contributions will be approved or consummated, or that the proposed transaction will be completed on the terms currently contemplated, within the anticipated timeframe, or at all. Readers are cautioned not to place undue reliance on forward-looking statements, which speak only as of the date of this Current Report on Form 8-K. Sports One and the Company expressly disclaim any obligation or undertaking to update, revise, or publicly release any revisions to any forward-looking statements, whether as a result of new information, future events, changed circumstances, or otherwise, except as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38"/>
        <w:gridCol w:w="96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 Exhibits.</w:t>
      </w:r>
      <w:r>
        <w:rPr>
          <w:rFonts w:ascii="Times New Roman;Times;Serif" w:hAnsi="Times New Roman;Times;Serif"/>
          <w:b w:val="false"/>
          <w:i w:val="false"/>
          <w:caps w:val="false"/>
          <w:smallCaps w:val="false"/>
          <w:sz w:val="20"/>
        </w:rPr>
        <w:t xml:space="preserve"> The following exhibits are filed with this Current Report on Form 8-K:</w:t>
      </w:r>
    </w:p>
    <w:p>
      <w:pPr>
        <w:pStyle w:val="TextBody"/>
        <w:bidi w:val="0"/>
        <w:spacing w:before="0" w:after="0"/>
        <w:ind w:left="0" w:right="0" w:hanging="0"/>
        <w:jc w:val="left"/>
        <w:rPr>
          <w:caps w:val="false"/>
          <w:smallCaps w:val="false"/>
        </w:rPr>
      </w:pPr>
      <w:r>
        <w:rPr>
          <w:caps w:val="false"/>
          <w:smallCaps w:val="false"/>
        </w:rPr>
        <w:t> </w:t>
      </w:r>
    </w:p>
    <w:tbl>
      <w:tblPr>
        <w:tblW w:w="9805" w:type="dxa"/>
        <w:jc w:val="left"/>
        <w:tblInd w:w="0" w:type="dxa"/>
        <w:tblLayout w:type="fixed"/>
        <w:tblCellMar>
          <w:top w:w="0" w:type="dxa"/>
          <w:left w:w="0" w:type="dxa"/>
          <w:bottom w:w="0" w:type="dxa"/>
          <w:right w:w="0" w:type="dxa"/>
        </w:tblCellMar>
      </w:tblPr>
      <w:tblGrid>
        <w:gridCol w:w="650"/>
        <w:gridCol w:w="60"/>
        <w:gridCol w:w="9095"/>
      </w:tblGrid>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Description of Exhibit</w:t>
            </w:r>
          </w:p>
        </w:tc>
      </w:tr>
      <w:tr>
        <w:trPr/>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50" w:type="dxa"/>
            <w:tcBorders/>
            <w:vAlign w:val="center"/>
          </w:tcPr>
          <w:p>
            <w:pPr>
              <w:pStyle w:val="TableContents"/>
              <w:bidi w:val="0"/>
              <w:spacing w:before="0" w:after="283"/>
              <w:jc w:val="left"/>
              <w:rPr/>
            </w:pPr>
            <w:hyperlink w:anchor="a_001">
              <w:r>
                <w:rPr>
                  <w:rStyle w:val="InternetLink"/>
                  <w:rFonts w:ascii="Times New Roman;Times;Serif" w:hAnsi="Times New Roman;Times;Serif"/>
                  <w:b w:val="false"/>
                  <w:i w:val="false"/>
                  <w:caps w:val="false"/>
                  <w:smallCaps w:val="false"/>
                  <w:sz w:val="20"/>
                </w:rPr>
                <w:t>10.1</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95" w:type="dxa"/>
            <w:tcBorders/>
            <w:vAlign w:val="center"/>
          </w:tcPr>
          <w:p>
            <w:pPr>
              <w:pStyle w:val="TableContents"/>
              <w:bidi w:val="0"/>
              <w:spacing w:before="0" w:after="283"/>
              <w:jc w:val="left"/>
              <w:rPr/>
            </w:pPr>
            <w:hyperlink w:anchor="a_001">
              <w:r>
                <w:rPr>
                  <w:rStyle w:val="InternetLink"/>
                  <w:rFonts w:ascii="Times New Roman;Times;Serif" w:hAnsi="Times New Roman;Times;Serif"/>
                  <w:b w:val="false"/>
                  <w:i w:val="false"/>
                  <w:caps w:val="false"/>
                  <w:smallCaps w:val="false"/>
                  <w:sz w:val="20"/>
                </w:rPr>
                <w:t>Share Purchase Agreement, dated August 31, 2026, between Sono Group N.V. and the Purchasers named therein.</w:t>
              </w:r>
            </w:hyperlink>
          </w:p>
        </w:tc>
      </w:tr>
      <w:tr>
        <w:trPr/>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50" w:type="dxa"/>
            <w:tcBorders/>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99.1</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95" w:type="dxa"/>
            <w:tcBorders/>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Press Release, dated August 31, 2026.</w:t>
              </w:r>
            </w:hyperlink>
          </w:p>
        </w:tc>
      </w:tr>
      <w:tr>
        <w:trPr/>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285" w:type="dxa"/>
        <w:jc w:val="left"/>
        <w:tblInd w:w="0" w:type="dxa"/>
        <w:tblLayout w:type="fixed"/>
        <w:tblCellMar>
          <w:top w:w="0" w:type="dxa"/>
          <w:left w:w="0" w:type="dxa"/>
          <w:bottom w:w="0" w:type="dxa"/>
          <w:right w:w="0" w:type="dxa"/>
        </w:tblCellMar>
      </w:tblPr>
      <w:tblGrid>
        <w:gridCol w:w="75"/>
        <w:gridCol w:w="260"/>
        <w:gridCol w:w="590"/>
        <w:gridCol w:w="2360"/>
      </w:tblGrid>
      <w:tr>
        <w:trPr/>
        <w:tc>
          <w:tcPr>
            <w:tcW w:w="75" w:type="dxa"/>
            <w:tcBorders/>
            <w:vAlign w:val="center"/>
          </w:tcPr>
          <w:p>
            <w:pPr>
              <w:pStyle w:val="TableContents"/>
              <w:bidi w:val="0"/>
              <w:spacing w:before="0" w:after="283"/>
              <w:jc w:val="left"/>
              <w:rPr/>
            </w:pPr>
            <w:r>
              <w:rPr/>
              <w:t> </w:t>
            </w:r>
          </w:p>
        </w:tc>
        <w:tc>
          <w:tcPr>
            <w:tcW w:w="3210"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Sono Group N.V.</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c>
          <w:tcPr>
            <w:tcW w:w="295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c>
          <w:tcPr>
            <w:tcW w:w="295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5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Kevin McGurn</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Kevin McGurn</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3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CEO and Managing Director</w:t>
            </w:r>
          </w:p>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Exhibit 10.1</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SHARE PURCHASE AGREEMENT</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Share Purchase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made and entered into as of August 31, 2026, by and between Sono Group N.V., a public company with limited liability under Dutch law (</w:t>
      </w:r>
      <w:r>
        <w:rPr>
          <w:rFonts w:ascii="Times New Roman;Times;Serif" w:hAnsi="Times New Roman;Times;Serif"/>
          <w:b w:val="false"/>
          <w:i/>
          <w:caps w:val="false"/>
          <w:smallCaps w:val="false"/>
          <w:sz w:val="20"/>
        </w:rPr>
        <w:t>naamloze vennootschap</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each purchaser identified on the signature pages hereto (each, including its successors and assigns, a “</w:t>
      </w:r>
      <w:r>
        <w:rPr>
          <w:rFonts w:ascii="Times New Roman;Times;Serif" w:hAnsi="Times New Roman;Times;Serif"/>
          <w:b w:val="false"/>
          <w:i w:val="false"/>
          <w:caps w:val="false"/>
          <w:smallCaps w:val="false"/>
          <w:sz w:val="20"/>
          <w:u w:val="single"/>
        </w:rPr>
        <w:t>Purchaser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Purchasers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desire that, upon the terms and subject to the conditions and limitations set forth herein, the Company desires to issue and sell to the Purchasers, and the Purchasers desire to purchase from the Company, an aggregate of 283,500 Ordinary Shares of the Company as more fully described in this Agreement (the “</w:t>
      </w:r>
      <w:r>
        <w:rPr>
          <w:rFonts w:ascii="Times New Roman;Times;Serif" w:hAnsi="Times New Roman;Times;Serif"/>
          <w:b w:val="false"/>
          <w:i w:val="false"/>
          <w:caps w:val="false"/>
          <w:smallCaps w:val="false"/>
          <w:sz w:val="20"/>
          <w:u w:val="single"/>
        </w:rPr>
        <w:t>Purchased Shares</w:t>
      </w:r>
      <w:r>
        <w:rPr>
          <w:rFonts w:ascii="Times New Roman;Times;Serif" w:hAnsi="Times New Roman;Times;Serif"/>
          <w:b w:val="false"/>
          <w:i w:val="false"/>
          <w:caps w:val="false"/>
          <w:smallCaps w:val="false"/>
          <w:sz w:val="20"/>
        </w:rPr>
        <w: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such sale of the Purchased Shares by the Company to the Purchasers will be made pursuant to an effective registration statement on Form S-3 previously filed by the Company with the Commission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contained in this Agreement, and for other good and valuable consideration the receipt and adequacy of which are hereby acknowledged, the Company and each Purchaser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I.</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DEFINITIONS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xml:space="preserve">. In addition to the terms defined elsewhere in this Agreement, for all purposes of this Agreement, the following terms have the meanings set forth in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means the management board of the Company (or, where the context requires, the management board acting with the approval of the supervisory board).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other than Saturday, Sunday or other day on which commercial banks in the City of New York are authorized or required by law to remain closed.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xml:space="preserve">” means the closing of the purchase and sale of the Purchased Shares pursuant to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means the Trading Day on which all of the Transaction Documents have been executed and delivered by the applicable parties thereto, and all conditions precedent to (i) the Purchasers’ obligations to pay the Subscription Amount and (ii) the Company’s obligations to deliver the Purchased Shares, in each case, have been satisfied or waived, but in no event later than the second (2nd) Trading Day following the date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Counsel</w:t>
      </w:r>
      <w:r>
        <w:rPr>
          <w:rFonts w:ascii="Times New Roman;Times;Serif" w:hAnsi="Times New Roman;Times;Serif"/>
          <w:b w:val="false"/>
          <w:i w:val="false"/>
          <w:caps w:val="false"/>
          <w:smallCaps w:val="false"/>
          <w:sz w:val="20"/>
        </w:rPr>
        <w:t>” means DLA Piper LLP (US).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Disclosure Schedules</w:t>
      </w:r>
      <w:r>
        <w:rPr>
          <w:rFonts w:ascii="Times New Roman;Times;Serif" w:hAnsi="Times New Roman;Times;Serif"/>
          <w:b w:val="false"/>
          <w:i w:val="false"/>
          <w:caps w:val="false"/>
          <w:smallCaps w:val="false"/>
          <w:sz w:val="20"/>
        </w:rPr>
        <w:t>” means the Disclosure Schedules of the Company delivered concurrently herewith.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Disclosure Time</w:t>
      </w:r>
      <w:r>
        <w:rPr>
          <w:rFonts w:ascii="Times New Roman;Times;Serif" w:hAnsi="Times New Roman;Times;Serif"/>
          <w:b w:val="false"/>
          <w:i w:val="false"/>
          <w:caps w:val="false"/>
          <w:smallCaps w:val="false"/>
          <w:sz w:val="20"/>
        </w:rPr>
        <w:t>” means, (i) if this Agreement is signed on a day that is not a Trading Day or after 9:00 a.m. (New York City time) and before midnight (New York City time) on any Trading Day, 9:01 a.m. (New York City time) on the Trading Day immediately following the date hereof, and (ii) if this Agreement is signed between midnight (New York City time) and 9:00 a.m. (New York City time) on any Trading Day, no later than 9:01 a.m. (New York City time) on the date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FCPA</w:t>
      </w:r>
      <w:r>
        <w:rPr>
          <w:rFonts w:ascii="Times New Roman;Times;Serif" w:hAnsi="Times New Roman;Times;Serif"/>
          <w:b w:val="false"/>
          <w:i w:val="false"/>
          <w:caps w:val="false"/>
          <w:smallCaps w:val="false"/>
          <w:sz w:val="20"/>
        </w:rPr>
        <w:t>” means the Foreign Corrupt Practices Act of 1977, as amended.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means a lien, charge, pledge, security interest, encumbrance, right of first refusal, preemptive right or other restriction.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Ordinary Share Equivalents</w:t>
      </w:r>
      <w:r>
        <w:rPr>
          <w:rFonts w:ascii="Times New Roman;Times;Serif" w:hAnsi="Times New Roman;Times;Serif"/>
          <w:b w:val="false"/>
          <w:i w:val="false"/>
          <w:caps w:val="false"/>
          <w:smallCaps w:val="false"/>
          <w:sz w:val="20"/>
        </w:rPr>
        <w:t>” means any securities of the Company or the Subsidiaries which would entitle the holder thereof to acquire at any time Ordinary Shares, including, without limitation, any debt, preferred stock, right, option, warrant or other instrument that is at any time convertible into or exercisable or exchangeable for, or otherwise entitles the holder thereof to receive, Ordinary Shares.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Ordinary Shares</w:t>
      </w:r>
      <w:r>
        <w:rPr>
          <w:rFonts w:ascii="Times New Roman;Times;Serif" w:hAnsi="Times New Roman;Times;Serif"/>
          <w:b w:val="false"/>
          <w:i w:val="false"/>
          <w:caps w:val="false"/>
          <w:smallCaps w:val="false"/>
          <w:sz w:val="20"/>
        </w:rPr>
        <w:t>” means the ordinary shares of the Company, par value €0.01 per share.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 Share Purchase Price</w:t>
      </w:r>
      <w:r>
        <w:rPr>
          <w:rFonts w:ascii="Times New Roman;Times;Serif" w:hAnsi="Times New Roman;Times;Serif"/>
          <w:b w:val="false"/>
          <w:i w:val="false"/>
          <w:caps w:val="false"/>
          <w:smallCaps w:val="false"/>
          <w:sz w:val="20"/>
        </w:rPr>
        <w:t>” means a price per Ordinary Share equal to the consolidated closing bid price (or, if no consolidated closing bid price is reported, the last sale price) of the Ordinary Shares on the Trading Market immediately preceding the signing of this Agreement, subject to adjustment for reverse and forward stock splits, stock dividends, stock combinations and other similar transactions of the Ordinary Shares that occur after the date of this Agreement and prior to the Closing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Proceeding</w:t>
      </w:r>
      <w:r>
        <w:rPr>
          <w:rFonts w:ascii="Times New Roman;Times;Serif" w:hAnsi="Times New Roman;Times;Serif"/>
          <w:b w:val="false"/>
          <w:i w:val="false"/>
          <w:caps w:val="false"/>
          <w:smallCaps w:val="false"/>
          <w:sz w:val="20"/>
        </w:rPr>
        <w:t>” means an action, claim, suit, investigation or proceeding (including, without limitation, an informal investigation or partial proceeding, such as a deposition), whether commenced or threatened.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means the final base prospectus included in the Registration Statement at the time it became originally effective, including all information, documents and exhibits filed with or incorporated by reference into such prospectus.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Prospectus Supplement</w:t>
      </w:r>
      <w:r>
        <w:rPr>
          <w:rFonts w:ascii="Times New Roman;Times;Serif" w:hAnsi="Times New Roman;Times;Serif"/>
          <w:b w:val="false"/>
          <w:i w:val="false"/>
          <w:caps w:val="false"/>
          <w:smallCaps w:val="false"/>
          <w:sz w:val="20"/>
        </w:rPr>
        <w:t>” means the supplement to the Prospectus complying with Rule 424(b) of the Securities Act, including all information, documents and exhibits filed with or incorporated by reference into such prospectus supplement, that is filed with the Commission and delivered by the Company to each Purchaser at the Closing.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means the effective registration statement on Form S-3 filed by the Company with the Commission (File No. 333-295804), including all information, documents and exhibits filed with or incorporated by reference into such registration statement, which registers the sale and issuance of the Purchased Shares to the Purchasers.</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144</w:t>
      </w:r>
      <w:r>
        <w:rPr>
          <w:rFonts w:ascii="Times New Roman;Times;Serif" w:hAnsi="Times New Roman;Times;Serif"/>
          <w:b w:val="false"/>
          <w:i w:val="false"/>
          <w:caps w:val="false"/>
          <w:smallCaps w:val="false"/>
          <w:sz w:val="20"/>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424</w:t>
      </w:r>
      <w:r>
        <w:rPr>
          <w:rFonts w:ascii="Times New Roman;Times;Serif" w:hAnsi="Times New Roman;Times;Serif"/>
          <w:b w:val="false"/>
          <w:i w:val="false"/>
          <w:caps w:val="false"/>
          <w:smallCaps w:val="false"/>
          <w:sz w:val="20"/>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Short Sales</w:t>
      </w:r>
      <w:r>
        <w:rPr>
          <w:rFonts w:ascii="Times New Roman;Times;Serif" w:hAnsi="Times New Roman;Times;Serif"/>
          <w:b w:val="false"/>
          <w:i w:val="false"/>
          <w:caps w:val="false"/>
          <w:smallCaps w:val="false"/>
          <w:sz w:val="20"/>
        </w:rPr>
        <w:t>” means all “short sales” as defined in Rule 200 of Regulation SHO under the Exchange Act (but shall not be deemed to include locating and/or borrowing Ordinary Shares).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Subscription Amount</w:t>
      </w:r>
      <w:r>
        <w:rPr>
          <w:rFonts w:ascii="Times New Roman;Times;Serif" w:hAnsi="Times New Roman;Times;Serif"/>
          <w:b w:val="false"/>
          <w:i w:val="false"/>
          <w:caps w:val="false"/>
          <w:smallCaps w:val="false"/>
          <w:sz w:val="20"/>
        </w:rPr>
        <w:t>” means, as to each Purchaser, the purchase price equal to the product of (a) the Ordinary Shares purchased by such Purchaser multiplied by (b) the Per Share Purchase Price, as set forth on the signature pages 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any subsidiary of the Company as set forth in the SEC Reports, and shall, where applicable, also include any direct or indirect subsidiary of the Company formed or acquired after the date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 day on which the principal Trading Market is open for trading.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Market</w:t>
      </w:r>
      <w:r>
        <w:rPr>
          <w:rFonts w:ascii="Times New Roman;Times;Serif" w:hAnsi="Times New Roman;Times;Serif"/>
          <w:b w:val="false"/>
          <w:i w:val="false"/>
          <w:caps w:val="false"/>
          <w:smallCaps w:val="false"/>
          <w:sz w:val="20"/>
        </w:rPr>
        <w:t>” means the Nasdaq Capital Market.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means this Agreement, the Prospectus Supplement, all exhibits and schedules hereto and any other documents or agreements executed in connection with the transactions contemplated 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means Equiniti Trust Company, LLC, the current transfer agent of the Company, with a mailing address of 28 Liberty Street, New York, NY 10005, USA, and any successor transfer agent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II.</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PURCHASE AND SALE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Purchase and Sale of Ordinary Shares</w:t>
      </w:r>
      <w:r>
        <w:rPr>
          <w:rFonts w:ascii="Times New Roman;Times;Serif" w:hAnsi="Times New Roman;Times;Serif"/>
          <w:b w:val="false"/>
          <w:i w:val="false"/>
          <w:caps w:val="false"/>
          <w:smallCaps w:val="false"/>
          <w:sz w:val="20"/>
        </w:rPr>
        <w:t>. Upon the terms and subject to the conditions set forth herein, the Company agrees to sell, and the Purchasers, severally and not jointly, agree to purchase, the Purchased Shares for the Subscription Amount. Each Purchaser’s Subscription Amount as set forth on the signature pages hereto shall be made available for “Delivery Versus Payment” (“</w:t>
      </w:r>
      <w:r>
        <w:rPr>
          <w:rFonts w:ascii="Times New Roman;Times;Serif" w:hAnsi="Times New Roman;Times;Serif"/>
          <w:b w:val="false"/>
          <w:i w:val="false"/>
          <w:caps w:val="false"/>
          <w:smallCaps w:val="false"/>
          <w:sz w:val="20"/>
          <w:u w:val="single"/>
        </w:rPr>
        <w:t>DVP</w:t>
      </w:r>
      <w:r>
        <w:rPr>
          <w:rFonts w:ascii="Times New Roman;Times;Serif" w:hAnsi="Times New Roman;Times;Serif"/>
          <w:b w:val="false"/>
          <w:i w:val="false"/>
          <w:caps w:val="false"/>
          <w:smallCaps w:val="false"/>
          <w:sz w:val="20"/>
        </w:rPr>
        <w:t xml:space="preserve">”) settlement with the Company or its designee. The Company shall deliver to each Purchaser its respective Purchased Shares constituting duly authorized, validly issued, fully paid and non-assessable Ordinary Shares, to be delivered to each such Purchaser as provided pursuant to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xml:space="preserve"> On the Closing Date, upon the terms and subject to the conditions set forth herein, the closing of the purchase and sale of the Purchased Shares hereunder shall take place at the offices of Company Counsel, or at such other location as the parties may agree (including remotely by electronic transmission). Settlement of the Purchased Shares shall occur via DVP (i.e., on the Closing Date, the Company shall issue the Purchased Shares registered in the Purchasers’ names and addresses and released by the Transfer Agent directly to the account(s) identified by each Purchaser, and payment therefor shall be made by wire transfer to the Company).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Exchange Cap</w:t>
      </w:r>
      <w:r>
        <w:rPr>
          <w:rFonts w:ascii="Times New Roman;Times;Serif" w:hAnsi="Times New Roman;Times;Serif"/>
          <w:b w:val="false"/>
          <w:i w:val="false"/>
          <w:caps w:val="false"/>
          <w:smallCaps w:val="false"/>
          <w:sz w:val="20"/>
        </w:rPr>
        <w:t>. The Company shall not issue or sell any Ordinary Shares pursuant to this Agreement, and no Purchaser shall purchase or acquire any Ordinary Shares pursuant to this Agreement, to the extent that after giving effect thereto, the aggregate number of Ordinary Shares that would be issued pursuant to this Agreement and the transactions contemplated hereby would exceed such number of Ordinary Shares representing the lower of (i) 19.9% of the aggregate voting power of the Ordinary Shares and (ii) 19.9% of the total number of shares of issued and outstanding Ordinary Shares, in each case, calculated in accordance with the applicable rules of the Trading Market, which number of shares shall be reduced, on a share-for-share basis, by the number of Ordinary Shares issued or issuable pursuant to any transaction or series of transactions that may be aggregated with the transactions contemplated by this Agreement under applicable rules of the Trading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rPr>
        <w:t>Closing Deliveries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or prior to the Closing Date, the Company shall deliver or cause to be delivered to each Purchaser the following: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Agreement duly executed by the Company;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Company’s wire instructions;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copy of the irrevocable instructions to the Transfer Agent instructing the Transfer Agent to deliver on an expedited basis via the Depository Trust Company Deposit or Withdrawal at Custodian system (“</w:t>
      </w:r>
      <w:r>
        <w:rPr>
          <w:rFonts w:ascii="Times New Roman;Times;Serif" w:hAnsi="Times New Roman;Times;Serif"/>
          <w:b w:val="false"/>
          <w:i w:val="false"/>
          <w:caps w:val="false"/>
          <w:smallCaps w:val="false"/>
          <w:sz w:val="20"/>
          <w:u w:val="single"/>
        </w:rPr>
        <w:t>DWAC</w:t>
      </w:r>
      <w:r>
        <w:rPr>
          <w:rFonts w:ascii="Times New Roman;Times;Serif" w:hAnsi="Times New Roman;Times;Serif"/>
          <w:b w:val="false"/>
          <w:i w:val="false"/>
          <w:caps w:val="false"/>
          <w:smallCaps w:val="false"/>
          <w:sz w:val="20"/>
        </w:rPr>
        <w:t>”) Purchased Shares equal to such Purchaser’s Subscription Amount divided by the Per Share Purchase Price, registered in the name of such Purchaser;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Prospectus and Prospectus Supplement (which may be delivered in accordance with Rule 172 under the Securities Act).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 opinion of DLA Piper LLP (US) and DLA Piper Nederland N.V., counsel for the Company, dated as of the Closing Date.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or prior to the Closing Date, each Purchaser shall deliver or cause to be delivered to the Company the following: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Agreement duly executed by such Purchaser;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such Purchaser’s Subscription Amount, which shall be made available for DVP settlement with the Company or its designee.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br/>
        <w:t>REPRESENTATIONS AND WARRANTIES OF 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in the Disclosure Schedules, which Disclosure Schedules shall be deemed a part hereof and shall qualify any representation or warranty made herein to the extent of the disclosure contained in the corresponding section of the Disclosure Schedules, the Company hereby makes the following representations and warranties to each Purchaser, as of the date hereof and as of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All of the direct and indirect Subsidiaries of the Company are set forth in the SEC Reports.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The Company and each of the Subsidiaries is an entity duly incorporated or otherwise organized, validly existing under the laws of the jurisdiction of its incorporation or organization, with the requisite power and authority to own and use its properties and assets and to carry on its business as currently conducted. Neither the Company nor any Subsidiary is in violation of nor in default under any of the provisions of its respective articles of association or other organizational or charter documents. Each of the Company and the Subsidiaries is duly qualified to conduct business in each jurisdiction in which the nature of the business conducted or property owned by it makes such qualification necessary, except where the failure to be so qualified, as the case may be, would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and no Proceeding has been instituted in any such jurisdiction revoking, limiting or curtailing or seeking to revoke, limit or curtail such power and authority or qualification. The Company and each of the Subsidiaries is duly qualified to do business and is in good standing under the laws of each jurisdiction in which the failure to so qualify would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including any required resolution of the Company’s management board and, to the extent required, supervisory board, and no further action is required by the Company, the Board or the Company’s shareholders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The execution, delivery and performance by the Company of this Agreement and the other Transaction Documents to which it is a party, the issuance and sale of the Purchased Shares and the consummation by it of the transactions contemplated hereby and thereby do not and will not (i) conflict with or violate any provision of the Company’s or any Subsidiary’s articles of association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would not, individually or in the aggregate, have or reasonably be expected to result in a Material Adverse Effect.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 </w:t>
      </w:r>
      <w:r>
        <w:rPr>
          <w:rFonts w:ascii="Times New Roman;Times;Serif" w:hAnsi="Times New Roman;Times;Serif"/>
          <w:b w:val="false"/>
          <w:i w:val="false"/>
          <w:caps w:val="false"/>
          <w:smallCaps w:val="false"/>
          <w:sz w:val="20"/>
          <w:u w:val="single"/>
        </w:rPr>
        <w:t>Filings, Consents and Approvals</w:t>
      </w:r>
      <w:r>
        <w:rPr>
          <w:rFonts w:ascii="Times New Roman;Times;Serif" w:hAnsi="Times New Roman;Times;Serif"/>
          <w:b w:val="false"/>
          <w:i w:val="false"/>
          <w:caps w:val="false"/>
          <w:smallCaps w:val="false"/>
          <w:sz w:val="20"/>
        </w:rPr>
        <w:t xml:space="preserve">.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of this Agreement, (ii) the filing with the Commission of the Prospectus Supplement, (iii) the notice and/or application(s) to the Trading Market for the issuance and sale of the Purchased Shares and the listing of the Purchased Shares for trading thereon in the time and manner required thereby and (iv) such filings as are required to be made under applicable state securities laws (collectively, the “</w:t>
      </w:r>
      <w:r>
        <w:rPr>
          <w:rFonts w:ascii="Times New Roman;Times;Serif" w:hAnsi="Times New Roman;Times;Serif"/>
          <w:b w:val="false"/>
          <w:i w:val="false"/>
          <w:caps w:val="false"/>
          <w:smallCaps w:val="false"/>
          <w:sz w:val="20"/>
          <w:u w:val="single"/>
        </w:rPr>
        <w:t>Required Approvals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3.6 </w:t>
      </w:r>
      <w:r>
        <w:rPr>
          <w:rFonts w:ascii="Times New Roman;Times;Serif" w:hAnsi="Times New Roman;Times;Serif"/>
          <w:b w:val="false"/>
          <w:i w:val="false"/>
          <w:caps w:val="false"/>
          <w:smallCaps w:val="false"/>
          <w:sz w:val="20"/>
          <w:u w:val="single"/>
        </w:rPr>
        <w:t>Issuance of the Purchased Shares; Registration</w:t>
      </w:r>
      <w:r>
        <w:rPr>
          <w:rFonts w:ascii="Times New Roman;Times;Serif" w:hAnsi="Times New Roman;Times;Serif"/>
          <w:b w:val="false"/>
          <w:i w:val="false"/>
          <w:caps w:val="false"/>
          <w:smallCaps w:val="false"/>
          <w:sz w:val="20"/>
        </w:rPr>
        <w:t>. The Purchased Shares are duly authorized and, when issued and paid for in accordance with the applicable Transaction Documents, will be duly and validly issued, fully paid and nonassessable, free and clear of all Liens imposed by the Company. The Company has reserved from its duly authorized capital stock a sufficient number of Ordinary Shares issuable pursuant to this Agreement. The Company has prepared and filed the Registration Statement, which became effective on May 14, 2026, in conformity with the requirements of the Securities Act, including the Prospectus, and such amendments and supplements thereto as may have been required to the date of this Agreement. The Company was at the time of the filing of the Registration Statement eligible to use Form S-3.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Commission. The Company, if required by the rules and regulations of the Commission, shall file the Prospectus Supplement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the time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 The Company is eligible to use Form S-3 under the Securities Act and it meets the transaction requirements with respect to the aggregate market value of Shares being sold pursuant to this offering and during the twelve (12) calendar months prior to this offering, as set forth in General Instruction I.B.1 of Form S-3.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3.7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xml:space="preserve">. The capitalization of the Company as of the date hereof is as set forth on </w:t>
      </w:r>
      <w:r>
        <w:rPr>
          <w:rFonts w:ascii="Times New Roman;Times;Serif" w:hAnsi="Times New Roman;Times;Serif"/>
          <w:b w:val="false"/>
          <w:i w:val="false"/>
          <w:caps w:val="false"/>
          <w:smallCaps w:val="false"/>
          <w:sz w:val="20"/>
          <w:u w:val="single"/>
        </w:rPr>
        <w:t>Schedule 3.7</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3.7</w:t>
      </w:r>
      <w:r>
        <w:rPr>
          <w:rFonts w:ascii="Times New Roman;Times;Serif" w:hAnsi="Times New Roman;Times;Serif"/>
          <w:b w:val="false"/>
          <w:i w:val="false"/>
          <w:caps w:val="false"/>
          <w:smallCaps w:val="false"/>
          <w:sz w:val="20"/>
        </w:rPr>
        <w:t xml:space="preserve">, the Company has not issued any capital stock since its most recently filed periodic report under the Exchange Act, other than pursuant to the exercise of employee stock options under the Company’s stock option plans, the issuance of Ordinary Shares to employees pursuant to the Company’s employee stock purchase plans and pursuant to the conversion and/or exercise of Ordinary Share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a result of the purchase and sale of the Purchased Shares or as set forth on </w:t>
      </w:r>
      <w:r>
        <w:rPr>
          <w:rFonts w:ascii="Times New Roman;Times;Serif" w:hAnsi="Times New Roman;Times;Serif"/>
          <w:b w:val="false"/>
          <w:i w:val="false"/>
          <w:caps w:val="false"/>
          <w:smallCaps w:val="false"/>
          <w:sz w:val="20"/>
          <w:u w:val="single"/>
        </w:rPr>
        <w:t>Schedule 3.7</w:t>
      </w:r>
      <w:r>
        <w:rPr>
          <w:rFonts w:ascii="Times New Roman;Times;Serif" w:hAnsi="Times New Roman;Times;Serif"/>
          <w:b w:val="false"/>
          <w:i w:val="false"/>
          <w:caps w:val="false"/>
          <w:smallCaps w:val="false"/>
          <w:sz w:val="20"/>
        </w:rPr>
        <w:t xml:space="preserve">,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Ordinary Shares or the capital stock of any Subsidiary, or contracts, commitments, understandings or arrangements by which the Company or any Subsidiary is or may become bound to issue additional Ordinary Shares or Ordinary Share Equivalents or capital stock of any Subsidiary. The issuance and sale of the Purchased Shares will not obligate the Company or any Subsidiary to issue Ordinary Shares or other securities to any Person (other than the Purchasers). Except as set forth on </w:t>
      </w:r>
      <w:r>
        <w:rPr>
          <w:rFonts w:ascii="Times New Roman;Times;Serif" w:hAnsi="Times New Roman;Times;Serif"/>
          <w:b w:val="false"/>
          <w:i w:val="false"/>
          <w:caps w:val="false"/>
          <w:smallCaps w:val="false"/>
          <w:sz w:val="20"/>
          <w:u w:val="single"/>
        </w:rPr>
        <w:t>Schedule 3.7</w:t>
      </w:r>
      <w:r>
        <w:rPr>
          <w:rFonts w:ascii="Times New Roman;Times;Serif" w:hAnsi="Times New Roman;Times;Serif"/>
          <w:b w:val="false"/>
          <w:i w:val="false"/>
          <w:caps w:val="false"/>
          <w:smallCaps w:val="false"/>
          <w:sz w:val="20"/>
        </w:rPr>
        <w:t xml:space="preserve">, there are no outstanding securities or instruments of the Company or any Subsidiary with any provision that adjusts the exercise, conversion, exchange or reset price of such security or instrument upon an issuance of securities by the Company or any Subsidiary. Except as set forth on </w:t>
      </w:r>
      <w:r>
        <w:rPr>
          <w:rFonts w:ascii="Times New Roman;Times;Serif" w:hAnsi="Times New Roman;Times;Serif"/>
          <w:b w:val="false"/>
          <w:i w:val="false"/>
          <w:caps w:val="false"/>
          <w:smallCaps w:val="false"/>
          <w:sz w:val="20"/>
          <w:u w:val="single"/>
        </w:rPr>
        <w:t>Schedule 3.7</w:t>
      </w:r>
      <w:r>
        <w:rPr>
          <w:rFonts w:ascii="Times New Roman;Times;Serif" w:hAnsi="Times New Roman;Times;Serif"/>
          <w:b w:val="false"/>
          <w:i w:val="false"/>
          <w:caps w:val="false"/>
          <w:smallCaps w:val="false"/>
          <w:sz w:val="20"/>
        </w:rPr>
        <w:t>,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Dutch law and all federal and state securities laws, and none of such outstanding shares was issued in violation of any preemptive rights or similar rights to subscribe for or purchase securities. No further approval or authorization of any shareholder, the Board or others is required for the issuance and sale of the Purchased Shares. There are no shareholders agreements, voting agreements or other similar agreements with respect to the Company’s capital stock to which the Company is a party or, to the knowledge of the Company, between or among any of the Company’s shareholders.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3.8 </w:t>
      </w:r>
      <w:r>
        <w:rPr>
          <w:rFonts w:ascii="Times New Roman;Times;Serif" w:hAnsi="Times New Roman;Times;Serif"/>
          <w:b w:val="false"/>
          <w:i w:val="false"/>
          <w:caps w:val="false"/>
          <w:smallCaps w:val="false"/>
          <w:sz w:val="20"/>
          <w:u w:val="single"/>
        </w:rPr>
        <w:t>SEC Reports; Financial Statements</w:t>
      </w:r>
      <w:r>
        <w:rPr>
          <w:rFonts w:ascii="Times New Roman;Times;Serif" w:hAnsi="Times New Roman;Times;Serif"/>
          <w:b w:val="false"/>
          <w:i w:val="false"/>
          <w:caps w:val="false"/>
          <w:smallCaps w:val="false"/>
          <w:sz w:val="20"/>
        </w:rPr>
        <w:t>. The Company has filed all reports, schedules, forms, statements and other documents required to be filed by the Company under the Securities Act and the Exchange Act, including pursuant to Section 13(a) or 15(d) thereof, for the two (2) years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3.9 </w:t>
      </w:r>
      <w:r>
        <w:rPr>
          <w:rFonts w:ascii="Times New Roman;Times;Serif" w:hAnsi="Times New Roman;Times;Serif"/>
          <w:b w:val="false"/>
          <w:i w:val="false"/>
          <w:caps w:val="false"/>
          <w:smallCaps w:val="false"/>
          <w:sz w:val="20"/>
          <w:u w:val="single"/>
        </w:rPr>
        <w:t>Material Changes; Undisclosed Events, Liabilities or Developments</w:t>
      </w:r>
      <w:r>
        <w:rPr>
          <w:rFonts w:ascii="Times New Roman;Times;Serif" w:hAnsi="Times New Roman;Times;Serif"/>
          <w:b w:val="false"/>
          <w:i w:val="false"/>
          <w:caps w:val="false"/>
          <w:smallCaps w:val="false"/>
          <w:sz w:val="20"/>
        </w:rPr>
        <w:t xml:space="preserve">. Since the date of the latest audited financial statements included within the SEC Reports, except as set forth in the SEC Reports or on </w:t>
      </w:r>
      <w:r>
        <w:rPr>
          <w:rFonts w:ascii="Times New Roman;Times;Serif" w:hAnsi="Times New Roman;Times;Serif"/>
          <w:b w:val="false"/>
          <w:i w:val="false"/>
          <w:caps w:val="false"/>
          <w:smallCaps w:val="false"/>
          <w:sz w:val="20"/>
          <w:u w:val="single"/>
        </w:rPr>
        <w:t>Schedule 3.9</w:t>
      </w:r>
      <w:r>
        <w:rPr>
          <w:rFonts w:ascii="Times New Roman;Times;Serif" w:hAnsi="Times New Roman;Times;Serif"/>
          <w:b w:val="false"/>
          <w:i w:val="false"/>
          <w:caps w:val="false"/>
          <w:smallCaps w:val="false"/>
          <w:sz w:val="20"/>
        </w:rPr>
        <w:t>, (i) there has been no event, occurrence or development that has had or that would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shareholders or purchased, redeemed or made any agreements to purchase or redeem any shares of its capital stock and (v) the Company has not issued any equity securities to any officer, director or Affiliate, except pursuant to existing Company equity compensation plans. The Company does not have pending before the Commission any request for confidential treatment of information. Except for the issuance of the Purchased Shares contemplated by this Agreement,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3.10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3.10</w:t>
      </w:r>
      <w:r>
        <w:rPr>
          <w:rFonts w:ascii="Times New Roman;Times;Serif" w:hAnsi="Times New Roman;Times;Serif"/>
          <w:b w:val="false"/>
          <w:i w:val="false"/>
          <w:caps w:val="false"/>
          <w:smallCaps w:val="false"/>
          <w:sz w:val="20"/>
        </w:rPr>
        <w:t>, there is no Proceeding which (i) adversely affects or challenges the legality, validity or enforceability of any of the Transaction Documents or the Purchased Shares or (ii) would, if there were an unfavorable decision, have or reasonably be expected to result in a Material Adverse Effect. Neither the Company nor any Subsidiary, nor any director or officer thereof, is or has been the subject of any Proceeding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3.11 </w:t>
      </w:r>
      <w:r>
        <w:rPr>
          <w:rFonts w:ascii="Times New Roman;Times;Serif" w:hAnsi="Times New Roman;Times;Serif"/>
          <w:b w:val="false"/>
          <w:i w:val="false"/>
          <w:caps w:val="false"/>
          <w:smallCaps w:val="false"/>
          <w:sz w:val="20"/>
          <w:u w:val="single"/>
        </w:rPr>
        <w:t>Labor Relations</w:t>
      </w:r>
      <w:r>
        <w:rPr>
          <w:rFonts w:ascii="Times New Roman;Times;Serif" w:hAnsi="Times New Roman;Times;Serif"/>
          <w:b w:val="false"/>
          <w:i w:val="false"/>
          <w:caps w:val="false"/>
          <w:smallCaps w:val="false"/>
          <w:sz w:val="20"/>
        </w:rPr>
        <w:t>. No labor dispute exists or, to the knowledge of the Company, is imminent with respect to any of the employees of the Company, which would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would not, individually or in the aggregate, reasonably be expected to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3.12 </w:t>
      </w:r>
      <w:r>
        <w:rPr>
          <w:rFonts w:ascii="Times New Roman;Times;Serif" w:hAnsi="Times New Roman;Times;Serif"/>
          <w:b w:val="false"/>
          <w:i w:val="false"/>
          <w:caps w:val="false"/>
          <w:smallCaps w:val="false"/>
          <w:sz w:val="20"/>
          <w:u w:val="single"/>
        </w:rPr>
        <w:t>Regulatory Permits</w:t>
      </w:r>
      <w:r>
        <w:rPr>
          <w:rFonts w:ascii="Times New Roman;Times;Serif" w:hAnsi="Times New Roman;Times;Serif"/>
          <w:b w:val="false"/>
          <w:i w:val="false"/>
          <w:caps w:val="false"/>
          <w:smallCaps w:val="false"/>
          <w:sz w:val="20"/>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would not reasonably be expected to result in a Material Adverse Effect (“</w:t>
      </w:r>
      <w:r>
        <w:rPr>
          <w:rFonts w:ascii="Times New Roman;Times;Serif" w:hAnsi="Times New Roman;Times;Serif"/>
          <w:b w:val="false"/>
          <w:i w:val="false"/>
          <w:caps w:val="false"/>
          <w:smallCaps w:val="false"/>
          <w:sz w:val="20"/>
          <w:u w:val="single"/>
        </w:rPr>
        <w:t>Material Permits</w:t>
      </w:r>
      <w:r>
        <w:rPr>
          <w:rFonts w:ascii="Times New Roman;Times;Serif" w:hAnsi="Times New Roman;Times;Serif"/>
          <w:b w:val="false"/>
          <w:i w:val="false"/>
          <w:caps w:val="false"/>
          <w:smallCaps w:val="false"/>
          <w:sz w:val="20"/>
        </w:rPr>
        <w:t>”), and neither the Company nor any Subsidiary has received any notice of Proceedings relating to the revocation or modification of any Material Permit.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3.13 </w:t>
      </w:r>
      <w:r>
        <w:rPr>
          <w:rFonts w:ascii="Times New Roman;Times;Serif" w:hAnsi="Times New Roman;Times;Serif"/>
          <w:b w:val="false"/>
          <w:i w:val="false"/>
          <w:caps w:val="false"/>
          <w:smallCaps w:val="false"/>
          <w:sz w:val="20"/>
          <w:u w:val="single"/>
        </w:rPr>
        <w:t>Compliance with Laws</w:t>
      </w:r>
      <w:r>
        <w:rPr>
          <w:rFonts w:ascii="Times New Roman;Times;Serif" w:hAnsi="Times New Roman;Times;Serif"/>
          <w:b w:val="false"/>
          <w:i w:val="false"/>
          <w:caps w:val="false"/>
          <w:smallCaps w:val="false"/>
          <w:sz w:val="20"/>
        </w:rPr>
        <w:t>. The Company and each of the Subsidiaries is in compliance in all material respects with all applicable federal, state, local and foreign laws, rules, regulations and orders, except where the failure to be in compliance would not, individually or in the aggregate, reasonably be expected to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3.14 </w:t>
      </w:r>
      <w:r>
        <w:rPr>
          <w:rFonts w:ascii="Times New Roman;Times;Serif" w:hAnsi="Times New Roman;Times;Serif"/>
          <w:b w:val="false"/>
          <w:i w:val="false"/>
          <w:caps w:val="false"/>
          <w:smallCaps w:val="false"/>
          <w:sz w:val="20"/>
          <w:u w:val="single"/>
        </w:rPr>
        <w:t>Title to Assets</w:t>
      </w:r>
      <w:r>
        <w:rPr>
          <w:rFonts w:ascii="Times New Roman;Times;Serif" w:hAnsi="Times New Roman;Times;Serif"/>
          <w:b w:val="false"/>
          <w:i w:val="false"/>
          <w:caps w:val="false"/>
          <w:smallCaps w:val="false"/>
          <w:sz w:val="20"/>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3.15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would have a Material Adverse Effect (collectively, the “</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except where the failure to possess such rights would not reasonably be expected to have a Material Adverse Effect.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would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would not, individually or in the aggregate, reasonably be expected to have a Material Adverse Effect. The Company has no knowledge of any facts that would preclude it from having valid license rights or clear title to the Intellectual Property Rights. The Company has no knowledge that it lacks or will be unable to obtain any rights or licenses to use all Intellectual Property Rights that are necessary to conduct its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3.16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at least equal to the aggregate Subscription Amount.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3.17 </w:t>
      </w:r>
      <w:r>
        <w:rPr>
          <w:rFonts w:ascii="Times New Roman;Times;Serif" w:hAnsi="Times New Roman;Times;Serif"/>
          <w:b w:val="false"/>
          <w:i w:val="false"/>
          <w:caps w:val="false"/>
          <w:smallCaps w:val="false"/>
          <w:sz w:val="20"/>
          <w:u w:val="single"/>
        </w:rPr>
        <w:t>Transactions With Affiliates and Employees</w:t>
      </w:r>
      <w:r>
        <w:rPr>
          <w:rFonts w:ascii="Times New Roman;Times;Serif" w:hAnsi="Times New Roman;Times;Serif"/>
          <w:b w:val="false"/>
          <w:i w:val="false"/>
          <w:caps w:val="false"/>
          <w:smallCaps w:val="false"/>
          <w:sz w:val="20"/>
        </w:rPr>
        <w:t>. Except as set forth in the SEC Reports,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shareholder,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3.18 </w:t>
      </w:r>
      <w:r>
        <w:rPr>
          <w:rFonts w:ascii="Times New Roman;Times;Serif" w:hAnsi="Times New Roman;Times;Serif"/>
          <w:b w:val="false"/>
          <w:i w:val="false"/>
          <w:caps w:val="false"/>
          <w:smallCaps w:val="false"/>
          <w:sz w:val="20"/>
          <w:u w:val="single"/>
        </w:rPr>
        <w:t>Sarbanes-Oxley; Internal Accounting Controls</w:t>
      </w:r>
      <w:r>
        <w:rPr>
          <w:rFonts w:ascii="Times New Roman;Times;Serif" w:hAnsi="Times New Roman;Times;Serif"/>
          <w:b w:val="false"/>
          <w:i w:val="false"/>
          <w:caps w:val="false"/>
          <w:smallCaps w:val="false"/>
          <w:sz w:val="20"/>
        </w:rPr>
        <w:t xml:space="preserve">. Except as set forth in the SEC Reports, and as set forth on </w:t>
      </w:r>
      <w:r>
        <w:rPr>
          <w:rFonts w:ascii="Times New Roman;Times;Serif" w:hAnsi="Times New Roman;Times;Serif"/>
          <w:b w:val="false"/>
          <w:i w:val="false"/>
          <w:caps w:val="false"/>
          <w:smallCaps w:val="false"/>
          <w:sz w:val="20"/>
          <w:u w:val="single"/>
        </w:rPr>
        <w:t>Schedule 3.18</w:t>
      </w:r>
      <w:r>
        <w:rPr>
          <w:rFonts w:ascii="Times New Roman;Times;Serif" w:hAnsi="Times New Roman;Times;Serif"/>
          <w:b w:val="false"/>
          <w:i w:val="false"/>
          <w:caps w:val="false"/>
          <w:smallCaps w:val="false"/>
          <w:sz w:val="20"/>
        </w:rPr>
        <w:t>, the Company and the Subsidiaries are in compliance in all material respects with any and all applicable requirements of the Sarbanes-Oxley Act of 2002, as amended, that are effective as of the date hereof and as of the Closing Date, and any and all applicable rules and regulations promulgated by the Commission thereunder that are effective as of the date hereof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Times;Serif" w:hAnsi="Times New Roman;Times;Serif"/>
          <w:b w:val="false"/>
          <w:i w:val="false"/>
          <w:caps w:val="false"/>
          <w:smallCaps w:val="false"/>
          <w:sz w:val="20"/>
          <w:u w:val="single"/>
        </w:rPr>
        <w:t>Evaluation Date</w:t>
      </w:r>
      <w:r>
        <w:rPr>
          <w:rFonts w:ascii="Times New Roman;Times;Serif" w:hAnsi="Times New Roman;Times;Serif"/>
          <w:b w:val="false"/>
          <w:i w:val="false"/>
          <w:caps w:val="false"/>
          <w:smallCaps w:val="false"/>
          <w:sz w:val="20"/>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are reasonably likely to materially affect, the internal control over financial reporting of the Company and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3.19 </w:t>
      </w:r>
      <w:r>
        <w:rPr>
          <w:rFonts w:ascii="Times New Roman;Times;Serif" w:hAnsi="Times New Roman;Times;Serif"/>
          <w:b w:val="false"/>
          <w:i w:val="false"/>
          <w:caps w:val="false"/>
          <w:smallCaps w:val="false"/>
          <w:sz w:val="20"/>
          <w:u w:val="single"/>
        </w:rPr>
        <w:t>Certain Fees</w:t>
      </w:r>
      <w:r>
        <w:rPr>
          <w:rFonts w:ascii="Times New Roman;Times;Serif" w:hAnsi="Times New Roman;Times;Serif"/>
          <w:b w:val="false"/>
          <w:i w:val="false"/>
          <w:caps w:val="false"/>
          <w:smallCaps w:val="false"/>
          <w:sz w:val="20"/>
        </w:rPr>
        <w: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3.20 </w:t>
      </w:r>
      <w:r>
        <w:rPr>
          <w:rFonts w:ascii="Times New Roman;Times;Serif" w:hAnsi="Times New Roman;Times;Serif"/>
          <w:b w:val="false"/>
          <w:i w:val="false"/>
          <w:caps w:val="false"/>
          <w:smallCaps w:val="false"/>
          <w:sz w:val="20"/>
          <w:u w:val="single"/>
        </w:rPr>
        <w:t>Investment Company</w:t>
      </w:r>
      <w:r>
        <w:rPr>
          <w:rFonts w:ascii="Times New Roman;Times;Serif" w:hAnsi="Times New Roman;Times;Serif"/>
          <w:b w:val="false"/>
          <w:i w:val="false"/>
          <w:caps w:val="false"/>
          <w:smallCaps w:val="false"/>
          <w:sz w:val="20"/>
        </w:rPr>
        <w:t>. The Company is not, and is not an Affiliate of, and immediately after receipt of payment for the Purchased Shares, will not be required to be registered as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3.21 </w:t>
      </w:r>
      <w:r>
        <w:rPr>
          <w:rFonts w:ascii="Times New Roman;Times;Serif" w:hAnsi="Times New Roman;Times;Serif"/>
          <w:b w:val="false"/>
          <w:i w:val="false"/>
          <w:caps w:val="false"/>
          <w:smallCaps w:val="false"/>
          <w:sz w:val="20"/>
          <w:u w:val="single"/>
        </w:rPr>
        <w:t>Registration Rights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3.21</w:t>
      </w:r>
      <w:r>
        <w:rPr>
          <w:rFonts w:ascii="Times New Roman;Times;Serif" w:hAnsi="Times New Roman;Times;Serif"/>
          <w:b w:val="false"/>
          <w:i w:val="false"/>
          <w:caps w:val="false"/>
          <w:smallCaps w:val="false"/>
          <w:sz w:val="20"/>
        </w:rPr>
        <w:t>, no Person has any right to cause the Company or any Subsidiary to effect the registration under the Securities Act of any securities of the Company or any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3.22 </w:t>
      </w:r>
      <w:r>
        <w:rPr>
          <w:rFonts w:ascii="Times New Roman;Times;Serif" w:hAnsi="Times New Roman;Times;Serif"/>
          <w:b w:val="false"/>
          <w:i w:val="false"/>
          <w:caps w:val="false"/>
          <w:smallCaps w:val="false"/>
          <w:sz w:val="20"/>
          <w:u w:val="single"/>
        </w:rPr>
        <w:t>Listing and Maintenance Requirements</w:t>
      </w:r>
      <w:r>
        <w:rPr>
          <w:rFonts w:ascii="Times New Roman;Times;Serif" w:hAnsi="Times New Roman;Times;Serif"/>
          <w:b w:val="false"/>
          <w:i w:val="false"/>
          <w:caps w:val="false"/>
          <w:smallCaps w:val="false"/>
          <w:sz w:val="20"/>
        </w:rPr>
        <w:t>. The Ordinary Shares are registered pursuant to Section 12(b) or 12(g) of the Exchange Act, and the Company has taken no action designed to, or which to its knowledge is likely to have the effect of, terminating the registration of the Ordinary Shares under the Exchange Act nor has the Company received any notification that the Commission is contemplating terminating such registration. Except as set forth in the SEC Reports, the Company has not, in the 12 months preceding the date hereof, received notice from any Trading Market on which the Ordinary Shares are or have been listed or quoted to the effect that the Company is not in compliance with the listing or maintenance requirements of such Trading Market. Except as set forth in the SEC Reports, the Company is, and has no reason to believe that it will not in the foreseeable future continue to be, in compliance with all such listing and maintenance requirements. The Ordinary Shares are currently eligible for electronic transfer through DWAC or another established clearing corporation and the Company is current in payment of the fees to DWAC (or such other established clearing corporation) in connection with such electronic transfer.</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3.23 </w:t>
      </w:r>
      <w:r>
        <w:rPr>
          <w:rFonts w:ascii="Times New Roman;Times;Serif" w:hAnsi="Times New Roman;Times;Serif"/>
          <w:b w:val="false"/>
          <w:i w:val="false"/>
          <w:caps w:val="false"/>
          <w:smallCaps w:val="false"/>
          <w:sz w:val="20"/>
          <w:u w:val="single"/>
        </w:rPr>
        <w:t>Application of Takeover Protections</w:t>
      </w:r>
      <w:r>
        <w:rPr>
          <w:rFonts w:ascii="Times New Roman;Times;Serif" w:hAnsi="Times New Roman;Times;Serif"/>
          <w:b w:val="false"/>
          <w:i w:val="false"/>
          <w:caps w:val="false"/>
          <w:smallCaps w:val="false"/>
          <w:sz w:val="20"/>
        </w:rPr>
        <w:t>. The Company and the Board have taken all necessary action, if any, in order to render inapplicable any control share acquisition, business combination, poison pill (including any distribution under a rights agreement) or other similar anti-takeover provision under the Company’s articles of association or the laws of its jurisdiction of incorporation that is or could become applicable to the Purchasers as a result of the Purchasers and the Company fulfilling their obligations or exercising their rights under the Transaction Documents, including without limitation as a result of the Company’s issuance of the Purchased Shares and the Purchasers’ ownership of the Purchased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3.24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Prospectus Supplement.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including the Disclosure Schedules to this Agreement, in all material respects as of the date made is true and correct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4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3.25 </w:t>
      </w:r>
      <w:r>
        <w:rPr>
          <w:rFonts w:ascii="Times New Roman;Times;Serif" w:hAnsi="Times New Roman;Times;Serif"/>
          <w:b w:val="false"/>
          <w:i w:val="false"/>
          <w:caps w:val="false"/>
          <w:smallCaps w:val="false"/>
          <w:sz w:val="20"/>
          <w:u w:val="single"/>
        </w:rPr>
        <w:t>No Integrated Offering</w:t>
      </w:r>
      <w:r>
        <w:rPr>
          <w:rFonts w:ascii="Times New Roman;Times;Serif" w:hAnsi="Times New Roman;Times;Serif"/>
          <w:b w:val="false"/>
          <w:i w:val="false"/>
          <w:caps w:val="false"/>
          <w:smallCaps w:val="false"/>
          <w:sz w:val="20"/>
        </w:rPr>
        <w:t xml:space="preserve">. Assuming the accuracy of the Purchasers’ representations and warranties set forth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neither the Company, nor any of its Affiliates, nor any Person acting on its or their behalf has, directly or indirectly, made any offers or sales of any security or solicited any offers to buy any security, under circumstances that would cause this offering of the Purchased Shares to be integrated with prior offerings by the Company for purposes of any applicable shareholder approval provisions of any Trading Market on which any of the securities of the Company are listed or designated.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3.26 </w:t>
      </w:r>
      <w:r>
        <w:rPr>
          <w:rFonts w:ascii="Times New Roman;Times;Serif" w:hAnsi="Times New Roman;Times;Serif"/>
          <w:b w:val="false"/>
          <w:i w:val="false"/>
          <w:caps w:val="false"/>
          <w:smallCaps w:val="false"/>
          <w:sz w:val="20"/>
          <w:u w:val="single"/>
        </w:rPr>
        <w:t>Solvency</w:t>
      </w:r>
      <w:r>
        <w:rPr>
          <w:rFonts w:ascii="Times New Roman;Times;Serif" w:hAnsi="Times New Roman;Times;Serif"/>
          <w:b w:val="false"/>
          <w:i w:val="false"/>
          <w:caps w:val="false"/>
          <w:smallCaps w:val="false"/>
          <w:sz w:val="20"/>
        </w:rPr>
        <w:t xml:space="preserve">. Except as set forth in the SEC Reports, and as set forth on </w:t>
      </w:r>
      <w:r>
        <w:rPr>
          <w:rFonts w:ascii="Times New Roman;Times;Serif" w:hAnsi="Times New Roman;Times;Serif"/>
          <w:b w:val="false"/>
          <w:i w:val="false"/>
          <w:caps w:val="false"/>
          <w:smallCaps w:val="false"/>
          <w:sz w:val="20"/>
          <w:u w:val="single"/>
        </w:rPr>
        <w:t>Schedule 3.26</w:t>
      </w:r>
      <w:r>
        <w:rPr>
          <w:rFonts w:ascii="Times New Roman;Times;Serif" w:hAnsi="Times New Roman;Times;Serif"/>
          <w:b w:val="false"/>
          <w:i w:val="false"/>
          <w:caps w:val="false"/>
          <w:smallCaps w:val="false"/>
          <w:sz w:val="20"/>
        </w:rPr>
        <w:t>, the Company has not filed, and has not authorized the filing of, any petition for reorganization or liquidation under any bankruptcy, insolvency or similar law and is not the subject of any pending bankruptcy or insolvency proceeding. The Company has no knowledge of any facts or circumstances which lead it to believe that it will file for reorganization or liquidation under the bankruptcy or reorganization laws of any jurisdiction within one year from the Closing Date. The SEC Reports set forth as of the date therein all outstanding secured and unsecured Indebtedness of the Company or any Subsidiary, or for which the Company or any Subsidiary has commitments. For the purposes of this Agreement, “</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means (x) any liabilities for borrowed money or amounts owed in excess of $50,000 (other than trade accounts payable incurred in the ordinary course of business), (y) all guaranties, endorsements and other contingent obligations in respect of indebtedness for borrowed money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 Neither the Company nor any Subsidiary is in default with respect to any Indebtedness.</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3.27 </w:t>
      </w:r>
      <w:r>
        <w:rPr>
          <w:rFonts w:ascii="Times New Roman;Times;Serif" w:hAnsi="Times New Roman;Times;Serif"/>
          <w:b w:val="false"/>
          <w:i w:val="false"/>
          <w:caps w:val="false"/>
          <w:smallCaps w:val="false"/>
          <w:sz w:val="20"/>
          <w:u w:val="single"/>
        </w:rPr>
        <w:t>Tax Status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3.27</w:t>
      </w:r>
      <w:r>
        <w:rPr>
          <w:rFonts w:ascii="Times New Roman;Times;Serif" w:hAnsi="Times New Roman;Times;Serif"/>
          <w:b w:val="false"/>
          <w:i w:val="false"/>
          <w:caps w:val="false"/>
          <w:smallCaps w:val="false"/>
          <w:sz w:val="20"/>
        </w:rPr>
        <w:t>, the Company and its Subsidiaries each has made or filed all United States federal, state and local income and all foreign income and franchise tax returns, reports and declarations required by any jurisdiction to which it is subject. Except for matters that would not, individually or in the aggregate, have or reasonably be expected to result in a Material Adverse Effect, the Company and its Subsidiaries each (i) has paid all taxes and other governmental assessments and charges that are material in amount, shown or determined to be due on such returns, reports and declarations, except those being contested in good faith, with respect to which adequate reserves have been set aside on the books of the Company, and (ii)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3.28 </w:t>
      </w:r>
      <w:r>
        <w:rPr>
          <w:rFonts w:ascii="Times New Roman;Times;Serif" w:hAnsi="Times New Roman;Times;Serif"/>
          <w:b w:val="false"/>
          <w:i w:val="false"/>
          <w:caps w:val="false"/>
          <w:smallCaps w:val="false"/>
          <w:sz w:val="20"/>
          <w:u w:val="single"/>
        </w:rPr>
        <w:t>Foreign Corrupt Practices</w:t>
      </w:r>
      <w:r>
        <w:rPr>
          <w:rFonts w:ascii="Times New Roman;Times;Serif" w:hAnsi="Times New Roman;Times;Serif"/>
          <w:b w:val="false"/>
          <w:i w:val="false"/>
          <w:caps w:val="false"/>
          <w:smallCaps w:val="false"/>
          <w:sz w:val="20"/>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3.29 </w:t>
      </w:r>
      <w:r>
        <w:rPr>
          <w:rFonts w:ascii="Times New Roman;Times;Serif" w:hAnsi="Times New Roman;Times;Serif"/>
          <w:b w:val="false"/>
          <w:i w:val="false"/>
          <w:caps w:val="false"/>
          <w:smallCaps w:val="false"/>
          <w:sz w:val="20"/>
          <w:u w:val="single"/>
        </w:rPr>
        <w:t>Accountants</w:t>
      </w:r>
      <w:r>
        <w:rPr>
          <w:rFonts w:ascii="Times New Roman;Times;Serif" w:hAnsi="Times New Roman;Times;Serif"/>
          <w:b w:val="false"/>
          <w:i w:val="false"/>
          <w:caps w:val="false"/>
          <w:smallCaps w:val="false"/>
          <w:sz w:val="20"/>
        </w:rPr>
        <w:t>. The Company’s independent registered public accounting firm is Grassi &amp; Co., CPAs, P.C. To the knowledge and belief of the Company, such accounting firm (i) is a registered public accounting firm as required by the Exchange Act and (ii) has expressed its opinion with respect to the financial statements included in the Company’s Annual Report for the fiscal year ending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3.30 </w:t>
      </w:r>
      <w:r>
        <w:rPr>
          <w:rFonts w:ascii="Times New Roman;Times;Serif" w:hAnsi="Times New Roman;Times;Serif"/>
          <w:b w:val="false"/>
          <w:i w:val="false"/>
          <w:caps w:val="false"/>
          <w:smallCaps w:val="false"/>
          <w:sz w:val="20"/>
          <w:u w:val="single"/>
        </w:rPr>
        <w:t>Acknowledgment Regarding Purchasers’ Purchase of Purchased Shares</w:t>
      </w:r>
      <w:r>
        <w:rPr>
          <w:rFonts w:ascii="Times New Roman;Times;Serif" w:hAnsi="Times New Roman;Times;Serif"/>
          <w:b w:val="false"/>
          <w:i w:val="false"/>
          <w:caps w:val="false"/>
          <w:smallCaps w:val="false"/>
          <w:sz w:val="20"/>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Purchased Shares.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3.31 </w:t>
      </w:r>
      <w:r>
        <w:rPr>
          <w:rFonts w:ascii="Times New Roman;Times;Serif" w:hAnsi="Times New Roman;Times;Serif"/>
          <w:b w:val="false"/>
          <w:i w:val="false"/>
          <w:caps w:val="false"/>
          <w:smallCaps w:val="false"/>
          <w:sz w:val="20"/>
          <w:u w:val="single"/>
        </w:rPr>
        <w:t>Acknowledgment Regarding Purchasers’ Trading Activity</w:t>
      </w:r>
      <w:r>
        <w:rPr>
          <w:rFonts w:ascii="Times New Roman;Times;Serif" w:hAnsi="Times New Roman;Times;Serif"/>
          <w:b w:val="false"/>
          <w:i w:val="false"/>
          <w:caps w:val="false"/>
          <w:smallCaps w:val="false"/>
          <w:sz w:val="20"/>
        </w:rPr>
        <w:t>. Notwithstanding anything in this Agreement to the contrary,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Purchased Shares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Ordinary Shares,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Purchased Shares are outstanding, and (z) such hedging activities (if any) could reduce the value of the existing shareholders’ equity interests in the Company at and after the time that the hedging activities are being conducted. The Company acknowledges that such aforementioned hedging activities do not constitute a breach of any of the Transaction Documents.</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3.32 </w:t>
      </w:r>
      <w:r>
        <w:rPr>
          <w:rFonts w:ascii="Times New Roman;Times;Serif" w:hAnsi="Times New Roman;Times;Serif"/>
          <w:b w:val="false"/>
          <w:i w:val="false"/>
          <w:caps w:val="false"/>
          <w:smallCaps w:val="false"/>
          <w:sz w:val="20"/>
          <w:u w:val="single"/>
        </w:rPr>
        <w:t>Regulation M Compliance</w:t>
      </w:r>
      <w:r>
        <w:rPr>
          <w:rFonts w:ascii="Times New Roman;Times;Serif" w:hAnsi="Times New Roman;Times;Serif"/>
          <w:b w:val="false"/>
          <w:i w:val="false"/>
          <w:caps w:val="false"/>
          <w:smallCaps w:val="false"/>
          <w:sz w:val="20"/>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Purchased Shares, (ii) sold, bid for, purchased, or, paid any compensation for soliciting purchases of, any of the Purchased Shares, or (iii) paid or agreed to pay to any Person any compensation for soliciting another to purchase any other securities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3.33 </w:t>
      </w:r>
      <w:r>
        <w:rPr>
          <w:rFonts w:ascii="Times New Roman;Times;Serif" w:hAnsi="Times New Roman;Times;Serif"/>
          <w:b w:val="false"/>
          <w:i w:val="false"/>
          <w:caps w:val="false"/>
          <w:smallCaps w:val="false"/>
          <w:sz w:val="20"/>
          <w:u w:val="single"/>
        </w:rPr>
        <w:t>Stock Option Plans</w:t>
      </w:r>
      <w:r>
        <w:rPr>
          <w:rFonts w:ascii="Times New Roman;Times;Serif" w:hAnsi="Times New Roman;Times;Serif"/>
          <w:b w:val="false"/>
          <w:i w:val="false"/>
          <w:caps w:val="false"/>
          <w:smallCaps w:val="false"/>
          <w:sz w:val="20"/>
        </w:rPr>
        <w:t>. Each stock option granted by the Company under the Company’s stock option plan was granted (i) in accordance with the terms of the Company’s stock option plan and (ii) with an exercise price at least equal to the fair market value of the Ordinary Shares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3.34 </w:t>
      </w:r>
      <w:r>
        <w:rPr>
          <w:rFonts w:ascii="Times New Roman;Times;Serif" w:hAnsi="Times New Roman;Times;Serif"/>
          <w:b w:val="false"/>
          <w:i w:val="false"/>
          <w:caps w:val="false"/>
          <w:smallCaps w:val="false"/>
          <w:sz w:val="20"/>
          <w:u w:val="single"/>
        </w:rPr>
        <w:t>Cybersecurity</w:t>
      </w:r>
      <w:r>
        <w:rPr>
          <w:rFonts w:ascii="Times New Roman;Times;Serif" w:hAnsi="Times New Roman;Times;Serif"/>
          <w:b w:val="false"/>
          <w:i w:val="false"/>
          <w:caps w:val="false"/>
          <w:smallCaps w:val="false"/>
          <w:sz w:val="20"/>
        </w:rPr>
        <w:t>.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Times;Serif" w:hAnsi="Times New Roman;Times;Serif"/>
          <w:b w:val="false"/>
          <w:i w:val="false"/>
          <w:caps w:val="false"/>
          <w:smallCaps w:val="false"/>
          <w:sz w:val="20"/>
          <w:u w:val="single"/>
        </w:rPr>
        <w:t>IT Systems and Data</w:t>
      </w:r>
      <w:r>
        <w:rPr>
          <w:rFonts w:ascii="Times New Roman;Times;Serif" w:hAnsi="Times New Roman;Times;Serif"/>
          <w:b w:val="false"/>
          <w:i w:val="false"/>
          <w:caps w:val="false"/>
          <w:smallCaps w:val="false"/>
          <w:sz w:val="20"/>
        </w:rPr>
        <w:t>”), except for those as would not cause a Material Adverse Effect, and the Company and the Subsidiaries have not been notified of, and have no knowledge of any event or condition that would reasonably be expected to result in, any security breach or other compromise to its IT Systems and Data that would cause a Material Adverse Effect.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The Company and the Subsidiaries have implemented and maintained commercially reasonable safeguards to maintain and protect its material confidential information and the integrity, continuous operation, redundancy and security of all IT Systems and Data. The Company and the Subsidiaries have implemented backup and disaster recovery technology consistent with industry standards and practices.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3.35 </w:t>
      </w:r>
      <w:r>
        <w:rPr>
          <w:rFonts w:ascii="Times New Roman;Times;Serif" w:hAnsi="Times New Roman;Times;Serif"/>
          <w:b w:val="false"/>
          <w:i w:val="false"/>
          <w:caps w:val="false"/>
          <w:smallCaps w:val="false"/>
          <w:sz w:val="20"/>
          <w:u w:val="single"/>
        </w:rPr>
        <w:t>Data Privacy</w:t>
      </w:r>
      <w:r>
        <w:rPr>
          <w:rFonts w:ascii="Times New Roman;Times;Serif" w:hAnsi="Times New Roman;Times;Serif"/>
          <w:b w:val="false"/>
          <w:i w:val="false"/>
          <w:caps w:val="false"/>
          <w:smallCaps w:val="false"/>
          <w:sz w:val="20"/>
        </w:rPr>
        <w:t>. The Company and each of the Subsidiaries is in compliance in all material respects with all applicable data protection and privacy laws, rules and regulations applicable to the conduct of its business, including with respect to the collection, use, storage, disclosure, transfer and protection of personal data. The Company and each of the Subsidiaries maintains data security practices that are reasonably designed to protect the confidentiality, integrity and availability of personal data and other confidential information in its possession or control. Neither the Company nor any Subsidiary has experienced any material data breach or other security incident involving personal data, and neither the Company nor any Subsidiary has received any written notice of, or is subject to, any Proceeding or regulatory action by any governmental authority relating to data privacy or data protection, in each case except as would not, individually or in the aggregate, reasonably be expected to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3.36 </w:t>
      </w:r>
      <w:r>
        <w:rPr>
          <w:rFonts w:ascii="Times New Roman;Times;Serif" w:hAnsi="Times New Roman;Times;Serif"/>
          <w:b w:val="false"/>
          <w:i w:val="false"/>
          <w:caps w:val="false"/>
          <w:smallCaps w:val="false"/>
          <w:sz w:val="20"/>
          <w:u w:val="single"/>
        </w:rPr>
        <w:t>Office of Foreign Assets Control; Sanctions</w:t>
      </w:r>
      <w:r>
        <w:rPr>
          <w:rFonts w:ascii="Times New Roman;Times;Serif" w:hAnsi="Times New Roman;Times;Serif"/>
          <w:b w:val="false"/>
          <w:i w:val="false"/>
          <w:caps w:val="false"/>
          <w:smallCaps w:val="false"/>
          <w:sz w:val="20"/>
        </w:rPr>
        <w:t>. Neither the Company nor any Subsidiary nor, to the Company’s knowledge, any director, officer, agent, employee or Affiliate of the Company or any Subsidiary is a Person that is, or is owned or controlled by a Person that is, the subject of any sanctions administered or enforced by the Office of Foreign Assets Control of the U.S. Treasury Department (“</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the United Nations Security Council, the European Union, His Majesty’s Treasury, or any other relevant sanctions authority.</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3.37 </w:t>
      </w:r>
      <w:r>
        <w:rPr>
          <w:rFonts w:ascii="Times New Roman;Times;Serif" w:hAnsi="Times New Roman;Times;Serif"/>
          <w:b w:val="false"/>
          <w:i w:val="false"/>
          <w:caps w:val="false"/>
          <w:smallCaps w:val="false"/>
          <w:sz w:val="20"/>
          <w:u w:val="single"/>
        </w:rPr>
        <w:t>U.S. Real Property Holding Corporation</w:t>
      </w:r>
      <w:r>
        <w:rPr>
          <w:rFonts w:ascii="Times New Roman;Times;Serif" w:hAnsi="Times New Roman;Times;Serif"/>
          <w:b w:val="false"/>
          <w:i w:val="false"/>
          <w:caps w:val="false"/>
          <w:smallCaps w:val="false"/>
          <w:sz w:val="20"/>
        </w:rPr>
        <w:t>. The Company is not and has never been a U.S. real property holding corporation within the meaning of Section 897 of the Internal Revenue Code of 1986, as amended, and the Company shall so certify upon any Purchaser’s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3.38 </w:t>
      </w:r>
      <w:r>
        <w:rPr>
          <w:rFonts w:ascii="Times New Roman;Times;Serif" w:hAnsi="Times New Roman;Times;Serif"/>
          <w:b w:val="false"/>
          <w:i w:val="false"/>
          <w:caps w:val="false"/>
          <w:smallCaps w:val="false"/>
          <w:sz w:val="20"/>
          <w:u w:val="single"/>
        </w:rPr>
        <w:t>Bank Holding Company Act</w:t>
      </w:r>
      <w:r>
        <w:rPr>
          <w:rFonts w:ascii="Times New Roman;Times;Serif" w:hAnsi="Times New Roman;Times;Serif"/>
          <w:b w:val="false"/>
          <w:i w:val="false"/>
          <w:caps w:val="false"/>
          <w:smallCaps w:val="false"/>
          <w:sz w:val="20"/>
        </w:rPr>
        <w:t>. Neither the Company nor any of its Subsidiaries or Affiliates is subject to the Bank Holding Company Act of 1956, as amended (the “</w:t>
      </w:r>
      <w:r>
        <w:rPr>
          <w:rFonts w:ascii="Times New Roman;Times;Serif" w:hAnsi="Times New Roman;Times;Serif"/>
          <w:b w:val="false"/>
          <w:i w:val="false"/>
          <w:caps w:val="false"/>
          <w:smallCaps w:val="false"/>
          <w:sz w:val="20"/>
          <w:u w:val="single"/>
        </w:rPr>
        <w:t>BHCA</w:t>
      </w:r>
      <w:r>
        <w:rPr>
          <w:rFonts w:ascii="Times New Roman;Times;Serif" w:hAnsi="Times New Roman;Times;Serif"/>
          <w:b w:val="false"/>
          <w:i w:val="false"/>
          <w:caps w:val="false"/>
          <w:smallCaps w:val="false"/>
          <w:sz w:val="20"/>
        </w:rPr>
        <w:t>”) and to regulation by the Board of Governors of the Federal Reserve System (the “</w:t>
      </w:r>
      <w:r>
        <w:rPr>
          <w:rFonts w:ascii="Times New Roman;Times;Serif" w:hAnsi="Times New Roman;Times;Serif"/>
          <w:b w:val="false"/>
          <w:i w:val="false"/>
          <w:caps w:val="false"/>
          <w:smallCaps w:val="false"/>
          <w:sz w:val="20"/>
          <w:u w:val="single"/>
        </w:rPr>
        <w:t>Federal Reserve</w:t>
      </w:r>
      <w:r>
        <w:rPr>
          <w:rFonts w:ascii="Times New Roman;Times;Serif" w:hAnsi="Times New Roman;Times;Serif"/>
          <w:b w:val="false"/>
          <w:i w:val="false"/>
          <w:caps w:val="false"/>
          <w:smallCaps w:val="false"/>
          <w:sz w:val="20"/>
        </w:rPr>
        <w:t>”).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3.39 </w:t>
      </w:r>
      <w:r>
        <w:rPr>
          <w:rFonts w:ascii="Times New Roman;Times;Serif" w:hAnsi="Times New Roman;Times;Serif"/>
          <w:b w:val="false"/>
          <w:i w:val="false"/>
          <w:caps w:val="false"/>
          <w:smallCaps w:val="false"/>
          <w:sz w:val="20"/>
          <w:u w:val="single"/>
        </w:rPr>
        <w:t>Money Laundering</w:t>
      </w:r>
      <w:r>
        <w:rPr>
          <w:rFonts w:ascii="Times New Roman;Times;Serif" w:hAnsi="Times New Roman;Times;Serif"/>
          <w:b w:val="false"/>
          <w:i w:val="false"/>
          <w:caps w:val="false"/>
          <w:smallCaps w:val="false"/>
          <w:sz w:val="20"/>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Times;Serif" w:hAnsi="Times New Roman;Times;Serif"/>
          <w:b w:val="false"/>
          <w:i w:val="false"/>
          <w:caps w:val="false"/>
          <w:smallCaps w:val="false"/>
          <w:sz w:val="20"/>
          <w:u w:val="single"/>
        </w:rPr>
        <w:t>Money Laundering Laws</w:t>
      </w:r>
      <w:r>
        <w:rPr>
          <w:rFonts w:ascii="Times New Roman;Times;Serif" w:hAnsi="Times New Roman;Times;Serif"/>
          <w:b w:val="false"/>
          <w:i w:val="false"/>
          <w:caps w:val="false"/>
          <w:smallCaps w:val="false"/>
          <w:sz w:val="20"/>
        </w:rPr>
        <w:t>”), and no Proceeding or Proceeding by or before any court or governmental agency, authority or body or any arbitrator involving the Company or any Subsidiary with respect to the Money Laundering Laws is pending or, to the knowledge of the Company or any Subsidiary, threatened.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3.40 </w:t>
      </w:r>
      <w:r>
        <w:rPr>
          <w:rFonts w:ascii="Times New Roman;Times;Serif" w:hAnsi="Times New Roman;Times;Serif"/>
          <w:b w:val="false"/>
          <w:i w:val="false"/>
          <w:caps w:val="false"/>
          <w:smallCaps w:val="false"/>
          <w:sz w:val="20"/>
          <w:u w:val="single"/>
        </w:rPr>
        <w:t>Compliance with Nasdaq Rules</w:t>
      </w:r>
      <w:r>
        <w:rPr>
          <w:rFonts w:ascii="Times New Roman;Times;Serif" w:hAnsi="Times New Roman;Times;Serif"/>
          <w:b w:val="false"/>
          <w:i w:val="false"/>
          <w:caps w:val="false"/>
          <w:smallCaps w:val="false"/>
          <w:sz w:val="20"/>
        </w:rPr>
        <w:t>. Since the uplisting of the Ordinary Shares of the Company to the Trading Market on September 5, 2025, there is and has been no failure on the part of the Company or, to the knowledge of the Company, any of the Company’s officers, directors or director nominees, in their capacities as such, to comply with (as and when applicable) the applicable requirements of the Nasdaq Marketplace Rules, including all applicable provisions of the Nasdaq corporate governance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3.41 </w:t>
      </w:r>
      <w:r>
        <w:rPr>
          <w:rFonts w:ascii="Times New Roman;Times;Serif" w:hAnsi="Times New Roman;Times;Serif"/>
          <w:b w:val="false"/>
          <w:i w:val="false"/>
          <w:caps w:val="false"/>
          <w:smallCaps w:val="false"/>
          <w:sz w:val="20"/>
          <w:u w:val="single"/>
        </w:rPr>
        <w:t>Dilutive Effect</w:t>
      </w:r>
      <w:r>
        <w:rPr>
          <w:rFonts w:ascii="Times New Roman;Times;Serif" w:hAnsi="Times New Roman;Times;Serif"/>
          <w:b w:val="false"/>
          <w:i w:val="false"/>
          <w:caps w:val="false"/>
          <w:smallCaps w:val="false"/>
          <w:sz w:val="20"/>
        </w:rPr>
        <w:t>. The Company is aware and acknowledges that issuance of the Purchased Shares could cause dilution to existing shareholders and could significantly increase the outstanding number of Ordinary Shares. The Company further acknowledges that its obligation to issue the Purchased Shares to the Purchasers pursuant to this Agreement is absolute and unconditional, regardless of the dilutive effect that such issuance may have on the ownership interests of other shareholders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3.42 </w:t>
      </w:r>
      <w:r>
        <w:rPr>
          <w:rFonts w:ascii="Times New Roman;Times;Serif" w:hAnsi="Times New Roman;Times;Serif"/>
          <w:b w:val="false"/>
          <w:i w:val="false"/>
          <w:caps w:val="false"/>
          <w:smallCaps w:val="false"/>
          <w:sz w:val="20"/>
          <w:u w:val="single"/>
        </w:rPr>
        <w:t>No Additional Representations or Warranties</w:t>
      </w:r>
      <w:r>
        <w:rPr>
          <w:rFonts w:ascii="Times New Roman;Times;Serif" w:hAnsi="Times New Roman;Times;Serif"/>
          <w:b w:val="false"/>
          <w:i w:val="false"/>
          <w:caps w:val="false"/>
          <w:smallCaps w:val="false"/>
          <w:sz w:val="20"/>
        </w:rPr>
        <w:t xml:space="preserve">. Except as provided in this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none of the Company nor any of its Affiliates, nor any of their respective directors, managers, officers, employees, equityholders, partners, members or representatives has made, or is making, any representation or warranty whatsoever to any Purchaser, its respective Affiliates or any other Person and no such party shall be liable in respect of the accuracy or completeness of any information provided to any Purchaser, its respective Affiliates or any other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br/>
        <w:t>REPRESENTATIONS AND WARRANTIES</w:t>
        <w:br/>
        <w:t>OF THE PURCHASERS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Purchaser, for itself and for no other Purchaser, hereby represents and warrants as of the date hereof and as of the Closing Date to the Company as follows (unless as of a specific date therein, in which case they shall be accurate as of such date):</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Organization; Authority</w:t>
      </w:r>
      <w:r>
        <w:rPr>
          <w:rFonts w:ascii="Times New Roman;Times;Serif" w:hAnsi="Times New Roman;Times;Serif"/>
          <w:b w:val="false"/>
          <w:i w:val="false"/>
          <w:caps w:val="false"/>
          <w:smallCaps w:val="false"/>
          <w:sz w:val="20"/>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Understandings or Arrangements</w:t>
      </w:r>
      <w:r>
        <w:rPr>
          <w:rFonts w:ascii="Times New Roman;Times;Serif" w:hAnsi="Times New Roman;Times;Serif"/>
          <w:b w:val="false"/>
          <w:i w:val="false"/>
          <w:caps w:val="false"/>
          <w:smallCaps w:val="false"/>
          <w:sz w:val="20"/>
        </w:rPr>
        <w:t>. Such Purchaser is acquiring the Purchased Shares as principal for its own account and has no direct or indirect arrangement or understandings with any other persons to distribute or regarding the distribution of such Purchased Shares (this representation and warranty not limiting such Purchaser’s right to sell the Purchased Shares pursuant to the Registration Statement or otherwise in compliance with applicable federal and state securities laws). Such Purchaser is acquiring the Purchased Shares hereunder in the ordinary course of its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Purchaser Status</w:t>
      </w:r>
      <w:r>
        <w:rPr>
          <w:rFonts w:ascii="Times New Roman;Times;Serif" w:hAnsi="Times New Roman;Times;Serif"/>
          <w:b w:val="false"/>
          <w:i w:val="false"/>
          <w:caps w:val="false"/>
          <w:smallCaps w:val="false"/>
          <w:sz w:val="20"/>
        </w:rPr>
        <w:t>. At the time such Purchaser was offered the Purchased Shares, it was, and as of the date hereof it is, either: (i) an “accredited investor” as defined in Rule 501(a)(1), (a)(2), (a)(3), (a)(7), (a)(8), (a)(9), (a)(12), or (a)(13) under the Securities Act or (ii) a “qualified institutional buyer” as defined in Rule 144A(a)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val="false"/>
          <w:i w:val="false"/>
          <w:caps w:val="false"/>
          <w:smallCaps w:val="false"/>
          <w:sz w:val="20"/>
          <w:u w:val="single"/>
        </w:rPr>
        <w:t>Experience of Such Purchaser</w:t>
      </w:r>
      <w:r>
        <w:rPr>
          <w:rFonts w:ascii="Times New Roman;Times;Serif" w:hAnsi="Times New Roman;Times;Serif"/>
          <w:b w:val="false"/>
          <w:i w:val="false"/>
          <w:caps w:val="false"/>
          <w:smallCaps w:val="false"/>
          <w:sz w:val="20"/>
        </w:rPr>
        <w:t>. Such Purchaser, either alone or together with its representatives, has such knowledge, sophistication and experience in business and financial matters so as to be capable of evaluating the merits and risks of the prospective investment in the Purchased Shares, and has so evaluated the merits and risks of such investment. Such Purchaser is able to bear the economic risk of an investment in the Purchased Shares and, at the present time, is able to afford a complete loss of such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val="false"/>
          <w:i w:val="false"/>
          <w:caps w:val="false"/>
          <w:smallCaps w:val="false"/>
          <w:sz w:val="20"/>
          <w:u w:val="single"/>
        </w:rPr>
        <w:t>Access to Information</w:t>
      </w:r>
      <w:r>
        <w:rPr>
          <w:rFonts w:ascii="Times New Roman;Times;Serif" w:hAnsi="Times New Roman;Times;Serif"/>
          <w:b w:val="false"/>
          <w:i w:val="false"/>
          <w:caps w:val="false"/>
          <w:smallCaps w:val="false"/>
          <w:sz w:val="20"/>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Purchased Shares and the merits and risks of investing in the Purchased Shares;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r>
        <w:rPr>
          <w:rFonts w:ascii="Times New Roman;Times;Serif" w:hAnsi="Times New Roman;Times;Serif"/>
          <w:b w:val="false"/>
          <w:i w:val="false"/>
          <w:caps w:val="false"/>
          <w:smallCaps w:val="false"/>
          <w:sz w:val="20"/>
          <w:u w:val="single"/>
        </w:rPr>
        <w:t>Certain Transactions and Confidentiality</w:t>
      </w:r>
      <w:r>
        <w:rPr>
          <w:rFonts w:ascii="Times New Roman;Times;Serif" w:hAnsi="Times New Roman;Times;Serif"/>
          <w:b w:val="false"/>
          <w:i w:val="false"/>
          <w:caps w:val="false"/>
          <w:smallCaps w:val="false"/>
          <w:sz w:val="20"/>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 </w:t>
      </w:r>
      <w:r>
        <w:rPr>
          <w:rFonts w:ascii="Times New Roman;Times;Serif" w:hAnsi="Times New Roman;Times;Serif"/>
          <w:b w:val="false"/>
          <w:i w:val="false"/>
          <w:caps w:val="false"/>
          <w:smallCaps w:val="false"/>
          <w:sz w:val="20"/>
          <w:u w:val="single"/>
        </w:rPr>
        <w:t>No Additional Representations or Warranties</w:t>
      </w:r>
      <w:r>
        <w:rPr>
          <w:rFonts w:ascii="Times New Roman;Times;Serif" w:hAnsi="Times New Roman;Times;Serif"/>
          <w:b w:val="false"/>
          <w:i w:val="false"/>
          <w:caps w:val="false"/>
          <w:smallCaps w:val="false"/>
          <w:sz w:val="20"/>
        </w:rPr>
        <w:t xml:space="preserve">. Except as provided in this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none of such Purchaser nor any of its Affiliates, nor any of their respective directors, managers, officers, employees, equityholders, partners, members or representatives has made, or is making, any representation or warranty whatsoever to the Company, its respective Affiliates or any other Person and no such party shall be liable in respect of the accuracy or completeness of any information provided to the Company, its respective Affiliates or any other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br/>
        <w:t>ADDITIONAL COVENANTS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val="false"/>
          <w:i w:val="false"/>
          <w:caps w:val="false"/>
          <w:smallCaps w:val="false"/>
          <w:sz w:val="20"/>
          <w:u w:val="single"/>
        </w:rPr>
        <w:t>Furnishing of Information</w:t>
      </w:r>
      <w:r>
        <w:rPr>
          <w:rFonts w:ascii="Times New Roman;Times;Serif" w:hAnsi="Times New Roman;Times;Serif"/>
          <w:b w:val="false"/>
          <w:i w:val="false"/>
          <w:caps w:val="false"/>
          <w:smallCaps w:val="false"/>
          <w:sz w:val="20"/>
        </w:rPr>
        <w:t>. Until the time that no Purchaser owns Purchased Shares, the Company agrees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The Company shall not sell, offer for sale or solicit offers to buy or otherwise negotiate in respect of any security (as defined in Section 2 of the Securities Act) that would be integrated with the offer or sale of the Purchased Shares for purposes of the rules and regulations of any Trading Market such that it would require shareholder approval prior to the closing of such other transaction unless shareholder approval is obtained before the closing of such subsequent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 </w:t>
      </w:r>
      <w:r>
        <w:rPr>
          <w:rFonts w:ascii="Times New Roman;Times;Serif" w:hAnsi="Times New Roman;Times;Serif"/>
          <w:b w:val="false"/>
          <w:i w:val="false"/>
          <w:caps w:val="false"/>
          <w:smallCaps w:val="false"/>
          <w:sz w:val="20"/>
          <w:u w:val="single"/>
        </w:rPr>
        <w:t>Securities Laws Disclosure; Publicity</w:t>
      </w:r>
      <w:r>
        <w:rPr>
          <w:rFonts w:ascii="Times New Roman;Times;Serif" w:hAnsi="Times New Roman;Times;Serif"/>
          <w:b w:val="false"/>
          <w:i w:val="false"/>
          <w:caps w:val="false"/>
          <w:smallCaps w:val="false"/>
          <w:sz w:val="20"/>
        </w:rPr>
        <w:t>.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Affiliates or agents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employees, Affiliates or agents, on the one hand, and any of the Purchasers or any of their Affiliates on the other hand, shall terminate and be of no further force or effect. The Company understands and confirms that each Purchaser shall be relying on the foregoing covenant in effecting transactions in securities of the Company.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provide the Purchasers with prior notice of such disclosure permitted under this clause (b) and reasonably cooperate with such Purchaser regarding such disclosure.</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 </w:t>
      </w:r>
      <w:r>
        <w:rPr>
          <w:rFonts w:ascii="Times New Roman;Times;Serif" w:hAnsi="Times New Roman;Times;Serif"/>
          <w:b w:val="false"/>
          <w:i w:val="false"/>
          <w:caps w:val="false"/>
          <w:smallCaps w:val="false"/>
          <w:sz w:val="20"/>
          <w:u w:val="single"/>
        </w:rPr>
        <w:t>Shareholder Rights Plan</w:t>
      </w:r>
      <w:r>
        <w:rPr>
          <w:rFonts w:ascii="Times New Roman;Times;Serif" w:hAnsi="Times New Roman;Times;Serif"/>
          <w:b w:val="false"/>
          <w:i w:val="false"/>
          <w:caps w:val="false"/>
          <w:smallCaps w:val="false"/>
          <w:sz w:val="20"/>
        </w:rPr>
        <w:t>. No claim will be made or enforced by the Company or, with the consent of the Company, any other Person, that any Purchaser is an “</w:t>
      </w:r>
      <w:r>
        <w:rPr>
          <w:rFonts w:ascii="Times New Roman;Times;Serif" w:hAnsi="Times New Roman;Times;Serif"/>
          <w:b w:val="false"/>
          <w:i w:val="false"/>
          <w:caps w:val="false"/>
          <w:smallCaps w:val="false"/>
          <w:sz w:val="20"/>
          <w:u w:val="single"/>
        </w:rPr>
        <w:t>Acquiring Person</w:t>
      </w:r>
      <w:r>
        <w:rPr>
          <w:rFonts w:ascii="Times New Roman;Times;Serif" w:hAnsi="Times New Roman;Times;Serif"/>
          <w:b w:val="false"/>
          <w:i w:val="false"/>
          <w:caps w:val="false"/>
          <w:smallCaps w:val="false"/>
          <w:sz w:val="20"/>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Purchased Shares under the Transaction Documents or under any other agreement between the Company and the Purchasers.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5.5 </w:t>
      </w:r>
      <w:r>
        <w:rPr>
          <w:rFonts w:ascii="Times New Roman;Times;Serif" w:hAnsi="Times New Roman;Times;Serif"/>
          <w:b w:val="false"/>
          <w:i w:val="false"/>
          <w:caps w:val="false"/>
          <w:smallCaps w:val="false"/>
          <w:sz w:val="20"/>
          <w:u w:val="single"/>
        </w:rPr>
        <w:t>Non-Public Information</w:t>
      </w:r>
      <w:r>
        <w:rPr>
          <w:rFonts w:ascii="Times New Roman;Times;Serif" w:hAnsi="Times New Roman;Times;Serif"/>
          <w:b w:val="false"/>
          <w:i w:val="false"/>
          <w:caps w:val="false"/>
          <w:smallCaps w:val="false"/>
          <w:sz w:val="20"/>
        </w:rPr>
        <w:t>. Except with respect to the material terms and conditions of the transactions contemplated by the Transaction Documents,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in writing to the receipt of such information and agreed in writing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agents, employees or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employees, Affiliates or agents, or a duty to the Company, any of its Subsidiaries or any of their respective officers, directors, employees, Affiliates or agents,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with the delivery of such notice file such notice with the Commission pursuant to a Current Report on Form 8-K. The Company understands and confirms that each Purchaser shall be relying on the foregoing covenant in effecting transactions in securities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5.6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The Company shall use the net proceeds from the sale of the Purchased Shares hereunder for working capital and general corporate purposes and shall not use such proceeds: (a) for the satisfaction of any portion of the Company’s debt (other than payment of trade payables in the ordinary course of the Company’s business and prior practices), (b) for the redemption of any Ordinary Shares or Ordinary Share Equivalents, (c) for the settlement of any outstanding litigation or (d) in violation of FCPA or OFAC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5.7 </w:t>
      </w:r>
      <w:r>
        <w:rPr>
          <w:rFonts w:ascii="Times New Roman;Times;Serif" w:hAnsi="Times New Roman;Times;Serif"/>
          <w:b w:val="false"/>
          <w:i w:val="false"/>
          <w:caps w:val="false"/>
          <w:smallCaps w:val="false"/>
          <w:sz w:val="20"/>
          <w:u w:val="single"/>
        </w:rPr>
        <w:t>Indemnification of Purchasers</w:t>
      </w:r>
      <w:r>
        <w:rPr>
          <w:rFonts w:ascii="Times New Roman;Times;Serif" w:hAnsi="Times New Roman;Times;Serif"/>
          <w:b w:val="false"/>
          <w:i w:val="false"/>
          <w:caps w:val="false"/>
          <w:smallCaps w:val="false"/>
          <w:sz w:val="20"/>
        </w:rPr>
        <w:t xml:space="preserve">. Subject to the provisions of this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Times New Roman;Times;Serif" w:hAnsi="Times New Roman;Times;Serif"/>
          <w:b w:val="false"/>
          <w:i w:val="false"/>
          <w:caps w:val="false"/>
          <w:smallCaps w:val="false"/>
          <w:sz w:val="20"/>
          <w:u w:val="single"/>
        </w:rPr>
        <w:t>Purchaser Party</w:t>
      </w:r>
      <w:r>
        <w:rPr>
          <w:rFonts w:ascii="Times New Roman;Times;Serif" w:hAnsi="Times New Roman;Times;Serif"/>
          <w:b w:val="false"/>
          <w:i w:val="false"/>
          <w:caps w:val="false"/>
          <w:smallCaps w:val="false"/>
          <w:sz w:val="20"/>
        </w:rPr>
        <w:t xml:space="preserve">”)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shareholder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shareholder or any violations by such Purchaser Party of state or federal securities laws or any conduct by such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(x) the employment thereof has been specifically authorized by the Company in writing, (y) the Company has failed after a reasonable period of time to assume such defense and to employ counsel or (z)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(1) for any settlement by a Purchaser Party effected without the Company’s prior written consent, which shall not be unreasonably withheld or delayed; or (2) to the extent, but only to the extent that a loss, claim, damage or liability is attributable to any Purchaser Party’s breach of any of the representations, warranties, covenants or agreements made by such Purchaser Party in this Agreement or in the other Transaction Documents. The Company shall not settle any pending or threatened lawsuit, claim or proceeding without the prior written consent of the Purchasers (which consent shall not be unreasonably withheld or delayed), unless such settlement includes an unconditional release of all parties from all liability arising out of such lawsuit, claim or proceeding and does not impose any non-monetary obligation or restriction on the Company or any of its Subsidiaries. The indemnification required by this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xml:space="preserve">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5.8 </w:t>
      </w:r>
      <w:r>
        <w:rPr>
          <w:rFonts w:ascii="Times New Roman;Times;Serif" w:hAnsi="Times New Roman;Times;Serif"/>
          <w:b w:val="false"/>
          <w:i w:val="false"/>
          <w:caps w:val="false"/>
          <w:smallCaps w:val="false"/>
          <w:sz w:val="20"/>
          <w:u w:val="single"/>
        </w:rPr>
        <w:t>Reservation of Ordinary Shares</w:t>
      </w:r>
      <w:r>
        <w:rPr>
          <w:rFonts w:ascii="Times New Roman;Times;Serif" w:hAnsi="Times New Roman;Times;Serif"/>
          <w:b w:val="false"/>
          <w:i w:val="false"/>
          <w:caps w:val="false"/>
          <w:smallCaps w:val="false"/>
          <w:sz w:val="20"/>
        </w:rPr>
        <w:t>. As of the date hereof, the Company has reserved and the Company shall continue to reserve and keep available at all times, free of preemptive rights, a sufficient number of Ordinary Shares for the purpose of enabling the Company to issue Purchased Shares pursuant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5.9 </w:t>
      </w:r>
      <w:r>
        <w:rPr>
          <w:rFonts w:ascii="Times New Roman;Times;Serif" w:hAnsi="Times New Roman;Times;Serif"/>
          <w:b w:val="false"/>
          <w:i w:val="false"/>
          <w:caps w:val="false"/>
          <w:smallCaps w:val="false"/>
          <w:sz w:val="20"/>
          <w:u w:val="single"/>
        </w:rPr>
        <w:t>Listing of Ordinary Shares</w:t>
      </w:r>
      <w:r>
        <w:rPr>
          <w:rFonts w:ascii="Times New Roman;Times;Serif" w:hAnsi="Times New Roman;Times;Serif"/>
          <w:b w:val="false"/>
          <w:i w:val="false"/>
          <w:caps w:val="false"/>
          <w:smallCaps w:val="false"/>
          <w:sz w:val="20"/>
        </w:rPr>
        <w:t>. The Company hereby agrees to use best efforts to maintain the listing or quotation of the Ordinary Shares on the Trading Market on which it is currently listed, and concurrently with the Closing, the Company shall apply to list or quote all of the Purchased Shares on such Trading Market and promptly secure the listing of all of the Purchased Shares on such Trading Market. The Company further agrees, if the Company applies to have the Ordinary Shares traded on any other Trading Market, it will then include in such application all of the Purchased Shares, and will take such other action as is necessary to cause all of the Purchased Shares to be listed or quoted on such other Trading Market as promptly as possible. The Company will then take all action reasonably necessary to continue the listing and trading of its Ordinary Shares on a Trading Market and will comply in all respects with the Company’s reporting, filing and other obligations under the bylaws or rules of the Trading Market. The Company agrees to maintain the eligibility of the Ordinary Shares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5.10 </w:t>
      </w:r>
      <w:r>
        <w:rPr>
          <w:rFonts w:ascii="Times New Roman;Times;Serif" w:hAnsi="Times New Roman;Times;Serif"/>
          <w:b w:val="false"/>
          <w:i w:val="false"/>
          <w:caps w:val="false"/>
          <w:smallCaps w:val="false"/>
          <w:sz w:val="20"/>
          <w:u w:val="single"/>
        </w:rPr>
        <w:t>Certain Transactions and Confidentiality</w:t>
      </w:r>
      <w:r>
        <w:rPr>
          <w:rFonts w:ascii="Times New Roman;Times;Serif" w:hAnsi="Times New Roman;Times;Serif"/>
          <w:b w:val="false"/>
          <w:i w:val="false"/>
          <w:caps w:val="false"/>
          <w:smallCaps w:val="false"/>
          <w:sz w:val="20"/>
        </w:rPr>
        <w:t xml:space="preserve">.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Each Purchaser, severally and not jointly with the other Purchasers, covenants that until such time as the transactions contemplated by this Agreement are publicly disclosed by the Company pursuant to the initial press release as described in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such Purchaser will maintain the confidentiality of the existence and terms of this transaction and the information included in the Disclosure Schedules (other than as disclosed to its legal and other representatives).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and (iii) no Purchaser shall have any duty of confidentiality or duty not to trade in the securities of the Company to the Company, any of its Subsidiaries, or any of their respective officers, directors, employees, Affiliates or agents after the issuance of the initial press release as described in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5.11 </w:t>
      </w:r>
      <w:r>
        <w:rPr>
          <w:rFonts w:ascii="Times New Roman;Times;Serif" w:hAnsi="Times New Roman;Times;Serif"/>
          <w:b w:val="false"/>
          <w:i w:val="false"/>
          <w:caps w:val="false"/>
          <w:smallCaps w:val="false"/>
          <w:sz w:val="20"/>
          <w:u w:val="single"/>
        </w:rPr>
        <w:t>Securities Compliance</w:t>
      </w:r>
      <w:r>
        <w:rPr>
          <w:rFonts w:ascii="Times New Roman;Times;Serif" w:hAnsi="Times New Roman;Times;Serif"/>
          <w:b w:val="false"/>
          <w:i w:val="false"/>
          <w:caps w:val="false"/>
          <w:smallCaps w:val="false"/>
          <w:sz w:val="20"/>
        </w:rPr>
        <w:t>. The Company shall notify the Commission and the Trading Market, if and as applicable, in accordance with their respective rules and regulations, of the transactions contemplated by the Transaction Documents, and shall take all necessary action, undertake all proceedings and obtain all registrations, permits, consents and approvals for the legal and valid issuance of the Purchased Shares to the Purchasers in accordance with the terms of the Transaction Documents,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5.12 </w:t>
      </w:r>
      <w:r>
        <w:rPr>
          <w:rFonts w:ascii="Times New Roman;Times;Serif" w:hAnsi="Times New Roman;Times;Serif"/>
          <w:b w:val="false"/>
          <w:i w:val="false"/>
          <w:caps w:val="false"/>
          <w:smallCaps w:val="false"/>
          <w:sz w:val="20"/>
          <w:u w:val="single"/>
        </w:rPr>
        <w:t>Compliance with Laws</w:t>
      </w:r>
      <w:r>
        <w:rPr>
          <w:rFonts w:ascii="Times New Roman;Times;Serif" w:hAnsi="Times New Roman;Times;Serif"/>
          <w:b w:val="false"/>
          <w:i w:val="false"/>
          <w:caps w:val="false"/>
          <w:smallCaps w:val="false"/>
          <w:sz w:val="20"/>
        </w:rPr>
        <w:t>. During the term of this Agreement, the Company shall comply with all applicable provisions of the Securities Act and the Exchange Act, including Regulation M thereunder, and applicable listing rules of the Trading Market, in connection with the transactions contemplated by this Agreement. Each Purchaser shall comply with all applicable provisions of the Securities Act and the Exchange Act, including Regulation M thereunder, in connection with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5.13 </w:t>
      </w:r>
      <w:r>
        <w:rPr>
          <w:rFonts w:ascii="Times New Roman;Times;Serif" w:hAnsi="Times New Roman;Times;Serif"/>
          <w:b w:val="false"/>
          <w:i w:val="false"/>
          <w:caps w:val="false"/>
          <w:smallCaps w:val="false"/>
          <w:sz w:val="20"/>
          <w:u w:val="single"/>
        </w:rPr>
        <w:t>No Frustration</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The Company shall not enter into, announce or recommend to its shareholders any agreement, plan, arrangement or transaction in or of which the terms thereof would restrict, materially delay, conflict with or impair the ability or right of the Company to perform its obligations under the Transaction Documents to which it is a party, including, without limitation, the obligation of the Company to deliver the Purchased Shares to the Purchasers on or before the Closing Date. For the avoidance of doubt, nothing in this Section shall in any way limit the Company’s right to terminate this Agreement in accordance with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5.14 </w:t>
      </w:r>
      <w:r>
        <w:rPr>
          <w:rFonts w:ascii="Times New Roman;Times;Serif" w:hAnsi="Times New Roman;Times;Serif"/>
          <w:b w:val="false"/>
          <w:i w:val="false"/>
          <w:caps w:val="false"/>
          <w:smallCaps w:val="false"/>
          <w:sz w:val="20"/>
          <w:u w:val="single"/>
        </w:rPr>
        <w:t>Legends</w:t>
      </w:r>
      <w:r>
        <w:rPr>
          <w:rFonts w:ascii="Times New Roman;Times;Serif" w:hAnsi="Times New Roman;Times;Serif"/>
          <w:b w:val="false"/>
          <w:i w:val="false"/>
          <w:caps w:val="false"/>
          <w:smallCaps w:val="false"/>
          <w:sz w:val="20"/>
        </w:rPr>
        <w:t>. All Purchased Shares to be issued pursuant to this Agreement shall be issued free and clear of all restrictive legends, subject to compliance by the Purchasers with applicable securities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w:t>
        <w:br/>
        <w:t>CONDITIONS TO THE SALE AND PURCHASE OF THE PURCHASED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 </w:t>
      </w:r>
      <w:r>
        <w:rPr>
          <w:rFonts w:ascii="Times New Roman;Times;Serif" w:hAnsi="Times New Roman;Times;Serif"/>
          <w:b w:val="false"/>
          <w:i w:val="false"/>
          <w:caps w:val="false"/>
          <w:smallCaps w:val="false"/>
          <w:sz w:val="20"/>
          <w:u w:val="single"/>
        </w:rPr>
        <w:t>Company Closing Conditions</w:t>
      </w:r>
      <w:r>
        <w:rPr>
          <w:rFonts w:ascii="Times New Roman;Times;Serif" w:hAnsi="Times New Roman;Times;Serif"/>
          <w:b w:val="false"/>
          <w:i w:val="false"/>
          <w:caps w:val="false"/>
          <w:smallCaps w:val="false"/>
          <w:sz w:val="20"/>
        </w:rPr>
        <w:t>. The obligations of the Company hereunder in connection with the Closing are subject to the following conditions being met: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accuracy in all material respects (or, to the extent representations or warranties are qualified by materiality or Material Adverse Effect, in all respects) when made and on the Closing Date of the representations and warranties of the Purchasers contained herein (unless such representation or warranty is as of a specific date therein in which case they shall be accurate in all material respects (or, to the extent representations or warranties are qualified by materiality or Material Adverse Effect, in all respects) as of such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obligations, covenants and agreements of each Purchaser required to be performed at or prior to the Closing Date shall have been performed;</w:t>
      </w:r>
    </w:p>
    <w:p>
      <w:pPr>
        <w:pStyle w:val="TextBody"/>
        <w:bidi w:val="0"/>
        <w:spacing w:before="0" w:after="0"/>
        <w:ind w:left="72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delivery by each Purchaser of the items set forth in </w:t>
      </w:r>
      <w:r>
        <w:rPr>
          <w:rFonts w:ascii="Times New Roman;Times;Serif" w:hAnsi="Times New Roman;Times;Serif"/>
          <w:b w:val="false"/>
          <w:i w:val="false"/>
          <w:caps w:val="false"/>
          <w:smallCaps w:val="false"/>
          <w:sz w:val="20"/>
          <w:u w:val="single"/>
        </w:rPr>
        <w:t>Section 2.4(b)</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there shall have been no Material Adverse Effect with respect to any Purchaser;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statute, regulation, order, decree, writ, ruling or injunction shall have been enacted, entered, promulgated, threatened or endorsed by any court or governmental authority of competent jurisdiction which prohibits the consummation of or which would materially modify or delay any of the transactions contemplated by the Transaction Documents;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Proceeding before any arbitrator or any court or governmental authority shall have been commenced, and no inquiry or investigation by any governmental authority shall have been commenced, against any Purchaser or any Subsidiary of any Purchaser, or any of the officers, directors or Affiliates of any Purchaser or any Subsidiary of any Purchaser, seeking to restrain, prevent or change the transactions contemplated by the Transaction Documents, or seeking material damages in connection with such transactions;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 Person shall have commenced a Proceeding against any Purchaser pursuant to or within the meaning of any applicable bankruptcy law, and no Purchaser shall have commenced a voluntary case, consented to the entry of an order for relief against it in an involuntary case, consented to the appointment of a custodian for all or substantially all of its property, or made a general assignment for the benefit of its creditors;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each Purchaser shall have complied with all applicable federal, state and local governmental laws, rules, regulations and ordinances in connection with the execution, delivery and performance of this Agreement and the consummation of the transactions contemplated hereby.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 </w:t>
      </w:r>
      <w:r>
        <w:rPr>
          <w:rFonts w:ascii="Times New Roman;Times;Serif" w:hAnsi="Times New Roman;Times;Serif"/>
          <w:b w:val="false"/>
          <w:i w:val="false"/>
          <w:caps w:val="false"/>
          <w:smallCaps w:val="false"/>
          <w:sz w:val="20"/>
          <w:u w:val="single"/>
        </w:rPr>
        <w:t>Purchaser Closing Conditions</w:t>
      </w:r>
      <w:r>
        <w:rPr>
          <w:rFonts w:ascii="Times New Roman;Times;Serif" w:hAnsi="Times New Roman;Times;Serif"/>
          <w:b w:val="false"/>
          <w:i w:val="false"/>
          <w:caps w:val="false"/>
          <w:smallCaps w:val="false"/>
          <w:sz w:val="20"/>
        </w:rPr>
        <w:t>. The respective obligations of the Purchasers hereunder in connection with the Closing are subject to the following conditions being met: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accuracy in all material respects (or, to the extent representations or warranties are qualified by materiality or Material Adverse Effect, in all respects) when made and on the Closing Date of the representations and warranties of the Company contained herein (unless such representation or warranty is as of a specific date therein in which case they shall be accurate in all material respects (or, to the extent representations or warranties are qualified by materiality or Material Adverse Effect, in all respects) as of such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obligations, covenants and agreements of the Company required to be performed at or prior to the Closing Date shall have been performed;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delivery by the Company of the items set forth in </w:t>
      </w:r>
      <w:r>
        <w:rPr>
          <w:rFonts w:ascii="Times New Roman;Times;Serif" w:hAnsi="Times New Roman;Times;Serif"/>
          <w:b w:val="false"/>
          <w:i w:val="false"/>
          <w:caps w:val="false"/>
          <w:smallCaps w:val="false"/>
          <w:sz w:val="20"/>
          <w:u w:val="single"/>
        </w:rPr>
        <w:t>Section 2.2(a)</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there shall have been no Material Adverse Effect with respect to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from the date hereof to the Closing Date, trading in the Ordinary Shares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Purchased Shares at the Closing;</w:t>
      </w:r>
    </w:p>
    <w:p>
      <w:pPr>
        <w:pStyle w:val="TextBody"/>
        <w:bidi w:val="0"/>
        <w:spacing w:before="0" w:after="0"/>
        <w:ind w:left="72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statute, regulation, order, decree, writ, ruling or injunction shall have been enacted, entered, promulgated, threatened or endorsed by any court or governmental authority of competent jurisdiction which prohibits the consummation of or which would materially modify or delay any of the transactions contemplated by the Transaction Documents;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 Proceeding before any arbitrator or any court or governmental authority shall have been commenced, and no inquiry or investigation by any governmental authority shall have been commenced, against the Company or any Subsidiary of the Company, or any of the officers, directors or Affiliates of the Company or any Subsidiary of the Company, seeking to restrain, prevent or change the transactions contemplated by the Transaction Documents, or seeking material damages in connection with such transactions;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all of the Purchased Shares to be issued pursuant to this Agreement shall have been approved for listing or quotation on the Trading Market, subject only to notice of issuance;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Person shall have commenced a Proceeding against the Company pursuant to or within the meaning of any applicable bankruptcy law, and the Company shall not have commenced a voluntary case, consented to the entry of an order for relief against it in an involuntary case, consented to the appointment of a custodian for all or substantially all of its property, or made a general assignment for the benefit of its creditors;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Company shall have complied with all applicable federal, state and local governmental laws, rules, regulations and ordinances in connection with the execution, delivery and performance of this Agreement and the consummation of the transactions contemplated hereby.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w:t>
        <w:br/>
        <w:t>MISCELLANEOUS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xml:space="preserve">. This Agreement may be terminated by any Purchaser, as to such Purchaser’s obligations hereunder only and without any effect whatsoever on the obligations between the Company and the other Purchasers, by written notice to the other parties, if the Closing has not been consummated on or before the fifth (5th) Trading Day following the date hereof; </w:t>
      </w:r>
      <w:r>
        <w:rPr>
          <w:rFonts w:ascii="Times New Roman;Times;Serif" w:hAnsi="Times New Roman;Times;Serif"/>
          <w:b w:val="false"/>
          <w:i w:val="false"/>
          <w:caps w:val="false"/>
          <w:smallCaps w:val="false"/>
          <w:sz w:val="20"/>
          <w:u w:val="single"/>
        </w:rPr>
        <w:t>provided, however,</w:t>
      </w:r>
      <w:r>
        <w:rPr>
          <w:rFonts w:ascii="Times New Roman;Times;Serif" w:hAnsi="Times New Roman;Times;Serif"/>
          <w:b w:val="false"/>
          <w:i w:val="false"/>
          <w:caps w:val="false"/>
          <w:smallCaps w:val="false"/>
          <w:sz w:val="20"/>
        </w:rPr>
        <w:t xml:space="preserve"> that no such termination will affect the right of any party to sue for any breach by any other party (or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7.2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sz w:val="20"/>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Purchased Shares to the Purchasers.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7.3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7.4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 demand, request, waiver or other communication required or permitted to be given hereunder shall be in writing and shall be effective (a) upon hand delivery or electronic mail delivery at the address or number designated below (if delivered on a Business Day during normal business hours where such notice is to be received), or the first (1st) Business Day following such delivery (if delivered other than on a Business Day during normal business hours where such notice is to be received) or (b) on the second (2nd) Business Day following the date of mailing by express courier service, fully prepaid, addressed to such address, or upon actual receipt of such mailing, whichever shall first occur. The address for such communications shall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Sono Group N.V.</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4965 Trinidad Drive</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 O’ Lakes, FL 34639</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+1 352-502-1191</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Kevin McGurn, Chief Executive Officer</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DLA Piper LLP (US)</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555 Mission St #2400</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CA 94105</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Jeffrey C. Selman</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a Purchaser: at the address set forth under such Purchaser’s name on the signature page hereof.</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party hereto may from time to time change its address for notices by giving at least five (5) days’ advance written notice of such changed address to the other parties hereto.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7.5 </w:t>
      </w:r>
      <w:r>
        <w:rPr>
          <w:rFonts w:ascii="Times New Roman;Times;Serif" w:hAnsi="Times New Roman;Times;Serif"/>
          <w:b w:val="false"/>
          <w:i w:val="false"/>
          <w:caps w:val="false"/>
          <w:smallCaps w:val="false"/>
          <w:sz w:val="20"/>
          <w:u w:val="single"/>
        </w:rPr>
        <w:t>Amendments; Waivers</w:t>
      </w:r>
      <w:r>
        <w:rPr>
          <w:rFonts w:ascii="Times New Roman;Times;Serif" w:hAnsi="Times New Roman;Times;Serif"/>
          <w:b w:val="false"/>
          <w:i w:val="false"/>
          <w:caps w:val="false"/>
          <w:smallCaps w:val="false"/>
          <w:sz w:val="20"/>
        </w:rPr>
        <w:t xml:space="preserve">. No provision of this Agreement may be waived, modified, supplemented or amended except in a written instrument signed, in the case of an amendment, by the Company and Purchasers which purchased at least 50.1% in interest of the Purchased Shares based on the initial Subscription Amounts hereunder (or, prior to the Closing, the Company and each Purchaser) or, in the case of a waiver, by the party against whom enforcement of any such waived provision is sought, provided that if any amendment, modification or waiver disproportionately and adversely impacts a Purchaser (or group of Purchasers), the consent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w:t>
      </w:r>
      <w:r>
        <w:rPr>
          <w:rFonts w:ascii="Times New Roman;Times;Serif" w:hAnsi="Times New Roman;Times;Serif"/>
          <w:b w:val="false"/>
          <w:i w:val="false"/>
          <w:caps w:val="false"/>
          <w:smallCaps w:val="false"/>
          <w:sz w:val="20"/>
          <w:u w:val="single"/>
        </w:rPr>
        <w:t>Section 7.5</w:t>
      </w:r>
      <w:r>
        <w:rPr>
          <w:rFonts w:ascii="Times New Roman;Times;Serif" w:hAnsi="Times New Roman;Times;Serif"/>
          <w:b w:val="false"/>
          <w:i w:val="false"/>
          <w:caps w:val="false"/>
          <w:smallCaps w:val="false"/>
          <w:sz w:val="20"/>
        </w:rPr>
        <w:t xml:space="preserve"> shall be binding upon each Purchaser and holder of Purchased Shares and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7.6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herein are for convenience only, do not constitute a part of this Agreement and shall not be deemed to limit or affect any of the provisions hereof.</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7.7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Purchased Shares, provided that such transferee agrees in writing to be bound, with respect to the transferred Purchased Shares, by the provisions of the Transaction Documents that apply to the “Purchasers.”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7.8 </w:t>
      </w:r>
      <w:r>
        <w:rPr>
          <w:rFonts w:ascii="Times New Roman;Times;Serif" w:hAnsi="Times New Roman;Times;Serif"/>
          <w:b w:val="false"/>
          <w:i w:val="false"/>
          <w:caps w:val="false"/>
          <w:smallCaps w:val="false"/>
          <w:sz w:val="20"/>
          <w:u w:val="single"/>
        </w:rPr>
        <w:t>No Third-Party Beneficiaries</w:t>
      </w:r>
      <w:r>
        <w:rPr>
          <w:rFonts w:ascii="Times New Roman;Times;Serif" w:hAnsi="Times New Roman;Times;Serif"/>
          <w:b w:val="false"/>
          <w:i w:val="false"/>
          <w:caps w:val="false"/>
          <w:smallCaps w:val="false"/>
          <w:sz w:val="20"/>
        </w:rPr>
        <w:t xml:space="preserve">. This Agreement is intended for the benefit of the parties hereto and their respective successors and permitted assigns and is not for the benefit of, nor may any provision hereof be enforced by, any other Person, except as otherwise set forth in this </w:t>
      </w:r>
      <w:r>
        <w:rPr>
          <w:rFonts w:ascii="Times New Roman;Times;Serif" w:hAnsi="Times New Roman;Times;Serif"/>
          <w:b w:val="false"/>
          <w:i w:val="false"/>
          <w:caps w:val="false"/>
          <w:smallCaps w:val="false"/>
          <w:sz w:val="20"/>
          <w:u w:val="single"/>
        </w:rPr>
        <w:t>Section 7.8</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7.9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xml:space="preserve">.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Proceeding, any claim that it is not personally subject to the jurisdiction of any such court, that such Proceeding is improper or is an inconvenient venue for such Proceeding. Each party hereby irrevocably waives personal service of process and consents to process being served in any such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 Proceeding to enforce any provisions of the Transaction Documents, then, in addition to the obligations of the Company under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the prevailing party in such Proceeding shall be reimbursed by the non-prevailing party for its reasonable attorneys’ fees and other costs and expenses incurred with the investigation, preparation and prosecution of such Proceeding.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7.10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representations and warranties contained herein shall survive the Closing and the delivery of the Purchased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7.11 </w:t>
      </w:r>
      <w:r>
        <w:rPr>
          <w:rFonts w:ascii="Times New Roman;Times;Serif" w:hAnsi="Times New Roman;Times;Serif"/>
          <w:b w:val="false"/>
          <w:i w:val="false"/>
          <w:caps w:val="false"/>
          <w:smallCaps w:val="false"/>
          <w:sz w:val="20"/>
          <w:u w:val="single"/>
        </w:rPr>
        <w:t>Execution</w:t>
      </w:r>
      <w:r>
        <w:rPr>
          <w:rFonts w:ascii="Times New Roman;Times;Serif" w:hAnsi="Times New Roman;Times;Serif"/>
          <w:b w:val="false"/>
          <w:i w:val="false"/>
          <w:caps w:val="false"/>
          <w:smallCaps w:val="false"/>
          <w:sz w:val="20"/>
        </w:rPr>
        <w:t xml:space="preserve">.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(including any electronic signature covered by the U.S. federal ESIGN Act of 2000, Uniform Electronic Transactions Act, the Electronic Signatures and Records Act or other applicable law, e.g., </w:t>
      </w:r>
      <w:r>
        <w:rPr>
          <w:rFonts w:ascii="Times New Roman;Times;Serif" w:hAnsi="Times New Roman;Times;Serif"/>
          <w:b w:val="false"/>
          <w:i w:val="false"/>
          <w:caps w:val="false"/>
          <w:smallCaps w:val="false"/>
          <w:sz w:val="20"/>
          <w:u w:val="single"/>
        </w:rPr>
        <w:t>www.docusign.com</w:t>
      </w:r>
      <w:r>
        <w:rPr>
          <w:rFonts w:ascii="Times New Roman;Times;Serif" w:hAnsi="Times New Roman;Times;Serif"/>
          <w:b w:val="false"/>
          <w:i w:val="false"/>
          <w:caps w:val="false"/>
          <w:smallCaps w:val="false"/>
          <w:sz w:val="20"/>
        </w:rPr>
        <w:t>) or other transmission method, such signature shall be deemed to have been duly and validly delivered and shall create a valid and binding obligation of the party executing (or on whose behalf such signature is executed) with the same force and effect as if such “.pdf” signature page were an original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7.12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7.13 </w:t>
      </w:r>
      <w:r>
        <w:rPr>
          <w:rFonts w:ascii="Times New Roman;Times;Serif" w:hAnsi="Times New Roman;Times;Serif"/>
          <w:b w:val="false"/>
          <w:i w:val="false"/>
          <w:caps w:val="false"/>
          <w:smallCaps w:val="false"/>
          <w:sz w:val="20"/>
          <w:u w:val="single"/>
        </w:rPr>
        <w:t>Rescission and Withdrawal Right</w:t>
      </w:r>
      <w:r>
        <w:rPr>
          <w:rFonts w:ascii="Times New Roman;Times;Serif" w:hAnsi="Times New Roman;Times;Serif"/>
          <w:b w:val="false"/>
          <w:i w:val="false"/>
          <w:caps w:val="false"/>
          <w:smallCaps w:val="false"/>
          <w:sz w:val="20"/>
        </w:rPr>
        <w:t>.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7.14 </w:t>
      </w:r>
      <w:r>
        <w:rPr>
          <w:rFonts w:ascii="Times New Roman;Times;Serif" w:hAnsi="Times New Roman;Times;Serif"/>
          <w:b w:val="false"/>
          <w:i w:val="false"/>
          <w:caps w:val="false"/>
          <w:smallCaps w:val="false"/>
          <w:sz w:val="20"/>
          <w:u w:val="single"/>
        </w:rPr>
        <w:t>Replacement of Purchased Shares</w:t>
      </w:r>
      <w:r>
        <w:rPr>
          <w:rFonts w:ascii="Times New Roman;Times;Serif" w:hAnsi="Times New Roman;Times;Serif"/>
          <w:b w:val="false"/>
          <w:i w:val="false"/>
          <w:caps w:val="false"/>
          <w:smallCaps w:val="false"/>
          <w:sz w:val="20"/>
        </w:rPr>
        <w:t>. If any certificate or instrument evidencing any Purchased Shares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Purchased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7.15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Proceeding for specific performance of any such obligation the defense that a remedy at law would be adequate.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7.16 </w:t>
      </w:r>
      <w:r>
        <w:rPr>
          <w:rFonts w:ascii="Times New Roman;Times;Serif" w:hAnsi="Times New Roman;Times;Serif"/>
          <w:b w:val="false"/>
          <w:i w:val="false"/>
          <w:caps w:val="false"/>
          <w:smallCaps w:val="false"/>
          <w:sz w:val="20"/>
          <w:u w:val="single"/>
        </w:rPr>
        <w:t>Payment Set Aside</w:t>
      </w:r>
      <w:r>
        <w:rPr>
          <w:rFonts w:ascii="Times New Roman;Times;Serif" w:hAnsi="Times New Roman;Times;Serif"/>
          <w:b w:val="false"/>
          <w:i w:val="false"/>
          <w:caps w:val="false"/>
          <w:smallCaps w:val="false"/>
          <w:sz w:val="20"/>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7.17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7.18 </w:t>
      </w:r>
      <w:r>
        <w:rPr>
          <w:rFonts w:ascii="Times New Roman;Times;Serif" w:hAnsi="Times New Roman;Times;Serif"/>
          <w:b w:val="false"/>
          <w:i w:val="false"/>
          <w:caps w:val="false"/>
          <w:smallCaps w:val="false"/>
          <w:sz w:val="20"/>
          <w:u w:val="single"/>
        </w:rPr>
        <w:t>Construction</w:t>
      </w:r>
      <w:r>
        <w:rPr>
          <w:rFonts w:ascii="Times New Roman;Times;Serif" w:hAnsi="Times New Roman;Times;Serif"/>
          <w:b w:val="false"/>
          <w:i w:val="false"/>
          <w:caps w:val="false"/>
          <w:smallCaps w:val="false"/>
          <w:sz w:val="20"/>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Ordinary Shares in any Transaction Document shall be subject to adjustment for reverse and forward stock splits, stock dividends, stock combinations and other similar transactions of the Ordinary Shares that occur after the date of this Agreement.</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7.19 </w:t>
      </w:r>
      <w:r>
        <w:rPr>
          <w:rFonts w:ascii="Times New Roman;Times;Serif" w:hAnsi="Times New Roman;Times;Serif"/>
          <w:b/>
          <w:i w:val="false"/>
          <w:caps w:val="false"/>
          <w:smallCaps w:val="false"/>
          <w:sz w:val="20"/>
          <w:u w:val="single"/>
        </w:rPr>
        <w:t>WAIVER OF JURY TRIAL</w:t>
      </w:r>
      <w:r>
        <w:rPr>
          <w:rFonts w:ascii="Times New Roman;Times;Serif" w:hAnsi="Times New Roman;Times;Serif"/>
          <w:b/>
          <w:i w:val="false"/>
          <w:caps w:val="false"/>
          <w:smallCaps w:val="false"/>
          <w:sz w:val="20"/>
        </w:rPr>
        <w:t xml:space="preserve">. </w:t>
      </w:r>
      <w:r>
        <w:rPr>
          <w:rFonts w:ascii="Times New Roman;Times;Serif" w:hAnsi="Times New Roman;Times;Serif"/>
          <w:b/>
          <w:i w:val="false"/>
          <w:caps w:val="false"/>
          <w:smallCaps w:val="false"/>
          <w:sz w:val="20"/>
          <w:u w:val="single"/>
        </w:rPr>
        <w:t>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7.20 </w:t>
      </w:r>
      <w:r>
        <w:rPr>
          <w:rFonts w:ascii="Times New Roman;Times;Serif" w:hAnsi="Times New Roman;Times;Serif"/>
          <w:b w:val="false"/>
          <w:i w:val="false"/>
          <w:caps w:val="false"/>
          <w:smallCaps w:val="false"/>
          <w:sz w:val="20"/>
          <w:u w:val="single"/>
        </w:rPr>
        <w:t>Equal Treatment of Purchasers</w:t>
      </w:r>
      <w:r>
        <w:rPr>
          <w:rFonts w:ascii="Times New Roman;Times;Serif" w:hAnsi="Times New Roman;Times;Serif"/>
          <w:b w:val="false"/>
          <w:i w:val="false"/>
          <w:caps w:val="false"/>
          <w:smallCaps w:val="false"/>
          <w:sz w:val="20"/>
        </w:rPr>
        <w:t>. No consideration (including any modification of this Agreement) shall be offered or paid to any Person to amend or consent to a waiver or modification of any provision of this Agreement unless the same consideration is also offered to all of the parties to this Agreement.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Purchased Shares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7.21 </w:t>
      </w:r>
      <w:r>
        <w:rPr>
          <w:rFonts w:ascii="Times New Roman;Times;Serif" w:hAnsi="Times New Roman;Times;Serif"/>
          <w:b w:val="false"/>
          <w:i w:val="false"/>
          <w:caps w:val="false"/>
          <w:smallCaps w:val="false"/>
          <w:sz w:val="20"/>
          <w:u w:val="single"/>
        </w:rPr>
        <w:t>Independent Nature of Purchasers’ Obligations and Rights</w:t>
      </w:r>
      <w:r>
        <w:rPr>
          <w:rFonts w:ascii="Times New Roman;Times;Serif" w:hAnsi="Times New Roman;Times;Serif"/>
          <w:b w:val="false"/>
          <w:i w:val="false"/>
          <w:caps w:val="false"/>
          <w:smallCaps w:val="false"/>
          <w:sz w:val="20"/>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7.22 </w:t>
      </w:r>
      <w:r>
        <w:rPr>
          <w:rFonts w:ascii="Times New Roman;Times;Serif" w:hAnsi="Times New Roman;Times;Serif"/>
          <w:b w:val="false"/>
          <w:i w:val="false"/>
          <w:caps w:val="false"/>
          <w:smallCaps w:val="false"/>
          <w:sz w:val="20"/>
          <w:u w:val="single"/>
        </w:rPr>
        <w:t>Acknowledgment Regarding Purchasers’ Trading Activity</w:t>
      </w:r>
      <w:r>
        <w:rPr>
          <w:rFonts w:ascii="Times New Roman;Times;Serif" w:hAnsi="Times New Roman;Times;Serif"/>
          <w:b w:val="false"/>
          <w:i w:val="false"/>
          <w:caps w:val="false"/>
          <w:smallCaps w:val="false"/>
          <w:sz w:val="20"/>
        </w:rPr>
        <w:t>.  Notwithstanding anything else in this Agreement to the contrary,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Purchased Shares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Ordinary Shares,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Purchased Shares are outstanding, and (z) such hedging activities (if any) could reduce the value of the existing shareholders’ equity interests in the Company at and after the time that the hedging activities are being conducted.  The Company acknowledges that such aforementioned hedging activities do not constitute a breach of any of the Transaction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Pages Follow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Share Purchase Agreement to be duly executed by their respective authorized signatories as of the date first indicated above.</w:t>
      </w:r>
    </w:p>
    <w:p>
      <w:pPr>
        <w:pStyle w:val="TextBody"/>
        <w:bidi w:val="0"/>
        <w:spacing w:before="0" w:after="0"/>
        <w:ind w:left="0" w:right="0" w:firstLine="720"/>
        <w:jc w:val="left"/>
        <w:rPr>
          <w:caps w:val="false"/>
          <w:smallCaps w:val="false"/>
        </w:rPr>
      </w:pPr>
      <w:r>
        <w:rPr>
          <w:caps w:val="false"/>
          <w:smallCaps w:val="false"/>
        </w:rPr>
        <w:t> </w:t>
      </w:r>
    </w:p>
    <w:tbl>
      <w:tblPr>
        <w:tblW w:w="3024" w:type="dxa"/>
        <w:jc w:val="left"/>
        <w:tblInd w:w="0" w:type="dxa"/>
        <w:tblLayout w:type="fixed"/>
        <w:tblCellMar>
          <w:top w:w="0" w:type="dxa"/>
          <w:left w:w="0" w:type="dxa"/>
          <w:bottom w:w="0" w:type="dxa"/>
          <w:right w:w="0" w:type="dxa"/>
        </w:tblCellMar>
      </w:tblPr>
      <w:tblGrid>
        <w:gridCol w:w="75"/>
        <w:gridCol w:w="650"/>
        <w:gridCol w:w="2205"/>
        <w:gridCol w:w="94"/>
      </w:tblGrid>
      <w:tr>
        <w:trPr/>
        <w:tc>
          <w:tcPr>
            <w:tcW w:w="75" w:type="dxa"/>
            <w:tcBorders/>
            <w:vAlign w:val="center"/>
          </w:tcPr>
          <w:p>
            <w:pPr>
              <w:pStyle w:val="TableContents"/>
              <w:bidi w:val="0"/>
              <w:spacing w:before="0" w:after="283"/>
              <w:jc w:val="left"/>
              <w:rPr/>
            </w:pPr>
            <w:r>
              <w:rPr/>
              <w:t> </w:t>
            </w:r>
          </w:p>
        </w:tc>
        <w:tc>
          <w:tcPr>
            <w:tcW w:w="2949" w:type="dxa"/>
            <w:gridSpan w:val="3"/>
            <w:tcBorders/>
            <w:vAlign w:val="center"/>
          </w:tcPr>
          <w:p>
            <w:pPr>
              <w:pStyle w:val="TableContents"/>
              <w:bidi w:val="0"/>
              <w:spacing w:before="0" w:after="283"/>
              <w:jc w:val="left"/>
              <w:rPr>
                <w:b/>
              </w:rPr>
            </w:pPr>
            <w:r>
              <w:rPr>
                <w:b/>
              </w:rPr>
              <w:t>SONO GROUP N.V.</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29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2205" w:type="dxa"/>
            <w:tcBorders>
              <w:bottom w:val="single" w:sz="8" w:space="0" w:color="000000"/>
            </w:tcBorders>
            <w:tcMar>
              <w:bottom w:w="28" w:type="dxa"/>
            </w:tcMar>
            <w:vAlign w:val="center"/>
          </w:tcPr>
          <w:p>
            <w:pPr>
              <w:pStyle w:val="TableContents"/>
              <w:bidi w:val="0"/>
              <w:spacing w:before="0" w:after="283"/>
              <w:jc w:val="left"/>
              <w:rPr/>
            </w:pPr>
            <w:r>
              <w:rPr/>
              <w:t>/s/ Kevin McGurn</w:t>
            </w:r>
          </w:p>
        </w:tc>
        <w:tc>
          <w:tcPr>
            <w:tcW w:w="9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299" w:type="dxa"/>
            <w:gridSpan w:val="2"/>
            <w:tcBorders/>
            <w:vAlign w:val="center"/>
          </w:tcPr>
          <w:p>
            <w:pPr>
              <w:pStyle w:val="TableContents"/>
              <w:bidi w:val="0"/>
              <w:spacing w:before="0" w:after="283"/>
              <w:jc w:val="left"/>
              <w:rPr/>
            </w:pPr>
            <w:r>
              <w:rPr/>
              <w:t>Kevin McGurn</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299" w:type="dxa"/>
            <w:gridSpan w:val="2"/>
            <w:tcBorders/>
            <w:vAlign w:val="center"/>
          </w:tcPr>
          <w:p>
            <w:pPr>
              <w:pStyle w:val="TableContents"/>
              <w:bidi w:val="0"/>
              <w:spacing w:before="0" w:after="283"/>
              <w:jc w:val="left"/>
              <w:rPr/>
            </w:pPr>
            <w:r>
              <w:rPr/>
              <w:t>Chief Executive Officer</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24" w:space="1" w:color="000000"/>
        </w:rPr>
      </w:pPr>
      <w:r>
        <w:rPr>
          <w:rFonts w:ascii="Times New Roman;Times;Serif" w:hAnsi="Times New Roman;Times;Serif"/>
          <w:b w:val="false"/>
          <w:i w:val="false"/>
          <w:caps w:val="false"/>
          <w:smallCaps w:val="false"/>
          <w:sz w:val="20"/>
          <w:bdr w:val="single" w:sz="24" w:space="1" w:color="000000"/>
        </w:rPr>
        <w:t>[</w:t>
      </w:r>
      <w:r>
        <w:rPr>
          <w:rFonts w:ascii="Times New Roman;Times;Serif" w:hAnsi="Times New Roman;Times;Serif"/>
          <w:b w:val="false"/>
          <w:i/>
          <w:caps w:val="false"/>
          <w:smallCaps w:val="false"/>
          <w:sz w:val="20"/>
          <w:bdr w:val="single" w:sz="24" w:space="1" w:color="000000"/>
        </w:rPr>
        <w:t>Signature Page to Share Purchase Agreement</w:t>
      </w:r>
      <w:r>
        <w:rPr>
          <w:rFonts w:ascii="Times New Roman;Times;Serif" w:hAnsi="Times New Roman;Times;Serif"/>
          <w:b w:val="false"/>
          <w:i w:val="false"/>
          <w:caps w:val="false"/>
          <w:smallCaps w:val="false"/>
          <w:sz w:val="20"/>
          <w:bdr w:val="single" w:sz="24" w:space="1" w:color="000000"/>
        </w:rPr>
        <w: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Share Purchase Agreement to be duly executed by their respective authorized signatories as of the date first indicated above.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Purchaser: Chris Kelly</w:t>
      </w:r>
    </w:p>
    <w:p>
      <w:pPr>
        <w:pStyle w:val="TextBody"/>
        <w:bidi w:val="0"/>
        <w:spacing w:before="0" w:after="0"/>
        <w:ind w:left="0" w:right="0" w:hanging="0"/>
        <w:jc w:val="both"/>
        <w:rPr>
          <w:caps w:val="false"/>
          <w:smallCaps w:val="false"/>
        </w:rPr>
      </w:pPr>
      <w:r>
        <w:rPr>
          <w:caps w:val="false"/>
          <w:smallCaps w:val="false"/>
        </w:rPr>
        <w:t> </w:t>
      </w:r>
    </w:p>
    <w:tbl>
      <w:tblPr>
        <w:tblW w:w="3775" w:type="dxa"/>
        <w:jc w:val="left"/>
        <w:tblInd w:w="0" w:type="dxa"/>
        <w:tblLayout w:type="fixed"/>
        <w:tblCellMar>
          <w:top w:w="0" w:type="dxa"/>
          <w:left w:w="0" w:type="dxa"/>
          <w:bottom w:w="0" w:type="dxa"/>
          <w:right w:w="0" w:type="dxa"/>
        </w:tblCellMar>
      </w:tblPr>
      <w:tblGrid>
        <w:gridCol w:w="2315"/>
        <w:gridCol w:w="1385"/>
        <w:gridCol w:w="75"/>
      </w:tblGrid>
      <w:tr>
        <w:trPr/>
        <w:tc>
          <w:tcPr>
            <w:tcW w:w="2315" w:type="dxa"/>
            <w:tcBorders/>
            <w:vAlign w:val="center"/>
          </w:tcPr>
          <w:p>
            <w:pPr>
              <w:pStyle w:val="TableContents"/>
              <w:bidi w:val="0"/>
              <w:spacing w:before="0" w:after="283"/>
              <w:jc w:val="left"/>
              <w:rPr>
                <w:i/>
              </w:rPr>
            </w:pPr>
            <w:r>
              <w:rPr>
                <w:i/>
              </w:rPr>
              <w:t>Signature of Purchaser:</w:t>
            </w:r>
          </w:p>
        </w:tc>
        <w:tc>
          <w:tcPr>
            <w:tcW w:w="1385" w:type="dxa"/>
            <w:tcBorders>
              <w:bottom w:val="single" w:sz="8" w:space="0" w:color="000000"/>
            </w:tcBorders>
            <w:tcMar>
              <w:bottom w:w="28" w:type="dxa"/>
            </w:tcMar>
            <w:vAlign w:val="center"/>
          </w:tcPr>
          <w:p>
            <w:pPr>
              <w:pStyle w:val="TableContents"/>
              <w:bidi w:val="0"/>
              <w:spacing w:before="0" w:after="283"/>
              <w:jc w:val="left"/>
              <w:rPr/>
            </w:pPr>
            <w:r>
              <w:rPr/>
              <w:t>/s/ Chris Kelly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 of Purchaser: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 to Purchaser:</w:t>
      </w:r>
    </w:p>
    <w:p>
      <w:pPr>
        <w:pStyle w:val="TextBody"/>
        <w:bidi w:val="0"/>
        <w:spacing w:before="0" w:after="0"/>
        <w:ind w:left="0" w:right="0" w:hanging="0"/>
        <w:jc w:val="both"/>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Delivery of Shares to Purchaser (if not same as address for notice):</w:t>
      </w:r>
    </w:p>
    <w:p>
      <w:pPr>
        <w:pStyle w:val="TextBody"/>
        <w:bidi w:val="0"/>
        <w:spacing w:before="0" w:after="0"/>
        <w:ind w:left="0" w:right="0" w:hanging="0"/>
        <w:jc w:val="both"/>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Amount: $150,000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Purchased Shares: 56,180</w:t>
      </w:r>
    </w:p>
    <w:p>
      <w:pPr>
        <w:pStyle w:val="TextBody"/>
        <w:bidi w:val="0"/>
        <w:spacing w:before="0" w:after="0"/>
        <w:ind w:left="0" w:right="0" w:hanging="23"/>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24" w:space="1" w:color="000000"/>
        </w:rPr>
      </w:pPr>
      <w:r>
        <w:rPr>
          <w:rFonts w:ascii="Times New Roman;Times;Serif" w:hAnsi="Times New Roman;Times;Serif"/>
          <w:b w:val="false"/>
          <w:i w:val="false"/>
          <w:caps w:val="false"/>
          <w:smallCaps w:val="false"/>
          <w:sz w:val="20"/>
          <w:bdr w:val="single" w:sz="24" w:space="1" w:color="000000"/>
        </w:rPr>
        <w:t>[</w:t>
      </w:r>
      <w:r>
        <w:rPr>
          <w:rFonts w:ascii="Times New Roman;Times;Serif" w:hAnsi="Times New Roman;Times;Serif"/>
          <w:b w:val="false"/>
          <w:i/>
          <w:caps w:val="false"/>
          <w:smallCaps w:val="false"/>
          <w:sz w:val="20"/>
          <w:bdr w:val="single" w:sz="24" w:space="1" w:color="000000"/>
        </w:rPr>
        <w:t>Signature Page to Share Purchase Agreement</w:t>
      </w:r>
      <w:r>
        <w:rPr>
          <w:rFonts w:ascii="Times New Roman;Times;Serif" w:hAnsi="Times New Roman;Times;Serif"/>
          <w:b w:val="false"/>
          <w:i w:val="false"/>
          <w:caps w:val="false"/>
          <w:smallCaps w:val="false"/>
          <w:sz w:val="20"/>
          <w:bdr w:val="single" w:sz="24" w:space="1" w:color="000000"/>
        </w:rPr>
        <w:t>]</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Share Purchase Agreement to be duly executed by their respective authorized signatories as of the date first indicated above.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Purchaser: Kelly Ventures I LP, a Delaware limited partnership</w:t>
      </w:r>
    </w:p>
    <w:p>
      <w:pPr>
        <w:pStyle w:val="TextBody"/>
        <w:bidi w:val="0"/>
        <w:spacing w:before="0" w:after="0"/>
        <w:ind w:left="0" w:right="0" w:hanging="0"/>
        <w:jc w:val="both"/>
        <w:rPr>
          <w:caps w:val="false"/>
          <w:smallCaps w:val="false"/>
        </w:rPr>
      </w:pPr>
      <w:r>
        <w:rPr>
          <w:caps w:val="false"/>
          <w:smallCaps w:val="false"/>
        </w:rPr>
        <w:t> </w:t>
      </w:r>
    </w:p>
    <w:tbl>
      <w:tblPr>
        <w:tblW w:w="6010" w:type="dxa"/>
        <w:jc w:val="left"/>
        <w:tblInd w:w="0" w:type="dxa"/>
        <w:tblLayout w:type="fixed"/>
        <w:tblCellMar>
          <w:top w:w="0" w:type="dxa"/>
          <w:left w:w="0" w:type="dxa"/>
          <w:bottom w:w="0" w:type="dxa"/>
          <w:right w:w="0" w:type="dxa"/>
        </w:tblCellMar>
      </w:tblPr>
      <w:tblGrid>
        <w:gridCol w:w="4550"/>
        <w:gridCol w:w="1385"/>
        <w:gridCol w:w="75"/>
      </w:tblGrid>
      <w:tr>
        <w:trPr/>
        <w:tc>
          <w:tcPr>
            <w:tcW w:w="4550" w:type="dxa"/>
            <w:tcBorders/>
            <w:vAlign w:val="center"/>
          </w:tcPr>
          <w:p>
            <w:pPr>
              <w:pStyle w:val="TableContents"/>
              <w:bidi w:val="0"/>
              <w:spacing w:before="0" w:after="283"/>
              <w:jc w:val="left"/>
              <w:rPr>
                <w:i/>
              </w:rPr>
            </w:pPr>
            <w:r>
              <w:rPr>
                <w:i/>
              </w:rPr>
              <w:t>Signature of Authorized Signatory of Purchaser</w:t>
            </w:r>
          </w:p>
        </w:tc>
        <w:tc>
          <w:tcPr>
            <w:tcW w:w="1385" w:type="dxa"/>
            <w:tcBorders>
              <w:bottom w:val="single" w:sz="8" w:space="0" w:color="000000"/>
            </w:tcBorders>
            <w:tcMar>
              <w:bottom w:w="28" w:type="dxa"/>
            </w:tcMar>
            <w:vAlign w:val="center"/>
          </w:tcPr>
          <w:p>
            <w:pPr>
              <w:pStyle w:val="TableContents"/>
              <w:bidi w:val="0"/>
              <w:spacing w:before="0" w:after="283"/>
              <w:jc w:val="left"/>
              <w:rPr/>
            </w:pPr>
            <w:r>
              <w:rPr/>
              <w:t>/s/ Chris Kelly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 Chris Kelly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 General Partner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 of Authorized Signatory: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 to Purchaser:</w:t>
      </w:r>
    </w:p>
    <w:p>
      <w:pPr>
        <w:pStyle w:val="TextBody"/>
        <w:bidi w:val="0"/>
        <w:spacing w:before="0" w:after="0"/>
        <w:ind w:left="0" w:right="0" w:hanging="0"/>
        <w:jc w:val="both"/>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Delivery of Shares to Purchaser (if not same as address for notice):</w:t>
      </w:r>
    </w:p>
    <w:p>
      <w:pPr>
        <w:pStyle w:val="TextBody"/>
        <w:bidi w:val="0"/>
        <w:spacing w:before="0" w:after="0"/>
        <w:ind w:left="0" w:right="0" w:hanging="23"/>
        <w:jc w:val="both"/>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Amount: $100,000</w:t>
      </w:r>
    </w:p>
    <w:p>
      <w:pPr>
        <w:pStyle w:val="TextBody"/>
        <w:bidi w:val="0"/>
        <w:spacing w:before="0" w:after="0"/>
        <w:ind w:left="0" w:right="0" w:hanging="23"/>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Purchased Shares: 37,453</w:t>
      </w:r>
    </w:p>
    <w:p>
      <w:pPr>
        <w:pStyle w:val="TextBody"/>
        <w:bidi w:val="0"/>
        <w:spacing w:before="0" w:after="0"/>
        <w:ind w:left="0" w:right="0" w:hanging="23"/>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24" w:space="1" w:color="000000"/>
        </w:rPr>
      </w:pPr>
      <w:r>
        <w:rPr>
          <w:rFonts w:ascii="Times New Roman;Times;Serif" w:hAnsi="Times New Roman;Times;Serif"/>
          <w:b w:val="false"/>
          <w:i w:val="false"/>
          <w:caps w:val="false"/>
          <w:smallCaps w:val="false"/>
          <w:sz w:val="20"/>
          <w:bdr w:val="single" w:sz="24" w:space="1" w:color="000000"/>
        </w:rPr>
        <w:t>[</w:t>
      </w:r>
      <w:r>
        <w:rPr>
          <w:rFonts w:ascii="Times New Roman;Times;Serif" w:hAnsi="Times New Roman;Times;Serif"/>
          <w:b w:val="false"/>
          <w:i/>
          <w:caps w:val="false"/>
          <w:smallCaps w:val="false"/>
          <w:sz w:val="20"/>
          <w:bdr w:val="single" w:sz="24" w:space="1" w:color="000000"/>
        </w:rPr>
        <w:t>Signature Page to Share Purchase Agreement</w:t>
      </w:r>
      <w:r>
        <w:rPr>
          <w:rFonts w:ascii="Times New Roman;Times;Serif" w:hAnsi="Times New Roman;Times;Serif"/>
          <w:b w:val="false"/>
          <w:i w:val="false"/>
          <w:caps w:val="false"/>
          <w:smallCaps w:val="false"/>
          <w:sz w:val="20"/>
          <w:bdr w:val="single" w:sz="24" w:space="1" w:color="000000"/>
        </w:rPr>
        <w:t>]</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Share Purchase Agreement to be duly executed by their respective authorized signatories as of the date first indicated above.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Purchaser: Paul Misir</w:t>
      </w:r>
    </w:p>
    <w:p>
      <w:pPr>
        <w:pStyle w:val="TextBody"/>
        <w:bidi w:val="0"/>
        <w:spacing w:before="0" w:after="0"/>
        <w:ind w:left="0" w:right="0" w:hanging="0"/>
        <w:jc w:val="both"/>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2315"/>
        <w:gridCol w:w="1265"/>
        <w:gridCol w:w="75"/>
      </w:tblGrid>
      <w:tr>
        <w:trPr/>
        <w:tc>
          <w:tcPr>
            <w:tcW w:w="2315" w:type="dxa"/>
            <w:tcBorders/>
            <w:vAlign w:val="center"/>
          </w:tcPr>
          <w:p>
            <w:pPr>
              <w:pStyle w:val="TableContents"/>
              <w:bidi w:val="0"/>
              <w:spacing w:before="0" w:after="283"/>
              <w:jc w:val="left"/>
              <w:rPr>
                <w:i/>
              </w:rPr>
            </w:pPr>
            <w:r>
              <w:rPr>
                <w:i/>
              </w:rPr>
              <w:t>Signature of Purchaser:</w:t>
            </w:r>
          </w:p>
        </w:tc>
        <w:tc>
          <w:tcPr>
            <w:tcW w:w="1265" w:type="dxa"/>
            <w:tcBorders>
              <w:bottom w:val="single" w:sz="8" w:space="0" w:color="000000"/>
            </w:tcBorders>
            <w:tcMar>
              <w:bottom w:w="28" w:type="dxa"/>
            </w:tcMar>
            <w:vAlign w:val="center"/>
          </w:tcPr>
          <w:p>
            <w:pPr>
              <w:pStyle w:val="TableContents"/>
              <w:bidi w:val="0"/>
              <w:spacing w:before="0" w:after="283"/>
              <w:jc w:val="left"/>
              <w:rPr/>
            </w:pPr>
            <w:r>
              <w:rPr/>
              <w:t>/s/ Paul Misir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 of Purchaser: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 to Purchaser:</w:t>
      </w:r>
    </w:p>
    <w:p>
      <w:pPr>
        <w:pStyle w:val="TextBody"/>
        <w:bidi w:val="0"/>
        <w:spacing w:before="0" w:after="0"/>
        <w:ind w:left="0" w:right="0" w:hanging="23"/>
        <w:jc w:val="both"/>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Delivery of Shares to Purchaser (if not same as address for notice):</w:t>
      </w:r>
    </w:p>
    <w:p>
      <w:pPr>
        <w:pStyle w:val="TextBody"/>
        <w:bidi w:val="0"/>
        <w:spacing w:before="0" w:after="0"/>
        <w:ind w:left="0" w:right="0" w:hanging="23"/>
        <w:jc w:val="both"/>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Amount: $250,000</w:t>
      </w:r>
    </w:p>
    <w:p>
      <w:pPr>
        <w:pStyle w:val="TextBody"/>
        <w:bidi w:val="0"/>
        <w:spacing w:before="0" w:after="0"/>
        <w:ind w:left="0" w:right="0" w:hanging="23"/>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Purchased Shares: 93,633</w:t>
      </w:r>
    </w:p>
    <w:p>
      <w:pPr>
        <w:pStyle w:val="TextBody"/>
        <w:bidi w:val="0"/>
        <w:spacing w:before="0" w:after="0"/>
        <w:ind w:left="0" w:right="0" w:hanging="23"/>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24" w:space="1" w:color="000000"/>
        </w:rPr>
      </w:pPr>
      <w:r>
        <w:rPr>
          <w:rFonts w:ascii="Times New Roman;Times;Serif" w:hAnsi="Times New Roman;Times;Serif"/>
          <w:b w:val="false"/>
          <w:i w:val="false"/>
          <w:caps w:val="false"/>
          <w:smallCaps w:val="false"/>
          <w:sz w:val="20"/>
          <w:bdr w:val="single" w:sz="24" w:space="1" w:color="000000"/>
        </w:rPr>
        <w:t>[</w:t>
      </w:r>
      <w:r>
        <w:rPr>
          <w:rFonts w:ascii="Times New Roman;Times;Serif" w:hAnsi="Times New Roman;Times;Serif"/>
          <w:b w:val="false"/>
          <w:i/>
          <w:caps w:val="false"/>
          <w:smallCaps w:val="false"/>
          <w:sz w:val="20"/>
          <w:bdr w:val="single" w:sz="24" w:space="1" w:color="000000"/>
        </w:rPr>
        <w:t>Signature Page to Share Purchase Agreement</w:t>
      </w:r>
      <w:r>
        <w:rPr>
          <w:rFonts w:ascii="Times New Roman;Times;Serif" w:hAnsi="Times New Roman;Times;Serif"/>
          <w:b w:val="false"/>
          <w:i w:val="false"/>
          <w:caps w:val="false"/>
          <w:smallCaps w:val="false"/>
          <w:sz w:val="20"/>
          <w:bdr w:val="single" w:sz="24" w:space="1" w:color="000000"/>
        </w:rPr>
        <w:t>]</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Share Purchase Agreement to be duly executed by their respective authorized signatories as of the date first indicated above.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Purchaser: Demetri Argyropoulos</w:t>
      </w:r>
    </w:p>
    <w:p>
      <w:pPr>
        <w:pStyle w:val="TextBody"/>
        <w:bidi w:val="0"/>
        <w:spacing w:before="0" w:after="0"/>
        <w:ind w:left="0" w:right="0" w:hanging="0"/>
        <w:jc w:val="both"/>
        <w:rPr>
          <w:caps w:val="false"/>
          <w:smallCaps w:val="false"/>
        </w:rPr>
      </w:pPr>
      <w:r>
        <w:rPr>
          <w:caps w:val="false"/>
          <w:smallCaps w:val="false"/>
        </w:rPr>
        <w:t> </w:t>
      </w:r>
    </w:p>
    <w:tbl>
      <w:tblPr>
        <w:tblW w:w="4825" w:type="dxa"/>
        <w:jc w:val="left"/>
        <w:tblInd w:w="0" w:type="dxa"/>
        <w:tblLayout w:type="fixed"/>
        <w:tblCellMar>
          <w:top w:w="0" w:type="dxa"/>
          <w:left w:w="0" w:type="dxa"/>
          <w:bottom w:w="0" w:type="dxa"/>
          <w:right w:w="0" w:type="dxa"/>
        </w:tblCellMar>
      </w:tblPr>
      <w:tblGrid>
        <w:gridCol w:w="2315"/>
        <w:gridCol w:w="2435"/>
        <w:gridCol w:w="75"/>
      </w:tblGrid>
      <w:tr>
        <w:trPr/>
        <w:tc>
          <w:tcPr>
            <w:tcW w:w="2315" w:type="dxa"/>
            <w:tcBorders/>
            <w:vAlign w:val="center"/>
          </w:tcPr>
          <w:p>
            <w:pPr>
              <w:pStyle w:val="TableContents"/>
              <w:bidi w:val="0"/>
              <w:spacing w:before="0" w:after="283"/>
              <w:jc w:val="left"/>
              <w:rPr>
                <w:i/>
              </w:rPr>
            </w:pPr>
            <w:r>
              <w:rPr>
                <w:i/>
              </w:rPr>
              <w:t>Signature of Purchaser:</w:t>
            </w:r>
          </w:p>
        </w:tc>
        <w:tc>
          <w:tcPr>
            <w:tcW w:w="2435" w:type="dxa"/>
            <w:tcBorders>
              <w:bottom w:val="single" w:sz="8" w:space="0" w:color="000000"/>
            </w:tcBorders>
            <w:tcMar>
              <w:bottom w:w="28" w:type="dxa"/>
            </w:tcMar>
            <w:vAlign w:val="center"/>
          </w:tcPr>
          <w:p>
            <w:pPr>
              <w:pStyle w:val="TableContents"/>
              <w:bidi w:val="0"/>
              <w:spacing w:before="0" w:after="283"/>
              <w:jc w:val="left"/>
              <w:rPr/>
            </w:pPr>
            <w:r>
              <w:rPr/>
              <w:t>/s/ Demetri Argyropoulos</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 of Purchaser:_________________________________________________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2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 to Purchaser:</w:t>
      </w:r>
    </w:p>
    <w:p>
      <w:pPr>
        <w:pStyle w:val="TextBody"/>
        <w:bidi w:val="0"/>
        <w:spacing w:before="0" w:after="0"/>
        <w:ind w:left="0" w:right="0" w:hanging="23"/>
        <w:jc w:val="both"/>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Delivery of Shares to Purchaser (if not same as address for notice):</w:t>
      </w:r>
    </w:p>
    <w:p>
      <w:pPr>
        <w:pStyle w:val="TextBody"/>
        <w:bidi w:val="0"/>
        <w:spacing w:before="0" w:after="0"/>
        <w:ind w:left="0" w:right="0" w:hanging="23"/>
        <w:jc w:val="both"/>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Amount: $30,000</w:t>
      </w:r>
    </w:p>
    <w:p>
      <w:pPr>
        <w:pStyle w:val="TextBody"/>
        <w:bidi w:val="0"/>
        <w:spacing w:before="0" w:after="0"/>
        <w:ind w:left="0" w:right="0" w:hanging="23"/>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Purchased Shares: 11,236</w:t>
      </w:r>
    </w:p>
    <w:p>
      <w:pPr>
        <w:pStyle w:val="TextBody"/>
        <w:bidi w:val="0"/>
        <w:spacing w:before="0" w:after="0"/>
        <w:ind w:left="0" w:right="0" w:hanging="23"/>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24" w:space="1" w:color="000000"/>
        </w:rPr>
      </w:pPr>
      <w:r>
        <w:rPr>
          <w:rFonts w:ascii="Times New Roman;Times;Serif" w:hAnsi="Times New Roman;Times;Serif"/>
          <w:b w:val="false"/>
          <w:i w:val="false"/>
          <w:caps w:val="false"/>
          <w:smallCaps w:val="false"/>
          <w:sz w:val="20"/>
          <w:bdr w:val="single" w:sz="24" w:space="1" w:color="000000"/>
        </w:rPr>
        <w:t>[</w:t>
      </w:r>
      <w:r>
        <w:rPr>
          <w:rFonts w:ascii="Times New Roman;Times;Serif" w:hAnsi="Times New Roman;Times;Serif"/>
          <w:b w:val="false"/>
          <w:i/>
          <w:caps w:val="false"/>
          <w:smallCaps w:val="false"/>
          <w:sz w:val="20"/>
          <w:bdr w:val="single" w:sz="24" w:space="1" w:color="000000"/>
        </w:rPr>
        <w:t>Signature Page to Share Purchase Agreement</w:t>
      </w:r>
      <w:r>
        <w:rPr>
          <w:rFonts w:ascii="Times New Roman;Times;Serif" w:hAnsi="Times New Roman;Times;Serif"/>
          <w:b w:val="false"/>
          <w:i w:val="false"/>
          <w:caps w:val="false"/>
          <w:smallCaps w:val="false"/>
          <w:sz w:val="20"/>
          <w:bdr w:val="single" w:sz="24" w:space="1" w:color="000000"/>
        </w:rPr>
        <w:t>]</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Share Purchase Agreement to be duly executed by their respective authorized signatories as of the date first indicated above.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Purchaser: Demetri Daphnis</w:t>
      </w:r>
    </w:p>
    <w:p>
      <w:pPr>
        <w:pStyle w:val="TextBody"/>
        <w:bidi w:val="0"/>
        <w:spacing w:before="0" w:after="0"/>
        <w:ind w:left="0" w:right="0" w:hanging="0"/>
        <w:jc w:val="both"/>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2240"/>
        <w:gridCol w:w="1910"/>
        <w:gridCol w:w="75"/>
      </w:tblGrid>
      <w:tr>
        <w:trPr/>
        <w:tc>
          <w:tcPr>
            <w:tcW w:w="2240" w:type="dxa"/>
            <w:tcBorders/>
            <w:vAlign w:val="center"/>
          </w:tcPr>
          <w:p>
            <w:pPr>
              <w:pStyle w:val="TableContents"/>
              <w:bidi w:val="0"/>
              <w:spacing w:before="0" w:after="283"/>
              <w:jc w:val="left"/>
              <w:rPr>
                <w:i/>
              </w:rPr>
            </w:pPr>
            <w:r>
              <w:rPr>
                <w:i/>
              </w:rPr>
              <w:t>Signature of Purchaser</w:t>
            </w:r>
          </w:p>
        </w:tc>
        <w:tc>
          <w:tcPr>
            <w:tcW w:w="1910" w:type="dxa"/>
            <w:tcBorders>
              <w:bottom w:val="single" w:sz="8" w:space="0" w:color="000000"/>
            </w:tcBorders>
            <w:tcMar>
              <w:bottom w:w="28" w:type="dxa"/>
            </w:tcMar>
            <w:vAlign w:val="center"/>
          </w:tcPr>
          <w:p>
            <w:pPr>
              <w:pStyle w:val="TableContents"/>
              <w:bidi w:val="0"/>
              <w:spacing w:before="0" w:after="283"/>
              <w:jc w:val="left"/>
              <w:rPr/>
            </w:pPr>
            <w:r>
              <w:rPr/>
              <w:t>/s/ Demetri Daphnis</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 of Purchaser:_________________________________________________</w:t>
        <w:tab/>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2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 to Purchaser:</w:t>
      </w:r>
    </w:p>
    <w:p>
      <w:pPr>
        <w:pStyle w:val="TextBody"/>
        <w:bidi w:val="0"/>
        <w:spacing w:before="0" w:after="0"/>
        <w:ind w:left="0" w:right="0" w:hanging="23"/>
        <w:jc w:val="both"/>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23"/>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Delivery of Shares to Purchaser (if not same as address for notice):</w:t>
      </w:r>
    </w:p>
    <w:p>
      <w:pPr>
        <w:pStyle w:val="TextBody"/>
        <w:bidi w:val="0"/>
        <w:spacing w:before="0" w:after="0"/>
        <w:ind w:left="0" w:right="0" w:hanging="23"/>
        <w:jc w:val="both"/>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Amount: $25,000</w:t>
      </w:r>
    </w:p>
    <w:p>
      <w:pPr>
        <w:pStyle w:val="TextBody"/>
        <w:bidi w:val="0"/>
        <w:spacing w:before="0" w:after="0"/>
        <w:ind w:left="0" w:right="0" w:hanging="23"/>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Purchased Shares: 9,363</w:t>
      </w:r>
    </w:p>
    <w:p>
      <w:pPr>
        <w:pStyle w:val="TextBody"/>
        <w:bidi w:val="0"/>
        <w:spacing w:before="0" w:after="0"/>
        <w:ind w:left="0" w:right="0" w:hanging="23"/>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24" w:space="1" w:color="000000"/>
        </w:rPr>
      </w:pPr>
      <w:r>
        <w:rPr>
          <w:rFonts w:ascii="Times New Roman;Times;Serif" w:hAnsi="Times New Roman;Times;Serif"/>
          <w:b w:val="false"/>
          <w:i w:val="false"/>
          <w:caps w:val="false"/>
          <w:smallCaps w:val="false"/>
          <w:sz w:val="20"/>
          <w:bdr w:val="single" w:sz="24" w:space="1" w:color="000000"/>
        </w:rPr>
        <w:t>[</w:t>
      </w:r>
      <w:r>
        <w:rPr>
          <w:rFonts w:ascii="Times New Roman;Times;Serif" w:hAnsi="Times New Roman;Times;Serif"/>
          <w:b w:val="false"/>
          <w:i/>
          <w:caps w:val="false"/>
          <w:smallCaps w:val="false"/>
          <w:sz w:val="20"/>
          <w:bdr w:val="single" w:sz="24" w:space="1" w:color="000000"/>
        </w:rPr>
        <w:t>Signature Page to Share Purchase Agreement</w:t>
      </w:r>
      <w:r>
        <w:rPr>
          <w:rFonts w:ascii="Times New Roman;Times;Serif" w:hAnsi="Times New Roman;Times;Serif"/>
          <w:b w:val="false"/>
          <w:i w:val="false"/>
          <w:caps w:val="false"/>
          <w:smallCaps w:val="false"/>
          <w:sz w:val="20"/>
          <w:bdr w:val="single" w:sz="24" w:space="1" w:color="000000"/>
        </w:rPr>
        <w:t>]</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Share Purchase Agreement to be duly executed by their respective authorized signatories as of the date first indicated above.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Purchaser: Internal Market Fund, LLC</w:t>
      </w:r>
    </w:p>
    <w:p>
      <w:pPr>
        <w:pStyle w:val="TextBody"/>
        <w:bidi w:val="0"/>
        <w:spacing w:before="0" w:after="0"/>
        <w:ind w:left="0" w:right="0" w:hanging="0"/>
        <w:jc w:val="both"/>
        <w:rPr>
          <w:caps w:val="false"/>
          <w:smallCaps w:val="false"/>
        </w:rPr>
      </w:pPr>
      <w:r>
        <w:rPr>
          <w:caps w:val="false"/>
          <w:smallCaps w:val="false"/>
        </w:rPr>
        <w:t> </w:t>
      </w:r>
    </w:p>
    <w:tbl>
      <w:tblPr>
        <w:tblW w:w="6505" w:type="dxa"/>
        <w:jc w:val="left"/>
        <w:tblInd w:w="0" w:type="dxa"/>
        <w:tblLayout w:type="fixed"/>
        <w:tblCellMar>
          <w:top w:w="0" w:type="dxa"/>
          <w:left w:w="0" w:type="dxa"/>
          <w:bottom w:w="0" w:type="dxa"/>
          <w:right w:w="0" w:type="dxa"/>
        </w:tblCellMar>
      </w:tblPr>
      <w:tblGrid>
        <w:gridCol w:w="4625"/>
        <w:gridCol w:w="1805"/>
        <w:gridCol w:w="75"/>
      </w:tblGrid>
      <w:tr>
        <w:trPr/>
        <w:tc>
          <w:tcPr>
            <w:tcW w:w="4625" w:type="dxa"/>
            <w:tcBorders/>
            <w:vAlign w:val="center"/>
          </w:tcPr>
          <w:p>
            <w:pPr>
              <w:pStyle w:val="TableContents"/>
              <w:bidi w:val="0"/>
              <w:spacing w:before="0" w:after="283"/>
              <w:jc w:val="left"/>
              <w:rPr>
                <w:i/>
              </w:rPr>
            </w:pPr>
            <w:r>
              <w:rPr>
                <w:i/>
              </w:rPr>
              <w:t>Signature of Authorized Signatory of Purchaser:</w:t>
            </w:r>
          </w:p>
        </w:tc>
        <w:tc>
          <w:tcPr>
            <w:tcW w:w="1805" w:type="dxa"/>
            <w:tcBorders>
              <w:bottom w:val="single" w:sz="8" w:space="0" w:color="000000"/>
            </w:tcBorders>
            <w:tcMar>
              <w:bottom w:w="28" w:type="dxa"/>
            </w:tcMar>
            <w:vAlign w:val="center"/>
          </w:tcPr>
          <w:p>
            <w:pPr>
              <w:pStyle w:val="TableContents"/>
              <w:bidi w:val="0"/>
              <w:spacing w:before="0" w:after="283"/>
              <w:jc w:val="left"/>
              <w:rPr/>
            </w:pPr>
            <w:r>
              <w:rPr/>
              <w:t>/s/ Michael Spanos</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 Michael Spanos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 Managing Partner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 of Authorized Signatory:_________________________________________________</w:t>
        <w:tab/>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 to Purchaser:</w:t>
      </w:r>
    </w:p>
    <w:p>
      <w:pPr>
        <w:pStyle w:val="TextBody"/>
        <w:bidi w:val="0"/>
        <w:spacing w:before="0" w:after="0"/>
        <w:ind w:left="0" w:right="0" w:hanging="23"/>
        <w:jc w:val="both"/>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Delivery of Shares to Purchaser (if not same as address for notice):</w:t>
      </w:r>
    </w:p>
    <w:p>
      <w:pPr>
        <w:pStyle w:val="TextBody"/>
        <w:bidi w:val="0"/>
        <w:spacing w:before="0" w:after="0"/>
        <w:ind w:left="0" w:right="0" w:hanging="23"/>
        <w:jc w:val="both"/>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Amount: $57,699</w:t>
      </w:r>
    </w:p>
    <w:p>
      <w:pPr>
        <w:pStyle w:val="TextBody"/>
        <w:bidi w:val="0"/>
        <w:spacing w:before="0" w:after="0"/>
        <w:ind w:left="0" w:right="0" w:hanging="23"/>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Purchased Shares: 21,610</w:t>
      </w:r>
    </w:p>
    <w:p>
      <w:pPr>
        <w:pStyle w:val="TextBody"/>
        <w:bidi w:val="0"/>
        <w:spacing w:before="0" w:after="0"/>
        <w:ind w:left="0" w:right="0" w:hanging="23"/>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24" w:space="1" w:color="000000"/>
        </w:rPr>
      </w:pPr>
      <w:r>
        <w:rPr>
          <w:rFonts w:ascii="Times New Roman;Times;Serif" w:hAnsi="Times New Roman;Times;Serif"/>
          <w:b w:val="false"/>
          <w:i w:val="false"/>
          <w:caps w:val="false"/>
          <w:smallCaps w:val="false"/>
          <w:sz w:val="20"/>
          <w:bdr w:val="single" w:sz="24" w:space="1" w:color="000000"/>
        </w:rPr>
        <w:t>[</w:t>
      </w:r>
      <w:r>
        <w:rPr>
          <w:rFonts w:ascii="Times New Roman;Times;Serif" w:hAnsi="Times New Roman;Times;Serif"/>
          <w:b w:val="false"/>
          <w:i/>
          <w:caps w:val="false"/>
          <w:smallCaps w:val="false"/>
          <w:sz w:val="20"/>
          <w:bdr w:val="single" w:sz="24" w:space="1" w:color="000000"/>
        </w:rPr>
        <w:t>Signature Page to Share Purchase Agreement</w:t>
      </w:r>
      <w:r>
        <w:rPr>
          <w:rFonts w:ascii="Times New Roman;Times;Serif" w:hAnsi="Times New Roman;Times;Serif"/>
          <w:b w:val="false"/>
          <w:i w:val="false"/>
          <w:caps w:val="false"/>
          <w:smallCaps w:val="false"/>
          <w:sz w:val="20"/>
          <w:bdr w:val="single" w:sz="24" w:space="1" w:color="000000"/>
        </w:rPr>
        <w:t>]</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Share Purchase Agreement to be duly executed by their respective authorized signatories as of the date first indicated above.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Purchaser: Reince Priebus</w:t>
      </w:r>
    </w:p>
    <w:p>
      <w:pPr>
        <w:pStyle w:val="TextBody"/>
        <w:bidi w:val="0"/>
        <w:spacing w:before="0" w:after="0"/>
        <w:ind w:left="0" w:right="0" w:hanging="0"/>
        <w:jc w:val="both"/>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2315"/>
        <w:gridCol w:w="1715"/>
        <w:gridCol w:w="75"/>
      </w:tblGrid>
      <w:tr>
        <w:trPr/>
        <w:tc>
          <w:tcPr>
            <w:tcW w:w="2315" w:type="dxa"/>
            <w:tcBorders/>
            <w:vAlign w:val="center"/>
          </w:tcPr>
          <w:p>
            <w:pPr>
              <w:pStyle w:val="TableContents"/>
              <w:bidi w:val="0"/>
              <w:spacing w:before="0" w:after="283"/>
              <w:jc w:val="left"/>
              <w:rPr>
                <w:i/>
              </w:rPr>
            </w:pPr>
            <w:r>
              <w:rPr>
                <w:i/>
              </w:rPr>
              <w:t>Signature of Purchaser:</w:t>
            </w:r>
          </w:p>
        </w:tc>
        <w:tc>
          <w:tcPr>
            <w:tcW w:w="1715" w:type="dxa"/>
            <w:tcBorders>
              <w:bottom w:val="single" w:sz="8" w:space="0" w:color="000000"/>
            </w:tcBorders>
            <w:tcMar>
              <w:bottom w:w="28" w:type="dxa"/>
            </w:tcMar>
            <w:vAlign w:val="center"/>
          </w:tcPr>
          <w:p>
            <w:pPr>
              <w:pStyle w:val="TableContents"/>
              <w:bidi w:val="0"/>
              <w:spacing w:before="0" w:after="283"/>
              <w:jc w:val="left"/>
              <w:rPr/>
            </w:pPr>
            <w:r>
              <w:rPr/>
              <w:t>/s/ Reince Priebus</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 of Purchaser:_________________________________________________</w:t>
        <w:tab/>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 to Purchaser:</w:t>
      </w:r>
    </w:p>
    <w:p>
      <w:pPr>
        <w:pStyle w:val="TextBody"/>
        <w:bidi w:val="0"/>
        <w:spacing w:before="0" w:after="0"/>
        <w:ind w:left="0" w:right="0" w:hanging="23"/>
        <w:jc w:val="both"/>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Delivery of Shares to Purchaser (if not same as address for notice):</w:t>
      </w:r>
    </w:p>
    <w:p>
      <w:pPr>
        <w:pStyle w:val="TextBody"/>
        <w:bidi w:val="0"/>
        <w:spacing w:before="0" w:after="0"/>
        <w:ind w:left="0" w:right="0" w:hanging="23"/>
        <w:jc w:val="both"/>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Amount: $57,699</w:t>
      </w:r>
    </w:p>
    <w:p>
      <w:pPr>
        <w:pStyle w:val="TextBody"/>
        <w:bidi w:val="0"/>
        <w:spacing w:before="0" w:after="0"/>
        <w:ind w:left="0" w:right="0" w:hanging="23"/>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Purchased Shares: 21,610</w:t>
      </w:r>
    </w:p>
    <w:p>
      <w:pPr>
        <w:pStyle w:val="TextBody"/>
        <w:bidi w:val="0"/>
        <w:spacing w:before="0" w:after="0"/>
        <w:ind w:left="0" w:right="0" w:hanging="23"/>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24" w:space="1" w:color="000000"/>
        </w:rPr>
      </w:pPr>
      <w:r>
        <w:rPr>
          <w:rFonts w:ascii="Times New Roman;Times;Serif" w:hAnsi="Times New Roman;Times;Serif"/>
          <w:b w:val="false"/>
          <w:i w:val="false"/>
          <w:caps w:val="false"/>
          <w:smallCaps w:val="false"/>
          <w:sz w:val="20"/>
          <w:bdr w:val="single" w:sz="24" w:space="1" w:color="000000"/>
        </w:rPr>
        <w:t>[</w:t>
      </w:r>
      <w:r>
        <w:rPr>
          <w:rFonts w:ascii="Times New Roman;Times;Serif" w:hAnsi="Times New Roman;Times;Serif"/>
          <w:b w:val="false"/>
          <w:i/>
          <w:caps w:val="false"/>
          <w:smallCaps w:val="false"/>
          <w:sz w:val="20"/>
          <w:bdr w:val="single" w:sz="24" w:space="1" w:color="000000"/>
        </w:rPr>
        <w:t>Signature Page to Share Purchase Agreement</w:t>
      </w:r>
      <w:r>
        <w:rPr>
          <w:rFonts w:ascii="Times New Roman;Times;Serif" w:hAnsi="Times New Roman;Times;Serif"/>
          <w:b w:val="false"/>
          <w:i w:val="false"/>
          <w:caps w:val="false"/>
          <w:smallCaps w:val="false"/>
          <w:sz w:val="20"/>
          <w:bdr w:val="single" w:sz="24" w:space="1" w:color="000000"/>
        </w:rPr>
        <w:t>]</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Share Purchase Agreement to be duly executed by their respective authorized signatories as of the date first indicated above.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Purchaser: Chris Larsen</w:t>
      </w:r>
    </w:p>
    <w:p>
      <w:pPr>
        <w:pStyle w:val="TextBody"/>
        <w:bidi w:val="0"/>
        <w:spacing w:before="0" w:after="0"/>
        <w:ind w:left="0" w:right="0" w:hanging="0"/>
        <w:jc w:val="both"/>
        <w:rPr>
          <w:caps w:val="false"/>
          <w:smallCaps w:val="false"/>
        </w:rPr>
      </w:pPr>
      <w:r>
        <w:rPr>
          <w:caps w:val="false"/>
          <w:smallCaps w:val="false"/>
        </w:rPr>
        <w:t> </w:t>
      </w:r>
    </w:p>
    <w:tbl>
      <w:tblPr>
        <w:tblW w:w="3895" w:type="dxa"/>
        <w:jc w:val="left"/>
        <w:tblInd w:w="0" w:type="dxa"/>
        <w:tblLayout w:type="fixed"/>
        <w:tblCellMar>
          <w:top w:w="0" w:type="dxa"/>
          <w:left w:w="0" w:type="dxa"/>
          <w:bottom w:w="0" w:type="dxa"/>
          <w:right w:w="0" w:type="dxa"/>
        </w:tblCellMar>
      </w:tblPr>
      <w:tblGrid>
        <w:gridCol w:w="2315"/>
        <w:gridCol w:w="1505"/>
        <w:gridCol w:w="75"/>
      </w:tblGrid>
      <w:tr>
        <w:trPr/>
        <w:tc>
          <w:tcPr>
            <w:tcW w:w="2315" w:type="dxa"/>
            <w:tcBorders/>
            <w:vAlign w:val="center"/>
          </w:tcPr>
          <w:p>
            <w:pPr>
              <w:pStyle w:val="TableContents"/>
              <w:bidi w:val="0"/>
              <w:spacing w:before="0" w:after="283"/>
              <w:jc w:val="left"/>
              <w:rPr>
                <w:i/>
              </w:rPr>
            </w:pPr>
            <w:r>
              <w:rPr>
                <w:i/>
              </w:rPr>
              <w:t>Signature of Purchaser:</w:t>
            </w:r>
          </w:p>
        </w:tc>
        <w:tc>
          <w:tcPr>
            <w:tcW w:w="1505" w:type="dxa"/>
            <w:tcBorders>
              <w:bottom w:val="single" w:sz="8" w:space="0" w:color="000000"/>
            </w:tcBorders>
            <w:tcMar>
              <w:bottom w:w="28" w:type="dxa"/>
            </w:tcMar>
            <w:vAlign w:val="center"/>
          </w:tcPr>
          <w:p>
            <w:pPr>
              <w:pStyle w:val="TableContents"/>
              <w:bidi w:val="0"/>
              <w:spacing w:before="0" w:after="283"/>
              <w:jc w:val="left"/>
              <w:rPr/>
            </w:pPr>
            <w:r>
              <w:rPr/>
              <w:t>/s/ Chris Larsen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 of Purchaser:_________________________________________________</w:t>
        <w:tab/>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 to Purchaser:</w:t>
      </w:r>
    </w:p>
    <w:p>
      <w:pPr>
        <w:pStyle w:val="TextBody"/>
        <w:bidi w:val="0"/>
        <w:spacing w:before="0" w:after="0"/>
        <w:ind w:left="0" w:right="0" w:hanging="23"/>
        <w:jc w:val="both"/>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Delivery of Shares to Purchaser (if not same as address for notice):</w:t>
      </w:r>
    </w:p>
    <w:p>
      <w:pPr>
        <w:pStyle w:val="TextBody"/>
        <w:bidi w:val="0"/>
        <w:spacing w:before="0" w:after="0"/>
        <w:ind w:left="0" w:right="0" w:hanging="23"/>
        <w:jc w:val="both"/>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Amount: $57,699</w:t>
      </w:r>
    </w:p>
    <w:p>
      <w:pPr>
        <w:pStyle w:val="TextBody"/>
        <w:bidi w:val="0"/>
        <w:spacing w:before="0" w:after="0"/>
        <w:ind w:left="0" w:right="0" w:hanging="23"/>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Purchased Shares: 21,610</w:t>
      </w:r>
    </w:p>
    <w:p>
      <w:pPr>
        <w:pStyle w:val="TextBody"/>
        <w:bidi w:val="0"/>
        <w:spacing w:before="0" w:after="0"/>
        <w:ind w:left="0" w:right="0" w:hanging="23"/>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24" w:space="1" w:color="000000"/>
        </w:rPr>
      </w:pPr>
      <w:r>
        <w:rPr>
          <w:rFonts w:ascii="Times New Roman;Times;Serif" w:hAnsi="Times New Roman;Times;Serif"/>
          <w:b w:val="false"/>
          <w:i w:val="false"/>
          <w:caps w:val="false"/>
          <w:smallCaps w:val="false"/>
          <w:sz w:val="20"/>
          <w:bdr w:val="single" w:sz="24" w:space="1" w:color="000000"/>
        </w:rPr>
        <w:t>[</w:t>
      </w:r>
      <w:r>
        <w:rPr>
          <w:rFonts w:ascii="Times New Roman;Times;Serif" w:hAnsi="Times New Roman;Times;Serif"/>
          <w:b w:val="false"/>
          <w:i/>
          <w:caps w:val="false"/>
          <w:smallCaps w:val="false"/>
          <w:sz w:val="20"/>
          <w:bdr w:val="single" w:sz="24" w:space="1" w:color="000000"/>
        </w:rPr>
        <w:t>Signature Page to Share Purchase Agreement</w:t>
      </w:r>
      <w:r>
        <w:rPr>
          <w:rFonts w:ascii="Times New Roman;Times;Serif" w:hAnsi="Times New Roman;Times;Serif"/>
          <w:b w:val="false"/>
          <w:i w:val="false"/>
          <w:caps w:val="false"/>
          <w:smallCaps w:val="false"/>
          <w:sz w:val="20"/>
          <w:bdr w:val="single" w:sz="24" w:space="1" w:color="000000"/>
        </w:rPr>
        <w:t>]</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Share Purchase Agreement to be duly executed by their respective authorized signatories as of the date first indicated above.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Purchaser: Jon Ricketts</w:t>
      </w:r>
    </w:p>
    <w:p>
      <w:pPr>
        <w:pStyle w:val="TextBody"/>
        <w:bidi w:val="0"/>
        <w:spacing w:before="0" w:after="0"/>
        <w:ind w:left="0" w:right="0" w:hanging="0"/>
        <w:jc w:val="both"/>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2315"/>
        <w:gridCol w:w="1445"/>
        <w:gridCol w:w="75"/>
      </w:tblGrid>
      <w:tr>
        <w:trPr/>
        <w:tc>
          <w:tcPr>
            <w:tcW w:w="2315" w:type="dxa"/>
            <w:tcBorders/>
            <w:vAlign w:val="center"/>
          </w:tcPr>
          <w:p>
            <w:pPr>
              <w:pStyle w:val="TableContents"/>
              <w:bidi w:val="0"/>
              <w:spacing w:before="0" w:after="283"/>
              <w:jc w:val="left"/>
              <w:rPr>
                <w:i/>
              </w:rPr>
            </w:pPr>
            <w:r>
              <w:rPr>
                <w:i/>
              </w:rPr>
              <w:t>Signature of Purchaser:</w:t>
            </w:r>
          </w:p>
        </w:tc>
        <w:tc>
          <w:tcPr>
            <w:tcW w:w="1445" w:type="dxa"/>
            <w:tcBorders>
              <w:bottom w:val="single" w:sz="8" w:space="0" w:color="000000"/>
            </w:tcBorders>
            <w:tcMar>
              <w:bottom w:w="28" w:type="dxa"/>
            </w:tcMar>
            <w:vAlign w:val="center"/>
          </w:tcPr>
          <w:p>
            <w:pPr>
              <w:pStyle w:val="TableContents"/>
              <w:bidi w:val="0"/>
              <w:spacing w:before="0" w:after="283"/>
              <w:jc w:val="left"/>
              <w:rPr/>
            </w:pPr>
            <w:r>
              <w:rPr/>
              <w:t>/s/ Jon Ricketts</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 of Purchaser:_________________________________________________</w:t>
        <w:tab/>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 to Purchaser:</w:t>
      </w:r>
    </w:p>
    <w:p>
      <w:pPr>
        <w:pStyle w:val="TextBody"/>
        <w:bidi w:val="0"/>
        <w:spacing w:before="0" w:after="0"/>
        <w:ind w:left="0" w:right="0" w:hanging="23"/>
        <w:jc w:val="both"/>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Delivery of Shares to Purchaser (if not same as address for notice):</w:t>
      </w:r>
    </w:p>
    <w:p>
      <w:pPr>
        <w:pStyle w:val="TextBody"/>
        <w:bidi w:val="0"/>
        <w:spacing w:before="0" w:after="0"/>
        <w:ind w:left="0" w:right="0" w:hanging="23"/>
        <w:jc w:val="both"/>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left"/>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3073" w:type="dxa"/>
        <w:jc w:val="left"/>
        <w:tblInd w:w="0" w:type="dxa"/>
        <w:tblLayout w:type="fixed"/>
        <w:tblCellMar>
          <w:top w:w="0" w:type="dxa"/>
          <w:left w:w="0" w:type="dxa"/>
          <w:bottom w:w="0" w:type="dxa"/>
          <w:right w:w="0" w:type="dxa"/>
        </w:tblCellMar>
      </w:tblPr>
      <w:tblGrid>
        <w:gridCol w:w="3035"/>
        <w:gridCol w:w="38"/>
      </w:tblGrid>
      <w:tr>
        <w:trPr/>
        <w:tc>
          <w:tcPr>
            <w:tcW w:w="3035" w:type="dxa"/>
            <w:tcBorders/>
            <w:vAlign w:val="center"/>
          </w:tcPr>
          <w:p>
            <w:pPr>
              <w:pStyle w:val="TableContents"/>
              <w:bidi w:val="0"/>
              <w:spacing w:before="0" w:after="283"/>
              <w:jc w:val="center"/>
              <w:rPr/>
            </w:pPr>
            <w:r>
              <w:rPr/>
              <w:t>_________________________</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Amount: $28,849</w:t>
      </w:r>
    </w:p>
    <w:p>
      <w:pPr>
        <w:pStyle w:val="TextBody"/>
        <w:bidi w:val="0"/>
        <w:spacing w:before="0" w:after="0"/>
        <w:ind w:left="0" w:right="0" w:hanging="23"/>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Purchased Shares: 10,805</w:t>
      </w:r>
    </w:p>
    <w:p>
      <w:pPr>
        <w:pStyle w:val="TextBody"/>
        <w:bidi w:val="0"/>
        <w:spacing w:before="0" w:after="0"/>
        <w:ind w:left="0" w:right="0" w:hanging="23"/>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Share Purchase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Georgia;Times;Serif" w:hAnsi="Georgia;Times;Serif"/>
          <w:b/>
          <w:i w:val="false"/>
          <w:caps w:val="false"/>
          <w:smallCaps w:val="false"/>
          <w:sz w:val="20"/>
        </w:rPr>
      </w:pPr>
      <w:r>
        <w:rPr>
          <w:rFonts w:ascii="Georgia;Times;Serif" w:hAnsi="Georgia;Times;Serif"/>
          <w:b/>
          <w:i w:val="false"/>
          <w:caps w:val="false"/>
          <w:smallCaps w:val="false"/>
          <w:sz w:val="20"/>
        </w:rPr>
        <w:t>Sono Group N.V. and Sports One Sign Letter of Intent to Combine and Expand into Professional Sports Franchise Ownership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Georgia;Times;Serif" w:hAnsi="Georgia;Times;Serif"/>
          <w:b/>
          <w:i/>
          <w:caps w:val="false"/>
          <w:smallCaps w:val="false"/>
          <w:sz w:val="20"/>
        </w:rPr>
      </w:pPr>
      <w:r>
        <w:rPr>
          <w:rFonts w:ascii="Georgia;Times;Serif" w:hAnsi="Georgia;Times;Serif"/>
          <w:b/>
          <w:i/>
          <w:caps w:val="false"/>
          <w:smallCaps w:val="false"/>
          <w:sz w:val="20"/>
        </w:rPr>
        <w:t>Proposed combination pairs long-term minority ownership in NFL, NBA, MLB and NHL franchises with a sports intelligence business built to measure athlete value at scale to serve surging team, college/NIL, and brand demand; concurrent with signing, an investor group purchased a 19.9% stake at market price with no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Georgia;Times;Serif" w:hAnsi="Georgia;Times;Serif"/>
          <w:b w:val="false"/>
          <w:i w:val="false"/>
          <w:caps w:val="false"/>
          <w:smallCaps w:val="false"/>
          <w:sz w:val="20"/>
        </w:rPr>
      </w:pPr>
      <w:r>
        <w:rPr>
          <w:rFonts w:ascii="Georgia;Times;Serif" w:hAnsi="Georgia;Times;Serif"/>
          <w:b w:val="false"/>
          <w:i w:val="false"/>
          <w:caps w:val="false"/>
          <w:smallCaps w:val="false"/>
          <w:sz w:val="20"/>
        </w:rPr>
        <w:t>LAND O'LAKES, Fla. and NEW YORK, Aug. 31, 2026 – Sono Group N.V. (Nasdaq: SSM) (“Sono” or the “Company”) and Sports One (“Sports One”) today announced that they have entered into a non-binding letter of intent (the “Letter of Intent”) to combine. The proposed combination is intended to create a publicly traded, permanent-capital company that acquires and holds minority interests in NFL, NBA, MLB and NHL franchises, paired with an operating sports intelligence business serving athletes, teams, universities, brands and sponsors. It would represent a new strategic direction for the Company; upon completion, the Company is expected to be renamed Sports 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Georgia;Times;Serif" w:hAnsi="Georgia;Times;Serif"/>
          <w:b/>
          <w:i w:val="false"/>
          <w:caps w:val="false"/>
          <w:smallCaps w:val="false"/>
          <w:sz w:val="20"/>
        </w:rPr>
      </w:pPr>
      <w:r>
        <w:rPr>
          <w:rFonts w:ascii="Georgia;Times;Serif" w:hAnsi="Georgia;Times;Serif"/>
          <w:b/>
          <w:i w:val="false"/>
          <w:caps w:val="false"/>
          <w:smallCaps w:val="false"/>
          <w:sz w:val="20"/>
        </w:rPr>
        <w:t>Key highlights: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Non-binding letter of intent signed; Sports One equity holders would own a super-majority of the combined public company, expected to be renamed Sports One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Concurrent registered direct offering: 19.9% of outstanding ordinary shares purchased </w:t>
            </w:r>
            <w:r>
              <w:rPr>
                <w:b/>
              </w:rPr>
              <w:t xml:space="preserve">at market price, no discount, no warrant coverage, </w:t>
            </w:r>
            <w:r>
              <w:rPr/>
              <w:t>subject to a 180-day investor lock-up</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Built around two complementary businesses: long-duration ownership of minority interests in major professional franchises and a sports intelligence business that potentially creates informational advantages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 xml:space="preserve">A publicly traded vehicle for a historically private, restricted asset class: </w:t>
            </w:r>
            <w:r>
              <w:rPr/>
              <w:t>while listed shares provide daily liquidity, the public permanent-capital approach addresses the limitations imposed by the fixed lifespan of traditional private investment funds; no forced exits and no obligation to sell a compounding asset make Sports One potentially more attractive to sellers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Value-add operating engine: real-time athlete-level data and NIL valuation intelligence serving teams, universities, brands, and betting, gaming and prediction markets</w:t>
            </w:r>
          </w:p>
        </w:tc>
      </w:tr>
    </w:tbl>
    <w:p>
      <w:pPr>
        <w:pStyle w:val="TextBody"/>
        <w:bidi w:val="0"/>
        <w:spacing w:before="0" w:after="0"/>
        <w:ind w:left="260" w:right="0" w:hanging="0"/>
        <w:jc w:val="left"/>
        <w:rPr>
          <w:caps w:val="false"/>
          <w:smallCaps w:val="false"/>
        </w:rPr>
      </w:pPr>
      <w:r>
        <w:rPr>
          <w:caps w:val="false"/>
          <w:smallCaps w:val="false"/>
        </w:rPr>
        <w:t> </w:t>
      </w:r>
    </w:p>
    <w:p>
      <w:pPr>
        <w:pStyle w:val="TextBody"/>
        <w:bidi w:val="0"/>
        <w:spacing w:before="0" w:after="0"/>
        <w:ind w:left="0" w:right="0" w:hanging="0"/>
        <w:jc w:val="left"/>
        <w:rPr>
          <w:rFonts w:ascii="Georgia;Times;Serif" w:hAnsi="Georgia;Times;Serif"/>
          <w:b w:val="false"/>
          <w:i w:val="false"/>
          <w:caps w:val="false"/>
          <w:smallCaps w:val="false"/>
          <w:sz w:val="20"/>
        </w:rPr>
      </w:pPr>
      <w:r>
        <w:rPr>
          <w:rFonts w:ascii="Georgia;Times;Serif" w:hAnsi="Georgia;Times;Serif"/>
          <w:b w:val="false"/>
          <w:i w:val="false"/>
          <w:caps w:val="false"/>
          <w:smallCaps w:val="false"/>
          <w:sz w:val="20"/>
        </w:rPr>
        <w:t xml:space="preserve">Concurrently with the signing of the Letter of Intent, a group of investors, including investors affiliated with Sports One, purchased 283,500 ordinary shares of the Company, representing 19.9% of the Company's outstanding ordinary shares, in a registered direct offering. The investment was made </w:t>
      </w:r>
      <w:r>
        <w:rPr>
          <w:rFonts w:ascii="Georgia;Times;Serif" w:hAnsi="Georgia;Times;Serif"/>
          <w:b/>
          <w:i w:val="false"/>
          <w:caps w:val="false"/>
          <w:smallCaps w:val="false"/>
          <w:sz w:val="20"/>
        </w:rPr>
        <w:t>at market price, with no discount and no warrant coverage</w:t>
      </w:r>
      <w:r>
        <w:rPr>
          <w:rFonts w:ascii="Georgia;Times;Serif" w:hAnsi="Georgia;Times;Serif"/>
          <w:b w:val="false"/>
          <w:i w:val="false"/>
          <w:caps w:val="false"/>
          <w:smallCaps w:val="false"/>
          <w:sz w:val="20"/>
        </w:rPr>
        <w:t>, a structure the parties believe underscores investor conviction in the proposed combination. Each investor in the offering has also entered into a 180-day lock-up agreement with Sports One, subject to waiver upon the satisfaction of certain conditions. Proceeds will be used for working capital and general corporate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120" w:after="12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w:t>
      </w:r>
      <w:r>
        <w:rPr>
          <w:rFonts w:ascii="Georgia;Times;Serif" w:hAnsi="Georgia;Times;Serif"/>
          <w:b w:val="false"/>
          <w:i/>
          <w:caps w:val="false"/>
          <w:smallCaps w:val="false"/>
          <w:sz w:val="20"/>
        </w:rPr>
        <w:t>Sono Group has always been about opening access to what was previously out of reach. Professional sports franchises have created extraordinary value for decades, but ownership has stayed closed to all but a small circle. In the Sports One team we found partners who know these leagues from the inside, as owners, and combining with them is the right next chapter for this company,</w:t>
      </w:r>
      <w:r>
        <w:rPr>
          <w:rFonts w:ascii="Georgia;Times;Serif" w:hAnsi="Georgia;Times;Serif"/>
          <w:b w:val="false"/>
          <w:i w:val="false"/>
          <w:caps w:val="false"/>
          <w:smallCaps w:val="false"/>
          <w:sz w:val="20"/>
        </w:rPr>
        <w:t>” said Kevin McGurn, Managing Director and CEO of Sono Group N.V.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Georgia;Times;Serif" w:hAnsi="Georgia;Times;Serif"/>
          <w:b w:val="false"/>
          <w:i/>
          <w:caps w:val="false"/>
          <w:smallCaps w:val="false"/>
          <w:sz w:val="20"/>
        </w:rPr>
        <w:t>Winning as a fan is a fantastic experience. Winning as a fan and a stakeholder is even better. Fans owning a piece of a professional sports team is becoming a reality. We launched Sports One to be a preeminent stakeholder in the best sports franchises, adding value through our intelligence platform and bringing more athletes to market to make these teams even better. Combining with Sono Group lets us scale our exciting approach for the next phase of sports growth and excitement, with fans alongside us from day one,"</w:t>
      </w:r>
      <w:r>
        <w:rPr>
          <w:rFonts w:ascii="Georgia;Times;Serif" w:hAnsi="Georgia;Times;Serif"/>
          <w:b w:val="false"/>
          <w:i w:val="false"/>
          <w:caps w:val="false"/>
          <w:smallCaps w:val="false"/>
          <w:sz w:val="20"/>
        </w:rPr>
        <w:t xml:space="preserve"> said Paul Misir, Founder of Sports 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Georgia;Times;Serif" w:hAnsi="Georgia;Times;Serif"/>
          <w:b w:val="false"/>
          <w:i/>
          <w:caps w:val="false"/>
          <w:smallCaps w:val="false"/>
          <w:sz w:val="20"/>
        </w:rPr>
        <w:t>Sports continues to be a connection point for nearly everyone in their everyday conversations. The demand for sports media - both games themselves and analytics around them - is nearly insatiable, driving team valuations upward. Team ownership is a dream for many, and we aim to give everyone who wants to participate an accessible, affordable way to live that dream,</w:t>
      </w:r>
      <w:r>
        <w:rPr>
          <w:rFonts w:ascii="Georgia;Times;Serif" w:hAnsi="Georgia;Times;Serif"/>
          <w:b w:val="false"/>
          <w:i w:val="false"/>
          <w:caps w:val="false"/>
          <w:smallCaps w:val="false"/>
          <w:sz w:val="20"/>
        </w:rPr>
        <w:t>” added Chris Kelly, Co-Founder and Chief Executive Officer of Sports 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Georgia;Times;Serif" w:hAnsi="Georgia;Times;Serif"/>
          <w:b/>
          <w:i w:val="false"/>
          <w:caps w:val="false"/>
          <w:smallCaps w:val="false"/>
          <w:sz w:val="20"/>
        </w:rPr>
      </w:pPr>
      <w:r>
        <w:rPr>
          <w:rFonts w:ascii="Georgia;Times;Serif" w:hAnsi="Georgia;Times;Serif"/>
          <w:b/>
          <w:i w:val="false"/>
          <w:caps w:val="false"/>
          <w:smallCaps w:val="false"/>
          <w:sz w:val="20"/>
        </w:rPr>
        <w:t>An asset class that outperformed for decades, yet remains inaccessible to most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Georgia;Times;Serif" w:hAnsi="Georgia;Times;Serif"/>
          <w:b w:val="false"/>
          <w:i w:val="false"/>
          <w:caps w:val="false"/>
          <w:smallCaps w:val="false"/>
          <w:sz w:val="20"/>
        </w:rPr>
      </w:pPr>
      <w:r>
        <w:rPr>
          <w:rFonts w:ascii="Georgia;Times;Serif" w:hAnsi="Georgia;Times;Serif"/>
          <w:b w:val="false"/>
          <w:i w:val="false"/>
          <w:caps w:val="false"/>
          <w:smallCaps w:val="false"/>
          <w:sz w:val="20"/>
        </w:rPr>
        <w:t>Franchises across the NFL, NBA, MLB and NHL have been among the most durable stores of value in American business, yet among the least accessible. The four major U.S. leagues comprise 124 franchises with an aggregate value exceeding $500 billion, based on the most recent published team valuations by Forbes and Sportico. Values have risen sharply in recent years across all four leagues. For generations, participating in that appreciation required an eight-to-nine-figure commitment and access to an exclusive network.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Georgia;Times;Serif" w:hAnsi="Georgia;Times;Serif"/>
          <w:b w:val="false"/>
          <w:i w:val="false"/>
          <w:caps w:val="false"/>
          <w:smallCaps w:val="false"/>
          <w:sz w:val="20"/>
        </w:rPr>
      </w:pPr>
      <w:r>
        <w:rPr>
          <w:rFonts w:ascii="Georgia;Times;Serif" w:hAnsi="Georgia;Times;Serif"/>
          <w:b w:val="false"/>
          <w:i w:val="false"/>
          <w:caps w:val="false"/>
          <w:smallCaps w:val="false"/>
          <w:sz w:val="20"/>
        </w:rPr>
        <w:t>Over the past several years, each of the four leagues has adopted a framework permitting passive institutional ownership, most recently the NFL in August 2024. The rules now permit institutional capital to participate. Any acquisition would remain subject to applicable league and team approvals.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Georgia;Times;Serif" w:hAnsi="Georgia;Times;Serif"/>
          <w:b/>
          <w:i w:val="false"/>
          <w:caps w:val="false"/>
          <w:smallCaps w:val="false"/>
          <w:sz w:val="20"/>
        </w:rPr>
      </w:pPr>
      <w:r>
        <w:rPr>
          <w:rFonts w:ascii="Georgia;Times;Serif" w:hAnsi="Georgia;Times;Serif"/>
          <w:b/>
          <w:i w:val="false"/>
          <w:caps w:val="false"/>
          <w:smallCaps w:val="false"/>
          <w:sz w:val="20"/>
        </w:rPr>
        <w:t>Permanent capital, public transparency, daily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Georgia;Times;Serif" w:hAnsi="Georgia;Times;Serif"/>
          <w:b w:val="false"/>
          <w:i w:val="false"/>
          <w:caps w:val="false"/>
          <w:smallCaps w:val="false"/>
          <w:sz w:val="20"/>
        </w:rPr>
      </w:pPr>
      <w:r>
        <w:rPr>
          <w:rFonts w:ascii="Georgia;Times;Serif" w:hAnsi="Georgia;Times;Serif"/>
          <w:b w:val="false"/>
          <w:i w:val="false"/>
          <w:caps w:val="false"/>
          <w:smallCaps w:val="false"/>
          <w:sz w:val="20"/>
        </w:rPr>
        <w:t>The proposed business combination would give Sports One's strategy a public, permanent-capital structure. Unlike a traditional private fund, a permanent-capital company has no fixed fund life, no forced exit timeline, and no obligation to sell a compounding asset. It is designed to hold and scale franchise interests indefinitely, while its listed shares are designed to provide investors with daily liquidity and diversified exposure to an asset class that has historically been difficult to access and highly illiquid.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Georgia;Times;Serif" w:hAnsi="Georgia;Times;Serif"/>
          <w:b w:val="false"/>
          <w:i w:val="false"/>
          <w:caps w:val="false"/>
          <w:smallCaps w:val="false"/>
          <w:sz w:val="20"/>
        </w:rPr>
      </w:pPr>
      <w:r>
        <w:rPr>
          <w:rFonts w:ascii="Georgia;Times;Serif" w:hAnsi="Georgia;Times;Serif"/>
          <w:b w:val="false"/>
          <w:i w:val="false"/>
          <w:caps w:val="false"/>
          <w:smallCaps w:val="false"/>
          <w:sz w:val="20"/>
        </w:rPr>
        <w:t>A public structure also carries a disclosure standard new to this asset class: audited financial statements, periodic reporting and material-event disclosure. The parties believe a properly structured public company can participate within the leagues' established ownership frameworks while offering a level of visibility that has not existed in sports franchise ownership.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Georgia;Times;Serif" w:hAnsi="Georgia;Times;Serif"/>
          <w:b/>
          <w:i w:val="false"/>
          <w:caps w:val="false"/>
          <w:smallCaps w:val="false"/>
          <w:sz w:val="20"/>
        </w:rPr>
      </w:pPr>
      <w:r>
        <w:rPr>
          <w:rFonts w:ascii="Georgia;Times;Serif" w:hAnsi="Georgia;Times;Serif"/>
          <w:b/>
          <w:i w:val="false"/>
          <w:caps w:val="false"/>
          <w:smallCaps w:val="false"/>
          <w:sz w:val="20"/>
        </w:rPr>
        <w:t>The second engine: pricing athlete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Georgia;Times;Serif" w:hAnsi="Georgia;Times;Serif"/>
          <w:b w:val="false"/>
          <w:i w:val="false"/>
          <w:caps w:val="false"/>
          <w:smallCaps w:val="false"/>
          <w:sz w:val="20"/>
        </w:rPr>
      </w:pPr>
      <w:r>
        <w:rPr>
          <w:rFonts w:ascii="Georgia;Times;Serif" w:hAnsi="Georgia;Times;Serif"/>
          <w:b w:val="false"/>
          <w:i w:val="false"/>
          <w:caps w:val="false"/>
          <w:smallCaps w:val="false"/>
          <w:sz w:val="20"/>
        </w:rPr>
        <w:t>Alongside the proposed portfolio, Sports One intends to generate operating revenue through its sports intelligence business: real-time athlete-level data, social media value scoring, and quantified measures of what each athlete is worth to sponsors. The platform combines artificial intelligence (AI) intellectual property with indexed proprietary intelligence that the parties believe does not currently exist in the market, enabling athletes and their name, image and likeness (“NIL”) rights to be valued as a new asset category.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120" w:after="12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Georgia;Times;Serif" w:hAnsi="Georgia;Times;Serif"/>
          <w:b w:val="false"/>
          <w:i w:val="false"/>
          <w:caps w:val="false"/>
          <w:smallCaps w:val="false"/>
          <w:sz w:val="20"/>
        </w:rPr>
      </w:pPr>
      <w:r>
        <w:rPr>
          <w:rFonts w:ascii="Georgia;Times;Serif" w:hAnsi="Georgia;Times;Serif"/>
          <w:b w:val="false"/>
          <w:i w:val="false"/>
          <w:caps w:val="false"/>
          <w:smallCaps w:val="false"/>
          <w:sz w:val="20"/>
        </w:rPr>
        <w:t>The intended customers span the modern sports economy: investment and roster decisions for teams and universities; operating data for betting, gaming and prediction-market companies; and campaign planning and measurement for brands and sponsors. The combined business is designed to be anchored by long-term franchise ownership, with the optionality of a scalable data-and-intelligence operation that opens new categories for athlete engagement and value benchmarking. The result is a company designed to own, operate and compound the value of the franchise interests it holds.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Georgia;Times;Serif" w:hAnsi="Georgia;Times;Serif"/>
          <w:b/>
          <w:i w:val="false"/>
          <w:caps w:val="false"/>
          <w:smallCaps w:val="false"/>
          <w:sz w:val="20"/>
        </w:rPr>
      </w:pPr>
      <w:r>
        <w:rPr>
          <w:rFonts w:ascii="Georgia;Times;Serif" w:hAnsi="Georgia;Times;Serif"/>
          <w:b/>
          <w:i w:val="false"/>
          <w:caps w:val="false"/>
          <w:smallCaps w:val="false"/>
          <w:sz w:val="20"/>
        </w:rPr>
        <w:t>The proposed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Georgia;Times;Serif" w:hAnsi="Georgia;Times;Serif"/>
          <w:b w:val="false"/>
          <w:i w:val="false"/>
          <w:caps w:val="false"/>
          <w:smallCaps w:val="false"/>
          <w:sz w:val="20"/>
        </w:rPr>
      </w:pPr>
      <w:r>
        <w:rPr>
          <w:rFonts w:ascii="Georgia;Times;Serif" w:hAnsi="Georgia;Times;Serif"/>
          <w:b w:val="false"/>
          <w:i w:val="false"/>
          <w:caps w:val="false"/>
          <w:smallCaps w:val="false"/>
          <w:sz w:val="20"/>
        </w:rPr>
        <w:t>Under the Letter of Intent, the Company and Sports One intend to enter into a definitive agreement pursuant to which the two would combine, with the former equity holders of both entities holding equity in the combined public company listed on a national stock exchange (the “Surviving Company”), and with Sports One's existing equity holders owning a super-majority of the combined public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Georgia;Times;Serif" w:hAnsi="Georgia;Times;Serif"/>
          <w:b w:val="false"/>
          <w:i w:val="false"/>
          <w:caps w:val="false"/>
          <w:smallCaps w:val="false"/>
          <w:sz w:val="20"/>
        </w:rPr>
      </w:pPr>
      <w:r>
        <w:rPr>
          <w:rFonts w:ascii="Georgia;Times;Serif" w:hAnsi="Georgia;Times;Serif"/>
          <w:b w:val="false"/>
          <w:i w:val="false"/>
          <w:caps w:val="false"/>
          <w:smallCaps w:val="false"/>
          <w:sz w:val="20"/>
        </w:rPr>
        <w:t>The Surviving Company would be led by the Sports One management team, including private equity executive Paul Misir, Founder and Chairman; Chris Kelly, Co-Founder and Chief Executive Officer (co-owner of the NBA Sacramento Kings); Reince Priebus, Co-Founder and Advisor; and Michael Spanos II, SVP Business Development (Spanos family owns the NFL Los Angeles Chargers), who bring direct, first-hand ownership experience in the major U.S. sports leagues.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Georgia;Times;Serif" w:hAnsi="Georgia;Times;Serif"/>
          <w:b w:val="false"/>
          <w:i w:val="false"/>
          <w:caps w:val="false"/>
          <w:smallCaps w:val="false"/>
          <w:sz w:val="20"/>
        </w:rPr>
      </w:pPr>
      <w:r>
        <w:rPr>
          <w:rFonts w:ascii="Georgia;Times;Serif" w:hAnsi="Georgia;Times;Serif"/>
          <w:b w:val="false"/>
          <w:i w:val="false"/>
          <w:caps w:val="false"/>
          <w:smallCaps w:val="false"/>
          <w:sz w:val="20"/>
        </w:rPr>
        <w:t>The final terms of the definitive agreement are subject to the completion of due diligence to the Company's satisfaction. Completion of the transaction remains subject to the negotiation and execution of definitive documentation and satisfaction of customary closing conditions stated in the Letter of Intent, including (i) completion of any required regulatory review and (ii) approval of the transaction by the Company's shareholders, as well as other customary conditions. The Letter of Intent is non-binding except for limited customary provisions. Accordingly, no assurances can be made that the parties will successfully negotiate and enter into a definitive agreement, or that the proposed transaction will be consummated on the terms or timeframe currently contemplated,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Georgia;Times;Serif" w:hAnsi="Georgia;Times;Serif"/>
          <w:b w:val="false"/>
          <w:i w:val="false"/>
          <w:caps w:val="false"/>
          <w:smallCaps w:val="false"/>
          <w:sz w:val="20"/>
        </w:rPr>
      </w:pPr>
      <w:r>
        <w:rPr>
          <w:rFonts w:ascii="Georgia;Times;Serif" w:hAnsi="Georgia;Times;Serif"/>
          <w:b w:val="false"/>
          <w:i w:val="false"/>
          <w:caps w:val="false"/>
          <w:smallCaps w:val="false"/>
          <w:sz w:val="20"/>
        </w:rPr>
        <w:t>In connection with the Letter of Intent, and in a step intended to simplify the Company's capital structure, the sole holder of the Company's preferred shares, YA II PN, Ltd., has entered into a call option agreement with affiliates of Sports One to enable such parties to acquire approximately half of the issued and outstanding preferred shares currently held by YA II PN, Ltd., if such parties exercise the option provided for in that call option agreement before its expiration, which occurs fifteen calendar days after the closing of the proposed transaction contemplated by the Letter of Intent. Pursuant to the call option agreement, YA II PN, Ltd. has agreed not to dispose of the 700 preferred shares subject to the call option agreement or to convert them to ordinary shares or shares of common stock prior to the expiration of the call option. There are no other restrictions on any shares held by YA II PN,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Georgia;Times;Serif" w:hAnsi="Georgia;Times;Serif"/>
          <w:b w:val="false"/>
          <w:i w:val="false"/>
          <w:caps w:val="false"/>
          <w:smallCaps w:val="false"/>
          <w:sz w:val="20"/>
        </w:rPr>
      </w:pPr>
      <w:r>
        <w:rPr>
          <w:rFonts w:ascii="Georgia;Times;Serif" w:hAnsi="Georgia;Times;Serif"/>
          <w:b w:val="false"/>
          <w:i w:val="false"/>
          <w:caps w:val="false"/>
          <w:smallCaps w:val="false"/>
          <w:sz w:val="20"/>
        </w:rPr>
        <w:t>Additional information regarding the transactions described above is contained in the Current Report on Form 8-K filed by the Company with the U.S. Securities and Exchange Commission (the “SEC”) on August 31, 2026, including the share purchase agreement filed as an exhibit thereto, available at www.sec.gov and on the Company's investor relations website at ir.sonomotors.com.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120" w:after="12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Georgia;Times;Serif" w:hAnsi="Georgia;Times;Serif"/>
          <w:b/>
          <w:i w:val="false"/>
          <w:caps w:val="false"/>
          <w:smallCaps w:val="false"/>
          <w:sz w:val="20"/>
        </w:rPr>
      </w:pPr>
      <w:r>
        <w:rPr>
          <w:rFonts w:ascii="Georgia;Times;Serif" w:hAnsi="Georgia;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Georgia;Times;Serif" w:hAnsi="Georgia;Times;Serif"/>
          <w:b/>
          <w:i w:val="false"/>
          <w:caps/>
          <w:sz w:val="20"/>
        </w:rPr>
      </w:pPr>
      <w:r>
        <w:rPr>
          <w:rFonts w:ascii="Georgia;Times;Serif" w:hAnsi="Georgia;Times;Serif"/>
          <w:b/>
          <w:i w:val="false"/>
          <w:caps/>
          <w:sz w:val="20"/>
        </w:rPr>
        <w:t>About Sports 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Georgia;Times;Serif" w:hAnsi="Georgia;Times;Serif"/>
          <w:b w:val="false"/>
          <w:i w:val="false"/>
          <w:caps w:val="false"/>
          <w:smallCaps w:val="false"/>
          <w:sz w:val="20"/>
        </w:rPr>
      </w:pPr>
      <w:r>
        <w:rPr>
          <w:rFonts w:ascii="Georgia;Times;Serif" w:hAnsi="Georgia;Times;Serif"/>
          <w:b w:val="false"/>
          <w:i w:val="false"/>
          <w:caps w:val="false"/>
          <w:smallCaps w:val="false"/>
          <w:sz w:val="20"/>
        </w:rPr>
        <w:t>Sports One was recently formed to acquire and hold minority interests in professional sports teams, with a primary focus on the NBA, NFL, MLB and NHL, and to operate a sports intelligence business that provides real-time athlete-level data, social media value scoring, and quantified data for what each athlete is worth to sponsors.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Georgia;Times;Serif" w:hAnsi="Georgia;Times;Serif"/>
          <w:b/>
          <w:i w:val="false"/>
          <w:caps/>
          <w:sz w:val="20"/>
        </w:rPr>
      </w:pPr>
      <w:r>
        <w:rPr>
          <w:rFonts w:ascii="Georgia;Times;Serif" w:hAnsi="Georgia;Times;Serif"/>
          <w:b/>
          <w:i w:val="false"/>
          <w:caps/>
          <w:sz w:val="20"/>
        </w:rPr>
        <w:t>About Sono Group N.V.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Georgia;Times;Serif" w:hAnsi="Georgia;Times;Serif"/>
          <w:b w:val="false"/>
          <w:i w:val="false"/>
          <w:caps w:val="false"/>
          <w:smallCaps w:val="false"/>
          <w:sz w:val="20"/>
        </w:rPr>
      </w:pPr>
      <w:r>
        <w:rPr>
          <w:rFonts w:ascii="Georgia;Times;Serif" w:hAnsi="Georgia;Times;Serif"/>
          <w:b w:val="false"/>
          <w:i w:val="false"/>
          <w:caps w:val="false"/>
          <w:smallCaps w:val="false"/>
          <w:sz w:val="20"/>
        </w:rPr>
        <w:t>Sono Group N.V. (Nasdaq: SSM) is a Netherlands-incorporated company listed on the Nasdaq Capital Market, currently operating as a digital asset treasury company. The Company's Treasury Strategy is centered on the acquisition of Bitcoin and the generation of structured yield through an institutional covered-call approach under an ISDA Master Agreement framework. For more information about Sono Group N.V., visit sonogroupnv.com.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Georgia;Times;Serif" w:hAnsi="Georgia;Times;Serif"/>
          <w:b/>
          <w:i w:val="false"/>
          <w:caps/>
          <w:sz w:val="20"/>
        </w:rPr>
      </w:pPr>
      <w:r>
        <w:rPr>
          <w:rFonts w:ascii="Georgia;Times;Serif" w:hAnsi="Georgia;Times;Serif"/>
          <w:b/>
          <w:i w:val="false"/>
          <w:caps/>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Georgia;Times;Serif" w:hAnsi="Georgia;Times;Serif"/>
          <w:b w:val="false"/>
          <w:i w:val="false"/>
          <w:caps w:val="false"/>
          <w:smallCaps w:val="false"/>
          <w:sz w:val="20"/>
        </w:rPr>
      </w:pPr>
      <w:r>
        <w:rPr>
          <w:rFonts w:ascii="Georgia;Times;Serif" w:hAnsi="Georgia;Times;Serif"/>
          <w:b w:val="false"/>
          <w:i w:val="false"/>
          <w:caps w:val="false"/>
          <w:smallCaps w:val="false"/>
          <w:sz w:val="20"/>
        </w:rPr>
        <w:t>This press release contains certain "forward-looking statements" within the meaning of the Private Securities Litigation Reform Act of 1995, Section 27A of the Securities Act of 1933, as amended, and Section 21E of the Securities Exchange Act of 1934, as amended, and other applicable securities laws. Such forward-looking statements include, but are not limited to, statements regarding the proposed business combination between Sports One and the Company, the anticipated execution of definitive transaction agreements, the expected timing and completion of the proposed transaction, the anticipated enterprise value of the combined company, the potential future growth of the combined company, including any potential increase in enterprise value through future acquisitions, strategic transactions, investments, or organic growth initiatives, the proposed acquisition of minority interests in major sports franchises, the anticipated benefits of the proposed transaction, Sports One's business strategy, market opportunities, growth prospects, technological development plans, acquisition strategy and future operating performance. Forward-looking statements generally may be identified by the use of words such as "anticipate," "believe," "contemplate," "continue," "could," "estimate," "expect," "forecast," "intends," "may," "might," "plan," "possible," "potential," "predict," "project," "seek," "should," "target," "will," "would," and similar expressions, although not all forward-looking statements contain these words. These forward-looking statements are based on current expectations, estimates, forecasts, assumptions, and projections about future events and are subject to numerous risks and uncertainties, many of which are beyond the control of Sports One and the Company. Actual results may differ materially from those expressed or implied by such forward-looking statements as a result of a variety of factors, including, but not limited to: the risk that the parties may be unable to negotiate or execute definitive agreements relating to the proposed transaction; the risk that the proposed transaction may not be completed in a timely manner or at all; the failure to satisfy any conditions to closing; the failure to obtain required shareholder approvals, regulatory approvals, financing arrangements, exchange listing approvals, or other necessary consents; changes in applicable laws, regulations, governmental policies, or market conditions; the occurrence of any event, change, or circumstance that could delay, prevent, or otherwise adversely affect the proposed transaction; the ability to maintain the listing of securities on Nasdaq or another national securities exchange; the availability of financing; general economic, financial, political, and business conditions; inflation, interest rates, foreign exchange fluctuations, and geopolitical developments; cybersecurity incidents; intellectual property risks; litigation risks; competition; technological changes; the ability of Sports One to successfully develop and commercialize its sports intelligence business, or to acquire and integrate minority interests in major sports franchises; the ability to realize anticipated synergies or benefits from acquisitions, strategic investments, or asset contributions; the ability to achieve projected growth objectives, valuation targets, operational milestones, or market opportunities; the future adoption, commercialization, and market acceptance of a sports intelligence business; and other risks and uncertainties that may be identified in any past or future filings made by the parties with the SEC in connection with the proposed transaction. Any references in this press release to anticipated enterprise values, future valuation objectives, acquisition opportunities, strategic growth initiatives, market opportunities, expected benefits, or long-term business prospects are based on preliminary assumptions and management expectations that are inherently uncertain and subject to significant business, economic, competitive, regulatory, financing, and market risks. No assurance can be given that any acquisition, strategic initiative, growth objective, valuation target, expected benefit, or business plan described in this press release will be achieved. The proposed transaction is currently subject to a non-binding Letter of Intent. There can be no assurance that definitive agreements will be entered into, that the parties will successfully complete their due diligence, that any proposed asset contributions will be approved or consummated, or that the proposed transaction will be completed on the terms currently contemplated, within the anticipated timeframe, or at all. Readers are cautioned not to place undue reliance on forward-looking statements, which speak only as of the date of this press release. Sports One and the Company expressly disclaim any obligation or undertaking to update, revise, or publicly release any revisions to any forward-looking statements, whether as a result of new information, future events, changed circumstances, or otherwise, except as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120" w:after="12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Georgia;Times;Serif" w:hAnsi="Georgia;Times;Serif"/>
          <w:b/>
          <w:i w:val="false"/>
          <w:caps/>
          <w:sz w:val="20"/>
        </w:rPr>
      </w:pPr>
      <w:r>
        <w:rPr>
          <w:rFonts w:ascii="Georgia;Times;Serif" w:hAnsi="Georgia;Times;Serif"/>
          <w:b/>
          <w:i w:val="false"/>
          <w:caps/>
          <w:sz w:val="20"/>
        </w:rPr>
        <w:t>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Georgia;Times;Serif" w:hAnsi="Georgia;Times;Serif"/>
          <w:b w:val="false"/>
          <w:i w:val="false"/>
          <w:caps w:val="false"/>
          <w:smallCaps w:val="false"/>
          <w:sz w:val="20"/>
        </w:rPr>
      </w:pPr>
      <w:r>
        <w:rPr>
          <w:rFonts w:ascii="Georgia;Times;Serif" w:hAnsi="Georgia;Times;Serif"/>
          <w:b w:val="false"/>
          <w:i w:val="false"/>
          <w:caps w:val="false"/>
          <w:smallCaps w:val="false"/>
          <w:sz w:val="20"/>
        </w:rPr>
        <w:t>If a definitive agreement is entered into in connection with the proposed business combination, the Company and Sports One will prepare a proxy statement/prospectus (the “proxy statement/prospectus”) to be filed with the United States Securities and Exchange Commission (the “SEC”) and mailed to the Company's shareholders. The Company and Sports One urge investors and other interested persons to read, when available, the proxy statement/prospectus, as well as other documents filed with the SEC, because these documents will contain important information about the proposed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Georgia;Times;Serif" w:hAnsi="Georgia;Times;Serif"/>
          <w:b w:val="false"/>
          <w:i w:val="false"/>
          <w:caps w:val="false"/>
          <w:smallCaps w:val="false"/>
          <w:sz w:val="20"/>
        </w:rPr>
      </w:pPr>
      <w:r>
        <w:rPr>
          <w:rFonts w:ascii="Georgia;Times;Serif" w:hAnsi="Georgia;Times;Serif"/>
          <w:b w:val="false"/>
          <w:i w:val="false"/>
          <w:caps w:val="false"/>
          <w:smallCaps w:val="false"/>
          <w:sz w:val="20"/>
        </w:rPr>
        <w:t>Such persons can also read the Company's Annual Report on Form 10-K for the fiscal year ended December 31, 2025 (the “Annual Report”), for a description of the security holdings of its officers and directors and their respective interests as security holders in the consummation of the transactions described in this press release. The proxy statement/prospectus, once available, and the Annual Report can be obtained, without charge, at the SEC's website (www.sec.gov).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Georgia;Times;Serif" w:hAnsi="Georgia;Times;Serif"/>
          <w:b/>
          <w:i w:val="false"/>
          <w:caps/>
          <w:sz w:val="20"/>
        </w:rPr>
      </w:pPr>
      <w:r>
        <w:rPr>
          <w:rFonts w:ascii="Georgia;Times;Serif" w:hAnsi="Georgia;Times;Serif"/>
          <w:b/>
          <w:i w:val="false"/>
          <w:caps/>
          <w:sz w:val="20"/>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Georgia;Times;Serif" w:hAnsi="Georgia;Times;Serif"/>
          <w:b w:val="false"/>
          <w:i w:val="false"/>
          <w:caps w:val="false"/>
          <w:smallCaps w:val="false"/>
          <w:sz w:val="20"/>
        </w:rPr>
      </w:pPr>
      <w:r>
        <w:rPr>
          <w:rFonts w:ascii="Georgia;Times;Serif" w:hAnsi="Georgia;Times;Serif"/>
          <w:b w:val="false"/>
          <w:i w:val="false"/>
          <w:caps w:val="false"/>
          <w:smallCaps w:val="false"/>
          <w:sz w:val="20"/>
        </w:rPr>
        <w:t>The Company and Sports One, and their respective directors, executive officers, and certain other members of management and employees may be deemed participants in any solicitation of proxies from the Company's shareholders in connection with the proposed transaction. Information regarding the Company's directors and executive officers is contained in the Company's filings with the SEC. Additional information regarding the interests of such participants in the proposed transaction, which may, in some cases, be different than those of the Company's and Sports One's equity holders generally, will be included in any proxy statement, registration statement, prospectus, or other relevant documents filed with the SEC if and when such documents become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120" w:after="12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Georgia;Times;Serif" w:hAnsi="Georgia;Times;Serif"/>
          <w:b/>
          <w:i w:val="false"/>
          <w:caps/>
          <w:sz w:val="20"/>
        </w:rPr>
      </w:pPr>
      <w:r>
        <w:rPr>
          <w:rFonts w:ascii="Georgia;Times;Serif" w:hAnsi="Georgia;Times;Serif"/>
          <w:b/>
          <w:i w:val="false"/>
          <w:caps/>
          <w:sz w:val="20"/>
        </w:rPr>
        <w:t>No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Georgia;Times;Serif" w:hAnsi="Georgia;Times;Serif"/>
          <w:b w:val="false"/>
          <w:i w:val="false"/>
          <w:caps w:val="false"/>
          <w:smallCaps w:val="false"/>
          <w:sz w:val="20"/>
        </w:rPr>
      </w:pPr>
      <w:r>
        <w:rPr>
          <w:rFonts w:ascii="Georgia;Times;Serif" w:hAnsi="Georgia;Times;Serif"/>
          <w:b w:val="false"/>
          <w:i w:val="false"/>
          <w:caps w:val="false"/>
          <w:smallCaps w:val="false"/>
          <w:sz w:val="20"/>
        </w:rPr>
        <w:t>This press release shall not constitute a solicitation of a proxy, consent or authorization with respect to any securities or in respect of the proposed business combination. No proxy solicitation will be made except pursuant to a proxy statement/prospectus filed with the SEC and mailed to the Company's shareholders in accordance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Georgia;Times;Serif" w:hAnsi="Georgia;Times;Serif"/>
          <w:b/>
          <w:i w:val="false"/>
          <w:caps/>
          <w:sz w:val="20"/>
        </w:rPr>
      </w:pPr>
      <w:r>
        <w:rPr>
          <w:rFonts w:ascii="Georgia;Times;Serif" w:hAnsi="Georgia;Times;Serif"/>
          <w:b/>
          <w:i w:val="false"/>
          <w:caps/>
          <w:sz w:val="20"/>
        </w:rPr>
        <w:t>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Georgia;Times;Serif" w:hAnsi="Georgia;Times;Serif"/>
          <w:b w:val="false"/>
          <w:i w:val="false"/>
          <w:caps w:val="false"/>
          <w:smallCaps w:val="false"/>
          <w:sz w:val="20"/>
        </w:rPr>
      </w:pPr>
      <w:r>
        <w:rPr>
          <w:rFonts w:ascii="Georgia;Times;Serif" w:hAnsi="Georgia;Times;Serif"/>
          <w:b/>
          <w:i w:val="false"/>
          <w:caps w:val="false"/>
          <w:smallCaps w:val="false"/>
          <w:sz w:val="20"/>
        </w:rPr>
        <w:t xml:space="preserve">Press: </w:t>
      </w:r>
      <w:r>
        <w:rPr>
          <w:rFonts w:ascii="Georgia;Times;Serif" w:hAnsi="Georgia;Times;Serif"/>
          <w:b w:val="false"/>
          <w:i w:val="false"/>
          <w:caps w:val="false"/>
          <w:smallCaps w:val="false"/>
          <w:sz w:val="20"/>
        </w:rPr>
        <w:t>press@sonogroupnv.com | ir.sonomotors.com/news-events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Georgia;Times;Serif" w:hAnsi="Georgia;Times;Serif"/>
          <w:b w:val="false"/>
          <w:i w:val="false"/>
          <w:caps w:val="false"/>
          <w:smallCaps w:val="false"/>
          <w:sz w:val="20"/>
        </w:rPr>
      </w:pPr>
      <w:r>
        <w:rPr>
          <w:rFonts w:ascii="Georgia;Times;Serif" w:hAnsi="Georgia;Times;Serif"/>
          <w:b/>
          <w:i w:val="false"/>
          <w:caps w:val="false"/>
          <w:smallCaps w:val="false"/>
          <w:sz w:val="20"/>
        </w:rPr>
        <w:t xml:space="preserve">Investors: </w:t>
      </w:r>
      <w:r>
        <w:rPr>
          <w:rFonts w:ascii="Georgia;Times;Serif" w:hAnsi="Georgia;Times;Serif"/>
          <w:b w:val="false"/>
          <w:i w:val="false"/>
          <w:caps w:val="false"/>
          <w:smallCaps w:val="false"/>
          <w:sz w:val="20"/>
        </w:rPr>
        <w:t>ir@sonogroupnv.com | ir.sonomotors.com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Georgia;Times;Serif" w:hAnsi="Georgia;Times;Serif"/>
          <w:b w:val="false"/>
          <w:i w:val="false"/>
          <w:caps w:val="false"/>
          <w:smallCaps w:val="false"/>
          <w:sz w:val="20"/>
        </w:rPr>
      </w:pPr>
      <w:r>
        <w:rPr>
          <w:rFonts w:ascii="Georgia;Times;Serif" w:hAnsi="Georgia;Times;Serif"/>
          <w:b/>
          <w:i w:val="false"/>
          <w:caps w:val="false"/>
          <w:smallCaps w:val="false"/>
          <w:sz w:val="20"/>
        </w:rPr>
        <w:t xml:space="preserve">LinkedIn: </w:t>
      </w:r>
      <w:r>
        <w:rPr>
          <w:rFonts w:ascii="Georgia;Times;Serif" w:hAnsi="Georgia;Times;Serif"/>
          <w:b w:val="false"/>
          <w:i w:val="false"/>
          <w:caps w:val="false"/>
          <w:smallCaps w:val="false"/>
          <w:sz w:val="20"/>
        </w:rPr>
        <w:t>linkedin.com/company/sonogroupnv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60" w:after="60"/>
        <w:ind w:left="60" w:right="60" w:hanging="0"/>
        <w:jc w:val="left"/>
        <w:rPr>
          <w:bdr w:val="single" w:sz="24" w:space="1" w:color="000000"/>
        </w:rPr>
      </w:pPr>
      <w:r>
        <w:rPr>
          <w:bdr w:val="single" w:sz="24"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alibri">
    <w:altName w:val="Helvetica"/>
    <w:charset w:val="01"/>
    <w:family w:val="auto"/>
    <w:pitch w:val="default"/>
  </w:font>
  <w:font w:name="Georgia">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41</Pages>
  <Words>22833</Words>
  <Characters>126555</Characters>
  <CharactersWithSpaces>149567</CharactersWithSpaces>
  <Paragraphs>1180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