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Washington, D.C. 20549</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333333"/>
        </w:rPr>
        <w:t>FORM 8-K</w:t>
      </w:r>
    </w:p>
    <w:p>
      <w:pPr>
        <w:spacing w:after="0" w:line="4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Date of Report (Date of earliest event reported): May 26, 2025</w:t>
      </w:r>
    </w:p>
    <w:p>
      <w:pPr>
        <w:spacing w:after="0" w:line="22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333333"/>
        </w:rPr>
        <w:t>Sono Group N.V.</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333333"/>
        </w:rPr>
        <w:t>(Exact name of registrant as specified in its charter)</w:t>
      </w:r>
    </w:p>
    <w:p>
      <w:pPr>
        <w:spacing w:after="0" w:line="20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ectPr>
          <w:pgSz w:w="11900" w:h="16838" w:orient="portrait"/>
          <w:cols w:equalWidth="0" w:num="1">
            <w:col w:w="11240"/>
          </w:cols>
          <w:pgMar w:left="320" w:top="200" w:right="339"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220"/>
        <w:spacing w:after="0"/>
        <w:rPr>
          <w:sz w:val="20"/>
          <w:szCs w:val="20"/>
          <w:color w:val="auto"/>
        </w:rPr>
      </w:pPr>
      <w:r>
        <w:rPr>
          <w:rFonts w:ascii="Times New Roman" w:cs="Times New Roman" w:eastAsia="Times New Roman" w:hAnsi="Times New Roman"/>
          <w:sz w:val="18"/>
          <w:szCs w:val="18"/>
          <w:b w:val="1"/>
          <w:bCs w:val="1"/>
          <w:color w:val="auto"/>
        </w:rPr>
        <w:t>The Netherlands</w:t>
      </w:r>
    </w:p>
    <w:p>
      <w:pPr>
        <w:spacing w:after="0" w:line="3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8"/>
          <w:szCs w:val="18"/>
          <w:color w:val="auto"/>
        </w:rPr>
        <w:t>(State or other jurisdiction</w:t>
      </w:r>
    </w:p>
    <w:p>
      <w:pPr>
        <w:spacing w:after="0" w:line="9"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b w:val="1"/>
          <w:bCs w:val="1"/>
          <w:color w:val="auto"/>
        </w:rPr>
        <w:t>001-41066</w:t>
      </w:r>
    </w:p>
    <w:p>
      <w:pPr>
        <w:spacing w:after="0" w:line="31"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98-1828632</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200" w:right="339" w:bottom="1440" w:gutter="0" w:footer="0" w:header="0"/>
          <w:type w:val="continuous"/>
        </w:sectPr>
      </w:pPr>
    </w:p>
    <w:p>
      <w:pPr>
        <w:spacing w:after="0" w:line="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b w:val="1"/>
          <w:bCs w:val="1"/>
          <w:color w:val="auto"/>
        </w:rPr>
        <w:t>Waldmeisterstrasse 93, Munich, Germany</w:t>
      </w:r>
    </w:p>
    <w:p>
      <w:pPr>
        <w:spacing w:after="0" w:line="4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80935</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20" w:space="720"/>
            <w:col w:w="3200"/>
          </w:cols>
          <w:pgMar w:left="320" w:top="200" w:right="339" w:bottom="1440" w:gutter="0" w:footer="0" w:header="0"/>
          <w:type w:val="continuous"/>
        </w:sect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333333"/>
        </w:rPr>
        <w:t>+49 (0)89 4520 5818</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333333"/>
        </w:rPr>
        <w:t>(Registrant's telephone number, including area code)</w:t>
      </w:r>
    </w:p>
    <w:p>
      <w:pPr>
        <w:sectPr>
          <w:pgSz w:w="11900" w:h="16838" w:orient="portrait"/>
          <w:cols w:equalWidth="0" w:num="1">
            <w:col w:w="11240"/>
          </w:cols>
          <w:pgMar w:left="320" w:top="200" w:right="339" w:bottom="1440" w:gutter="0" w:footer="0" w:header="0"/>
          <w:type w:val="continuous"/>
        </w:sectPr>
      </w:pPr>
    </w:p>
    <w:p>
      <w:pPr>
        <w:spacing w:after="0" w:line="214"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29"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333333"/>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Written communications pursuant to Rule 425 under the Securities Act (17 CFR 230.425)</w:t>
      </w:r>
    </w:p>
    <w:p>
      <w:pPr>
        <w:spacing w:after="0" w:line="225" w:lineRule="exact"/>
        <w:rPr>
          <w:rFonts w:ascii="MS PGothic" w:cs="MS PGothic" w:eastAsia="MS PGothic" w:hAnsi="MS PGothic"/>
          <w:sz w:val="18"/>
          <w:szCs w:val="18"/>
          <w:color w:val="333333"/>
        </w:rPr>
      </w:pPr>
    </w:p>
    <w:p>
      <w:pPr>
        <w:ind w:left="660" w:hanging="652"/>
        <w:spacing w:after="0"/>
        <w:tabs>
          <w:tab w:leader="none" w:pos="66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Soliciting material pursuant to Rule 14a-12 under the Exchange Act (17 CFR 240.14a-12)</w:t>
      </w:r>
    </w:p>
    <w:p>
      <w:pPr>
        <w:spacing w:after="0" w:line="225" w:lineRule="exact"/>
        <w:rPr>
          <w:rFonts w:ascii="MS PGothic" w:cs="MS PGothic" w:eastAsia="MS PGothic" w:hAnsi="MS PGothic"/>
          <w:sz w:val="18"/>
          <w:szCs w:val="18"/>
          <w:color w:val="333333"/>
        </w:rPr>
      </w:pPr>
    </w:p>
    <w:p>
      <w:pPr>
        <w:ind w:left="660" w:hanging="652"/>
        <w:spacing w:after="0"/>
        <w:tabs>
          <w:tab w:leader="none" w:pos="660"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14d-2(b) under the Exchange Act (17 CFR 240.14d-2(b))</w:t>
      </w:r>
    </w:p>
    <w:p>
      <w:pPr>
        <w:spacing w:after="0" w:line="225" w:lineRule="exact"/>
        <w:rPr>
          <w:rFonts w:ascii="MS PGothic" w:cs="MS PGothic" w:eastAsia="MS PGothic" w:hAnsi="MS PGothic"/>
          <w:sz w:val="18"/>
          <w:szCs w:val="18"/>
          <w:color w:val="333333"/>
        </w:rPr>
      </w:pPr>
    </w:p>
    <w:p>
      <w:pPr>
        <w:ind w:right="2540" w:firstLine="8"/>
        <w:spacing w:after="0" w:line="511" w:lineRule="auto"/>
        <w:tabs>
          <w:tab w:leader="none" w:pos="648" w:val="left"/>
        </w:tabs>
        <w:numPr>
          <w:ilvl w:val="0"/>
          <w:numId w:val="1"/>
        </w:numPr>
        <w:rPr>
          <w:rFonts w:ascii="MS PGothic" w:cs="MS PGothic" w:eastAsia="MS PGothic" w:hAnsi="MS PGothic"/>
          <w:sz w:val="18"/>
          <w:szCs w:val="18"/>
          <w:color w:val="333333"/>
        </w:rPr>
      </w:pPr>
      <w:r>
        <w:rPr>
          <w:rFonts w:ascii="Times New Roman" w:cs="Times New Roman" w:eastAsia="Times New Roman" w:hAnsi="Times New Roman"/>
          <w:sz w:val="18"/>
          <w:szCs w:val="18"/>
          <w:color w:val="333333"/>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10"/>
        </w:trPr>
        <w:tc>
          <w:tcPr>
            <w:tcW w:w="31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Title of each class</w:t>
            </w:r>
          </w:p>
        </w:tc>
        <w:tc>
          <w:tcPr>
            <w:tcW w:w="31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Trading Symbol(s)</w:t>
            </w:r>
          </w:p>
        </w:tc>
        <w:tc>
          <w:tcPr>
            <w:tcW w:w="49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Name of each exchange on which registered</w:t>
            </w:r>
          </w:p>
        </w:tc>
      </w:tr>
      <w:tr>
        <w:trPr>
          <w:trHeight w:val="209"/>
        </w:trPr>
        <w:tc>
          <w:tcPr>
            <w:tcW w:w="31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333333"/>
              </w:rPr>
              <w:t>Not Applicable</w:t>
            </w:r>
          </w:p>
        </w:tc>
        <w:tc>
          <w:tcPr>
            <w:tcW w:w="31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c>
          <w:tcPr>
            <w:tcW w:w="4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333333"/>
              </w:rPr>
              <w:t>Not Applicable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333333"/>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333333"/>
        </w:rPr>
        <w:t xml:space="preserve">Emerging growth company </w:t>
      </w:r>
      <w:r>
        <w:rPr>
          <w:rFonts w:ascii="MS PGothic" w:cs="MS PGothic" w:eastAsia="MS PGothic" w:hAnsi="MS PGothic"/>
          <w:sz w:val="17"/>
          <w:szCs w:val="17"/>
          <w:color w:val="333333"/>
        </w:rPr>
        <w:t>☒</w:t>
      </w:r>
    </w:p>
    <w:p>
      <w:pPr>
        <w:spacing w:after="0" w:line="277"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333333"/>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0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1.01.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Item 3.02 below is incorporated by reference into this Item 2.03.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previously disclosed, Sono Group N.V. (the “Company”) and YA II PN, Ltd. (“Yorkville”), entered into (i) a securities purchase agreement, dated December 30, 2024 (as amended, the “Securities Purchase Agreement”), pursuant to which the Company agreed to sell and issue to Yorkville a new convertible debenture (the “Debenture”) in the aggregate principal amount of $5,000,000 and (ii) an exchange agreement, dated December 30, 2024 (as amended, the “Exchange Agreement”), pursuant to which the Company agreed to issue shares of preferred stock of the Company to Yorkville in exchange for the surrender and cancellation of all of the debentures held by Yorkville. The obligations of the parties under the Securities Purchase Agreement and the Exchange Agreement are subject to certain conditions and limitations, including the Company’s receipt of notice from Nasdaq that the Company has met all the applicable requirements for listing of the Company’s ordinary shares (the “Ordinary Shares”) on the Nasdaq Capital Market. The Company and Yorkville subsequently entered into four Omnibus Amendments to Transaction Documents, respectively dated February 12, 2025 (the “First Omnibus Amendment”), March 7, 2025 (the “Second Omnibus Amendment”), March 25, 2025 (the “Third Omnibus Amendment”) and April 24, 2025 (the “Fourth Omnibus Amendment”), pursuant to which the Company and Yorkville agreed to modify certain terms of the Securities Purchase Agreement and the Exchange Agreement.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May 26, 2025, the Company and Yorkville entered into a fifth Omnibus Amendment to Transaction Documents (the “New Omnibus Amendment”),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which the parties agreed to modify the terms of the Securities Purchase Agreement to, among other things, provide for an immediate advance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Yorkville to the Company of $750,000 in the form of a secured convertible debenture in the aggregate principal amount of $750,000 (the “Fourth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Debenture”). As previously disclosed, a prior advance of $1,000,000 was funded on February 12, 2025 in connection with the First Omnibus Amendment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form of a secured convertible debenture in the aggregate principal amount of $1,000,000 (the “First Debenture”), a second advance was funded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25, 2025 in connection with the Third Omnibus Amendment in the form of a secured convertible debenture in the aggregate principal amount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(the “Second Debenture”) and a third advance was funded on April 24, 2025 in connection with the Fourth Omnibus Amendment in the form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secured convertible debenture in the aggregate principal amount of $500,000 (the “Third Debenture” and together with the First Debenture, the Second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Debenture and the Fourth Debenture, the “Advance Debentures”). As a result of the issuance of the Advance Debentures, and pursuant to the New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Omnibus Amendment, the Debenture to be issued to Yorkville, upon the satisfaction of all of the conditions set forth in the Securities Purchase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have an aggregate principal amount of $1,750,000. Under the terms of the New Omnibus Amendment, Debenture 6 (as defined in the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will collectively consist of the Debenture and the Advance Debentures for purposes of the transactions contemplated by the 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Fourth Debenture will mature on May 27, 2026, which maturity date may be extended at the option of Yorkville. Further, interest accrues on the outstanding principal balance of the Fourth Debenture at an annual rate of 12%, which will increase to an annual rate of 18% upon an Event of Default (as defined in the Third Debenture) for so long as such Event of Default remains uncured. Yorkville will have the right to convert the Third Debenture into Ordinary Shares of the Company at the lower of (i) a price per Ordinary Share equal to $18.75 or (ii) 85% of the lowest daily volume weighted average price of the Ordinary Shares during the seven consecutive trading days immediately preceding the conversion date or other date of determination (the “Variable Conversion Date”); provided that the Variable Conversion Date may not be lower than the Floor Price (as defined in the Third Debenture) then in effect or the nominal value of one Ordinary Share. Net proceeds to the Company from the Fourth Debenture were $750,000.</w:t>
      </w:r>
    </w:p>
    <w:p>
      <w:pPr>
        <w:spacing w:after="0" w:line="18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Fourth Debenture and New Omnibus Amendment does not purport to be complete and is qualified in its entirety by the terms of the Fourth Debenture and New Omnibus Amendment, which are attached hereto as Exhibits 10.1 and 10.2, respectively, and are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 The following exhibits are filed with this Form 8-K:</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760" w:type="dxa"/>
            <w:vAlign w:val="bottom"/>
          </w:tcPr>
          <w:p>
            <w:pPr>
              <w:spacing w:after="0"/>
              <w:rPr>
                <w:sz w:val="18"/>
                <w:szCs w:val="18"/>
                <w:color w:val="auto"/>
              </w:rPr>
            </w:pPr>
          </w:p>
        </w:tc>
        <w:tc>
          <w:tcPr>
            <w:tcW w:w="1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Description of Exhibit</w:t>
            </w:r>
          </w:p>
        </w:tc>
        <w:tc>
          <w:tcPr>
            <w:tcW w:w="8320" w:type="dxa"/>
            <w:vAlign w:val="bottom"/>
            <w:gridSpan w:val="3"/>
          </w:tcPr>
          <w:p>
            <w:pPr>
              <w:spacing w:after="0"/>
              <w:rPr>
                <w:sz w:val="18"/>
                <w:szCs w:val="18"/>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Secured Convertible Debenture dated May 27, 2025</w:t>
            </w:r>
          </w:p>
        </w:tc>
        <w:tc>
          <w:tcPr>
            <w:tcW w:w="6180" w:type="dxa"/>
            <w:vAlign w:val="bottom"/>
            <w:gridSpan w:val="2"/>
          </w:tcPr>
          <w:p>
            <w:pPr>
              <w:spacing w:after="0"/>
              <w:rPr>
                <w:sz w:val="17"/>
                <w:szCs w:val="17"/>
                <w:color w:val="auto"/>
              </w:rPr>
            </w:pPr>
          </w:p>
        </w:tc>
      </w:tr>
      <w:tr>
        <w:trPr>
          <w:trHeight w:val="196"/>
        </w:trPr>
        <w:tc>
          <w:tcPr>
            <w:tcW w:w="3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2</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02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Omnibus Amendment to Transaction Documents dated May 26, 2025</w:t>
            </w:r>
          </w:p>
        </w:tc>
        <w:tc>
          <w:tcPr>
            <w:tcW w:w="4920" w:type="dxa"/>
            <w:vAlign w:val="bottom"/>
          </w:tcPr>
          <w:p>
            <w:pPr>
              <w:spacing w:after="0"/>
              <w:rPr>
                <w:sz w:val="17"/>
                <w:szCs w:val="17"/>
                <w:color w:val="auto"/>
              </w:rPr>
            </w:pPr>
          </w:p>
        </w:tc>
      </w:tr>
      <w:tr>
        <w:trPr>
          <w:trHeight w:val="236"/>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9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215"/>
        </w:trPr>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92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760" w:type="dxa"/>
            <w:vAlign w:val="bottom"/>
            <w:shd w:val="clear" w:color="auto" w:fill="000000"/>
          </w:tcPr>
          <w:p>
            <w:pPr>
              <w:spacing w:after="0"/>
              <w:rPr>
                <w:sz w:val="5"/>
                <w:szCs w:val="5"/>
                <w:color w:val="auto"/>
              </w:rPr>
            </w:pPr>
          </w:p>
        </w:tc>
        <w:tc>
          <w:tcPr>
            <w:tcW w:w="1620" w:type="dxa"/>
            <w:vAlign w:val="bottom"/>
            <w:shd w:val="clear" w:color="auto" w:fill="000000"/>
          </w:tcPr>
          <w:p>
            <w:pPr>
              <w:spacing w:after="0"/>
              <w:rPr>
                <w:sz w:val="5"/>
                <w:szCs w:val="5"/>
                <w:color w:val="auto"/>
              </w:rPr>
            </w:pPr>
          </w:p>
        </w:tc>
        <w:tc>
          <w:tcPr>
            <w:tcW w:w="2140" w:type="dxa"/>
            <w:vAlign w:val="bottom"/>
            <w:shd w:val="clear" w:color="auto" w:fill="000000"/>
          </w:tcPr>
          <w:p>
            <w:pPr>
              <w:spacing w:after="0"/>
              <w:rPr>
                <w:sz w:val="5"/>
                <w:szCs w:val="5"/>
                <w:color w:val="auto"/>
              </w:rPr>
            </w:pPr>
          </w:p>
        </w:tc>
        <w:tc>
          <w:tcPr>
            <w:tcW w:w="1260" w:type="dxa"/>
            <w:vAlign w:val="bottom"/>
            <w:shd w:val="clear" w:color="auto" w:fill="000000"/>
          </w:tcPr>
          <w:p>
            <w:pPr>
              <w:spacing w:after="0"/>
              <w:rPr>
                <w:sz w:val="5"/>
                <w:szCs w:val="5"/>
                <w:color w:val="auto"/>
              </w:rPr>
            </w:pPr>
          </w:p>
        </w:tc>
        <w:tc>
          <w:tcPr>
            <w:tcW w:w="49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4" w:lineRule="exact"/>
        <w:rPr>
          <w:sz w:val="20"/>
          <w:szCs w:val="20"/>
          <w:color w:val="auto"/>
        </w:rPr>
      </w:pPr>
    </w:p>
    <w:tbl>
      <w:tblPr>
        <w:tblLayout w:type="fixed"/>
        <w:tblInd w:w="5640" w:type="dxa"/>
        <w:tblCellMar>
          <w:top w:w="0" w:type="dxa"/>
          <w:left w:w="0" w:type="dxa"/>
          <w:bottom w:w="0" w:type="dxa"/>
          <w:right w:w="0" w:type="dxa"/>
        </w:tblCellMar>
      </w:tblPr>
      <w:tr>
        <w:trPr>
          <w:trHeight w:val="23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4120" w:type="dxa"/>
            <w:vAlign w:val="bottom"/>
          </w:tcPr>
          <w:p>
            <w:pPr>
              <w:spacing w:after="0"/>
              <w:rPr>
                <w:sz w:val="20"/>
                <w:szCs w:val="20"/>
                <w:color w:val="auto"/>
              </w:rPr>
            </w:pPr>
          </w:p>
        </w:tc>
      </w:tr>
      <w:tr>
        <w:trPr>
          <w:trHeight w:val="648"/>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1"/>
        </w:trPr>
        <w:tc>
          <w:tcPr>
            <w:tcW w:w="560" w:type="dxa"/>
            <w:vAlign w:val="bottom"/>
          </w:tcPr>
          <w:p>
            <w:pPr>
              <w:spacing w:after="0"/>
              <w:rPr>
                <w:sz w:val="16"/>
                <w:szCs w:val="16"/>
                <w:color w:val="auto"/>
              </w:rPr>
            </w:pPr>
          </w:p>
        </w:tc>
        <w:tc>
          <w:tcPr>
            <w:tcW w:w="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20" w:type="dxa"/>
            <w:vAlign w:val="bottom"/>
          </w:tcPr>
          <w:p>
            <w:pPr>
              <w:ind w:left="200"/>
              <w:spacing w:after="0" w:line="191"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56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27, 2025</w:t>
      </w:r>
    </w:p>
    <w:p>
      <w:pPr>
        <w:sectPr>
          <w:pgSz w:w="11900" w:h="16838" w:orient="portrait"/>
          <w:cols w:equalWidth="0" w:num="1">
            <w:col w:w="11240"/>
          </w:cols>
          <w:pgMar w:left="320" w:top="576"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NEITHER THIS SECURED DEBENTURE NOR THE SECURITIES INTO WHICH THIS DEBENTURE IS CONVERTIBLE HAVE BEEN REGISTERED WITH THE SECURITIES AND EXCHANGE COMMISSION OR THE SECURITIES COMMISSION OF ANY STATE. THESE SECURITIES HAVE BEEN SOLD IN RELIANCE UPON AN EXEMPTION FROM REGISTRATION UNDER THE SECURITIES ACT OF 1933, AS AMENDED (THE “</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b w:val="1"/>
          <w:bCs w:val="1"/>
          <w:color w:val="auto"/>
        </w:rPr>
        <w: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sono group 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v</w:t>
      </w:r>
      <w:r>
        <w:rPr>
          <w:rFonts w:ascii="Times New Roman" w:cs="Times New Roman" w:eastAsia="Times New Roman" w:hAnsi="Times New Roman"/>
          <w:sz w:val="17"/>
          <w:szCs w:val="17"/>
          <w:b w:val="1"/>
          <w:bCs w:val="1"/>
          <w:color w:val="auto"/>
        </w:rPr>
        <w: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ecured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onvertible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ebenture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Amount: USD 750,000</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Issuance Date: May 27,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Debenture Number: SEV-6d</w:t>
      </w: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b w:val="1"/>
          <w:bCs w:val="1"/>
          <w:color w:val="auto"/>
        </w:rPr>
        <w:t>FOR VALUE RECEIVED, SONO GROUP N.V.</w:t>
      </w:r>
      <w:r>
        <w:rPr>
          <w:rFonts w:ascii="Times New Roman" w:cs="Times New Roman" w:eastAsia="Times New Roman" w:hAnsi="Times New Roman"/>
          <w:sz w:val="18"/>
          <w:szCs w:val="18"/>
          <w:color w:val="auto"/>
        </w:rPr>
        <w:t>,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promises to pay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to the order of </w:t>
      </w:r>
      <w:r>
        <w:rPr>
          <w:rFonts w:ascii="Times New Roman" w:cs="Times New Roman" w:eastAsia="Times New Roman" w:hAnsi="Times New Roman"/>
          <w:sz w:val="18"/>
          <w:szCs w:val="18"/>
          <w:b w:val="1"/>
          <w:bCs w:val="1"/>
          <w:color w:val="auto"/>
        </w:rPr>
        <w:t>YA II PN, Ltd.</w:t>
      </w:r>
      <w:r>
        <w:rPr>
          <w:rFonts w:ascii="Times New Roman" w:cs="Times New Roman" w:eastAsia="Times New Roman" w:hAnsi="Times New Roman"/>
          <w:sz w:val="18"/>
          <w:szCs w:val="18"/>
          <w:color w:val="auto"/>
        </w:rPr>
        <w:t>, or its registered assigns (the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the amount set out above as the principal amount (as reduced or increased pursuant to the terms hereof pursuant to redemption, conversion or otherwise, the “</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when due, whether upon the Maturity Date (as defined below), acceleration, redemption or otherwise (in each case in accordance with the terms hereof) and to pay interest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on any outstanding Principal at the applicable Interest Rate from the date set out above as the Debenture Issuance Date (the “</w:t>
      </w:r>
      <w:r>
        <w:rPr>
          <w:rFonts w:ascii="Times New Roman" w:cs="Times New Roman" w:eastAsia="Times New Roman" w:hAnsi="Times New Roman"/>
          <w:sz w:val="18"/>
          <w:szCs w:val="18"/>
          <w:u w:val="single" w:color="auto"/>
          <w:color w:val="auto"/>
        </w:rPr>
        <w:t>Issuance Date</w:t>
      </w:r>
      <w:r>
        <w:rPr>
          <w:rFonts w:ascii="Times New Roman" w:cs="Times New Roman" w:eastAsia="Times New Roman" w:hAnsi="Times New Roman"/>
          <w:sz w:val="18"/>
          <w:szCs w:val="18"/>
          <w:color w:val="auto"/>
        </w:rPr>
        <w:t>”) until the same becomes due and payable, whether upon the Maturity Date or acceleration, conversion, redemption or otherwise (in each case in accordance with the terms hereof). This Secured Convertible Debenture (including all debentures issued in exchange, transfer or replacement hereof, this “</w:t>
      </w:r>
      <w:r>
        <w:rPr>
          <w:rFonts w:ascii="Times New Roman" w:cs="Times New Roman" w:eastAsia="Times New Roman" w:hAnsi="Times New Roman"/>
          <w:sz w:val="18"/>
          <w:szCs w:val="18"/>
          <w:u w:val="single" w:color="auto"/>
          <w:color w:val="auto"/>
        </w:rPr>
        <w:t>Debenture</w:t>
      </w:r>
      <w:r>
        <w:rPr>
          <w:rFonts w:ascii="Times New Roman" w:cs="Times New Roman" w:eastAsia="Times New Roman" w:hAnsi="Times New Roman"/>
          <w:sz w:val="18"/>
          <w:szCs w:val="18"/>
          <w:color w:val="auto"/>
        </w:rPr>
        <w:t>”) was originally issued pursuant to the Securities Purchase Agreement dated as of December 30, 2024, as it may be amended from time to time (the “</w:t>
      </w:r>
      <w:r>
        <w:rPr>
          <w:rFonts w:ascii="Times New Roman" w:cs="Times New Roman" w:eastAsia="Times New Roman" w:hAnsi="Times New Roman"/>
          <w:sz w:val="18"/>
          <w:szCs w:val="18"/>
          <w:u w:val="single" w:color="auto"/>
          <w:color w:val="auto"/>
        </w:rPr>
        <w:t>Securities Purchase Agreement</w:t>
      </w:r>
      <w:r>
        <w:rPr>
          <w:rFonts w:ascii="Times New Roman" w:cs="Times New Roman" w:eastAsia="Times New Roman" w:hAnsi="Times New Roman"/>
          <w:sz w:val="18"/>
          <w:szCs w:val="18"/>
          <w:color w:val="auto"/>
        </w:rPr>
        <w:t>”) between the Company and the Holder. All Obligations owed by the Company to the Holder under this Debenture and each other Transaction Document are guaranteed by the Guarantors pursuant to the Guaranty and secured by the Company and the Guarantors pursuant to the Security Documents. Certain capitalized terms used herein are defined in Section 14.</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GENERAL TERMS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Maturity Date</w:t>
      </w:r>
      <w:r>
        <w:rPr>
          <w:rFonts w:ascii="Times New Roman" w:cs="Times New Roman" w:eastAsia="Times New Roman" w:hAnsi="Times New Roman"/>
          <w:sz w:val="18"/>
          <w:szCs w:val="18"/>
          <w:color w:val="auto"/>
        </w:rPr>
        <w:t>. On the Maturity Date, the Company shall pay to the Holder an amount in cash representing all outstanding Principal, accrued and unpaid Interest, and any other amounts outstanding pursuant to the terms of this Debenture. The “</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shall be May 27, 2026, as may be extended at the option of the Holder. Other than as specifically permitted by this Debenture, the Company may not prepay or redeem any portion of the outstanding Principal and accrued and unpaid Interest</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Interest Rate and Payment of Interest</w:t>
      </w:r>
      <w:r>
        <w:rPr>
          <w:rFonts w:ascii="Times New Roman" w:cs="Times New Roman" w:eastAsia="Times New Roman" w:hAnsi="Times New Roman"/>
          <w:sz w:val="18"/>
          <w:szCs w:val="18"/>
          <w:color w:val="auto"/>
        </w:rPr>
        <w:t>. Interest shall accrue on the outstanding Principal balance hereof at an annual rate equal to 12% (“</w:t>
      </w:r>
      <w:r>
        <w:rPr>
          <w:rFonts w:ascii="Times New Roman" w:cs="Times New Roman" w:eastAsia="Times New Roman" w:hAnsi="Times New Roman"/>
          <w:sz w:val="18"/>
          <w:szCs w:val="18"/>
          <w:u w:val="single" w:color="auto"/>
          <w:color w:val="auto"/>
        </w:rPr>
        <w:t>Interest Rate</w:t>
      </w:r>
      <w:r>
        <w:rPr>
          <w:rFonts w:ascii="Times New Roman" w:cs="Times New Roman" w:eastAsia="Times New Roman" w:hAnsi="Times New Roman"/>
          <w:sz w:val="18"/>
          <w:szCs w:val="18"/>
          <w:color w:val="auto"/>
        </w:rPr>
        <w:t>”), which Interest Rate shall increase to an annual rate of 18% upon an Event of Default for so long as it remains uncured. Interest shall be calculated based on a 365-day year and the actual number of days elapsed, to the extent permitted by applicable law.</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PAYMENTS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RESERVED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Early Redemption</w:t>
      </w:r>
      <w:r>
        <w:rPr>
          <w:rFonts w:ascii="Times New Roman" w:cs="Times New Roman" w:eastAsia="Times New Roman" w:hAnsi="Times New Roman"/>
          <w:sz w:val="18"/>
          <w:szCs w:val="18"/>
          <w:color w:val="auto"/>
        </w:rPr>
        <w:t>. The Company at its option shall have the right, but not the obligation, to redeem (“</w:t>
      </w: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xml:space="preserve">”) early a portion or all amounts outstanding under this Debenture as described in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trading price of the Ordinary Shares is less than the Fixed Conversion Price and (ii) the Company provides the Holder with at least five (5) Business Days’ prior written notice (each, a “</w:t>
      </w:r>
      <w:r>
        <w:rPr>
          <w:rFonts w:ascii="Times New Roman" w:cs="Times New Roman" w:eastAsia="Times New Roman" w:hAnsi="Times New Roman"/>
          <w:sz w:val="18"/>
          <w:szCs w:val="18"/>
          <w:u w:val="single" w:color="auto"/>
          <w:color w:val="auto"/>
        </w:rPr>
        <w:t>Redemption Notice</w:t>
      </w:r>
      <w:r>
        <w:rPr>
          <w:rFonts w:ascii="Times New Roman" w:cs="Times New Roman" w:eastAsia="Times New Roman" w:hAnsi="Times New Roman"/>
          <w:sz w:val="18"/>
          <w:szCs w:val="18"/>
          <w:color w:val="auto"/>
        </w:rPr>
        <w:t>”) of its desire to exercise an Optional Redemption. Each Redemption Notice shall be irrevocable and shall specify the outstanding balance of the Secured Convertible Debenture to be redeemed and the applicable Redemption Premium. The “</w:t>
      </w:r>
      <w:r>
        <w:rPr>
          <w:rFonts w:ascii="Times New Roman" w:cs="Times New Roman" w:eastAsia="Times New Roman" w:hAnsi="Times New Roman"/>
          <w:sz w:val="18"/>
          <w:szCs w:val="18"/>
          <w:u w:val="single" w:color="auto"/>
          <w:color w:val="auto"/>
        </w:rPr>
        <w:t>Redemption Amount</w:t>
      </w:r>
      <w:r>
        <w:rPr>
          <w:rFonts w:ascii="Times New Roman" w:cs="Times New Roman" w:eastAsia="Times New Roman" w:hAnsi="Times New Roman"/>
          <w:sz w:val="18"/>
          <w:szCs w:val="18"/>
          <w:color w:val="auto"/>
        </w:rPr>
        <w:t>” shall be equal to the outstanding Principal balance being redeemed by the Company, plus the applicable Redemption Premium, plus all accrued and unpaid interest. After receipt of the Redemption Notice, the Holder shall have five (5) Business Days to elect to convert all or any portion of the Debenture. On the 6th Business Day after the Redemption Notice, the Company shall deliver to the Holder the Redemption Amount with respect to the Principal amount redeemed after giving effect to conversions effected during the five (5) Business Day period.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left="130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EVENTS OF DEFAULT</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(a)            An “</w:t>
      </w:r>
      <w:r>
        <w:rPr>
          <w:rFonts w:ascii="Times New Roman" w:cs="Times New Roman" w:eastAsia="Times New Roman" w:hAnsi="Times New Roman"/>
          <w:sz w:val="17"/>
          <w:szCs w:val="17"/>
          <w:u w:val="single" w:color="auto"/>
          <w:color w:val="auto"/>
        </w:rPr>
        <w:t>Event of Default</w:t>
      </w:r>
      <w:r>
        <w:rPr>
          <w:rFonts w:ascii="Times New Roman" w:cs="Times New Roman" w:eastAsia="Times New Roman" w:hAnsi="Times New Roman"/>
          <w:sz w:val="17"/>
          <w:szCs w:val="17"/>
          <w:color w:val="auto"/>
        </w:rPr>
        <w:t>”, wherever used herein, means any one of the following events (whatever the reason and whether it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voluntary or involuntary or effected by operation of law or pursuant to any judgment, decree or order of any court, or any order, rule or regulation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administrative or governmental body):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               the Company’s or any Guarantor’s failure to pay to the Holder any amount of Principal, Redemption Premium, Interest, or other amounts when and as due under this Debenture or any other Transaction Document;</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              The Company, any Subsidiary of the Company, or any Guarantor shall commence, or there shall be commenced against the Company, any Subsidiary of the Company, or any Guarantor under any applicable bankruptcy or insolvency laws as now or hereafter in effect or any successor thereto, or the Company, any Subsidiary of the Company, or any Guarantor commences any other proceeding under any reorganization, arrangement, adjustment of debt, relief of debtors, dissolution, insolvency or liquidation or similar law of any jurisdiction whether now or hereafter in effect relating to the Company, any Subsidiary of the Company, or any Guarantor and any such bankruptcy, insolvency or other proceeding which remains undismissed for a period of sixty one (61) days; or the Company, any Subsidiary of the Company, or any Guarantor is adjudicated insolvent or bankrupt; or any order of relief or other order approving any such case or proceeding is entered; or the Company, any Subsidiary of the Company, or any Guarantor suffers any appointment of any custodian, private or court appointed receiver or the like for it or all or substantially all of its property which continues undischarged or unstayed for a period of sixty one (61) days; or the Company, any Subsidiary of the Company, or any Guarantor makes a general assignment of all or substantially all of its assets for the benefit of creditors; or the Company, any Subsidiary of the Company, or any Guarantor shall fail to pay, or shall state that it is unable to pay, or shall be unable to pay, its debts generally as they become due; or the Company, any Subsidiary of the Company, or any Guarantor shall call a meeting of its creditors with a view to arranging a composition, adjustment or restructuring of its debts; or the Company, any Subsidiary of the Company, or any Guarantor shall by any act or failure to act expressly indicate its consent to, approval of or acquiescence in any of the foregoing; or any corporate or other action is taken by the Company, any Subsidiary of the Company, or any Guarantor for the purpose of effecting any of the foregoing;</w:t>
      </w:r>
    </w:p>
    <w:p>
      <w:pPr>
        <w:spacing w:after="0" w:line="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(iii)             The Company, any Subsidiary of the Company, or any Guarantor shall default in any of its obligations under any obligation or any promissory note, mortgage, credit agreement or other facility, indenture agreement, factoring agreement or other instrument under which there may be issued, or by which there may be secured or evidenced any indebtedness for borrowed money or money due under any long term leasing or factoring arrangement of the Company, any Subsidiary of the Company, or any Guarantor in an amount exceeding EUR 200,000, whether such indebtedness now exists or shall hereafter be created and such default shall result in such indebtedness becoming or being declared due and payable and such default is not thereafter cured within five (5) Business Days;</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2592"/>
        <w:spacing w:after="0" w:line="250" w:lineRule="auto"/>
        <w:rPr>
          <w:sz w:val="20"/>
          <w:szCs w:val="20"/>
          <w:color w:val="auto"/>
        </w:rPr>
      </w:pPr>
      <w:r>
        <w:rPr>
          <w:rFonts w:ascii="Times New Roman" w:cs="Times New Roman" w:eastAsia="Times New Roman" w:hAnsi="Times New Roman"/>
          <w:sz w:val="18"/>
          <w:szCs w:val="18"/>
          <w:color w:val="auto"/>
        </w:rPr>
        <w:t>(iv)              The Company, any Subsidiary of the Company or any Guarantor shall be a party to any Change of Control Transaction (as defined in Section 14) unless in connection with such Change of Control Transaction this Debenture is retired;</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             The Company’s (A) failure to issue and deliver the required number of Ordinary Shares to the Holder within four (4) Business Days after the applicable Share Delivery Date or (B) notice, written or oral, to any holder of the Debenture, including by way of public announcement, at any time, of its intention not to comply with a request for conversion of the Debenture into Ordinary Shares that is tendered in accordance with the provisions of the Debenture, other than pursuant to Section 4(c);</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jc w:val="both"/>
        <w:ind w:firstLine="2592"/>
        <w:spacing w:after="0" w:line="261" w:lineRule="auto"/>
        <w:rPr>
          <w:sz w:val="20"/>
          <w:szCs w:val="20"/>
          <w:color w:val="auto"/>
        </w:rPr>
      </w:pPr>
      <w:r>
        <w:rPr>
          <w:rFonts w:ascii="Times New Roman" w:cs="Times New Roman" w:eastAsia="Times New Roman" w:hAnsi="Times New Roman"/>
          <w:sz w:val="18"/>
          <w:szCs w:val="18"/>
          <w:color w:val="auto"/>
        </w:rPr>
        <w:t>(vi)            The Company shall fail for any reason to deliver the payment in cash pursuant to a Buy-In (as defined in Section 4(b)(ii) herein) within five Business Days after such payment is due;</w:t>
      </w: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(vii)           The Company’s failure to timely file with the Commission any Periodic Report on or before the due date of such filing as established by the Commission, it being understood, for the avoidance of doubt, that due date includes any permitted filing deadline extension under Rule 12b-25 under the Exchange Act . For purposes hereof, “</w:t>
      </w:r>
      <w:r>
        <w:rPr>
          <w:rFonts w:ascii="Times New Roman" w:cs="Times New Roman" w:eastAsia="Times New Roman" w:hAnsi="Times New Roman"/>
          <w:sz w:val="18"/>
          <w:szCs w:val="18"/>
          <w:u w:val="single" w:color="auto"/>
          <w:color w:val="auto"/>
        </w:rPr>
        <w:t>Periodic Reports</w:t>
      </w:r>
      <w:r>
        <w:rPr>
          <w:rFonts w:ascii="Times New Roman" w:cs="Times New Roman" w:eastAsia="Times New Roman" w:hAnsi="Times New Roman"/>
          <w:sz w:val="18"/>
          <w:szCs w:val="18"/>
          <w:color w:val="auto"/>
        </w:rPr>
        <w:t xml:space="preserve">” means the Company’s (i) Annual Report on Form 10-K for the fiscal year ending December 31, 2024, (ii) any current report to be filed on Form 8-K, and (iii) all other reports required to be filed by the Company with the Commission under applicable laws and regulations (including, without limitation, Regulation S-K) for so long as any amounts are outstanding under this Debenture;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such Periodic Reports shall include, when filed, all information, financial statements, audit reports (when applicable) and other information required to be included in such Periodic Reports in compliance with all applicable laws and regulations;</w:t>
      </w:r>
    </w:p>
    <w:p>
      <w:pPr>
        <w:spacing w:after="0" w:line="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(viii)              Any representation or warranty made or deemed made by the Company, any Subsidiary of the Company or any Guarantor in any Transaction Document shall prove to have been incorrect in any material respect (or, in the case of any such representation or warranty already qualified by materiality, such representation or warranty shall prove to have been incorrect) when made or deemed made;</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(ix)               Any material provision of any Transaction Document, at any time after its execution and delivery and for any reason other than as expressly permitted hereunder or thereunder or satisfaction in full of all Obligations, ceases to be in full force and effect; or the Company or any other Person contests in writing the validity or enforceability of any provision of any Transaction Document; or the Company or any Guarantor denies in writing that it has any or further liability or obligation under any Transaction Document, or purports in writing to revoke, terminate (other than in line with the relevant termination provisions) or rescind any Transaction Document;</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5" w:lineRule="auto"/>
        <w:rPr>
          <w:sz w:val="20"/>
          <w:szCs w:val="20"/>
          <w:color w:val="auto"/>
        </w:rPr>
      </w:pPr>
      <w:r>
        <w:rPr>
          <w:rFonts w:ascii="Times New Roman" w:cs="Times New Roman" w:eastAsia="Times New Roman" w:hAnsi="Times New Roman"/>
          <w:sz w:val="18"/>
          <w:szCs w:val="18"/>
          <w:color w:val="auto"/>
        </w:rPr>
        <w:t>(x)             The Company or any Guarantor shall fail to observe or perform any material covenant, agreement or warranty contained in, or otherwise commit any material breach or default of any provision of this Debenture (except as may be covered by Section (3)(a)(i) through (3)(a)(ix) hereof) or any other Transaction Document (as defined in Section 14) which is not cured or remedied within the time prescribed (if any);</w:t>
      </w:r>
    </w:p>
    <w:p>
      <w:pPr>
        <w:spacing w:after="0" w:line="186" w:lineRule="exact"/>
        <w:rPr>
          <w:sz w:val="20"/>
          <w:szCs w:val="20"/>
          <w:color w:val="auto"/>
        </w:rPr>
      </w:pPr>
    </w:p>
    <w:p>
      <w:pPr>
        <w:jc w:val="both"/>
        <w:ind w:firstLine="2600"/>
        <w:spacing w:after="0" w:line="266" w:lineRule="auto"/>
        <w:tabs>
          <w:tab w:leader="none" w:pos="33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Event of Default (as defined in the Other Debentures or in any Transaction Document other than this Debenture) occurs respect to any Other Debentures held by the Holder or any breach of any material term of any other debenture, note, or instrument held by the Holder in the Company or any agreement between or among the Company and the Holder; or</w:t>
      </w:r>
    </w:p>
    <w:p>
      <w:pPr>
        <w:spacing w:after="0" w:line="175" w:lineRule="exact"/>
        <w:rPr>
          <w:rFonts w:ascii="Times New Roman" w:cs="Times New Roman" w:eastAsia="Times New Roman" w:hAnsi="Times New Roman"/>
          <w:sz w:val="18"/>
          <w:szCs w:val="18"/>
          <w:color w:val="auto"/>
        </w:rPr>
      </w:pPr>
    </w:p>
    <w:p>
      <w:pPr>
        <w:jc w:val="both"/>
        <w:ind w:firstLine="2600"/>
        <w:spacing w:after="0" w:line="257" w:lineRule="auto"/>
        <w:tabs>
          <w:tab w:leader="none" w:pos="326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Document (including this Debenture) covering a material portion of the Collateral shall cease to create a valid and perfected lien, with the priority required by the Security Documents (including this Debenture) on and security interest in any material portion of the Collateral covered thereby.</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 xml:space="preserve">(b)           During the time that any portion of this Debenture is outstanding, if any Event of Default has occurred and has not been cured within the applicable cure period, if any, (other than an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become at the Holder's election given by notice pursuant to Section 7, immediately due and payable in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case of any event with respect to the Company described in Section 3(a)(ii), the full unpaid Principal amount of this Debenture, together with interest and other amounts owing in respect thereof and other Obligations accrued hereunder and under any other Transaction Document, to the date of acceleration, shall automatically become due and payable, in each case without presentment, demand, protest or other notice of any kind, all of which are hereby waived by the Company. Furthermore, in addition to any other remedies, the Holder shall have the right (but not the obligation) to convert, at the Conversion Rate, on one or more occasions all or part of the Conversion Amount in accordance with Section 4 hereof (subject to the beneficial ownership limitations set out in Section (4)(c)) at any time after (x) an Event of Default (provided that such Event of Default is continuing) or (y) the Maturity Date. The Holder need not provide, and the Company hereby waives, any presentment, demand, protest or other notice of any kind (other than required notice of conversion) and the Holder may immediately enforce any and all of its rights and remedies hereunder and all other remedies available to it under applicable law. Such declaration may be rescinded and annulled by the Holder in writing at any time prior to payment hereunder. No such rescission or annulment shall affect any subsequent Event of Default or impair any right consequent thereon.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ind w:left="1300"/>
        <w:spacing w:after="0"/>
        <w:rPr>
          <w:sz w:val="20"/>
          <w:szCs w:val="20"/>
          <w:color w:val="auto"/>
        </w:rPr>
      </w:pPr>
      <w:r>
        <w:rPr>
          <w:rFonts w:ascii="Times New Roman" w:cs="Times New Roman" w:eastAsia="Times New Roman" w:hAnsi="Times New Roman"/>
          <w:sz w:val="17"/>
          <w:szCs w:val="17"/>
          <w:color w:val="auto"/>
        </w:rPr>
        <w:t>(4)         </w:t>
      </w:r>
      <w:r>
        <w:rPr>
          <w:rFonts w:ascii="Times New Roman" w:cs="Times New Roman" w:eastAsia="Times New Roman" w:hAnsi="Times New Roman"/>
          <w:sz w:val="17"/>
          <w:szCs w:val="17"/>
          <w:u w:val="single" w:color="auto"/>
          <w:color w:val="auto"/>
        </w:rPr>
        <w:t>  CONVERSION OF DEBENTURE</w:t>
      </w:r>
      <w:r>
        <w:rPr>
          <w:rFonts w:ascii="Times New Roman" w:cs="Times New Roman" w:eastAsia="Times New Roman" w:hAnsi="Times New Roman"/>
          <w:sz w:val="17"/>
          <w:szCs w:val="17"/>
          <w:color w:val="auto"/>
        </w:rPr>
        <w:t>. This Debenture shall be convertible into Ordinary Shares, on the terms and conditions set forth</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this Section 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Conversion Right</w:t>
      </w:r>
      <w:r>
        <w:rPr>
          <w:rFonts w:ascii="Times New Roman" w:cs="Times New Roman" w:eastAsia="Times New Roman" w:hAnsi="Times New Roman"/>
          <w:sz w:val="18"/>
          <w:szCs w:val="18"/>
          <w:color w:val="auto"/>
        </w:rPr>
        <w:t>. Subject to the limitations of Section (4)(c), at any time or times on or after the Issuance Date, the Holder shall be entitled to convert any portion of the outstanding and unpaid Conversion Amount (as defined below) into fully paid and non-assessable (meaning that the holders of the Ordinary Shares will not by reason of merely being such a holder, be subject to assessment or calls by the Company or its creditors for further payment on such Ordinary Shares) Ordinary Shares in accordance with Section (4)(b), at the Conversion Rate (as defined below). The number of Ordinary Shares issuable upon conversion of any Conversion Amount pursuant to this Section (4)(a) shall be determined by dividing (x) such Conversion Amount by (y) the Conversion Price (the “</w:t>
      </w:r>
      <w:r>
        <w:rPr>
          <w:rFonts w:ascii="Times New Roman" w:cs="Times New Roman" w:eastAsia="Times New Roman" w:hAnsi="Times New Roman"/>
          <w:sz w:val="18"/>
          <w:szCs w:val="18"/>
          <w:u w:val="single" w:color="auto"/>
          <w:color w:val="auto"/>
        </w:rPr>
        <w:t>Conversion Rate</w:t>
      </w:r>
      <w:r>
        <w:rPr>
          <w:rFonts w:ascii="Times New Roman" w:cs="Times New Roman" w:eastAsia="Times New Roman" w:hAnsi="Times New Roman"/>
          <w:sz w:val="18"/>
          <w:szCs w:val="18"/>
          <w:color w:val="auto"/>
        </w:rPr>
        <w:t>”). The Company shall not issue any fraction of an Ordinary Share upon any conversion. If the issuance would result in the issuance of a fraction of an Ordinary Share, the Company shall round such fraction of an Ordinary Share up to the nearest whole share. The Company shall pay any and all issuance tax, stamp duties and similar documentary taxes that may be payable with respect to the issuance and delivery of Ordinary Shares upon conversion of any Conversion Amount.</w:t>
      </w:r>
    </w:p>
    <w:p>
      <w:pPr>
        <w:spacing w:after="0" w:line="193" w:lineRule="exact"/>
        <w:rPr>
          <w:sz w:val="20"/>
          <w:szCs w:val="20"/>
          <w:color w:val="auto"/>
        </w:rPr>
      </w:pPr>
    </w:p>
    <w:p>
      <w:pPr>
        <w:ind w:right="220" w:firstLine="2592"/>
        <w:spacing w:after="0" w:line="261" w:lineRule="auto"/>
        <w:rPr>
          <w:sz w:val="20"/>
          <w:szCs w:val="20"/>
          <w:color w:val="auto"/>
        </w:rPr>
      </w:pPr>
      <w:r>
        <w:rPr>
          <w:rFonts w:ascii="Times New Roman" w:cs="Times New Roman" w:eastAsia="Times New Roman" w:hAnsi="Times New Roman"/>
          <w:sz w:val="18"/>
          <w:szCs w:val="18"/>
          <w:color w:val="auto"/>
        </w:rPr>
        <w:t> (i)             “</w:t>
      </w:r>
      <w:r>
        <w:rPr>
          <w:rFonts w:ascii="Times New Roman" w:cs="Times New Roman" w:eastAsia="Times New Roman" w:hAnsi="Times New Roman"/>
          <w:sz w:val="18"/>
          <w:szCs w:val="18"/>
          <w:u w:val="single" w:color="auto"/>
          <w:color w:val="auto"/>
        </w:rPr>
        <w:t>Conversion Amount</w:t>
      </w:r>
      <w:r>
        <w:rPr>
          <w:rFonts w:ascii="Times New Roman" w:cs="Times New Roman" w:eastAsia="Times New Roman" w:hAnsi="Times New Roman"/>
          <w:sz w:val="18"/>
          <w:szCs w:val="18"/>
          <w:color w:val="auto"/>
        </w:rPr>
        <w:t>” means the portion of the Principal and/or accrued Interest to be converted, redeemed or otherwise with respect to which this determination is being made.</w:t>
      </w: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Conversion Price</w:t>
      </w:r>
      <w:r>
        <w:rPr>
          <w:rFonts w:ascii="Times New Roman" w:cs="Times New Roman" w:eastAsia="Times New Roman" w:hAnsi="Times New Roman"/>
          <w:sz w:val="18"/>
          <w:szCs w:val="18"/>
          <w:color w:val="auto"/>
        </w:rPr>
        <w:t>” means, as of any Conversion Date (as defined below) or other date of determination the lower of (i) a price per Ordinary Share equal to USD 18.75 (the “</w:t>
      </w:r>
      <w:r>
        <w:rPr>
          <w:rFonts w:ascii="Times New Roman" w:cs="Times New Roman" w:eastAsia="Times New Roman" w:hAnsi="Times New Roman"/>
          <w:sz w:val="18"/>
          <w:szCs w:val="18"/>
          <w:u w:val="single" w:color="auto"/>
          <w:color w:val="auto"/>
        </w:rPr>
        <w:t>Fixed Conversion Price</w:t>
      </w:r>
      <w:r>
        <w:rPr>
          <w:rFonts w:ascii="Times New Roman" w:cs="Times New Roman" w:eastAsia="Times New Roman" w:hAnsi="Times New Roman"/>
          <w:sz w:val="18"/>
          <w:szCs w:val="18"/>
          <w:color w:val="auto"/>
        </w:rPr>
        <w:t>”), or (ii) 85% of the lowest daily VWAP of the Ordinary Shares during the seven (7) consecutive Trading Days immediately preceding the Conversion Date or other date of determination (the “</w:t>
      </w:r>
      <w:r>
        <w:rPr>
          <w:rFonts w:ascii="Times New Roman" w:cs="Times New Roman" w:eastAsia="Times New Roman" w:hAnsi="Times New Roman"/>
          <w:sz w:val="18"/>
          <w:szCs w:val="18"/>
          <w:u w:val="single" w:color="auto"/>
          <w:color w:val="auto"/>
        </w:rPr>
        <w:t>Variable 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provided that the Variable Conversion Price shall not be lower than the Floor Price then in effect; provided, further, that under no circumstances, will the Conversion Price per Ordinary Share be less than the nominal value of one Ordinary Share (translated into USD on the applicable Share Delivery Date (as defined below)). The Conversion Price shall be adjusted from time to time pursuant to the other terms and conditions of this Debenture.</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Mechanics of Conversion</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Optional Conversion</w:t>
      </w:r>
      <w:r>
        <w:rPr>
          <w:rFonts w:ascii="Times New Roman" w:cs="Times New Roman" w:eastAsia="Times New Roman" w:hAnsi="Times New Roman"/>
          <w:sz w:val="18"/>
          <w:szCs w:val="18"/>
          <w:color w:val="auto"/>
        </w:rPr>
        <w:t>. To convert any Conversion Amount into Ordinary Shares on any date (a “</w:t>
      </w:r>
      <w:r>
        <w:rPr>
          <w:rFonts w:ascii="Times New Roman" w:cs="Times New Roman" w:eastAsia="Times New Roman" w:hAnsi="Times New Roman"/>
          <w:sz w:val="18"/>
          <w:szCs w:val="18"/>
          <w:u w:val="single" w:color="auto"/>
          <w:color w:val="auto"/>
        </w:rPr>
        <w:t>Conversion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the Holder shall (A) transmit by email (or otherwise deliver), for receipt on or prior to 11:59 p.m., New York Time, on such date, a copy of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executed notice of conversion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Conversion Notice</w:t>
      </w:r>
      <w:r>
        <w:rPr>
          <w:rFonts w:ascii="Times New Roman" w:cs="Times New Roman" w:eastAsia="Times New Roman" w:hAnsi="Times New Roman"/>
          <w:sz w:val="18"/>
          <w:szCs w:val="18"/>
          <w:color w:val="auto"/>
        </w:rPr>
        <w:t>”) to the Company and (B) if required by Section (4)(b)(iii),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surrender this Debenture to a nationally recognized overnight delivery service for delivery to the Company (or an indemnification undertaking reasonably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satisfactory to the Company with respect to this Debenture in the case of its loss, theft or destruction). On or before the third (3rd) Trading Day following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date of receipt of a Conversion Notice (the “</w:t>
      </w:r>
      <w:r>
        <w:rPr>
          <w:rFonts w:ascii="Times New Roman" w:cs="Times New Roman" w:eastAsia="Times New Roman" w:hAnsi="Times New Roman"/>
          <w:sz w:val="18"/>
          <w:szCs w:val="18"/>
          <w:u w:val="single" w:color="auto"/>
          <w:color w:val="auto"/>
        </w:rPr>
        <w:t>Share Delivery Date</w:t>
      </w:r>
      <w:r>
        <w:rPr>
          <w:rFonts w:ascii="Times New Roman" w:cs="Times New Roman" w:eastAsia="Times New Roman" w:hAnsi="Times New Roman"/>
          <w:sz w:val="18"/>
          <w:szCs w:val="18"/>
          <w:color w:val="auto"/>
        </w:rPr>
        <w:t>”), the Company shall (X) if legends are not required to be placed on certificates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Ordinary Shares and provided that the Transfer Agent is participating in the Depository Trust Company's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Fast Automated Securities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credit such aggregate number of Ordinary Shares to which the Holder shall be entitled to the Holder's or its designee's balance account with DTC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through its Deposit Withdrawal Agent Commission system or (Y) if the Transfer Agent is not participating in the DTC Fast Automated Securities Transfer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 issue and deliver to the address as specified in the Conversion Notice, a certificate, registered Ordinary Shares in the name of the Holder or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designee, for the number of Ordinary Shares to which the Holder shall be entitled which certificates shall not bear any restrictive legends unless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pursuant to rules and regulations of the Commission. If this Debenture is physically surrendered for conversion and the outstanding Principal of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Debenture is greater than the Principal portion of the Conversion Amount being converted, then the Company shall as soon as practicable and in no event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later than three (3) Business Days after receipt of this Debenture and at its own expense, issue and deliver to the holder a new Debenture representing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Principal not converted. The Person or Persons entitled to receive the Ordinary Shares issuable upon a conversion of this Debenture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treated for all purposes as the record holder or holders of such Ordinary Shares upon the transmission of a Conversion Notice. In connection with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of a Conversion Amount into Ordinary Shares on a Conversion Date, the Company shall, on the relevant Share Delivery Date, set off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verrekenen</w:t>
      </w:r>
      <w:r>
        <w:rPr>
          <w:rFonts w:ascii="Times New Roman" w:cs="Times New Roman" w:eastAsia="Times New Roman" w:hAnsi="Times New Roman"/>
          <w:sz w:val="18"/>
          <w:szCs w:val="18"/>
          <w:color w:val="auto"/>
        </w:rPr>
        <w:t>) its debt under the relevant Debenture(s) to pay such Conversion Amount against its receivable from the Holder to pay up in full, and satisfy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 price, for the relevant Ordinary Shares issuable upon such conversion (and, for that purpose, such issue price shall be the same amount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 Amount).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2592"/>
        <w:spacing w:after="0" w:line="267" w:lineRule="auto"/>
        <w:rPr>
          <w:sz w:val="20"/>
          <w:szCs w:val="20"/>
          <w:color w:val="auto"/>
        </w:rPr>
      </w:pPr>
      <w:r>
        <w:rPr>
          <w:rFonts w:ascii="Times New Roman" w:cs="Times New Roman" w:eastAsia="Times New Roman" w:hAnsi="Times New Roman"/>
          <w:sz w:val="17"/>
          <w:szCs w:val="17"/>
          <w:color w:val="auto"/>
        </w:rPr>
        <w:t xml:space="preserve">(ii)              </w:t>
      </w:r>
      <w:r>
        <w:rPr>
          <w:rFonts w:ascii="Times New Roman" w:cs="Times New Roman" w:eastAsia="Times New Roman" w:hAnsi="Times New Roman"/>
          <w:sz w:val="17"/>
          <w:szCs w:val="17"/>
          <w:u w:val="single" w:color="auto"/>
          <w:color w:val="auto"/>
        </w:rPr>
        <w:t>Company's Failure to Timely Convert</w:t>
      </w:r>
      <w:r>
        <w:rPr>
          <w:rFonts w:ascii="Times New Roman" w:cs="Times New Roman" w:eastAsia="Times New Roman" w:hAnsi="Times New Roman"/>
          <w:sz w:val="17"/>
          <w:szCs w:val="17"/>
          <w:color w:val="auto"/>
        </w:rPr>
        <w:t>. If within three (3) Trading Days after the Company's receipt of an email copy of a Conversion Notice the Company shall fail to issue and deliver a certificate to the Holder or credit the Holder's balance account with DTC for the number of Ordinary Shares to which the Holder is entitled upon its conversion of any Conversion Amount, and if on or after such Trading Day the Holder purchases (in an open market transaction or otherwise) Ordinary Shares to deliver in satisfaction of a sale by the Holder of Ordinary Shares issuable upon such conversion that the Holder anticipated receiving from the Company (a “</w:t>
      </w:r>
      <w:r>
        <w:rPr>
          <w:rFonts w:ascii="Times New Roman" w:cs="Times New Roman" w:eastAsia="Times New Roman" w:hAnsi="Times New Roman"/>
          <w:sz w:val="17"/>
          <w:szCs w:val="17"/>
          <w:u w:val="single" w:color="auto"/>
          <w:color w:val="auto"/>
        </w:rPr>
        <w:t>Buy-In</w:t>
      </w:r>
      <w:r>
        <w:rPr>
          <w:rFonts w:ascii="Times New Roman" w:cs="Times New Roman" w:eastAsia="Times New Roman" w:hAnsi="Times New Roman"/>
          <w:sz w:val="17"/>
          <w:szCs w:val="17"/>
          <w:color w:val="auto"/>
        </w:rPr>
        <w:t>”), then the Company shall, within three (3) Business Days after the Holder's request and in the Holder's discretion, either (i) pay cash to the Holder in an amount equal to the Holder's total purchase price (including brokerage commissions and other out of pocket expenses, if any) for the Ordinary Shares so purchased (the “</w:t>
      </w:r>
      <w:r>
        <w:rPr>
          <w:rFonts w:ascii="Times New Roman" w:cs="Times New Roman" w:eastAsia="Times New Roman" w:hAnsi="Times New Roman"/>
          <w:sz w:val="17"/>
          <w:szCs w:val="17"/>
          <w:u w:val="single" w:color="auto"/>
          <w:color w:val="auto"/>
        </w:rPr>
        <w:t>Buy-In Price</w:t>
      </w:r>
      <w:r>
        <w:rPr>
          <w:rFonts w:ascii="Times New Roman" w:cs="Times New Roman" w:eastAsia="Times New Roman" w:hAnsi="Times New Roman"/>
          <w:sz w:val="17"/>
          <w:szCs w:val="17"/>
          <w:color w:val="auto"/>
        </w:rPr>
        <w:t>”), at which point the Company's obligation to deliver such certificate (and to issue such Ordinary Shares) shall terminate, or (ii) promptly honor its obligation to deliver to the Holder a certificate or certificates representing such Ordinary Shares and pay cash to the Holder in an amount equal to the excess (if any) of the Buy-In Price over the product of</w:t>
      </w:r>
    </w:p>
    <w:p>
      <w:pPr>
        <w:spacing w:after="0" w:line="5" w:lineRule="exact"/>
        <w:rPr>
          <w:sz w:val="20"/>
          <w:szCs w:val="20"/>
          <w:color w:val="auto"/>
        </w:rPr>
      </w:pPr>
    </w:p>
    <w:p>
      <w:pPr>
        <w:ind w:left="300" w:hanging="292"/>
        <w:spacing w:after="0"/>
        <w:tabs>
          <w:tab w:leader="none" w:pos="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number of Ordinary Shares, times (B) the Closing Price on the Conversion Date.</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2592"/>
        <w:spacing w:after="0" w:line="252" w:lineRule="auto"/>
        <w:rPr>
          <w:sz w:val="20"/>
          <w:szCs w:val="20"/>
          <w:color w:val="auto"/>
        </w:rPr>
      </w:pPr>
      <w:r>
        <w:rPr>
          <w:rFonts w:ascii="Times New Roman" w:cs="Times New Roman" w:eastAsia="Times New Roman" w:hAnsi="Times New Roman"/>
          <w:sz w:val="18"/>
          <w:szCs w:val="18"/>
          <w:color w:val="auto"/>
        </w:rPr>
        <w:t xml:space="preserve">(iii)             </w:t>
      </w:r>
      <w:r>
        <w:rPr>
          <w:rFonts w:ascii="Times New Roman" w:cs="Times New Roman" w:eastAsia="Times New Roman" w:hAnsi="Times New Roman"/>
          <w:sz w:val="18"/>
          <w:szCs w:val="18"/>
          <w:u w:val="single" w:color="auto"/>
          <w:color w:val="auto"/>
        </w:rPr>
        <w:t>Book-Entry</w:t>
      </w:r>
      <w:r>
        <w:rPr>
          <w:rFonts w:ascii="Times New Roman" w:cs="Times New Roman" w:eastAsia="Times New Roman" w:hAnsi="Times New Roman"/>
          <w:sz w:val="18"/>
          <w:szCs w:val="18"/>
          <w:color w:val="auto"/>
        </w:rPr>
        <w:t>. Notwithstanding anything to the contrary set forth herein, upon conversion of any portion of this Debenture in accordance with the terms hereof, the Holder shall not be required to physically surrender this Debenture to the Company unless (A) the full Conversion Amount represented by this Debenture is being converted or (B) the Holder has provided the Company with prior written notice (which notice may be included in a Conversion Notice) requesting reissuance of this Debenture upon physical surrender of this Debenture. The Holder and the Company shall maintain records showing the Principal and Interest converted and the dates of such conversions or shall use such other method, reasonably satisfactory to the Holder and the Company, so as not to require physical surrender of this Debenture upon conversion.  </w:t>
      </w:r>
    </w:p>
    <w:p>
      <w:pPr>
        <w:spacing w:after="0" w:line="20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Limitations on Conversions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65" w:lineRule="auto"/>
        <w:rPr>
          <w:sz w:val="20"/>
          <w:szCs w:val="20"/>
          <w:color w:val="auto"/>
        </w:rPr>
      </w:pPr>
      <w:r>
        <w:rPr>
          <w:rFonts w:ascii="Times New Roman" w:cs="Times New Roman" w:eastAsia="Times New Roman" w:hAnsi="Times New Roman"/>
          <w:sz w:val="17"/>
          <w:szCs w:val="17"/>
          <w:color w:val="auto"/>
        </w:rPr>
        <w:t xml:space="preserve">(i)               </w:t>
      </w:r>
      <w:r>
        <w:rPr>
          <w:rFonts w:ascii="Times New Roman" w:cs="Times New Roman" w:eastAsia="Times New Roman" w:hAnsi="Times New Roman"/>
          <w:sz w:val="17"/>
          <w:szCs w:val="17"/>
          <w:u w:val="single" w:color="auto"/>
          <w:color w:val="auto"/>
        </w:rPr>
        <w:t>Beneficial Ownership</w:t>
      </w:r>
      <w:r>
        <w:rPr>
          <w:rFonts w:ascii="Times New Roman" w:cs="Times New Roman" w:eastAsia="Times New Roman" w:hAnsi="Times New Roman"/>
          <w:sz w:val="17"/>
          <w:szCs w:val="17"/>
          <w:color w:val="auto"/>
        </w:rPr>
        <w:t>. The Holder shall not have the right to convert any portion of this Debenture or receive Ordinary Shares hereunder to the extent that after giving effect to such conversion or receipt of such Ordinary Shares, the Holder, together with any affiliate thereof, would beneficially own (as determined in accordance with Section 13(d) of the Exchange Act and the rules promulgated thereunder) in excess of 4.99% of the number of Ordinary Shares outstanding immediately after giving effect to such conversion or receipt of shares as payment of interest. Since the Holder will not be obligated to report to the Company the number of Ordinary Shares it may hold at the time of a conversion hereunder, unless the conversion at issue would result in the issuance of Ordinary Shares in excess of 4.99% of the then outstanding Ordinary Shares without regard to any other shares which may be beneficially owned by the Holder or an affiliate thereof, the Holder shall have the authority and obligation to determine whether the restriction contained in this Section will limit any particular conversion hereunder and to the extent that the Holder determines that the limitation contained in this Section applies, the determination of which portion of the Principal amount of this Debenture is convertible shall be the responsibility and obligation of the Holder. If the Holder has delivered a Conversion Notice for a Principal amount of this Debenture that, without regard to any other shares that the Holder or its affiliates may beneficially own, would result in the issuance in excess of the permitted amount hereunder, the Company shall notify the Holder of this fact and shall honor the conversion for the maximum Principal amount permitted to be converted on such Conversion Date in accordance with Section (4)(a) and, any Principal amount tendered for conversion in excess of the permitted amount hereunder shall remain outstanding under this Debenture. The provisions of this Section may be waived by the Holder upon not less than 65 days prior notice to the Company.</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u w:val="single" w:color="auto"/>
          <w:color w:val="auto"/>
        </w:rPr>
        <w:t>Other Provisions</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(i)                All calculations under this Section (4) shall be rounded to the nearest $0.0001 or whole share.</w:t>
      </w:r>
    </w:p>
    <w:p>
      <w:pPr>
        <w:spacing w:after="0" w:line="9"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2592"/>
        <w:spacing w:after="0" w:line="251" w:lineRule="auto"/>
        <w:rPr>
          <w:sz w:val="20"/>
          <w:szCs w:val="20"/>
          <w:color w:val="auto"/>
        </w:rPr>
      </w:pPr>
      <w:r>
        <w:rPr>
          <w:rFonts w:ascii="Times New Roman" w:cs="Times New Roman" w:eastAsia="Times New Roman" w:hAnsi="Times New Roman"/>
          <w:sz w:val="18"/>
          <w:szCs w:val="18"/>
          <w:color w:val="auto"/>
        </w:rPr>
        <w:t>(ii)              The Company covenants that the number of Ordinary Shares comprised in the Company's authorized share capital but unissued and not otherwise reserved for issuance (including (i) in relation to equity or debt securities convertible into or exchangeable or exercisable for or that can be settled in Ordinary Shares (other than the Debenture and the Other Debentures) and (ii) Ordinary Shares remaining available for issuance under the Company's equity incentive plans) shall be not less than the maximum number of Ordinary Shares issuable upon conversion of this Debenture and the Other Debentures (assuming for purposes hereof that (x) each debenture is convertible at the Floor Price stated therein as of the date of determination, (y) any such conversion shall not take into account any limitations on the conversion of each debenture set forth herein, including the Floor Price (the “</w:t>
      </w:r>
      <w:r>
        <w:rPr>
          <w:rFonts w:ascii="Times New Roman" w:cs="Times New Roman" w:eastAsia="Times New Roman" w:hAnsi="Times New Roman"/>
          <w:sz w:val="18"/>
          <w:szCs w:val="18"/>
          <w:u w:val="single" w:color="auto"/>
          <w:color w:val="auto"/>
        </w:rPr>
        <w:t>Required Reserve Amount</w:t>
      </w:r>
      <w:r>
        <w:rPr>
          <w:rFonts w:ascii="Times New Roman" w:cs="Times New Roman" w:eastAsia="Times New Roman" w:hAnsi="Times New Roman"/>
          <w:sz w:val="18"/>
          <w:szCs w:val="18"/>
          <w:color w:val="auto"/>
        </w:rPr>
        <w:t>”), provided that at no time shall the number of Ordinary Shares reserved pursuant to this section 4(d)(ii) be reduced other than proportionally with respect to all Ordinary Shares in connection with any conversion (other than pursuant to the conversion of this Debenture and the Other Debentures in accordance with their terms) and/or cancellation, or reverse stock split. If at any time the number of Ordinary Shares reserved pursuant to this section 4(d)(ii) becomes less than the Required Reserve Amount, the Company will promptly take all corporate action necessary to propose to its general meeting of shareholders an increase of its authorized share capital necessary to meet the Company's obligations pursuant to this Debenture, recommending that shareholders vote in favor of such an increase. The Company covenants that, upon issuance in accordance with conversion of this Debenture in accordance with its terms, the Ordinary Shares, when issued, will be validly issued, fully paid and non-assessable (meaning that the holders of the Ordinary Shares will not by reason of merely being such a holder, be subject to assessment or calls by the Company or its creditors for further payment on such Ordinary Shares).</w:t>
      </w:r>
    </w:p>
    <w:p>
      <w:pPr>
        <w:spacing w:after="0" w:line="1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(iii)              Nothing herein shall limit the Holder's right to pursue actual damages or declare an Event of Default pursuant to Section (3) herein for the Company’s failure to deliver certificates representing Ordinary Shares upon conversion within the period specified herein and the Holder shall have the right to pursue all remedies available to it at law or in equity including, without limitation, a decree of specific performance and/or injunctive relief, in each case without the need to post a bond or provide other security. The exercise of any such rights shall not prohibit the Holder from seeking to enforce damages pursuant to any other Section hereof or under applicable law.</w:t>
      </w:r>
    </w:p>
    <w:p>
      <w:pPr>
        <w:spacing w:after="0" w:line="2"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2592"/>
        <w:spacing w:after="0" w:line="250" w:lineRule="auto"/>
        <w:rPr>
          <w:sz w:val="20"/>
          <w:szCs w:val="20"/>
          <w:color w:val="auto"/>
        </w:rPr>
      </w:pPr>
      <w:r>
        <w:rPr>
          <w:rFonts w:ascii="Times New Roman" w:cs="Times New Roman" w:eastAsia="Times New Roman" w:hAnsi="Times New Roman"/>
          <w:sz w:val="18"/>
          <w:szCs w:val="18"/>
          <w:color w:val="auto"/>
        </w:rPr>
        <w:t xml:space="preserve">(iv)             </w:t>
      </w: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Company is obligated to cause its legal counsel to deliver legal opinions to the Company’s transfer agent or registrar, as may be required in connection with any legend removal upon the expiration of any holding period or other requirement for which the Underlying Shares may bear legends restricting the transfer thereof.</w:t>
      </w:r>
    </w:p>
    <w:p>
      <w:pPr>
        <w:spacing w:after="0" w:line="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(e)          </w:t>
      </w:r>
      <w:r>
        <w:rPr>
          <w:rFonts w:ascii="Times New Roman" w:cs="Times New Roman" w:eastAsia="Times New Roman" w:hAnsi="Times New Roman"/>
          <w:sz w:val="17"/>
          <w:szCs w:val="17"/>
          <w:u w:val="single" w:color="auto"/>
          <w:color w:val="auto"/>
        </w:rPr>
        <w:t>  Adjustment of Conversion Price upon Subdivision or Combination of Ordinary Shares</w:t>
      </w:r>
      <w:r>
        <w:rPr>
          <w:rFonts w:ascii="Times New Roman" w:cs="Times New Roman" w:eastAsia="Times New Roman" w:hAnsi="Times New Roman"/>
          <w:sz w:val="17"/>
          <w:szCs w:val="17"/>
          <w:color w:val="auto"/>
        </w:rPr>
        <w:t>. If the Company, at any time while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Debenture is outstanding, shall (a) pay a stock dividend or otherwise make a distribution or distributions on its Ordinary Shares or any other equity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equity equivalent securities payable in Ordinary Shares, (b) subdivide outstanding Ordinary Shares into a larger number of shares, (c) combine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way of reverse stock split) outstanding Ordinary Shares into a smaller number of shares, or (d) issue by reclassification of shares of the Ordinary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shares of capital stock of the Company, then each of the Fixed Conversion Price and the Floor Price shall be multiplied by a fraction of which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numerator shall be the number of Ordinary Shares (excluding treasury shares, if any) outstanding before such event and of which the denominator shall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number of Ordinary Shares outstanding after such event. Any adjustment made pursuant to this Section shall become effective immediately after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 for the determination of stockholders entitled to receive such dividend or distribution and shall become effective immediately after the effective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in the case of a subdivision, combination or re-classification.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Other Corporate Events</w:t>
      </w:r>
      <w:r>
        <w:rPr>
          <w:rFonts w:ascii="Times New Roman" w:cs="Times New Roman" w:eastAsia="Times New Roman" w:hAnsi="Times New Roman"/>
          <w:sz w:val="18"/>
          <w:szCs w:val="18"/>
          <w:color w:val="auto"/>
        </w:rPr>
        <w:t>. In addition to and not in substitution for any other rights hereunder, prior to the consummation of any Fundamental Transaction pursuant to which holders of Ordinary Shares are entitled to receive securities or other assets with respect to or in exchange for Ordinary Shares (a “</w:t>
      </w:r>
      <w:r>
        <w:rPr>
          <w:rFonts w:ascii="Times New Roman" w:cs="Times New Roman" w:eastAsia="Times New Roman" w:hAnsi="Times New Roman"/>
          <w:sz w:val="18"/>
          <w:szCs w:val="18"/>
          <w:u w:val="single" w:color="auto"/>
          <w:color w:val="auto"/>
        </w:rPr>
        <w:t>Corporate Event</w:t>
      </w:r>
      <w:r>
        <w:rPr>
          <w:rFonts w:ascii="Times New Roman" w:cs="Times New Roman" w:eastAsia="Times New Roman" w:hAnsi="Times New Roman"/>
          <w:sz w:val="18"/>
          <w:szCs w:val="18"/>
          <w:color w:val="auto"/>
        </w:rPr>
        <w:t>”), the Company shall make appropriate provision to ensure that the Holder will thereafter have the right to receive upon a conversion of this Debenture, at the Holder's option, (i) in addition to the Ordinary Shares receivable upon such conversion, such securities or other assets to which the Holder would have been entitled with respect to such Ordinary Shares had such Ordinary Shares been held by the Holder upon the consummation of such Corporate Event (without taking into account any limitations or restrictions on the convertibility of this Debenture) or (ii) in lieu of the Ordinary Shares otherwise receivable upon such conversion, such securities or other assets received by the holders of Ordinary Shares in connection with the consummation of such Corporate Event in such amounts as the Holder would have been entitled to receive had this Debenture initially been issued with conversion rights for the form of such consideration (as opposed to Ordinary Shares) at a conversion rate for such consideration commensurate with the Conversion Rate. Provision made pursuant to the preceding sentence shall be in a form and substance satisfactory to the Holder. The provisions of this Section shall apply similarly and equally to successive Corporate Events and shall be applied without regard to any limitations on the conversion or redemption of this Debenture. Notwithstanding the foregoing, the Company shall have the right to pay in cash the Principal amount of this Debenture, together with interest and other amounts owing in respect thereof, immediately prior to the consummation of the Fundamental Transaction in accordance with the early redemption provisions set forth in Section 2(b).</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firstLine="1944"/>
        <w:spacing w:after="0" w:line="276" w:lineRule="auto"/>
        <w:rPr>
          <w:sz w:val="20"/>
          <w:szCs w:val="20"/>
          <w:color w:val="auto"/>
        </w:rPr>
      </w:pPr>
      <w:r>
        <w:rPr>
          <w:rFonts w:ascii="Times New Roman" w:cs="Times New Roman" w:eastAsia="Times New Roman" w:hAnsi="Times New Roman"/>
          <w:sz w:val="17"/>
          <w:szCs w:val="17"/>
          <w:color w:val="auto"/>
        </w:rPr>
        <w:t>(g)            Whenever the Conversion Price is adjusted pursuant to Section 4 hereof, the Company shall promptly provide the Holder with a written notice setting forth the Conversion Price after such adjustment and setting forth a brief statement of the facts requiring such adjustment.</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(h)            In case of any (1) merger or consolidation of the Company or any Subsidiary of the Company with or into another Person, or (2) sale by the Company or any Subsidiary of the Company of more than one-half of the assets of the Company in one or a series of related transactions, the Holder shall have the right to (A) exercise any rights under Section (3)(b), (B) convert the aggregate amount of this Debenture then outstanding into the shares of stock and other securities, cash and property receivable upon or deemed to be held by holders of Ordinary Shares following such merger, consolidation or sale, and the Holder shall be entitled upon such event or series of related events to receive such amount of securities, cash and property as the Ordinary Shares into which such aggregate outstanding amount of this Debenture could have been converted immediately prior to such merger, consolidation or sales, would have been entitled to receive, or (C) in the case of a merger or consolidation, require the surviving entity to issue to the Holder a convertible Debenture with a Principal amount equal to the aggregate Principal amount of this Debenture then held by the Holder, plus all accrued and unpaid interest and other amounts owing thereon, which such newly issued convertible Debenture shall have terms identical (including with respect to conversion) to the terms of this Debenture, and shall be entitled to all of the rights and privileges of the Holder of this Debenture set forth herein and the agreements pursuant to which this Debenture was issued. In the case of clause (C), the conversion price applicable for the newly issued shares of convertible preferred stock or convertible debentures shall be based upon the amount of securities, cash and property that each share of Ordinary Shares would receive in such transaction and the Conversion Price in effect immediately prior to the effectiveness or closing date for such transaction. The terms of any such merger, sale or consolidation shall include such terms so as to continue to give the Holder the right to receive the securities, cash and property set forth in this Section upon any conversion or redemption following such event. This provision shall similarly apply to successive such events.  </w:t>
      </w:r>
    </w:p>
    <w:p>
      <w:pPr>
        <w:spacing w:after="0" w:line="20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REISSUANCE OF THIS DEBENTURE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Transfer</w:t>
      </w:r>
      <w:r>
        <w:rPr>
          <w:rFonts w:ascii="Times New Roman" w:cs="Times New Roman" w:eastAsia="Times New Roman" w:hAnsi="Times New Roman"/>
          <w:sz w:val="18"/>
          <w:szCs w:val="18"/>
          <w:color w:val="auto"/>
        </w:rPr>
        <w:t>. If this Debenture is to be transferred, the Holder shall surrender this Debenture to the Company, whereupon the Company will forthwith issue and deliver upon the order of the Holder a new Debenture (in accordance with Section (7)(d)), registered in the name of the registered transferee or assignee, representing the outstanding Principal being transferred by the Holder (along with any accrued and unpaid interest thereof) and, if less than the entire outstanding Principal is being transferred, a new Debenture (in accordance with Section (7)(d)) to the Holder representing the outstanding Principal not being transferred. The Holder and any assignee, by acceptance of this Debenture, acknowledge and agree that, by reason of the provisions of Section (4)(b)(iii) following conversion or redemption of any portion of this Debenture, the outstanding Principal represented by this Debenture may be less than the Principal stated on the face of this Debenture.</w:t>
      </w:r>
    </w:p>
    <w:p>
      <w:pPr>
        <w:spacing w:after="0" w:line="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Lost, Stolen or Mutilated Debenture</w:t>
      </w:r>
      <w:r>
        <w:rPr>
          <w:rFonts w:ascii="Times New Roman" w:cs="Times New Roman" w:eastAsia="Times New Roman" w:hAnsi="Times New Roman"/>
          <w:sz w:val="18"/>
          <w:szCs w:val="18"/>
          <w:color w:val="auto"/>
        </w:rPr>
        <w:t>. Upon receipt by the Company of evidence reasonably satisfactory to the Company of the loss, theft, destruction or mutilation of this Debenture, and, in the case of loss, theft or destruction, of any indemnification undertaking by the Holder to the Company in customary form and, in the case of mutilation, upon surrender and cancellation of this Debenture, the Company shall execute and deliver to the Holder a new Debenture (in accordance with Section (5)(d)) representing the outstanding Principal.</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Debenture Exchangeable for Different Denominations</w:t>
      </w:r>
      <w:r>
        <w:rPr>
          <w:rFonts w:ascii="Times New Roman" w:cs="Times New Roman" w:eastAsia="Times New Roman" w:hAnsi="Times New Roman"/>
          <w:sz w:val="18"/>
          <w:szCs w:val="18"/>
          <w:color w:val="auto"/>
        </w:rPr>
        <w:t>. This Debenture is exchangeable, upon the surrender hereof by the Holder at the principal office of the Company, for a new Debenture or Debentures (in accordance with Section (5)(d)) representing in the aggregate the outstanding Principal of this Debenture, and each such new Debenture will represent such portion of such outstanding Principal as is designated by the Holder at the time of such surrender.</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0" w:name="page11"/>
    <w:bookmarkEnd w:id="10"/>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Issuance of New Debentures</w:t>
      </w:r>
      <w:r>
        <w:rPr>
          <w:rFonts w:ascii="Times New Roman" w:cs="Times New Roman" w:eastAsia="Times New Roman" w:hAnsi="Times New Roman"/>
          <w:sz w:val="18"/>
          <w:szCs w:val="18"/>
          <w:color w:val="auto"/>
        </w:rPr>
        <w:t>. Whenever the Company is required to issue a new Debenture pursuant to the terms of this Debenture, such new Debenture (i) shall be of like tenor with this Debenture, (ii) shall represent, as indicated on the face of such new Debenture, the Principal remaining outstanding (or in the case of a new Debenture being issued pursuant to Section (5)(a) or Section (5)(c), the Principal designated by the Holder which, when added to the Principal represented by the other new Debentures issued in connection with such issuance, does not exceed the Principal remaining outstanding under this Debenture immediately prior to such issuance of new Debentures), (iii) shall have an issuance date, as indicated on the face of such new Debenture, which is the same as the Issuance Date of this Debenture, (iv) shall have the same rights and conditions as this Debenture, and</w:t>
      </w:r>
    </w:p>
    <w:p>
      <w:pPr>
        <w:spacing w:after="0" w:line="5" w:lineRule="exact"/>
        <w:rPr>
          <w:sz w:val="20"/>
          <w:szCs w:val="20"/>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represent accrued and unpaid Interest from the Issuance Date.</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jc w:val="both"/>
        <w:ind w:firstLine="129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notices, consents, waivers or other communications required or permitted to be given under the terms hereof must be in writing by letter and email and will be deemed to have been delivered: upon the later of (A) either (i) receipt, when delivered personally or (ii) one (1) Business Day after deposit with an express courier service, in each case, properly addressed to the party to receive the same and (B) receipt, when sent by electronic mail. The addresses and e-mail addresses for such communications shall be: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If to the Company, to:</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Sono Group N.V.</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Waldmeisterstraße 93</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80935 Munich</w:t>
            </w:r>
          </w:p>
        </w:tc>
        <w:tc>
          <w:tcPr>
            <w:tcW w:w="0" w:type="dxa"/>
            <w:vAlign w:val="bottom"/>
          </w:tcPr>
          <w:p>
            <w:pPr>
              <w:spacing w:after="0"/>
              <w:rPr>
                <w:sz w:val="1"/>
                <w:szCs w:val="1"/>
                <w:color w:val="auto"/>
              </w:rPr>
            </w:pPr>
          </w:p>
        </w:tc>
      </w:tr>
      <w:tr>
        <w:trPr>
          <w:trHeight w:val="21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216"/>
        </w:trPr>
        <w:tc>
          <w:tcPr>
            <w:tcW w:w="3760" w:type="dxa"/>
            <w:vAlign w:val="bottom"/>
            <w:vMerge w:val="continue"/>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Attn: Legal Department</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 legal@sonomotors.com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DLA Piper Nederland N.V.</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Strawinskyhuis Prinses</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Amaliaplein 3 1077 XS Amsterdam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Netherlands</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+31 (0)20 541 98 88</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Pabe Suurd</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E-Mail: Pabe.Suurd@dlapiper.com</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2"/>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If to the Holder:</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YA II PN, Ltd</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 Yorkville Advisors Global, LLC</w:t>
            </w:r>
          </w:p>
        </w:tc>
        <w:tc>
          <w:tcPr>
            <w:tcW w:w="0" w:type="dxa"/>
            <w:vAlign w:val="bottom"/>
          </w:tcPr>
          <w:p>
            <w:pPr>
              <w:spacing w:after="0"/>
              <w:rPr>
                <w:sz w:val="1"/>
                <w:szCs w:val="1"/>
                <w:color w:val="auto"/>
              </w:rPr>
            </w:pPr>
          </w:p>
        </w:tc>
      </w:tr>
      <w:tr>
        <w:trPr>
          <w:trHeight w:val="216"/>
        </w:trPr>
        <w:tc>
          <w:tcPr>
            <w:tcW w:w="3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1012 Springfield Avenue</w:t>
            </w:r>
          </w:p>
        </w:tc>
        <w:tc>
          <w:tcPr>
            <w:tcW w:w="0" w:type="dxa"/>
            <w:vAlign w:val="bottom"/>
          </w:tcPr>
          <w:p>
            <w:pPr>
              <w:spacing w:after="0"/>
              <w:rPr>
                <w:sz w:val="1"/>
                <w:szCs w:val="1"/>
                <w:color w:val="auto"/>
              </w:rPr>
            </w:pPr>
          </w:p>
        </w:tc>
      </w:tr>
      <w:tr>
        <w:trPr>
          <w:trHeight w:val="212"/>
        </w:trPr>
        <w:tc>
          <w:tcPr>
            <w:tcW w:w="3760" w:type="dxa"/>
            <w:vAlign w:val="bottom"/>
            <w:vMerge w:val="continue"/>
          </w:tcPr>
          <w:p>
            <w:pPr>
              <w:spacing w:after="0"/>
              <w:rPr>
                <w:sz w:val="18"/>
                <w:szCs w:val="18"/>
                <w:color w:val="auto"/>
              </w:rPr>
            </w:pP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Mountainside, NJ 07092</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Attention: Mark Angelo</w:t>
            </w:r>
          </w:p>
        </w:tc>
        <w:tc>
          <w:tcPr>
            <w:tcW w:w="0" w:type="dxa"/>
            <w:vAlign w:val="bottom"/>
          </w:tcPr>
          <w:p>
            <w:pPr>
              <w:spacing w:after="0"/>
              <w:rPr>
                <w:sz w:val="1"/>
                <w:szCs w:val="1"/>
                <w:color w:val="auto"/>
              </w:rPr>
            </w:pPr>
          </w:p>
        </w:tc>
      </w:tr>
      <w:tr>
        <w:trPr>
          <w:trHeight w:val="220"/>
        </w:trPr>
        <w:tc>
          <w:tcPr>
            <w:tcW w:w="3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Telephone: 201-985-8300</w:t>
            </w:r>
          </w:p>
        </w:tc>
        <w:tc>
          <w:tcPr>
            <w:tcW w:w="0" w:type="dxa"/>
            <w:vAlign w:val="bottom"/>
          </w:tcPr>
          <w:p>
            <w:pPr>
              <w:spacing w:after="0"/>
              <w:rPr>
                <w:sz w:val="1"/>
                <w:szCs w:val="1"/>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ind w:left="200"/>
              <w:spacing w:after="0"/>
              <w:rPr>
                <w:sz w:val="20"/>
                <w:szCs w:val="20"/>
                <w:color w:val="auto"/>
              </w:rPr>
            </w:pPr>
            <w:r>
              <w:rPr>
                <w:rFonts w:ascii="Times New Roman" w:cs="Times New Roman" w:eastAsia="Times New Roman" w:hAnsi="Times New Roman"/>
                <w:sz w:val="18"/>
                <w:szCs w:val="18"/>
                <w:color w:val="auto"/>
                <w:w w:val="98"/>
              </w:rPr>
              <w:t>Email:  Legal@yorkvilleadvisors.com</w:t>
            </w:r>
          </w:p>
        </w:tc>
        <w:tc>
          <w:tcPr>
            <w:tcW w:w="0" w:type="dxa"/>
            <w:vAlign w:val="bottom"/>
          </w:tcPr>
          <w:p>
            <w:pPr>
              <w:spacing w:after="0"/>
              <w:rPr>
                <w:sz w:val="1"/>
                <w:szCs w:val="1"/>
                <w:color w:val="auto"/>
              </w:rPr>
            </w:pPr>
          </w:p>
        </w:tc>
      </w:tr>
      <w:tr>
        <w:trPr>
          <w:trHeight w:val="234"/>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2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53" w:lineRule="auto"/>
        <w:rPr>
          <w:sz w:val="20"/>
          <w:szCs w:val="20"/>
          <w:color w:val="auto"/>
        </w:rPr>
      </w:pPr>
      <w:r>
        <w:rPr>
          <w:rFonts w:ascii="Times New Roman" w:cs="Times New Roman" w:eastAsia="Times New Roman" w:hAnsi="Times New Roman"/>
          <w:sz w:val="18"/>
          <w:szCs w:val="18"/>
          <w:color w:val="auto"/>
        </w:rPr>
        <w:t>or at such other address and/or email and/or to the attention of such other person as the recipient party has specified by written notice given to each other party three (3) Business Days prior to the effectiveness of such change. Written confirmation of receipt (i) given by the recipient of such notice, consent, waiver or other communication, (ii) electronically generated by the sender's email service provider containing the time, date, recipient email address or (iii) provided by a nationally recognized overnight delivery service, shall be rebuttable evidence of personal service, receipt by email or receipt from a nationally recognized overnight delivery service in accordance with clause (i), (ii) or (iii) above, respectively.   </w:t>
      </w:r>
    </w:p>
    <w:p>
      <w:pPr>
        <w:spacing w:after="0" w:line="205"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(7)           Except as expressly provided herein, no provision of this Debenture shall alter or impair the obligations of the Company, which are absolute and unconditional, to pay the Principal of, interest and other charges (if any) on, this Debenture at the time, place, and rate, and in the coin or currency, herein prescribed. This Debenture is a direct obligation of the Company. As long as this Debenture is outstanding, the Company shall not and shall cause its Subsidiaries not to, without the consent of the Holder, (i) amend its articles of association so as to materially and adversely affect any rights of the Holder; (ii) repay, repurchase or offer to repay, repurchase or otherwise acquire Ordinary Shares or other equity securities; or (iii) enter into any agreement with respect to any of the foregoing.</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1" w:name="page12"/>
    <w:bookmarkEnd w:id="11"/>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(8)           This Debenture shall not entitle the Holder to any of the rights of a stockholder of the Company, including without limitation, the right to vote, to receive dividends and other distributions, or to receive any notice of, or to attend, meetings of stockholders or any other proceedings of the Company, unless and to the extent converted into Ordinary Shares in accordance with the terms hereof.</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(9)           After the Issuance Date, without the Holder’s consent, the Company will not and will not permit any of its Subsidiaries to, directly or indirectly, enter into, create, incur, assume or suffer to exist any indebtedness or any security interests or liens of any kind, on or with respect to any of its property or assets now owned or hereafter acquired or any interest therein or any income or profits therefrom.</w:t>
      </w:r>
    </w:p>
    <w:p>
      <w:pPr>
        <w:spacing w:after="0" w:line="186" w:lineRule="exact"/>
        <w:rPr>
          <w:sz w:val="20"/>
          <w:szCs w:val="20"/>
          <w:color w:val="auto"/>
        </w:rPr>
      </w:pPr>
    </w:p>
    <w:p>
      <w:pPr>
        <w:ind w:left="1640" w:hanging="336"/>
        <w:spacing w:after="0"/>
        <w:tabs>
          <w:tab w:leader="none" w:pos="1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LAW; VENUE</w:t>
      </w: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9" w:lineRule="exact"/>
        <w:rPr>
          <w:rFonts w:ascii="Times New Roman" w:cs="Times New Roman" w:eastAsia="Times New Roman" w:hAnsi="Times New Roman"/>
          <w:sz w:val="18"/>
          <w:szCs w:val="18"/>
          <w:color w:val="auto"/>
        </w:rPr>
      </w:pPr>
    </w:p>
    <w:p>
      <w:pPr>
        <w:ind w:left="26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Debenture shall be governed by and construed in accordance with the laws of the State of New York, without</w:t>
      </w:r>
    </w:p>
    <w:p>
      <w:pPr>
        <w:spacing w:after="0" w:line="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giving effect to conflicts of laws thereof. Each of the parties consents to the jurisdiction of the Supreme Court of the State of New York located in the City of New York, Borough of Manhattan, and the U.S. District Court for the Southern District of New York in connection with any dispute arising under this Debenture and hereby waives, to the maximum extent permitted by law, any objection, including any objection based on forum non conveniens to the bringing of any such proceeding in such jurisdictions. THE PARTIES HEREBY KNOWINGLY, VOLUNTARILY AND INTENTIONALLY WAIVE THE RIGHT ANY OF THEM MAY HAVE TO A TRIAL BY JURY IN RESPECT OF ANY LITIGATION BASED HEREON OR ARISING OUT OF, UNDER OR IN CONNECTION WITH THIS AGREEMENT OR ANY TRANSACTION DOCUMENT OR ANY COURSE OF CONDUCT, COURSE OF DEALING, STATEMENTS (WHETHER VERBAL OR WRITTEN) OR ACTIONS OF ANY PARTY. THIS PROVISION IS A MATERIAL INDUCEMENT FOR THE PARTIES’ ACCEPTANCE OF THIS AGREEMENT.</w:t>
      </w:r>
    </w:p>
    <w:p>
      <w:pPr>
        <w:spacing w:after="0" w:line="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(11)         If the Company or any Guarantor fails to materially comply with the terms of this Debenture and/or any other Transaction Documents, then, to the extent reasonably incurred and documented, the Company shall reimburse the Holder for all fees, costs and expenses, including, without limitation, attorneys’ fees and expenses incurred by the Holder in any action in connection with this Debenture and/or any other Transaction Document, including, without limitation, those incurred: (i) during any workout, attempted workout, and/or in connection with the rendering of legal advice as to the Holder’s rights, remedies and obligations, (ii) collecting any sums which become due to the Holder, (iii) defending or prosecuting any proceeding or any counterclaim to any proceeding or appeal; or (iv) the protection, preservation or enforcement of any rights or remedies of the Holder.</w:t>
      </w:r>
    </w:p>
    <w:p>
      <w:pPr>
        <w:spacing w:after="0" w:line="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296"/>
        <w:spacing w:after="0" w:line="253" w:lineRule="auto"/>
        <w:rPr>
          <w:sz w:val="20"/>
          <w:szCs w:val="20"/>
          <w:color w:val="auto"/>
        </w:rPr>
      </w:pPr>
      <w:r>
        <w:rPr>
          <w:rFonts w:ascii="Times New Roman" w:cs="Times New Roman" w:eastAsia="Times New Roman" w:hAnsi="Times New Roman"/>
          <w:sz w:val="18"/>
          <w:szCs w:val="18"/>
          <w:color w:val="auto"/>
        </w:rPr>
        <w:t>(12)         Any waiver by the Holder of a breach of any provision of this Debenture shall not operate as or be construed to be a waiver of any other breach of such provision or of any breach of any other provision of this Debenture. The failure of the Holder to insist upon strict adherence to any term of this Debenture on one or more occasions shall not be considered a waiver or deprive that party of the right thereafter to insist upon strict adherence to that term or any other term of this Debenture. Any waiver must be in writing.  </w:t>
      </w:r>
    </w:p>
    <w:p>
      <w:pPr>
        <w:spacing w:after="0" w:line="207"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(13)         If any provision of this Debenture is invalid, illegal or unenforceable, the balance of this Debenture shall remain in effect, and if any provision is inapplicable to any person or circumstance, it shall nevertheless remain applicable to all other persons and circumstances. If it shall be found that any interest or other amount deemed interest due hereunder shall violate applicable laws governing usury, the applicable rate of interest due hereunder shall automatically be lowered to equal the maximum permitted rate of interest. The Company covenants (to the extent that it may lawfully do so) that it shall not at any time insist upon, plead, or in any manner whatsoever claim or take the benefit or advantage of, any stay, extension or usury law or other law which would prohibit or forgive the Company from paying all or any portion of the Principal of or interest on this Debenture as contemplated herein, wherever enacted, now or at any time hereafter in force, or which may affect the covenants or the performance of this indenture, and the Company (to the extent it may lawfully do so) hereby expressly waives all benefits or advantage of any such law, and covenants that it will not, by resort to any such law, hinder, delay or impeded the execution of any power herein granted to the Holder, but will suffer and permit the execution of every such as though no such law has been enacted.</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2" w:name="page13"/>
    <w:bookmarkEnd w:id="12"/>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(14)         Whenever any payment or other obligation hereunder shall be due on a day other than a Business Day, such payment shall be made on the next succeeding Business Day.</w:t>
      </w: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CERTAIN DEFINITIONS.</w:t>
      </w:r>
      <w:r>
        <w:rPr>
          <w:rFonts w:ascii="Times New Roman" w:cs="Times New Roman" w:eastAsia="Times New Roman" w:hAnsi="Times New Roman"/>
          <w:sz w:val="18"/>
          <w:szCs w:val="18"/>
          <w:color w:val="auto"/>
        </w:rPr>
        <w:t xml:space="preserve"> For purposes of this Debenture, the following terms shall have the following meanings:</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Bloomberg</w:t>
      </w:r>
      <w:r>
        <w:rPr>
          <w:rFonts w:ascii="Times New Roman" w:cs="Times New Roman" w:eastAsia="Times New Roman" w:hAnsi="Times New Roman"/>
          <w:sz w:val="18"/>
          <w:szCs w:val="18"/>
          <w:color w:val="auto"/>
        </w:rPr>
        <w:t>” means Bloomberg Financial Markets.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right="20" w:firstLine="1944"/>
        <w:spacing w:after="0" w:line="250"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any day except Saturday, Sunday and any day which shall be a federal legal holiday in the United States or a day on which banking institutions are authorized or required by law or other government action to close.</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1944"/>
        <w:spacing w:after="0" w:line="251"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Change of Control Transaction</w:t>
      </w:r>
      <w:r>
        <w:rPr>
          <w:rFonts w:ascii="Times New Roman" w:cs="Times New Roman" w:eastAsia="Times New Roman" w:hAnsi="Times New Roman"/>
          <w:sz w:val="18"/>
          <w:szCs w:val="18"/>
          <w:color w:val="auto"/>
        </w:rPr>
        <w:t>” means the occurrence of (a) an acquisition after the date hereof by an individual or legal entity or “group” (as described in Rule 13d-5(b)(1) promulgated under the Exchange Act) of effective control (whether through legal or beneficial ownership of capital stock of the Company, by contract or otherwise) of in excess of fifty percent (50%) of the voting power of the Company (except that the acquisition of voting securities by the Holder or any other current holder of convertible securities of the Company shall not constitute a Change of Control Transaction for purposes hereof), (b) a replacement at one time or over time of more than one-half of the members of the management board or supervisory board of the Company (other than as due to the death or disability of a member of the management board or supervisory board) which is not approved by a majority of those individuals who are members of the management board or supervisory board on the date hereof (or by those individuals who are serving as members of the board of directors on any date whose nomination to the management board or supervisory board was approved by a majority of the members of the management board or supervisory board who are members on the date hereof), (c) the merger, consolidation or sale of fifty percent (50%) or more of the assets of the Company or any Subsidiary of the Company in one or a series of related transactions with or into another entity, or (d) the execution by the Company of an agreement to which the Company is a party or by which it is bound, providing for any of the events set forth above in (a), (b) or (c). No transfer to a wholly-owned Subsidiary shall be deemed a Change of Control Transaction under this provision.  </w:t>
      </w:r>
    </w:p>
    <w:p>
      <w:pPr>
        <w:spacing w:after="0" w:line="210"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Closing Price</w:t>
      </w:r>
      <w:r>
        <w:rPr>
          <w:rFonts w:ascii="Times New Roman" w:cs="Times New Roman" w:eastAsia="Times New Roman" w:hAnsi="Times New Roman"/>
          <w:sz w:val="18"/>
          <w:szCs w:val="18"/>
          <w:color w:val="auto"/>
        </w:rPr>
        <w:t>” means the price per share in the last reported trade of the Ordinary Shares on a Primary Market or on the exchange or over-the-counter market on which the Ordinary Shares is then listed as quoted by Bloomberg.</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has the meaning given to such term in the Security Agreement and the Pledge Agreement.</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Securities and Exchange Commission.</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Floor Price</w:t>
      </w:r>
      <w:r>
        <w:rPr>
          <w:rFonts w:ascii="Times New Roman" w:cs="Times New Roman" w:eastAsia="Times New Roman" w:hAnsi="Times New Roman"/>
          <w:sz w:val="18"/>
          <w:szCs w:val="18"/>
          <w:color w:val="auto"/>
        </w:rPr>
        <w:t>” solely with respect to the Variable Conversion Price, shall mean a price per share equal to 20% of the Closing Price on the Trading Day immediately prior to the Issuance Date of this Debenture. Notwithstanding the foregoing, the Company may reduce the Floor Price to any amounts set forth in a written notice to the Holder; provided that such reduction shall be irrevocable and shall not be subject to increase thereafter.</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2"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Fundamental Transaction</w:t>
      </w:r>
      <w:r>
        <w:rPr>
          <w:rFonts w:ascii="Times New Roman" w:cs="Times New Roman" w:eastAsia="Times New Roman" w:hAnsi="Times New Roman"/>
          <w:sz w:val="18"/>
          <w:szCs w:val="18"/>
          <w:color w:val="auto"/>
        </w:rPr>
        <w:t xml:space="preserve"> means any of the following: (1) the Company effects any merger or consolidation of the Company with or into another Person and the Company is the non-surviving company (other than a merger or consolidation with a wholly owned Subsidiary of the Company for the purpose of redomiciling the Company), (2) the Company effects any sale of all or substantially all of its assets in one or a series of related transactions, (3) any tender offer or exchange offer (whether by the Company or another Person) is completed pursuant to which holders of Ordinary Shares are permitted to tender or exchange their shares for other securities, cash or property, or (4) the Company effects any reclassification of the Ordinary Shares or any compulsory share exchange pursuant to which the Ordinary Shares is effectively converted into or exchanged for other securities, cash or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means each of the guarantors from time to time party to the Guaranty.</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Guaranty</w:t>
      </w:r>
      <w:r>
        <w:rPr>
          <w:rFonts w:ascii="Times New Roman" w:cs="Times New Roman" w:eastAsia="Times New Roman" w:hAnsi="Times New Roman"/>
          <w:sz w:val="18"/>
          <w:szCs w:val="18"/>
          <w:color w:val="auto"/>
        </w:rPr>
        <w:t>” means that certain Guaranty Agreement, dated as of June 20, 2024, made by each of the Guarantors party thereto from time to time in favor of the Holder, as may be amended, restated, supplemented or otherwise modified from time to time.</w:t>
      </w:r>
    </w:p>
    <w:p>
      <w:pPr>
        <w:spacing w:after="0" w:line="181" w:lineRule="exact"/>
        <w:rPr>
          <w:sz w:val="20"/>
          <w:szCs w:val="20"/>
          <w:color w:val="auto"/>
        </w:rPr>
      </w:pPr>
    </w:p>
    <w:p>
      <w:pPr>
        <w:jc w:val="both"/>
        <w:ind w:firstLine="1944"/>
        <w:spacing w:after="0" w:line="267" w:lineRule="auto"/>
        <w:rPr>
          <w:sz w:val="20"/>
          <w:szCs w:val="20"/>
          <w:color w:val="auto"/>
        </w:rPr>
      </w:pPr>
      <w:r>
        <w:rPr>
          <w:rFonts w:ascii="Times New Roman" w:cs="Times New Roman" w:eastAsia="Times New Roman" w:hAnsi="Times New Roman"/>
          <w:sz w:val="17"/>
          <w:szCs w:val="17"/>
          <w:color w:val="auto"/>
        </w:rPr>
        <w:t>(k)            “</w:t>
      </w:r>
      <w:r>
        <w:rPr>
          <w:rFonts w:ascii="Times New Roman" w:cs="Times New Roman" w:eastAsia="Times New Roman" w:hAnsi="Times New Roman"/>
          <w:sz w:val="17"/>
          <w:szCs w:val="17"/>
          <w:u w:val="single" w:color="auto"/>
          <w:color w:val="auto"/>
        </w:rPr>
        <w:t>Obligations</w:t>
      </w:r>
      <w:r>
        <w:rPr>
          <w:rFonts w:ascii="Times New Roman" w:cs="Times New Roman" w:eastAsia="Times New Roman" w:hAnsi="Times New Roman"/>
          <w:sz w:val="17"/>
          <w:szCs w:val="17"/>
          <w:color w:val="auto"/>
        </w:rPr>
        <w:t>” means all of the Company’s and each Guarantor’s now existing and hereafter created or arising obligations, indebtedness and liabilities of any kind (whether primary or secondary, conditional or unconditional, contingent or noncontingent, joint or several) owed to the Holder, whether existing, created, incurred or arising in the Company’s or such Guarantor’s capacity as a borrower, guarantor, indemnitor, customer, purchaser, lessee, licensee, applicant, counterparty, debtor or other obligor, including (a) any loan amount, principal, interest (including interest accruing during the pendency of any bankruptcy, insolvency, receivership or other similar proceeding, regardless of whether allowed or allowable in such proceeding), fee, charge, indemnification obligation, reimbursement obligation, royalty, premium, cost, expense, price, rent or other amount owed by the Company or such Guarantor to the Holder at any time, including future advances, protective advances and other financial accommodations, (b) any obligations, indebtedness or liabilities of the Company and the Guarantors to the Holder under any Transaction Document at any time, and (c) any of the foregoing that may have been, or that may be, acquired by the Holder from any third party, the Company or any Guarantor at any time.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0"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Ordinary Shares</w:t>
      </w:r>
      <w:r>
        <w:rPr>
          <w:rFonts w:ascii="Times New Roman" w:cs="Times New Roman" w:eastAsia="Times New Roman" w:hAnsi="Times New Roman"/>
          <w:sz w:val="18"/>
          <w:szCs w:val="18"/>
          <w:color w:val="auto"/>
        </w:rPr>
        <w:t>” means the Ordinary Shares, nominal value €0.06, of the Company and shares of any other class into which such shares may hereafter be changed or reclassified.</w:t>
      </w:r>
    </w:p>
    <w:p>
      <w:pPr>
        <w:spacing w:after="0" w:line="181"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Other Debentures</w:t>
      </w:r>
      <w:r>
        <w:rPr>
          <w:rFonts w:ascii="Times New Roman" w:cs="Times New Roman" w:eastAsia="Times New Roman" w:hAnsi="Times New Roman"/>
          <w:sz w:val="18"/>
          <w:szCs w:val="18"/>
          <w:color w:val="auto"/>
        </w:rPr>
        <w:t>” means (i) the convertible debenture issued on December 7, 2022 in the original principal amount of USD 11,100,000 and designated as “SEV-1,” (ii) the convertible debenture issued on December 8, 2022 in the original principal amount of USD 10,000,000 and designated as “SEV-2,”(iii) the convertible debenture issued on December 20, 2022 in the original principal amount of USD 10,000,000 and designated as “SEV-3,” (iv) the convertible debenture issued on February 5, 2024 in the original principal amount of USD 4,317,600 and designated as “SEV-4,” (v) the convertible debenture issued on August 30, 2024 in the original principal amount of USD 3,338,100 and designated as “SEV-5,” (vi) the convertible debenture issued on February 12, 2025 in the original principal amount of USD 1,000,000 and designated as “SEV-6a,” (vii) the convertible debenture issued on March 25, 2025 in the original principal amount of USD 1,000,000 and designated as “SEV-6b and the convertible debenture issued on April 24, 2025 in the original principal amount of USD 500,000 and designated as “SEV-6c.”</w:t>
      </w:r>
    </w:p>
    <w:p>
      <w:pPr>
        <w:spacing w:after="0" w:line="192"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 corporation, an association, a partnership, organization, a business, an individual, a government or political subdivision thereof or a governmental agency.</w:t>
      </w:r>
    </w:p>
    <w:p>
      <w:pPr>
        <w:spacing w:after="0" w:line="162" w:lineRule="exact"/>
        <w:rPr>
          <w:sz w:val="20"/>
          <w:szCs w:val="20"/>
          <w:color w:val="auto"/>
        </w:rPr>
      </w:pPr>
    </w:p>
    <w:p>
      <w:pPr>
        <w:jc w:val="both"/>
        <w:ind w:firstLine="1944"/>
        <w:spacing w:after="0" w:line="261"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Pledge Agreement</w:t>
      </w:r>
      <w:r>
        <w:rPr>
          <w:rFonts w:ascii="Times New Roman" w:cs="Times New Roman" w:eastAsia="Times New Roman" w:hAnsi="Times New Roman"/>
          <w:sz w:val="18"/>
          <w:szCs w:val="18"/>
          <w:color w:val="auto"/>
        </w:rPr>
        <w:t>” means that certain Pledge Agreement, dated as of February 5, 2024, by the Company and the Guarantors from time to time party thereto in favor of the Holder, as may be amended, restated, supplemented or otherwise modified from time to time.</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Primary Market</w:t>
      </w:r>
      <w:r>
        <w:rPr>
          <w:rFonts w:ascii="Times New Roman" w:cs="Times New Roman" w:eastAsia="Times New Roman" w:hAnsi="Times New Roman"/>
          <w:sz w:val="18"/>
          <w:szCs w:val="18"/>
          <w:color w:val="auto"/>
        </w:rPr>
        <w:t>” means any of OTCQB, The New York Stock Exchange, the Nasdaq Global Market or the Nasdaq Global Select Market, and any successor to any of the foregoing markets or exchanges.</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Redemption Premium</w:t>
      </w:r>
      <w:r>
        <w:rPr>
          <w:rFonts w:ascii="Times New Roman" w:cs="Times New Roman" w:eastAsia="Times New Roman" w:hAnsi="Times New Roman"/>
          <w:sz w:val="18"/>
          <w:szCs w:val="18"/>
          <w:color w:val="auto"/>
        </w:rPr>
        <w:t>” means four percent (4%) of the Principal amount being redeemed or paid.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7"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Security Agreement, dated as of February 5, 2024, by the Company and the Guarantors from time to time party thereto in favor of the Holder, as may be amended, restated, supplemented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ind w:left="1960"/>
        <w:spacing w:after="0"/>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 means, collectively, the Security Agreement, the Pledge Agreement, and any other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agreements, pledge agreements or other similar agreements delivered to the Holder, the Guaranty and each of the other agreements, instruments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documents that creates a lien or guaranty in favor of the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(t)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 any corporation, association, partnership or other business entity of which more than 50% of the total voting power of shares of capital stock or other interests (including partnership interests) entitled (without regard to the occurrence of any contingency) to vote in the election of directors, managers, general partners or trustees thereof is at the time owned or controlled, directly or indirectly, by (i) such Person; (ii) such Person and one or more Subsidiaries of such Person; or (iii) one or more Subsidiaries of such Person.</w:t>
      </w:r>
    </w:p>
    <w:p>
      <w:pPr>
        <w:spacing w:after="0" w:line="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Ordinary Shares are quoted or traded on a Primary Market on which the Ordinary Shares are then quoted or listed; provided, that in the event that the Ordinary Shares are not listed or quoted, then Trading Day shall mean a Business Day.</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Transaction Document</w:t>
      </w:r>
      <w:r>
        <w:rPr>
          <w:rFonts w:ascii="Times New Roman" w:cs="Times New Roman" w:eastAsia="Times New Roman" w:hAnsi="Times New Roman"/>
          <w:sz w:val="18"/>
          <w:szCs w:val="18"/>
          <w:color w:val="auto"/>
        </w:rPr>
        <w:t>” means, each of, the Securities Purchase Agreement, the Registration Rights Agreement, the Other Debentures, the Security Documents and any and all documents, agreements, instruments or other items executed or delivered in connection with any of the foregoing.</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50" w:lineRule="auto"/>
        <w:rPr>
          <w:sz w:val="20"/>
          <w:szCs w:val="20"/>
          <w:color w:val="auto"/>
        </w:rPr>
      </w:pPr>
      <w:r>
        <w:rPr>
          <w:rFonts w:ascii="Times New Roman" w:cs="Times New Roman" w:eastAsia="Times New Roman" w:hAnsi="Times New Roman"/>
          <w:sz w:val="18"/>
          <w:szCs w:val="18"/>
          <w:color w:val="auto"/>
        </w:rPr>
        <w:t>(w)            “</w:t>
      </w:r>
      <w:r>
        <w:rPr>
          <w:rFonts w:ascii="Times New Roman" w:cs="Times New Roman" w:eastAsia="Times New Roman" w:hAnsi="Times New Roman"/>
          <w:sz w:val="18"/>
          <w:szCs w:val="18"/>
          <w:u w:val="single" w:color="auto"/>
          <w:color w:val="auto"/>
        </w:rPr>
        <w:t>Underlying Shares</w:t>
      </w:r>
      <w:r>
        <w:rPr>
          <w:rFonts w:ascii="Times New Roman" w:cs="Times New Roman" w:eastAsia="Times New Roman" w:hAnsi="Times New Roman"/>
          <w:sz w:val="18"/>
          <w:szCs w:val="18"/>
          <w:color w:val="auto"/>
        </w:rPr>
        <w:t>” means the Ordinary Shares issuable upon conversion of this Debenture or as payment of interest in accordance with the terms hereof.</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944"/>
        <w:spacing w:after="0" w:line="265" w:lineRule="auto"/>
        <w:rPr>
          <w:sz w:val="20"/>
          <w:szCs w:val="20"/>
          <w:color w:val="auto"/>
        </w:rPr>
      </w:pPr>
      <w:r>
        <w:rPr>
          <w:rFonts w:ascii="Times New Roman" w:cs="Times New Roman" w:eastAsia="Times New Roman" w:hAnsi="Times New Roman"/>
          <w:sz w:val="17"/>
          <w:szCs w:val="17"/>
          <w:color w:val="auto"/>
        </w:rPr>
        <w:t>(x)           “</w:t>
      </w:r>
      <w:r>
        <w:rPr>
          <w:rFonts w:ascii="Times New Roman" w:cs="Times New Roman" w:eastAsia="Times New Roman" w:hAnsi="Times New Roman"/>
          <w:sz w:val="17"/>
          <w:szCs w:val="17"/>
          <w:u w:val="single" w:color="auto"/>
          <w:color w:val="auto"/>
        </w:rPr>
        <w:t>VWAP</w:t>
      </w:r>
      <w:r>
        <w:rPr>
          <w:rFonts w:ascii="Times New Roman" w:cs="Times New Roman" w:eastAsia="Times New Roman" w:hAnsi="Times New Roman"/>
          <w:sz w:val="17"/>
          <w:szCs w:val="17"/>
          <w:color w:val="auto"/>
        </w:rPr>
        <w:t>” means, for any security as of any date, the daily dollar volume-weighted average price for such security on the Primary Market during regular trading hours as reported by Bloomberg through its “Historical Prices - Px Table with Average Daily Volume” functions.</w:t>
      </w:r>
    </w:p>
    <w:p>
      <w:pPr>
        <w:ind w:left="19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 Page Follows]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ind w:firstLine="648"/>
        <w:spacing w:after="0" w:line="263"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has caused this Secured Convertible Debenture to be duly executed by a duly authorized officer as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date set forth above.</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28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line="203" w:lineRule="exact"/>
              <w:rPr>
                <w:sz w:val="20"/>
                <w:szCs w:val="20"/>
                <w:color w:val="auto"/>
              </w:rPr>
            </w:pPr>
            <w:r>
              <w:rPr>
                <w:rFonts w:ascii="Times New Roman" w:cs="Times New Roman" w:eastAsia="Times New Roman" w:hAnsi="Times New Roman"/>
                <w:sz w:val="18"/>
                <w:szCs w:val="18"/>
                <w:b w:val="1"/>
                <w:bCs w:val="1"/>
                <w:color w:val="auto"/>
              </w:rPr>
              <w:t>COMPANY:</w:t>
            </w:r>
          </w:p>
        </w:tc>
        <w:tc>
          <w:tcPr>
            <w:tcW w:w="0" w:type="dxa"/>
            <w:vAlign w:val="bottom"/>
          </w:tcPr>
          <w:p>
            <w:pPr>
              <w:spacing w:after="0"/>
              <w:rPr>
                <w:sz w:val="1"/>
                <w:szCs w:val="1"/>
                <w:color w:val="auto"/>
              </w:rPr>
            </w:pPr>
          </w:p>
        </w:tc>
      </w:tr>
      <w:tr>
        <w:trPr>
          <w:trHeight w:val="220"/>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rPr>
                <w:sz w:val="20"/>
                <w:szCs w:val="20"/>
                <w:color w:val="auto"/>
              </w:rPr>
            </w:pPr>
            <w:r>
              <w:rPr>
                <w:rFonts w:ascii="Times New Roman" w:cs="Times New Roman" w:eastAsia="Times New Roman" w:hAnsi="Times New Roman"/>
                <w:sz w:val="18"/>
                <w:szCs w:val="18"/>
                <w:b w:val="1"/>
                <w:bCs w:val="1"/>
                <w:color w:val="auto"/>
              </w:rPr>
              <w:t>SONO GROUP N.V.</w:t>
            </w: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vMerge w:val="restart"/>
          </w:tcPr>
          <w:p>
            <w:pPr>
              <w:ind w:left="2780"/>
              <w:spacing w:after="0"/>
              <w:rPr>
                <w:sz w:val="20"/>
                <w:szCs w:val="20"/>
                <w:color w:val="auto"/>
              </w:rPr>
            </w:pPr>
            <w:r>
              <w:rPr>
                <w:rFonts w:ascii="Times New Roman" w:cs="Times New Roman" w:eastAsia="Times New Roman" w:hAnsi="Times New Roman"/>
                <w:sz w:val="18"/>
                <w:szCs w:val="18"/>
                <w:color w:val="auto"/>
              </w:rPr>
              <w:t>By: /s/ George G. O’Leary</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18"/>
                <w:szCs w:val="18"/>
                <w:color w:val="auto"/>
              </w:rPr>
            </w:pPr>
          </w:p>
        </w:tc>
        <w:tc>
          <w:tcPr>
            <w:tcW w:w="84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Name: George G. O’Leary</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8420" w:type="dxa"/>
            <w:vAlign w:val="bottom"/>
            <w:gridSpan w:val="2"/>
          </w:tcPr>
          <w:p>
            <w:pPr>
              <w:ind w:left="2800"/>
              <w:spacing w:after="0"/>
              <w:rPr>
                <w:sz w:val="20"/>
                <w:szCs w:val="20"/>
                <w:color w:val="auto"/>
              </w:rPr>
            </w:pPr>
            <w:r>
              <w:rPr>
                <w:rFonts w:ascii="Times New Roman" w:cs="Times New Roman" w:eastAsia="Times New Roman" w:hAnsi="Times New Roman"/>
                <w:sz w:val="18"/>
                <w:szCs w:val="18"/>
                <w:color w:val="auto"/>
              </w:rPr>
              <w:t>Title: CEO and Managing Director</w:t>
            </w: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304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11"/>
        </w:trPr>
        <w:tc>
          <w:tcPr>
            <w:tcW w:w="28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2820" w:type="dxa"/>
            <w:vAlign w:val="bottom"/>
            <w:shd w:val="clear" w:color="auto" w:fill="000000"/>
          </w:tcPr>
          <w:p>
            <w:pPr>
              <w:spacing w:after="0"/>
              <w:rPr>
                <w:sz w:val="5"/>
                <w:szCs w:val="5"/>
                <w:color w:val="auto"/>
              </w:rPr>
            </w:pPr>
          </w:p>
        </w:tc>
        <w:tc>
          <w:tcPr>
            <w:tcW w:w="3040" w:type="dxa"/>
            <w:vAlign w:val="bottom"/>
            <w:shd w:val="clear" w:color="auto" w:fill="000000"/>
          </w:tcPr>
          <w:p>
            <w:pPr>
              <w:spacing w:after="0"/>
              <w:rPr>
                <w:sz w:val="5"/>
                <w:szCs w:val="5"/>
                <w:color w:val="auto"/>
              </w:rPr>
            </w:pPr>
          </w:p>
        </w:tc>
        <w:tc>
          <w:tcPr>
            <w:tcW w:w="5380" w:type="dxa"/>
            <w:vAlign w:val="bottom"/>
            <w:shd w:val="clear" w:color="auto" w:fill="00000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6"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EXHIBIT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CONVERSION NOTICE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executed by the Holder in order to Convert the Debenture)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SONO GROUP N.V.</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Via Email: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 xml:space="preserve">The undersigned hereby irrevocably elects to convert a portion of the outstanding and unpaid Conversion Amount of Debenture No. SEV-6c into Ordinary Shares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according to the conditions stated therein, as of the Conversion Date written below.</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Conversion Date:</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Principal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Accrued Interest to be Converted:</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Total Conversion Amount to be converted:</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Fixed Conversion Price:</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Variable Conversion Price:</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Applicable Conversion Price:</w:t>
      </w:r>
      <w:r>
        <w:rPr>
          <w:sz w:val="20"/>
          <w:szCs w:val="20"/>
          <w:color w:val="auto"/>
        </w:rPr>
        <w:tab/>
      </w:r>
      <w:r>
        <w:rPr>
          <w:rFonts w:ascii="Times New Roman" w:cs="Times New Roman" w:eastAsia="Times New Roman" w:hAnsi="Times New Roman"/>
          <w:sz w:val="18"/>
          <w:szCs w:val="18"/>
          <w:color w:val="auto"/>
        </w:rPr>
        <w:t> </w:t>
      </w:r>
    </w:p>
    <w:p>
      <w:pPr>
        <w:spacing w:after="0" w:line="9" w:lineRule="exact"/>
        <w:rPr>
          <w:sz w:val="20"/>
          <w:szCs w:val="20"/>
          <w:color w:val="auto"/>
        </w:rPr>
      </w:pPr>
    </w:p>
    <w:p>
      <w:pPr>
        <w:spacing w:after="0"/>
        <w:tabs>
          <w:tab w:leader="none" w:pos="4720" w:val="left"/>
        </w:tabs>
        <w:rPr>
          <w:sz w:val="20"/>
          <w:szCs w:val="20"/>
          <w:color w:val="auto"/>
        </w:rPr>
      </w:pPr>
      <w:r>
        <w:rPr>
          <w:rFonts w:ascii="Times New Roman" w:cs="Times New Roman" w:eastAsia="Times New Roman" w:hAnsi="Times New Roman"/>
          <w:sz w:val="18"/>
          <w:szCs w:val="18"/>
          <w:b w:val="1"/>
          <w:bCs w:val="1"/>
          <w:color w:val="auto"/>
        </w:rPr>
        <w:t>Number of Ordinary Shares to be issued:</w:t>
      </w:r>
      <w:r>
        <w:rPr>
          <w:sz w:val="20"/>
          <w:szCs w:val="20"/>
          <w:color w:val="auto"/>
        </w:rPr>
        <w:tab/>
      </w:r>
      <w:r>
        <w:rPr>
          <w:rFonts w:ascii="Times New Roman" w:cs="Times New Roman" w:eastAsia="Times New Roman" w:hAnsi="Times New Roman"/>
          <w:sz w:val="18"/>
          <w:szCs w:val="18"/>
          <w:color w:val="auto"/>
        </w:rPr>
        <w:t> </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Issue to:</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Broker DTC Participant Code:</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Account Number:</w:t>
            </w: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r>
      <w:tr>
        <w:trPr>
          <w:trHeight w:val="23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Authorized Signature:</w:t>
            </w:r>
          </w:p>
        </w:tc>
        <w:tc>
          <w:tcPr>
            <w:tcW w:w="7860" w:type="dxa"/>
            <w:vAlign w:val="bottom"/>
            <w:tcBorders>
              <w:bottom w:val="single" w:sz="8" w:color="auto"/>
            </w:tcBorders>
          </w:tcPr>
          <w:p>
            <w:pPr>
              <w:spacing w:after="0"/>
              <w:rPr>
                <w:sz w:val="20"/>
                <w:szCs w:val="20"/>
                <w:color w:val="auto"/>
              </w:rPr>
            </w:pPr>
          </w:p>
        </w:tc>
      </w:tr>
      <w:tr>
        <w:trPr>
          <w:trHeight w:val="209"/>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7860" w:type="dxa"/>
            <w:vAlign w:val="bottom"/>
            <w:tcBorders>
              <w:bottom w:val="single" w:sz="8" w:color="auto"/>
            </w:tcBorders>
          </w:tcPr>
          <w:p>
            <w:pPr>
              <w:spacing w:after="0"/>
              <w:rPr>
                <w:sz w:val="18"/>
                <w:szCs w:val="18"/>
                <w:color w:val="auto"/>
              </w:rPr>
            </w:pPr>
          </w:p>
        </w:tc>
      </w:tr>
      <w:tr>
        <w:trPr>
          <w:trHeight w:val="210"/>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7860" w:type="dxa"/>
            <w:vAlign w:val="bottom"/>
            <w:tcBorders>
              <w:bottom w:val="single" w:sz="8" w:color="auto"/>
            </w:tcBorders>
          </w:tcPr>
          <w:p>
            <w:pPr>
              <w:spacing w:after="0"/>
              <w:rPr>
                <w:sz w:val="18"/>
                <w:szCs w:val="18"/>
                <w:color w:val="auto"/>
              </w:rPr>
            </w:pPr>
          </w:p>
        </w:tc>
      </w:tr>
      <w:tr>
        <w:trPr>
          <w:trHeight w:val="218"/>
        </w:trPr>
        <w:tc>
          <w:tcPr>
            <w:tcW w:w="3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w:t>
            </w:r>
          </w:p>
        </w:tc>
        <w:tc>
          <w:tcPr>
            <w:tcW w:w="7860" w:type="dxa"/>
            <w:vAlign w:val="bottom"/>
          </w:tcPr>
          <w:p>
            <w:pPr>
              <w:spacing w:after="0"/>
              <w:rPr>
                <w:sz w:val="18"/>
                <w:szCs w:val="18"/>
                <w:color w:val="auto"/>
              </w:rPr>
            </w:pPr>
          </w:p>
        </w:tc>
      </w:tr>
      <w:tr>
        <w:trPr>
          <w:trHeight w:val="720"/>
        </w:trPr>
        <w:tc>
          <w:tcPr>
            <w:tcW w:w="3380" w:type="dxa"/>
            <w:vAlign w:val="bottom"/>
          </w:tcPr>
          <w:p>
            <w:pPr>
              <w:spacing w:after="0"/>
              <w:rPr>
                <w:sz w:val="24"/>
                <w:szCs w:val="24"/>
                <w:color w:val="auto"/>
              </w:rPr>
            </w:pPr>
          </w:p>
        </w:tc>
        <w:tc>
          <w:tcPr>
            <w:tcW w:w="7860" w:type="dxa"/>
            <w:vAlign w:val="bottom"/>
          </w:tcPr>
          <w:p>
            <w:pPr>
              <w:spacing w:after="0"/>
              <w:rPr>
                <w:sz w:val="24"/>
                <w:szCs w:val="24"/>
                <w:color w:val="auto"/>
              </w:rPr>
            </w:pPr>
          </w:p>
        </w:tc>
      </w:tr>
      <w:tr>
        <w:trPr>
          <w:trHeight w:val="68"/>
        </w:trPr>
        <w:tc>
          <w:tcPr>
            <w:tcW w:w="3380" w:type="dxa"/>
            <w:vAlign w:val="bottom"/>
            <w:shd w:val="clear" w:color="auto" w:fill="000000"/>
          </w:tcPr>
          <w:p>
            <w:pPr>
              <w:spacing w:after="0"/>
              <w:rPr>
                <w:sz w:val="5"/>
                <w:szCs w:val="5"/>
                <w:color w:val="auto"/>
              </w:rPr>
            </w:pPr>
          </w:p>
        </w:tc>
        <w:tc>
          <w:tcPr>
            <w:tcW w:w="78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OMNIBUS AMENDMENT TO TRANSACTION DOCUMENTS</w:t>
      </w:r>
    </w:p>
    <w:p>
      <w:pPr>
        <w:spacing w:after="0" w:line="229" w:lineRule="exact"/>
        <w:rPr>
          <w:sz w:val="20"/>
          <w:szCs w:val="20"/>
          <w:color w:val="auto"/>
        </w:rPr>
      </w:pPr>
    </w:p>
    <w:p>
      <w:pPr>
        <w:jc w:val="both"/>
        <w:ind w:firstLine="847"/>
        <w:spacing w:after="0" w:line="258" w:lineRule="auto"/>
        <w:rPr>
          <w:sz w:val="20"/>
          <w:szCs w:val="20"/>
          <w:color w:val="auto"/>
        </w:rPr>
      </w:pPr>
      <w:r>
        <w:rPr>
          <w:rFonts w:ascii="Times New Roman" w:cs="Times New Roman" w:eastAsia="Times New Roman" w:hAnsi="Times New Roman"/>
          <w:sz w:val="18"/>
          <w:szCs w:val="18"/>
          <w:color w:val="auto"/>
        </w:rPr>
        <w:t>This Omnibus Amendment to Transaction Documents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May 26, 2025 by and between Sono Group N.V., a Dutch public limited liability company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YA II PN, LTD., a Cayman Islands exempt limited partnership (the “</w:t>
      </w:r>
      <w:r>
        <w:rPr>
          <w:rFonts w:ascii="Times New Roman" w:cs="Times New Roman" w:eastAsia="Times New Roman" w:hAnsi="Times New Roman"/>
          <w:sz w:val="18"/>
          <w:szCs w:val="18"/>
          <w:u w:val="single" w:color="auto"/>
          <w:color w:val="auto"/>
        </w:rPr>
        <w:t>Investor</w:t>
      </w:r>
      <w:r>
        <w:rPr>
          <w:rFonts w:ascii="Times New Roman" w:cs="Times New Roman" w:eastAsia="Times New Roman" w:hAnsi="Times New Roman"/>
          <w:sz w:val="18"/>
          <w:szCs w:val="18"/>
          <w:color w:val="auto"/>
        </w:rPr>
        <w:t>”), with reference to (1) the Exchange Agreement entered into on December 30, 2024 between the Company to the Investor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(2) the Securities Purchase Agreement entered into on December 30, 2024 between the Company and the Investor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each as previously amended.</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the Securities Purchase Agreement, the Investor shall advance to the Company $5,000,000, which shall be evidenced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convertible debenture in the form attached thereto (the “</w:t>
      </w:r>
      <w:r>
        <w:rPr>
          <w:rFonts w:ascii="Times New Roman" w:cs="Times New Roman" w:eastAsia="Times New Roman" w:hAnsi="Times New Roman"/>
          <w:sz w:val="18"/>
          <w:szCs w:val="18"/>
          <w:u w:val="single" w:color="auto"/>
          <w:color w:val="auto"/>
        </w:rPr>
        <w:t>Convertible Debenture</w:t>
      </w:r>
      <w:r>
        <w:rPr>
          <w:rFonts w:ascii="Times New Roman" w:cs="Times New Roman" w:eastAsia="Times New Roman" w:hAnsi="Times New Roman"/>
          <w:sz w:val="18"/>
          <w:szCs w:val="18"/>
          <w:color w:val="auto"/>
        </w:rPr>
        <w:t>”) in the aggregate principal amount of $5,000,000, upon the satisfaction of the terms and conditions set forth therein, which conditions have not yet been satisfied;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February 12, 2025, the Company requested, and the Investor agreed to, an advance of $1,000,000 of the $5,000,000, and, 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the Investor advanced $1,000,000 to the Company and the Company issued to the Investor a Convertible Debenture in the principal amount of $1,000,000 (“</w:t>
      </w:r>
      <w:r>
        <w:rPr>
          <w:rFonts w:ascii="Times New Roman" w:cs="Times New Roman" w:eastAsia="Times New Roman" w:hAnsi="Times New Roman"/>
          <w:sz w:val="18"/>
          <w:szCs w:val="18"/>
          <w:u w:val="single" w:color="auto"/>
          <w:color w:val="auto"/>
        </w:rPr>
        <w:t>Debenture No. SEV-6a</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March 25, 2025, the Company requested, and the Investor agreed to, an advance of an additional $1,000,000 of the $5,000,000,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on such date the Investor advanced $1,000,000 to the Company and the Company issued to the Investor a Convertible Debenture in the principal amount of $1,000,000 (“</w:t>
      </w:r>
      <w:r>
        <w:rPr>
          <w:rFonts w:ascii="Times New Roman" w:cs="Times New Roman" w:eastAsia="Times New Roman" w:hAnsi="Times New Roman"/>
          <w:sz w:val="18"/>
          <w:szCs w:val="18"/>
          <w:u w:val="single" w:color="auto"/>
          <w:color w:val="auto"/>
        </w:rPr>
        <w:t>Debenture No. SEV-6b</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on April 24, 2025, the Company requested, and the Investor agreed to, an advance of an additional $500,000 of the $5,000,000,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such date the Investor advanced $500,000 to the Company and the Company issued to the Investor a Convertible Debenture in the principal amount of $500,000 (“</w:t>
      </w:r>
      <w:r>
        <w:rPr>
          <w:rFonts w:ascii="Times New Roman" w:cs="Times New Roman" w:eastAsia="Times New Roman" w:hAnsi="Times New Roman"/>
          <w:sz w:val="18"/>
          <w:szCs w:val="18"/>
          <w:u w:val="single" w:color="auto"/>
          <w:color w:val="auto"/>
        </w:rPr>
        <w:t>Debenture No. SEV-6c</w:t>
      </w:r>
      <w:r>
        <w:rPr>
          <w:rFonts w:ascii="Times New Roman" w:cs="Times New Roman" w:eastAsia="Times New Roman" w:hAnsi="Times New Roman"/>
          <w:sz w:val="18"/>
          <w:szCs w:val="18"/>
          <w:color w:val="auto"/>
        </w:rPr>
        <w:t>”); and</w:t>
      </w:r>
    </w:p>
    <w:p>
      <w:pPr>
        <w:spacing w:after="0" w:line="17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has requested, and the Investor has agreed to, an additional advance of $750,000 of the $5,000,000 on the date 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remaining $1,750,000 to be advanced upon the satisfaction of all of the conditions set forth in the Securities Purchase Agreement.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this Amendment, the Company and Lender have agreed to the following terms:</w:t>
      </w:r>
    </w:p>
    <w:p>
      <w:pPr>
        <w:spacing w:after="0" w:line="221"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 to the Securities Purchase Agreement</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satisfaction of the conditions set forth in Section 6 and 7 of the Securities Purchase Agreement, as modified by this Agreement, the parties hereby agree that on the date hereof, the Investor shall advance to the Company the principal amount of $750,000 and the Company shall issue and deliver to the Investor a Convertible Debenture, duly executed on behalf of the Company, with an aggregate principal amount of $750,000 (the “</w:t>
      </w:r>
      <w:r>
        <w:rPr>
          <w:rFonts w:ascii="Times New Roman" w:cs="Times New Roman" w:eastAsia="Times New Roman" w:hAnsi="Times New Roman"/>
          <w:sz w:val="18"/>
          <w:szCs w:val="18"/>
          <w:u w:val="single" w:color="auto"/>
          <w:color w:val="auto"/>
        </w:rPr>
        <w:t>Fourth Convertible Debenture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in connection with the closing of the issuance of the Fourth Convertible Debenture, the Investor waives the satisfaction of the conditions set forth in Section 7(d) of the Securities Purchase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jc w:val="both"/>
        <w:ind w:left="1292" w:hanging="644"/>
        <w:spacing w:after="0" w:line="261" w:lineRule="auto"/>
        <w:tabs>
          <w:tab w:leader="none" w:pos="129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terms and conditions with respect to the issuance and sale of the Convertible Debenture set forth in the Securities Purchase Agreement shall remain in full force and effect, except that the principal amount of the Convertible Debenture shall be reduced to $1,750,000 as a result of the issuance of the Fourth Convertible Debenture, Debenture No. SEV-6a., Debenture No. SEV-6b, and Debenture No. SEV-6c.</w:t>
      </w:r>
    </w:p>
    <w:p>
      <w:pPr>
        <w:spacing w:after="0" w:line="175" w:lineRule="exact"/>
        <w:rPr>
          <w:rFonts w:ascii="Times New Roman" w:cs="Times New Roman" w:eastAsia="Times New Roman" w:hAnsi="Times New Roman"/>
          <w:sz w:val="18"/>
          <w:szCs w:val="18"/>
          <w:color w:val="auto"/>
        </w:rPr>
      </w:pPr>
    </w:p>
    <w:p>
      <w:pPr>
        <w:jc w:val="both"/>
        <w:ind w:left="652" w:hanging="652"/>
        <w:spacing w:after="0" w:line="256" w:lineRule="auto"/>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Exchange Agreement. </w:t>
      </w:r>
      <w:r>
        <w:rPr>
          <w:rFonts w:ascii="Times New Roman" w:cs="Times New Roman" w:eastAsia="Times New Roman" w:hAnsi="Times New Roman"/>
          <w:sz w:val="18"/>
          <w:szCs w:val="18"/>
          <w:color w:val="auto"/>
        </w:rPr>
        <w:t>In connection with the Exchange Agreement, the Convertible Debenture in the principal amount of $5,000,000 (referred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“Debenture 6” therein) shall be exchanged for Preferred Shares (as defined in the Exchange Agreement), subject to the satisfaction of the conditions precedent set forth therein. The parties hereby agree that from and after the issuance of the Third Convertible Debenture contemplated by this Agreement, for the purposes of the Exchange Agreement, “Debenture 6” shall consist of each of Debenture No. SEV-6a, Debenture No. SEV-6b, Debenture No. SEV-6c, and the Fourth Convertible Debenture, and the remaining Convertible Debenture to be issued pursuant to the Securities Purchase Agreement in the principal amount of $1,750,000, each of which shall be part of the exchange of debentures for Preferred Shares as contemplated by the Exchange Agreement.</w:t>
      </w:r>
    </w:p>
    <w:p>
      <w:pPr>
        <w:spacing w:after="0" w:line="182" w:lineRule="exact"/>
        <w:rPr>
          <w:rFonts w:ascii="Times New Roman" w:cs="Times New Roman" w:eastAsia="Times New Roman" w:hAnsi="Times New Roman"/>
          <w:sz w:val="18"/>
          <w:szCs w:val="18"/>
          <w:color w:val="auto"/>
        </w:rPr>
      </w:pPr>
    </w:p>
    <w:p>
      <w:pPr>
        <w:jc w:val="both"/>
        <w:ind w:left="652" w:hanging="652"/>
        <w:spacing w:after="0" w:line="259" w:lineRule="auto"/>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 Continuing Validity. </w:t>
      </w:r>
      <w:r>
        <w:rPr>
          <w:rFonts w:ascii="Times New Roman" w:cs="Times New Roman" w:eastAsia="Times New Roman" w:hAnsi="Times New Roman"/>
          <w:sz w:val="18"/>
          <w:szCs w:val="18"/>
          <w:color w:val="auto"/>
        </w:rPr>
        <w:t>The Securities Purchase Agreement and the Exchange Agreement are amended to the extent necessary to give effect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this Agreement, and the terms of this Agreement shall supersede any contrary terms. Except as specifically set forth herein, the terms and conditions of the Securities Purchase Agreement and the Exchange Agreement shall remain unmodified and are hereby ratified by the parties. This Agreement in no way acts as a release or relinquishment of, and in no way affects, the liens, security interests and rights created by or arising under the Securities Purchase Agreement and the Exchange Agreement.</w:t>
      </w:r>
    </w:p>
    <w:p>
      <w:pPr>
        <w:spacing w:after="0" w:line="179" w:lineRule="exact"/>
        <w:rPr>
          <w:rFonts w:ascii="Times New Roman" w:cs="Times New Roman" w:eastAsia="Times New Roman" w:hAnsi="Times New Roman"/>
          <w:sz w:val="18"/>
          <w:szCs w:val="18"/>
          <w:color w:val="auto"/>
        </w:rPr>
      </w:pPr>
    </w:p>
    <w:p>
      <w:pPr>
        <w:ind w:left="652" w:hanging="652"/>
        <w:spacing w:after="0" w:line="286" w:lineRule="auto"/>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This Agreement One of the Transaction Documents</w:t>
      </w:r>
      <w:r>
        <w:rPr>
          <w:rFonts w:ascii="Times New Roman" w:cs="Times New Roman" w:eastAsia="Times New Roman" w:hAnsi="Times New Roman"/>
          <w:sz w:val="18"/>
          <w:szCs w:val="18"/>
          <w:color w:val="auto"/>
        </w:rPr>
        <w:t>. From and after the date hereof, this Agreement is and shall be deemed a “Transaction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 as used in the Securities Purchase Agreement.</w:t>
      </w:r>
    </w:p>
    <w:p>
      <w:pPr>
        <w:spacing w:after="0" w:line="154" w:lineRule="exact"/>
        <w:rPr>
          <w:rFonts w:ascii="Times New Roman" w:cs="Times New Roman" w:eastAsia="Times New Roman" w:hAnsi="Times New Roman"/>
          <w:sz w:val="18"/>
          <w:szCs w:val="18"/>
          <w:color w:val="auto"/>
        </w:rPr>
      </w:pPr>
    </w:p>
    <w:p>
      <w:pPr>
        <w:jc w:val="both"/>
        <w:ind w:left="652" w:hanging="652"/>
        <w:spacing w:after="0" w:line="262" w:lineRule="auto"/>
        <w:tabs>
          <w:tab w:leader="none" w:pos="65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r>
        <w:rPr>
          <w:rFonts w:ascii="Times New Roman" w:cs="Times New Roman" w:eastAsia="Times New Roman" w:hAnsi="Times New Roman"/>
          <w:sz w:val="18"/>
          <w:szCs w:val="18"/>
          <w:color w:val="auto"/>
        </w:rPr>
        <w:t>. This Agreement shall be governed by and construed in accordance with the laws of the State of New York. This Agreement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 executed in counterparts, each of which, when so executed, shall be deemed an original, but all such counterparts, taken together, shall constitute one and the same instrument. Delivery of an executed counterpart of this Agreement by telefacsimile or electronically shall be equally as effective as delivery of a manually executed counterpart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623570</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19" w:name="page20"/>
    <w:bookmarkEnd w:id="19"/>
    <w:p>
      <w:pPr>
        <w:ind w:firstLine="324"/>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Company and Investor have caused this this Omnibus Amendment to Transaction Documents to be duly executed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duly authorized officer as of the date first written above.</w:t>
      </w:r>
    </w:p>
    <w:p>
      <w:pPr>
        <w:spacing w:after="0" w:line="3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George O’Leary</w:t>
            </w:r>
          </w:p>
        </w:tc>
      </w:tr>
      <w:tr>
        <w:trPr>
          <w:trHeight w:val="191"/>
        </w:trPr>
        <w:tc>
          <w:tcPr>
            <w:tcW w:w="676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George O’Leary</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Managing Director</w:t>
            </w:r>
          </w:p>
        </w:tc>
      </w:tr>
      <w:tr>
        <w:trPr>
          <w:trHeight w:val="2943"/>
        </w:trPr>
        <w:tc>
          <w:tcPr>
            <w:tcW w:w="67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68"/>
        </w:trPr>
        <w:tc>
          <w:tcPr>
            <w:tcW w:w="6760" w:type="dxa"/>
            <w:vAlign w:val="bottom"/>
            <w:shd w:val="clear" w:color="auto" w:fill="000000"/>
          </w:tcPr>
          <w:p>
            <w:pPr>
              <w:spacing w:after="0"/>
              <w:rPr>
                <w:sz w:val="5"/>
                <w:szCs w:val="5"/>
                <w:color w:val="auto"/>
              </w:rPr>
            </w:pPr>
          </w:p>
        </w:tc>
        <w:tc>
          <w:tcPr>
            <w:tcW w:w="44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0" w:name="page21"/>
    <w:bookmarkEnd w:id="20"/>
    <w:p>
      <w:pPr>
        <w:ind w:left="5640"/>
        <w:spacing w:after="0"/>
        <w:rPr>
          <w:sz w:val="20"/>
          <w:szCs w:val="20"/>
          <w:color w:val="auto"/>
        </w:rPr>
      </w:pPr>
      <w:r>
        <w:rPr>
          <w:rFonts w:ascii="Times New Roman" w:cs="Times New Roman" w:eastAsia="Times New Roman" w:hAnsi="Times New Roman"/>
          <w:sz w:val="18"/>
          <w:szCs w:val="18"/>
          <w:b w:val="1"/>
          <w:bCs w:val="1"/>
          <w:color w:val="auto"/>
        </w:rPr>
        <w:t>INVESTOR:</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YA II PN, LTD.</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Yorkville Advisors Global, LP</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Its:</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Investment Manger</w:t>
            </w:r>
          </w:p>
        </w:tc>
      </w:tr>
      <w:tr>
        <w:trPr>
          <w:trHeight w:val="41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Yorkville Advisors Global II, LLC</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Its:</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2"/>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4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Rosselli</w:t>
            </w:r>
          </w:p>
        </w:tc>
      </w:tr>
      <w:tr>
        <w:trPr>
          <w:trHeight w:val="191"/>
        </w:trPr>
        <w:tc>
          <w:tcPr>
            <w:tcW w:w="676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Rosselli</w:t>
            </w:r>
          </w:p>
        </w:tc>
      </w:tr>
      <w:tr>
        <w:trPr>
          <w:trHeight w:val="234"/>
        </w:trPr>
        <w:tc>
          <w:tcPr>
            <w:tcW w:w="67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1701"/>
        </w:trPr>
        <w:tc>
          <w:tcPr>
            <w:tcW w:w="6760" w:type="dxa"/>
            <w:vAlign w:val="bottom"/>
          </w:tcPr>
          <w:p>
            <w:pPr>
              <w:spacing w:after="0"/>
              <w:rPr>
                <w:sz w:val="24"/>
                <w:szCs w:val="24"/>
                <w:color w:val="auto"/>
              </w:rPr>
            </w:pPr>
          </w:p>
        </w:tc>
        <w:tc>
          <w:tcPr>
            <w:tcW w:w="4480" w:type="dxa"/>
            <w:vAlign w:val="bottom"/>
          </w:tcPr>
          <w:p>
            <w:pPr>
              <w:spacing w:after="0"/>
              <w:rPr>
                <w:sz w:val="24"/>
                <w:szCs w:val="24"/>
                <w:color w:val="auto"/>
              </w:rPr>
            </w:pPr>
          </w:p>
        </w:tc>
      </w:tr>
      <w:tr>
        <w:trPr>
          <w:trHeight w:val="68"/>
        </w:trPr>
        <w:tc>
          <w:tcPr>
            <w:tcW w:w="6760" w:type="dxa"/>
            <w:vAlign w:val="bottom"/>
            <w:shd w:val="clear" w:color="auto" w:fill="000000"/>
          </w:tcPr>
          <w:p>
            <w:pPr>
              <w:spacing w:after="0"/>
              <w:rPr>
                <w:sz w:val="5"/>
                <w:szCs w:val="5"/>
                <w:color w:val="auto"/>
              </w:rPr>
            </w:pPr>
          </w:p>
        </w:tc>
        <w:tc>
          <w:tcPr>
            <w:tcW w:w="448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Roman"/>
      <w:start w:val="1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lowerRoman"/>
      <w:start w:val="5"/>
    </w:lvl>
  </w:abstractNum>
  <w:abstractNum w:abstractNumId="4">
    <w:nsid w:val="2EB141F2"/>
    <w:multiLevelType w:val="hybridMultilevel"/>
    <w:lvl w:ilvl="0">
      <w:lvlJc w:val="left"/>
      <w:lvlText w:val="(%1)"/>
      <w:numFmt w:val="decimal"/>
      <w:start w:val="10"/>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lvl w:ilvl="1">
      <w:lvlJc w:val="left"/>
      <w:lvlText w:val="%2."/>
      <w:numFmt w:val="lowerLetter"/>
      <w:start w:val="3"/>
    </w:lvl>
  </w:abstractNum>
  <w:abstractNum w:abstractNumId="7">
    <w:nsid w:val="7545E146"/>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2025-05-27T16:11:54Z</dcterms:created>
  <dcterms:modified xsi:type="dcterms:W3CDTF">2025-05-27T16:11:54Z</dcterms:modified>
</cp:coreProperties>
</file>