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v20250630_10q.htm"/>
      <w:bookmarkStart w:id="1" w:name="kssev20250630_10q"/>
      <w:bookmarkEnd w:id="0"/>
      <w:bookmarkEnd w:id="1"/>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June 30, 2025</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001-41066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Sono Group N.V.</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45"/>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Netherlands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98-1828632</w:t>
            </w:r>
          </w:p>
        </w:tc>
      </w:tr>
      <w:tr>
        <w:trPr/>
        <w:tc>
          <w:tcPr>
            <w:tcW w:w="26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 of</w:t>
            </w:r>
            <w:r>
              <w:rPr>
                <w:rFonts w:ascii="Times New Roman" w:hAnsi="Times New Roman"/>
                <w:caps w:val="false"/>
                <w:smallCaps w:val="false"/>
                <w:sz w:val="20"/>
              </w:rPr>
              <w:br/>
            </w: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Sono Group N.V.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Waldmeisterstra</w:t>
      </w:r>
      <w:r>
        <w:rPr>
          <w:rFonts w:ascii="Times New Roman" w:hAnsi="Times New Roman"/>
          <w:caps w:val="false"/>
          <w:smallCaps w:val="false"/>
          <w:sz w:val="20"/>
        </w:rPr>
        <w:t>ß</w:t>
      </w:r>
      <w:r>
        <w:rPr>
          <w:rFonts w:ascii="Times New Roman" w:hAnsi="Times New Roman"/>
          <w:b/>
          <w:caps w:val="false"/>
          <w:smallCaps w:val="false"/>
          <w:sz w:val="20"/>
        </w:rPr>
        <w:t xml:space="preserve">e 93, 80935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Munich, Germany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+49 (0)89 4520 5818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520"/>
        <w:gridCol w:w="60"/>
        <w:gridCol w:w="1610"/>
        <w:gridCol w:w="60"/>
        <w:gridCol w:w="369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820"/>
        <w:gridCol w:w="230"/>
        <w:gridCol w:w="60"/>
        <w:gridCol w:w="2285"/>
        <w:gridCol w:w="230"/>
      </w:tblGrid>
      <w:tr>
        <w:trPr/>
        <w:tc>
          <w:tcPr>
            <w:tcW w:w="1820"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As described in more detail in this quarterly report on Form 10-Q, the registrant was involved in preliminary self-administration proceedings under German insolvency law before the local court of Munich, Germany from mid-May 2023 through January 31, 2024. Since no insolvency plan providing for the distribution of securities was confirmed by the court, the registrant has not checked either of the boxes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1, 2025, there were 1,424,186 ordinary shares, nominal value €0.02 per share, of the registrant outstanding and 40,000 high voting shares, nominal value €0.50 per share of the registrant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4"/>
        <w:gridCol w:w="9160"/>
        <w:gridCol w:w="441"/>
      </w:tblGrid>
      <w:tr>
        <w:trPr/>
        <w:tc>
          <w:tcPr>
            <w:tcW w:w="604"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4" w:type="dxa"/>
            <w:gridSpan w:val="2"/>
            <w:tcBorders/>
            <w:vAlign w:val="center"/>
          </w:tcPr>
          <w:p>
            <w:pPr>
              <w:pStyle w:val="TableContents"/>
              <w:bidi w:val="0"/>
              <w:spacing w:before="0" w:after="0"/>
              <w:ind w:left="0" w:right="0" w:hanging="0"/>
              <w:jc w:val="center"/>
              <w:rPr/>
            </w:pPr>
            <w:hyperlink w:anchor="p1">
              <w:r>
                <w:rPr>
                  <w:rStyle w:val="InternetLink"/>
                  <w:rFonts w:ascii="Times New Roman" w:hAnsi="Times New Roman"/>
                  <w:b/>
                  <w:caps w:val="false"/>
                  <w:smallCaps w:val="false"/>
                  <w:sz w:val="20"/>
                </w:rPr>
                <w:t>PART I. FINANCIAL INFORMATION</w:t>
              </w:r>
            </w:hyperlink>
          </w:p>
        </w:tc>
        <w:tc>
          <w:tcPr>
            <w:tcW w:w="441" w:type="dxa"/>
            <w:tcBorders/>
            <w:vAlign w:val="center"/>
          </w:tcPr>
          <w:p>
            <w:pPr>
              <w:pStyle w:val="TableContents"/>
              <w:bidi w:val="0"/>
              <w:spacing w:before="0" w:after="283"/>
              <w:jc w:val="center"/>
              <w:rPr/>
            </w:pPr>
            <w:hyperlink w:anchor="p1">
              <w:r>
                <w:rPr>
                  <w:rStyle w:val="InternetLink"/>
                </w:rPr>
                <w:t>1</w:t>
              </w:r>
            </w:hyperlink>
          </w:p>
        </w:tc>
      </w:tr>
      <w:tr>
        <w:trPr/>
        <w:tc>
          <w:tcPr>
            <w:tcW w:w="604"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rPr>
                <w:t>Item 1.</w:t>
              </w:r>
            </w:hyperlink>
          </w:p>
        </w:tc>
        <w:tc>
          <w:tcPr>
            <w:tcW w:w="9160"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rPr>
                <w:t>Financial Statements (Unaudited)</w:t>
              </w:r>
            </w:hyperlink>
          </w:p>
        </w:tc>
        <w:tc>
          <w:tcPr>
            <w:tcW w:w="441" w:type="dxa"/>
            <w:tcBorders/>
            <w:vAlign w:val="center"/>
          </w:tcPr>
          <w:p>
            <w:pPr>
              <w:pStyle w:val="TableContents"/>
              <w:bidi w:val="0"/>
              <w:spacing w:before="0" w:after="283"/>
              <w:jc w:val="center"/>
              <w:rPr/>
            </w:pPr>
            <w:hyperlink w:anchor="p1i1">
              <w:r>
                <w:rPr>
                  <w:rStyle w:val="InternetLink"/>
                </w:rPr>
                <w:t>1</w:t>
              </w:r>
            </w:hyperlink>
          </w:p>
        </w:tc>
      </w:tr>
      <w:tr>
        <w:trPr/>
        <w:tc>
          <w:tcPr>
            <w:tcW w:w="604"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 as of June 30, 2025 and December 31, 2024</w:t>
              </w:r>
            </w:hyperlink>
          </w:p>
        </w:tc>
        <w:tc>
          <w:tcPr>
            <w:tcW w:w="441" w:type="dxa"/>
            <w:tcBorders/>
            <w:vAlign w:val="center"/>
          </w:tcPr>
          <w:p>
            <w:pPr>
              <w:pStyle w:val="TableContents"/>
              <w:bidi w:val="0"/>
              <w:spacing w:before="0" w:after="283"/>
              <w:jc w:val="center"/>
              <w:rPr/>
            </w:pPr>
            <w:hyperlink w:anchor="bs">
              <w:r>
                <w:rPr>
                  <w:rStyle w:val="InternetLink"/>
                </w:rPr>
                <w:t>1</w:t>
              </w:r>
            </w:hyperlink>
          </w:p>
        </w:tc>
      </w:tr>
      <w:tr>
        <w:trPr/>
        <w:tc>
          <w:tcPr>
            <w:tcW w:w="604"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0"/>
              <w:ind w:left="0" w:right="0" w:hanging="0"/>
              <w:jc w:val="left"/>
              <w:rPr/>
            </w:pPr>
            <w:hyperlink w:anchor="ci">
              <w:r>
                <w:rPr>
                  <w:rStyle w:val="InternetLink"/>
                  <w:rFonts w:ascii="Times New Roman" w:hAnsi="Times New Roman"/>
                  <w:caps w:val="false"/>
                  <w:smallCaps w:val="false"/>
                  <w:sz w:val="20"/>
                </w:rPr>
                <w:t>Condensed Consolidated Statements of Operations and Comprehensive Income (Loss) for the Three Months and Six Months Ended June 30, 2025 and 2024</w:t>
              </w:r>
            </w:hyperlink>
          </w:p>
        </w:tc>
        <w:tc>
          <w:tcPr>
            <w:tcW w:w="441" w:type="dxa"/>
            <w:tcBorders/>
            <w:vAlign w:val="center"/>
          </w:tcPr>
          <w:p>
            <w:pPr>
              <w:pStyle w:val="TableContents"/>
              <w:bidi w:val="0"/>
              <w:spacing w:before="0" w:after="283"/>
              <w:jc w:val="center"/>
              <w:rPr/>
            </w:pPr>
            <w:hyperlink w:anchor="ci">
              <w:r>
                <w:rPr>
                  <w:rStyle w:val="InternetLink"/>
                </w:rPr>
                <w:t>2</w:t>
              </w:r>
            </w:hyperlink>
          </w:p>
        </w:tc>
      </w:tr>
      <w:tr>
        <w:trPr/>
        <w:tc>
          <w:tcPr>
            <w:tcW w:w="604"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Changes in Shareholders’ Equity for the Three Months and Six Months Ended June 30, 2025 and 2024</w:t>
              </w:r>
            </w:hyperlink>
          </w:p>
        </w:tc>
        <w:tc>
          <w:tcPr>
            <w:tcW w:w="441" w:type="dxa"/>
            <w:tcBorders/>
            <w:vAlign w:val="center"/>
          </w:tcPr>
          <w:p>
            <w:pPr>
              <w:pStyle w:val="TableContents"/>
              <w:bidi w:val="0"/>
              <w:spacing w:before="0" w:after="283"/>
              <w:jc w:val="center"/>
              <w:rPr/>
            </w:pPr>
            <w:hyperlink w:anchor="se">
              <w:r>
                <w:rPr>
                  <w:rStyle w:val="InternetLink"/>
                </w:rPr>
                <w:t>3</w:t>
              </w:r>
            </w:hyperlink>
          </w:p>
        </w:tc>
      </w:tr>
      <w:tr>
        <w:trPr/>
        <w:tc>
          <w:tcPr>
            <w:tcW w:w="604"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 for the Six Months Ended June 30, 2025 and 2024</w:t>
              </w:r>
            </w:hyperlink>
          </w:p>
        </w:tc>
        <w:tc>
          <w:tcPr>
            <w:tcW w:w="441" w:type="dxa"/>
            <w:tcBorders/>
            <w:vAlign w:val="center"/>
          </w:tcPr>
          <w:p>
            <w:pPr>
              <w:pStyle w:val="TableContents"/>
              <w:bidi w:val="0"/>
              <w:spacing w:before="0" w:after="283"/>
              <w:jc w:val="center"/>
              <w:rPr/>
            </w:pPr>
            <w:hyperlink w:anchor="cf">
              <w:r>
                <w:rPr>
                  <w:rStyle w:val="InternetLink"/>
                </w:rPr>
                <w:t>4</w:t>
              </w:r>
            </w:hyperlink>
          </w:p>
        </w:tc>
      </w:tr>
      <w:tr>
        <w:trPr/>
        <w:tc>
          <w:tcPr>
            <w:tcW w:w="604"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441" w:type="dxa"/>
            <w:tcBorders/>
            <w:vAlign w:val="center"/>
          </w:tcPr>
          <w:p>
            <w:pPr>
              <w:pStyle w:val="TableContents"/>
              <w:bidi w:val="0"/>
              <w:spacing w:before="0" w:after="283"/>
              <w:jc w:val="center"/>
              <w:rPr/>
            </w:pPr>
            <w:hyperlink w:anchor="notes">
              <w:r>
                <w:rPr>
                  <w:rStyle w:val="InternetLink"/>
                </w:rPr>
                <w:t>5</w:t>
              </w:r>
            </w:hyperlink>
          </w:p>
        </w:tc>
      </w:tr>
      <w:tr>
        <w:trPr/>
        <w:tc>
          <w:tcPr>
            <w:tcW w:w="604"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Item 2.</w:t>
              </w:r>
            </w:hyperlink>
          </w:p>
        </w:tc>
        <w:tc>
          <w:tcPr>
            <w:tcW w:w="9160"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Management’s Discussion and Analysis of Financial Condition and Results of Operations</w:t>
              </w:r>
            </w:hyperlink>
          </w:p>
        </w:tc>
        <w:tc>
          <w:tcPr>
            <w:tcW w:w="441" w:type="dxa"/>
            <w:tcBorders/>
            <w:vAlign w:val="center"/>
          </w:tcPr>
          <w:p>
            <w:pPr>
              <w:pStyle w:val="TableContents"/>
              <w:bidi w:val="0"/>
              <w:spacing w:before="0" w:after="283"/>
              <w:jc w:val="center"/>
              <w:rPr/>
            </w:pPr>
            <w:hyperlink w:anchor="p1i2">
              <w:r>
                <w:rPr>
                  <w:rStyle w:val="InternetLink"/>
                </w:rPr>
                <w:t>20</w:t>
              </w:r>
            </w:hyperlink>
          </w:p>
        </w:tc>
      </w:tr>
      <w:tr>
        <w:trPr/>
        <w:tc>
          <w:tcPr>
            <w:tcW w:w="604"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Item 3.</w:t>
              </w:r>
            </w:hyperlink>
          </w:p>
        </w:tc>
        <w:tc>
          <w:tcPr>
            <w:tcW w:w="9160"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Quantitative and Qualitative Disclosures About Market Risk</w:t>
              </w:r>
            </w:hyperlink>
          </w:p>
        </w:tc>
        <w:tc>
          <w:tcPr>
            <w:tcW w:w="441" w:type="dxa"/>
            <w:tcBorders/>
            <w:vAlign w:val="center"/>
          </w:tcPr>
          <w:p>
            <w:pPr>
              <w:pStyle w:val="TableContents"/>
              <w:bidi w:val="0"/>
              <w:spacing w:before="0" w:after="283"/>
              <w:jc w:val="center"/>
              <w:rPr/>
            </w:pPr>
            <w:hyperlink w:anchor="p1i3">
              <w:r>
                <w:rPr>
                  <w:rStyle w:val="InternetLink"/>
                </w:rPr>
                <w:t>31</w:t>
              </w:r>
            </w:hyperlink>
          </w:p>
        </w:tc>
      </w:tr>
      <w:tr>
        <w:trPr/>
        <w:tc>
          <w:tcPr>
            <w:tcW w:w="604"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Item 4.</w:t>
              </w:r>
            </w:hyperlink>
          </w:p>
        </w:tc>
        <w:tc>
          <w:tcPr>
            <w:tcW w:w="9160"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Controls and Procedures</w:t>
              </w:r>
            </w:hyperlink>
          </w:p>
        </w:tc>
        <w:tc>
          <w:tcPr>
            <w:tcW w:w="441" w:type="dxa"/>
            <w:tcBorders/>
            <w:vAlign w:val="center"/>
          </w:tcPr>
          <w:p>
            <w:pPr>
              <w:pStyle w:val="TableContents"/>
              <w:bidi w:val="0"/>
              <w:spacing w:before="0" w:after="283"/>
              <w:jc w:val="center"/>
              <w:rPr/>
            </w:pPr>
            <w:hyperlink w:anchor="p1i4">
              <w:r>
                <w:rPr>
                  <w:rStyle w:val="InternetLink"/>
                </w:rPr>
                <w:t>32</w:t>
              </w:r>
            </w:hyperlink>
          </w:p>
        </w:tc>
      </w:tr>
      <w:tr>
        <w:trPr/>
        <w:tc>
          <w:tcPr>
            <w:tcW w:w="9764" w:type="dxa"/>
            <w:gridSpan w:val="2"/>
            <w:tcBorders/>
            <w:vAlign w:val="center"/>
          </w:tcPr>
          <w:p>
            <w:pPr>
              <w:pStyle w:val="TableContents"/>
              <w:bidi w:val="0"/>
              <w:spacing w:before="0" w:after="0"/>
              <w:ind w:left="0" w:right="0" w:hanging="0"/>
              <w:jc w:val="center"/>
              <w:rPr/>
            </w:pPr>
            <w:hyperlink w:anchor="p2">
              <w:r>
                <w:rPr>
                  <w:rStyle w:val="InternetLink"/>
                  <w:rFonts w:ascii="Times New Roman" w:hAnsi="Times New Roman"/>
                  <w:b/>
                  <w:caps w:val="false"/>
                  <w:smallCaps w:val="false"/>
                  <w:sz w:val="20"/>
                </w:rPr>
                <w:t>PART II. OTHER INFORMATION</w:t>
              </w:r>
            </w:hyperlink>
          </w:p>
        </w:tc>
        <w:tc>
          <w:tcPr>
            <w:tcW w:w="441" w:type="dxa"/>
            <w:tcBorders/>
            <w:vAlign w:val="center"/>
          </w:tcPr>
          <w:p>
            <w:pPr>
              <w:pStyle w:val="TableContents"/>
              <w:bidi w:val="0"/>
              <w:spacing w:before="0" w:after="283"/>
              <w:jc w:val="center"/>
              <w:rPr/>
            </w:pPr>
            <w:hyperlink w:anchor="p2">
              <w:r>
                <w:rPr>
                  <w:rStyle w:val="InternetLink"/>
                </w:rPr>
                <w:t>33</w:t>
              </w:r>
            </w:hyperlink>
          </w:p>
        </w:tc>
      </w:tr>
      <w:tr>
        <w:trPr/>
        <w:tc>
          <w:tcPr>
            <w:tcW w:w="604"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w:t>
              </w:r>
            </w:hyperlink>
          </w:p>
        </w:tc>
        <w:tc>
          <w:tcPr>
            <w:tcW w:w="9160"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Legal Proceedings</w:t>
              </w:r>
            </w:hyperlink>
          </w:p>
        </w:tc>
        <w:tc>
          <w:tcPr>
            <w:tcW w:w="441" w:type="dxa"/>
            <w:tcBorders/>
            <w:vAlign w:val="center"/>
          </w:tcPr>
          <w:p>
            <w:pPr>
              <w:pStyle w:val="TableContents"/>
              <w:bidi w:val="0"/>
              <w:spacing w:before="0" w:after="283"/>
              <w:jc w:val="center"/>
              <w:rPr/>
            </w:pPr>
            <w:hyperlink w:anchor="p2i1">
              <w:r>
                <w:rPr>
                  <w:rStyle w:val="InternetLink"/>
                </w:rPr>
                <w:t>33</w:t>
              </w:r>
            </w:hyperlink>
          </w:p>
        </w:tc>
      </w:tr>
      <w:tr>
        <w:trPr/>
        <w:tc>
          <w:tcPr>
            <w:tcW w:w="604"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 1A.</w:t>
              </w:r>
            </w:hyperlink>
          </w:p>
        </w:tc>
        <w:tc>
          <w:tcPr>
            <w:tcW w:w="9160"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Risk Factors</w:t>
              </w:r>
            </w:hyperlink>
          </w:p>
        </w:tc>
        <w:tc>
          <w:tcPr>
            <w:tcW w:w="441" w:type="dxa"/>
            <w:tcBorders/>
            <w:vAlign w:val="center"/>
          </w:tcPr>
          <w:p>
            <w:pPr>
              <w:pStyle w:val="TableContents"/>
              <w:bidi w:val="0"/>
              <w:spacing w:before="0" w:after="283"/>
              <w:jc w:val="center"/>
              <w:rPr/>
            </w:pPr>
            <w:hyperlink w:anchor="p2i1a">
              <w:r>
                <w:rPr>
                  <w:rStyle w:val="InternetLink"/>
                </w:rPr>
                <w:t>33</w:t>
              </w:r>
            </w:hyperlink>
          </w:p>
        </w:tc>
      </w:tr>
      <w:tr>
        <w:trPr/>
        <w:tc>
          <w:tcPr>
            <w:tcW w:w="604"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w:t>
              </w:r>
            </w:hyperlink>
          </w:p>
        </w:tc>
        <w:tc>
          <w:tcPr>
            <w:tcW w:w="9160"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Unregistered Sales of Equity Securities and Use of Proceeds</w:t>
              </w:r>
            </w:hyperlink>
          </w:p>
        </w:tc>
        <w:tc>
          <w:tcPr>
            <w:tcW w:w="441" w:type="dxa"/>
            <w:tcBorders/>
            <w:vAlign w:val="center"/>
          </w:tcPr>
          <w:p>
            <w:pPr>
              <w:pStyle w:val="TableContents"/>
              <w:bidi w:val="0"/>
              <w:spacing w:before="0" w:after="283"/>
              <w:jc w:val="center"/>
              <w:rPr/>
            </w:pPr>
            <w:hyperlink w:anchor="p2i2">
              <w:r>
                <w:rPr>
                  <w:rStyle w:val="InternetLink"/>
                </w:rPr>
                <w:t>33</w:t>
              </w:r>
            </w:hyperlink>
          </w:p>
        </w:tc>
      </w:tr>
      <w:tr>
        <w:trPr/>
        <w:tc>
          <w:tcPr>
            <w:tcW w:w="604"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w:t>
              </w:r>
            </w:hyperlink>
          </w:p>
        </w:tc>
        <w:tc>
          <w:tcPr>
            <w:tcW w:w="9160"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Defaults Upon Senior Securities</w:t>
              </w:r>
            </w:hyperlink>
          </w:p>
        </w:tc>
        <w:tc>
          <w:tcPr>
            <w:tcW w:w="441" w:type="dxa"/>
            <w:tcBorders/>
            <w:vAlign w:val="center"/>
          </w:tcPr>
          <w:p>
            <w:pPr>
              <w:pStyle w:val="TableContents"/>
              <w:bidi w:val="0"/>
              <w:spacing w:before="0" w:after="283"/>
              <w:jc w:val="center"/>
              <w:rPr/>
            </w:pPr>
            <w:hyperlink w:anchor="p2i3">
              <w:r>
                <w:rPr>
                  <w:rStyle w:val="InternetLink"/>
                </w:rPr>
                <w:t>33</w:t>
              </w:r>
            </w:hyperlink>
          </w:p>
        </w:tc>
      </w:tr>
      <w:tr>
        <w:trPr/>
        <w:tc>
          <w:tcPr>
            <w:tcW w:w="604"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w:t>
              </w:r>
            </w:hyperlink>
          </w:p>
        </w:tc>
        <w:tc>
          <w:tcPr>
            <w:tcW w:w="9160"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Mine Safety Disclosures</w:t>
              </w:r>
            </w:hyperlink>
          </w:p>
        </w:tc>
        <w:tc>
          <w:tcPr>
            <w:tcW w:w="441" w:type="dxa"/>
            <w:tcBorders/>
            <w:vAlign w:val="center"/>
          </w:tcPr>
          <w:p>
            <w:pPr>
              <w:pStyle w:val="TableContents"/>
              <w:bidi w:val="0"/>
              <w:spacing w:before="0" w:after="283"/>
              <w:jc w:val="center"/>
              <w:rPr/>
            </w:pPr>
            <w:hyperlink w:anchor="p2i4">
              <w:r>
                <w:rPr>
                  <w:rStyle w:val="InternetLink"/>
                </w:rPr>
                <w:t>33</w:t>
              </w:r>
            </w:hyperlink>
          </w:p>
        </w:tc>
      </w:tr>
      <w:tr>
        <w:trPr/>
        <w:tc>
          <w:tcPr>
            <w:tcW w:w="604"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w:t>
              </w:r>
            </w:hyperlink>
          </w:p>
        </w:tc>
        <w:tc>
          <w:tcPr>
            <w:tcW w:w="9160"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Other Information</w:t>
              </w:r>
            </w:hyperlink>
          </w:p>
        </w:tc>
        <w:tc>
          <w:tcPr>
            <w:tcW w:w="441" w:type="dxa"/>
            <w:tcBorders/>
            <w:vAlign w:val="center"/>
          </w:tcPr>
          <w:p>
            <w:pPr>
              <w:pStyle w:val="TableContents"/>
              <w:bidi w:val="0"/>
              <w:spacing w:before="0" w:after="283"/>
              <w:jc w:val="center"/>
              <w:rPr/>
            </w:pPr>
            <w:hyperlink w:anchor="p2i5">
              <w:r>
                <w:rPr>
                  <w:rStyle w:val="InternetLink"/>
                </w:rPr>
                <w:t>33</w:t>
              </w:r>
            </w:hyperlink>
          </w:p>
        </w:tc>
      </w:tr>
      <w:tr>
        <w:trPr/>
        <w:tc>
          <w:tcPr>
            <w:tcW w:w="604"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w:t>
              </w:r>
            </w:hyperlink>
          </w:p>
        </w:tc>
        <w:tc>
          <w:tcPr>
            <w:tcW w:w="9160"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Exhibits</w:t>
              </w:r>
            </w:hyperlink>
          </w:p>
        </w:tc>
        <w:tc>
          <w:tcPr>
            <w:tcW w:w="441" w:type="dxa"/>
            <w:tcBorders/>
            <w:vAlign w:val="center"/>
          </w:tcPr>
          <w:p>
            <w:pPr>
              <w:pStyle w:val="TableContents"/>
              <w:bidi w:val="0"/>
              <w:spacing w:before="0" w:after="283"/>
              <w:jc w:val="center"/>
              <w:rPr/>
            </w:pPr>
            <w:hyperlink w:anchor="p2i6">
              <w:r>
                <w:rPr>
                  <w:rStyle w:val="InternetLink"/>
                </w:rPr>
                <w:t>34</w:t>
              </w:r>
            </w:hyperlink>
          </w:p>
        </w:tc>
      </w:tr>
      <w:tr>
        <w:trPr/>
        <w:tc>
          <w:tcPr>
            <w:tcW w:w="604"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0"/>
              <w:ind w:left="0" w:right="0" w:hanging="0"/>
              <w:jc w:val="left"/>
              <w:rPr/>
            </w:pPr>
            <w:hyperlink w:anchor="sign">
              <w:r>
                <w:rPr>
                  <w:rStyle w:val="InternetLink"/>
                  <w:rFonts w:ascii="Times New Roman" w:hAnsi="Times New Roman"/>
                  <w:caps w:val="false"/>
                  <w:smallCaps w:val="false"/>
                  <w:sz w:val="20"/>
                </w:rPr>
                <w:t>Signatures</w:t>
              </w:r>
            </w:hyperlink>
          </w:p>
        </w:tc>
        <w:tc>
          <w:tcPr>
            <w:tcW w:w="441" w:type="dxa"/>
            <w:tcBorders/>
            <w:vAlign w:val="center"/>
          </w:tcPr>
          <w:p>
            <w:pPr>
              <w:pStyle w:val="TableContents"/>
              <w:bidi w:val="0"/>
              <w:spacing w:before="0" w:after="283"/>
              <w:jc w:val="center"/>
              <w:rPr/>
            </w:pPr>
            <w:hyperlink w:anchor="sign">
              <w:r>
                <w:rPr>
                  <w:rStyle w:val="InternetLink"/>
                </w:rPr>
                <w:t>36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 FINANCIAL INFORMATION</w:t>
      </w:r>
      <w:bookmarkStart w:id="2" w:name="p1"/>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 Financial Statements</w:t>
      </w:r>
      <w:r>
        <w:rPr>
          <w:rFonts w:ascii="Times New Roman" w:hAnsi="Times New Roman"/>
          <w:caps w:val="false"/>
          <w:smallCaps w:val="false"/>
          <w:sz w:val="20"/>
        </w:rPr>
        <w:t> </w:t>
      </w:r>
      <w:bookmarkStart w:id="3" w:name="p1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4" w:name="bs"/>
      <w:bookmarkEnd w:id="4"/>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8"/>
        <w:gridCol w:w="60"/>
        <w:gridCol w:w="87"/>
        <w:gridCol w:w="947"/>
        <w:gridCol w:w="80"/>
        <w:gridCol w:w="60"/>
        <w:gridCol w:w="87"/>
        <w:gridCol w:w="1113"/>
        <w:gridCol w:w="83"/>
      </w:tblGrid>
      <w:tr>
        <w:trPr/>
        <w:tc>
          <w:tcPr>
            <w:tcW w:w="7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(audited)</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3" w:type="dxa"/>
            <w:tcBorders/>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taxes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 of accumulated depreciation</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lease assets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at fair value</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VAT payable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25,160</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long term portion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(see Note 13)</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sz w:val="4"/>
                <w:szCs w:val="4"/>
              </w:rPr>
            </w:pPr>
            <w:r>
              <w:rPr>
                <w:sz w:val="4"/>
                <w:szCs w:val="4"/>
              </w:rPr>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Shares, par value €0.02 per share, 4,300,000 shares authorized, 1,409,921 and 1,409,885 shares issued and outstanding as of June 30, 2025 and December 31, 2024, respectively (Note 9)</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 Voting Shares, par value €0.5 per share, 53,400 shares authorized, 40,000 shares issued and outstanding as of June 30, 2025 and December 31, 2024, respectively (Note 9)</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298,699</w:t>
            </w:r>
          </w:p>
        </w:tc>
        <w:tc>
          <w:tcPr>
            <w:tcW w:w="83"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(321,428</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5" w:name="ci"/>
      <w:bookmarkEnd w:id="5"/>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COMPREHESIVE INCOME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 except share and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8"/>
        <w:gridCol w:w="60"/>
        <w:gridCol w:w="154"/>
        <w:gridCol w:w="935"/>
        <w:gridCol w:w="88"/>
        <w:gridCol w:w="66"/>
        <w:gridCol w:w="66"/>
        <w:gridCol w:w="935"/>
        <w:gridCol w:w="80"/>
        <w:gridCol w:w="60"/>
        <w:gridCol w:w="140"/>
        <w:gridCol w:w="950"/>
        <w:gridCol w:w="80"/>
        <w:gridCol w:w="60"/>
        <w:gridCol w:w="60"/>
        <w:gridCol w:w="950"/>
        <w:gridCol w:w="83"/>
      </w:tblGrid>
      <w:tr>
        <w:trPr/>
        <w:tc>
          <w:tcPr>
            <w:tcW w:w="5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3" w:type="dxa"/>
            <w:tcBorders/>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 and Costs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deconsolidation/reconsolidation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(63,491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income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 and Costs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(59,887</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(Loss)/Income from Operations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59,887</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changes in fair value of convertible note payable carried at fair value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21,909</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transactions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79,439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to common shareholders: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pPr>
            <w:r>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54.82</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(0.56</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4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1,449,921</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1,449,094</w:t>
            </w:r>
          </w:p>
        </w:tc>
        <w:tc>
          <w:tcPr>
            <w:tcW w:w="83" w:type="dxa"/>
            <w:tcBorders/>
            <w:shd w:fill="FFFFFF" w:val="clear"/>
            <w:vAlign w:val="center"/>
          </w:tcPr>
          <w:p>
            <w:pPr>
              <w:pStyle w:val="TableContents"/>
              <w:bidi w:val="0"/>
              <w:spacing w:before="0" w:after="283"/>
              <w:jc w:val="left"/>
              <w:rPr/>
            </w:pPr>
            <w:r>
              <w:rPr/>
              <w:t> </w:t>
            </w:r>
          </w:p>
        </w:tc>
      </w:tr>
      <w:tr>
        <w:trPr/>
        <w:tc>
          <w:tcPr>
            <w:tcW w:w="54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1,449,921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10,874,054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17,194,420</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6" w:name="se"/>
      <w:bookmarkEnd w:id="6"/>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(Amounts in thousands, except share amounts)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6"/>
        <w:gridCol w:w="60"/>
        <w:gridCol w:w="93"/>
        <w:gridCol w:w="1337"/>
        <w:gridCol w:w="60"/>
        <w:gridCol w:w="60"/>
        <w:gridCol w:w="188"/>
        <w:gridCol w:w="724"/>
        <w:gridCol w:w="60"/>
        <w:gridCol w:w="60"/>
        <w:gridCol w:w="94"/>
        <w:gridCol w:w="931"/>
        <w:gridCol w:w="60"/>
        <w:gridCol w:w="60"/>
        <w:gridCol w:w="122"/>
        <w:gridCol w:w="468"/>
        <w:gridCol w:w="60"/>
        <w:gridCol w:w="60"/>
        <w:gridCol w:w="100"/>
        <w:gridCol w:w="1187"/>
        <w:gridCol w:w="60"/>
        <w:gridCol w:w="60"/>
        <w:gridCol w:w="93"/>
        <w:gridCol w:w="1189"/>
        <w:gridCol w:w="80"/>
        <w:gridCol w:w="60"/>
        <w:gridCol w:w="122"/>
        <w:gridCol w:w="1336"/>
        <w:gridCol w:w="85"/>
      </w:tblGrid>
      <w:tr>
        <w:trPr/>
        <w:tc>
          <w:tcPr>
            <w:tcW w:w="1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Shares 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High</w:t>
              <w:br/>
              <w:t>Voting</w:t>
              <w:br/>
              <w:t>Shares</w:t>
              <w:br/>
              <w:t>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High</w:t>
              <w:br/>
              <w:t>Voting</w:t>
              <w:b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 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Deficit</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5"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3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(87,688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for the period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3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80,882</w:t>
            </w:r>
          </w:p>
        </w:tc>
        <w:tc>
          <w:tcPr>
            <w:tcW w:w="85" w:type="dxa"/>
            <w:tcBorders/>
            <w:shd w:fill="CCEEFF" w:val="clear"/>
            <w:vAlign w:val="center"/>
          </w:tcPr>
          <w:p>
            <w:pPr>
              <w:pStyle w:val="TableContents"/>
              <w:bidi w:val="0"/>
              <w:spacing w:before="0" w:after="283"/>
              <w:jc w:val="left"/>
              <w:rPr/>
            </w:pPr>
            <w:r>
              <w:rPr/>
              <w:t> </w:t>
            </w:r>
          </w:p>
        </w:tc>
      </w:tr>
      <w:tr>
        <w:trPr/>
        <w:tc>
          <w:tcPr>
            <w:tcW w:w="1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3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3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3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(8,429</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8"/>
        <w:gridCol w:w="60"/>
        <w:gridCol w:w="82"/>
        <w:gridCol w:w="1179"/>
        <w:gridCol w:w="60"/>
        <w:gridCol w:w="60"/>
        <w:gridCol w:w="173"/>
        <w:gridCol w:w="667"/>
        <w:gridCol w:w="60"/>
        <w:gridCol w:w="60"/>
        <w:gridCol w:w="94"/>
        <w:gridCol w:w="931"/>
        <w:gridCol w:w="60"/>
        <w:gridCol w:w="60"/>
        <w:gridCol w:w="122"/>
        <w:gridCol w:w="468"/>
        <w:gridCol w:w="60"/>
        <w:gridCol w:w="60"/>
        <w:gridCol w:w="88"/>
        <w:gridCol w:w="1040"/>
        <w:gridCol w:w="60"/>
        <w:gridCol w:w="60"/>
        <w:gridCol w:w="87"/>
        <w:gridCol w:w="1118"/>
        <w:gridCol w:w="80"/>
        <w:gridCol w:w="60"/>
        <w:gridCol w:w="111"/>
        <w:gridCol w:w="1210"/>
        <w:gridCol w:w="87"/>
      </w:tblGrid>
      <w:tr>
        <w:trPr/>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Shares 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High</w:t>
              <w:br/>
              <w:t>Voting</w:t>
              <w:br/>
              <w:t>Shares</w:t>
              <w:br/>
              <w:t>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High</w:t>
              <w:br/>
              <w:t>Voting</w:t>
              <w:b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 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Deficit</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7" w:type="dxa"/>
            <w:tcBorders/>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2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Ordinary Shares in connection with December 2024 reverse share split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2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r>
      <w:tr>
        <w:trPr/>
        <w:tc>
          <w:tcPr>
            <w:tcW w:w="19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for the period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8,837</w:t>
            </w:r>
          </w:p>
        </w:tc>
        <w:tc>
          <w:tcPr>
            <w:tcW w:w="87" w:type="dxa"/>
            <w:tcBorders/>
            <w:shd w:fill="FFFF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19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0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19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19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0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7" w:name="cf"/>
      <w:bookmarkEnd w:id="7"/>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447" w:type="dxa"/>
        <w:jc w:val="left"/>
        <w:tblInd w:w="0" w:type="dxa"/>
        <w:tblLayout w:type="fixed"/>
        <w:tblCellMar>
          <w:top w:w="0" w:type="dxa"/>
          <w:left w:w="0" w:type="dxa"/>
          <w:bottom w:w="0" w:type="dxa"/>
          <w:right w:w="0" w:type="dxa"/>
        </w:tblCellMar>
      </w:tblPr>
      <w:tblGrid>
        <w:gridCol w:w="6650"/>
        <w:gridCol w:w="60"/>
        <w:gridCol w:w="103"/>
        <w:gridCol w:w="1131"/>
        <w:gridCol w:w="108"/>
        <w:gridCol w:w="81"/>
        <w:gridCol w:w="103"/>
        <w:gridCol w:w="1131"/>
        <w:gridCol w:w="80"/>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2025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KEUR</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2024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79,439</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reconsolidation</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changes in fair value of convertible note payable carried at fair value</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(11,144</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taxes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lease assets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VAT payable</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equipment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Reconsolidation of the Subsidiary cash balance</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in)/provided by investing activities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issuance of convertible notes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currency translation on cash</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December 31, 2024 and 2023</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June 30, 2025 and 2024</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 interest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 income tax</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 Organization and Description of Business</w:t>
      </w:r>
      <w:bookmarkStart w:id="8" w:name="notes"/>
      <w:bookmarkEnd w:id="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Global Market”). The Company’s ordinary shares commenced trading on the Nasdaq Global Market under the ticker symbol “SEV” on November 17, 2021. On July 12, 2023 and August 28, 2023, the Company received notices from Nasdaq Global Market stating that the staff of the Listing Qualifications Department (the “Staff”) had determined that the Company’s securities will be delisted from Nasdaq in accordance with Nasdaq’s Listing Rules and notifying the Company of the suspension in trading of its ordinary shares as of the opening of business on July 21, 2023. On December 11, 2023, the Company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 On July 2, 2024, the quoting of the Company’s ordinary shares commenced on OTCQB under the ticker symbol “SEVCF”.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its management in the United States of America since January 31, 2024. Prior to this date, the Company’s management was based in Germany. The business address of the Company is Waldmeisterstraße 93, 80935 Munich, Germany (trade register number: 80683568). Sono N.V.’s sole and wholly-owned subsidiary, Sono Motors GmbH (“Sono Motors” or the “Subsidiary”), is registered in the commercial register (Handelsregister) at the local court (Amtsgericht) of Munich, Germany, under HRB 224131. Sono Motors’ registered headquarters is Waldmeisterstraße 93, 80935 Munich, Germany. Sono N.V. is the ultimate parent of the Group. Hereinafter, Sono N.V. and its consolidated subsidiary collectively are referred to as “Sono Group”, or the “Group”, “Management”, “we”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on May 15, 2023. The Subsidiary withdrew its application for Preliminary Self-Administration Proceedings (as defined herein) on January 31, 2024, and the Subsidiary exited its Self-Administration Proceedings on February 29, 2024. See “Note 3 Liquidity and Going concern”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the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 consolidated basis, the Company’s operations are comprised of the parent company, Sono N.V. and its subsidiary, Sono Motors. All significant intercompany transactions and balances have been eliminated upon consolidation. In addition, certain amounts in the prior periods consolidated financial statements have been reclassified to conform to the current period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 Basis of Presentation, Consolidation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significant accounting policies applied in the presentation of the accompanying consolidated financial statements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in conformity with accounting principles generally accepted in the United States of America (“U.S. GAAP”) and pursuant to the rules and regulations of the SEC for annual financial reporting. All amounts referred to in the notes to the consolidated financial statements are presented in euros (EUR) and have been rounded to the nearest thousand, unless otherwise stated. Substantially all of the Company’s operations are conducted in EUR and the current reporting currency is the same as the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end of the second quarter of 2024, the Company determined that it no longer qualified as a foreign private issuer under the SEC rules. As a result, beginning January 1, 2025, the Company became subject to the reporting requirements applicable to U.S. domestic issuers. Accordingly, these consolidated financial statements have been prepared in accordance with U.S. GAAP, and the transition from International Financial Reporting Standards (“IFRS”), as issued by the International Accounting Standards Board (“IASB”), has been applied retrospectively to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reflect all normal and recurring adjustments that are, in the opinion of management, necessary to present a fair statement of the Company’s condensed consolidated financial position as of  June 30, 2025 and the results of operations for the six month period then ended. In the opinion of management, all adjustments (consisting of normal recurring accruals) considered necessary in order to make the condensed consolidated financial statements not misleading have been included. All significant intercompany accounts and transactions have been eliminated in consolidation. The preparation of the unaudited condensed consolidated financial statements requires management to make estimates and assumptions that affect the amounts reported in the financial statements and accompanying notes; actual results could materially differ from those estimates. The unaudited condensed consolidated financial statements have been prepared pursuant to the rules and regulations of the Securities and Exchange Commission ("SEC") and accordingly do not include all of the disclosures normally made in the Company’s annual condensed consolidated financial statements. Accordingly, these unaudited condensed consolidated financial statements should be read in conjunction with the consolidated financial statements and notes thereto for the fiscal year ended December 31, 2024, included in the Company’s Annual Report on Form 10-K for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the consolidated financial statements in conformity with U.S. GAAP requires management to make estimates and assumptions that affect certain reported amounts of assets and liabilities and disclosures of contingent assets and liabilities at the date of the consolidated financial statements, and the reported amounts of revenues and expenses during the reporting period. Accordingly, actual results could differ from those estimates. Significant estimates include assumptions about cash flow and fair value assumptions associated with measurements of convertible notes payable carried at fair value, valuation of inventory; valuation allowance for deferred tax assets; and borrowing rate consideration for right-of-use (“ROU”) lease assets including related lease liability and useful life of fixed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financial statement purposes, the Company considers all highly liquid investments with original maturities of six months or less to be cash and cash equivalents. Accounts maintained in US bank accounts are insured by the Federal Deposit Insurance Corporation (“FDIC”) up to $250,000. The Company had $-0- and $-0- in US bank cash balances in excess of the FDIC insured limit as of June 30, 2025 and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leases pursuant to ASU 2016-02. Accordingly, For new leases, the Company will determine if an arrangement is or contains a lease at inception. Leases are included as ROU assets within other assets and lease liabilities within current liabilities and within other long-term liabilities on the Company’s consolidated balance sheets. Additionally, the Company elected the exemption available under ASC 842-20-25-2 for short term lease agreements and recognizes lease payments on a straight line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ROU assets and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The ROU asset also includes any lease payments made and excludes lease incentives. Lease expense for lease payments is recognized on a straight-line basis over the lease term. See Note 6 for more complete details on balances as of the reporting periods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Inventory consisting of stock used in development, is stated at the lower of cost or net realizable value. Cost is determined by the first-in, first-out method. Stock counts are taken routinely and obsolete, outdated inventory is directly charged off through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financial instruments that are exposed to a concentration of credit risk are cash and accounts receivable. Generally, the Company’s cash and cash equivalents are in checking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are stated at cost. When retired or otherwise disposed of, the related carrying value and accumulated depreciation are removed from the respective accounts and the net difference less any amount realized from disposition, is reflected in earnings. For consolidated financial statement purposes, property and equipment are recorded at cost and depreciated using the straight-line method over their estimated useful lives of 5 to 7 years. The cost of repairs and maintenance is expensed as incurred; major replacements and improvements are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examines the possibility of decreases in the value of fixed assets when events or changes in circumstances reflect the fact that their recorded value may not be recoverable. The Company recognizes an impairment loss when the sum of expected undiscounted future cash flows is less than the carrying amount of the asset. The amount of impairment is measured as the difference between the asset’s estimated fair value and its book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recognition is based on Accounting Standards Codification (ASC) Topic 606 – Revenue from Contracts with Customers. In general, the Company recognizes revenue when the amount of revenue can be reliably measured, it is probable that future economic benefits will flow to the Company, where there is evidence of an arrangement, when the selling price is fixed or determinable, and when specific criteria have been met or there are no significant remaining performance obligations for each of the Company's activities as described below. Revenue is recognized at the point in time when control of the goods or services is transferred to the customer. The Company typically recognizes revenue upon formal acceptance by the customer. Control is considered to be transferred when the customer has the ability to direct the use of and obtain substantially all of the remaining benefits of that good. We consider this the point at which the performance obligation is fulfilled, and the customer obtains control of the promised good or service.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Products: Revenue is recognized upon delivery and successful customer acceptance (i.e., transfer of risks and rewards as well as physical possession).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Engineering Services: Revenue is also recognized upon acceptance by the customer, as these services are typically customized and do not provide incremental value until completion.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control does not transfer over time but rather at a single point (usually project completion or delivery), revenue is recognized at a point in time in accordance with ASC 606-10-25-30 and related guidance. Progress billings on projects where this criteria has not been met are recorded as deferred revenue. Deferred revenue at June 30, 2025 and December 31, 2024 was EUR12k and EUR0.00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the Company participates in government sponsored collaborations whereby they are awarded participation grants. There is no certainty as to the timing or amounts of grants that will ultimately be received. Accordingly, the company records these grants as other income upon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Fair Value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is the price that would be received from the sale of an asset or paid to transfer a liability (i.e., an exit price) in the principal or most advantageous market in an orderly transaction between market participants. In determining fair value, the accounting standards have established a three-level hierarchy that distinguishes between (i) market data obtained or developed from independent sources (i.e., observable data inputs) and (ii) a reporting entity’s own data and assumptions that market participants would use in pricing an asset or liability (i.e., unobservable data inputs). Financial assets and financial liabilities measured and reported at fair value are classified in one of the following categories, in order of priority of observability and objectivity of pricing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Level 1 – Fair value based on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Level 2 – Fair value based on significant directly observable data (other than Level 1 quoted prices) or significant indirectly observable data through corroboration with observable market data. Inputs would normally be (i) quoted prices in active markets for similar assets or liabilities, (ii) quoted prices in inactive markets for identical or similar assets or liabilities or (iii) information derived from or corroborated by observable market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Level 3 – Fair value based on prices or valuation techniques that require significant unobservable data inputs. Inputs would normally be a reporting entity’s own data and judgments about assumptions that market participants would use in pricing the asset or liability.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measurement level for an asset or liability is based on the lowest level of any input that is significant to the fair value measurement. Valuation techniques should maximize the use of observable inputs and minimize the use of unobservable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utilizes a binomial lattice option pricing model to estimate the fair value of options, warrants and other Level 3 financial assets and liabilities.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stock-based compensation to employees and nonemployees under Financial Accounting Standards Board (“FASB”) Accounting Standards Codification (“ASC”) 718 “Compensation – Stock Compensation” using the fair value-based method. Under this method, compensation cost is measured at the grant date based on the value of the award and is recognized over the service period, which is usually the vesting period. This guidance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The Company uses a binomial lattice pricing model to estimate the fair value of options and warrants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follows Accounting Standards Codification subtopic 740-10, Income Taxes (“ASC 740-10”)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during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 Deferred income taxes may arise from temporary differences resulting from income and expense items reported for financial accounting and tax purposes in different periods. No income tax has been provisioned for the six months ended June 30, 2025 and 2024, since the Company has sustained losses historically and has substantial net operating loss carryforwards for both periods. Due to the uncertainty of the utilization and recoverability of the loss carry-forwards and other deferred tax assets, management has determined a full valuation allowance for the deferred tax assets, since it is more likely than not that the deferred tax assets will not be realizable.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value of the Company’s financial assets and financial liabilities is their cost, which may differ from fair value. The carrying value of cash held as demand deposits, accounts payable, and accrued liabilities approximated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Income /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income (loss) per common share is computed by dividing net income (loss) by the weighted average number of shares of common stock outstanding during the period. For periods the Company reports a net loss, all outstanding stock options and other dilutive securities are excluded from the calculation of diluted net loss per common share because inclusion of these securities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and six months ending June 30, 2025, and 2024, basic net income/(loss) per share was EUR(0.56), EUR5.53 and EUR (1.00), 54.82 respectively. Weighted average common shares used were 1,449,921 and 1,449,919.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ending June 30, 2025 and 2024 fully diluted income/(loss) per share was EUR0.74 and EUR4.62 respectively. Weighted average common shares including all outstanding stock options and other dilutive securities were 10,874,054 and 17,194,420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“management approach” to identify its reportable segments. The management approach designates the internal organization used by management for making operating decisions and assessing performance as the basis for identifying the Company’s reportable segments. Using the management approach, the Company determined that it has one operating segment, solar retrofitting of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Recently Issued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2024, the FASB issued ASU No. 2024-01, “Compensation—Stock Compensation (Topic 718): Scope Applications of Profits Interests and Similar Awards” (“ASU 2024-01”). ASU 2024-01 adds an example to Topic 718 which illustrates how to apply the scope guidance to determine whether profits interests and similar awards should be accounted for as share-based payment arrangements under Topic 718 or under other U.S. GAAP. ASU 2024-01 is effective for annual periods beginning after December 15, 2025, although early adoption is permitted. Upon adoption, ASU 2024-01 is not expected to have an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No. 2024-03, “Income Statement - Reporting Comprehensive Income - Expense Disaggregation Disclosures (Subtopic 220-40).” This standard requires disclosure of specific information about costs and expenses and becomes effective January 1, 2027. We are currently evaluating the impact of this standard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2024-04, “Debt - Debt with Conversions and Other Options (Subtopic 470-20): Induced Conversions of Convertible Debt Instruments” (“ASU 2024-04”). ASU 2024-04 clarifies the requirements for determining whether certain 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We are currently evaluating the impact of this standard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Recently Adopted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other new accounting pronouncements were issued or became effective in the period that had, or are expected to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 Liquidity and Going Concern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required to evaluate whether there is substantial doubt about its ability to continue as a going concern each reporting period, including interim periods. In evaluating the Company’s ability to continue as a going concern, management considered the conditions and events that could raise substantial doubt about the Company’s ability to continue as a going concern within 12 months after the Company’s financial statements were issued (April 16, 2026). Management considered the Company’s current financial condition and liquidity sources, including current funds available, forecasted future cash flows and the Company’s obligations due before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subject to a number of risks, including uncertainty related to product development and generation of revenues and positive cash flow from its Sono Motors GmbH division and a dependence on outside sources of capital. The attainment of profitable operations is dependent on future events, including obtaining adequate financing to fulfill the Company’s growth and operating activities and generating a level of revenues adequate to support the Company’s cost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the Company had cash balances of EUR0.3 million, a working capital deficit of EUR14.9 million and an accumulated deficit of EUR313.4 million. For the six months ended June 30, 2025, the Company had net income of EUR8.0 million. The Company recorded an operating loss of EUR3.6 million and expects to continue to incur small operating losses and have net cash outflows for at least the next 12 months, offset by cash flows from financing and other business activities. There are no assurances that future advances from our financing partners will occur, however we have received six advances to date including EUR.3 Million on August 18, 2025, nor are we certain that our efforts to uplist to a national exchange will be successful even if we are meeting their specific criteria for uplisting.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has evaluated the significance of the conditions described above in relation to the Company’s ability to meet its obligations and concluded that, if additional funding commitments from YA II PN, Ltd (“Yorkville”) are achieved based upon the notification from a national exchange of our uplisting to that national exchange, and if the Company’s commitment for a $5M capital raise upon completion of a current S1 filing and/or other fundraising efforts are successful, all of which cannot be guaranteed, the Company will have sufficient funds to meet its obligations within one year from the date of the consolidated financial statements. Based upon this uncertainty, Management has concluded that there is substantial doubt that the company will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Deconsolidation Due to Loss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Gain from Deconsolidation and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close of February 2023, Sono Group announced the decision to restructure the business model to focus exclusively on retrofitting and integrating solar technology into third-party vehicles going forward. At the same time, Sono Group discontinued the Sion passenger car program with immediate effect and terminated approximately 250 employees. Management ultimately concluded that Sono Motors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Sono N.V., in turn, becoming over-indebted and also facing impending illiquidity. Consequently, management decided to apply for the opening of self-administration proceedings with respect to Sono N.V. and Sono Motors with the goal of sustainably restructuring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15, 2023, Sono N.V. applied to the insolvency court of Munich, Germany (the “Court”),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with respect to Sono Group N.V.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Sono Motors GmbH applied to the same court to permit the opening of self-administration proceeding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with respect to Sono Motors GmbH pursuant Section 270 (d) of the German Insolvency Code. Sono Group N.V. conducts its business through its subsidiary Sono Motors GmbH, and is jointly referred to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Self-administration proceedings are debtor-in-possession type proceedings under German insolvency law, which are available to businesses in financial distress and typically aim to preserve the business and the entity that are the subject of the proceedings. In these proceedings, Management retains control and operation of the subject company’s business under the supervision of a custodian, who is initially appointed on a preliminary basis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ufiger Sachwalter</w:t>
      </w:r>
      <w:r>
        <w:rPr>
          <w:rFonts w:ascii="Times New Roman" w:hAnsi="Times New Roman"/>
          <w:caps w:val="false"/>
          <w:smallCaps w:val="false"/>
          <w:sz w:val="20"/>
        </w:rPr>
        <w:t>) and is primarily responsible for monitoring the subject company’s compliance with German insolvency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17 and May 19, 2023, respectively, the Court admitted the opening of Self-Administration Proceedings with respect to the Company and the Subsidiary on a preliminary basis (the “Preliminary Self-Administration Proceedings”). The Court also appointed preliminary custodians for each of the Company and the Subsidiary in their respective Preliminary Self-Administration Proceedings. On September 1, 2023, the Court opened the Self-Administration Proceedings with respect to the Subsidiary (the “Opened GmbH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considering all facts and conditions, management concluded that Sono N.V. lost control over Sono Motors upon opening of insolvency proceedings in self-administration (protective shield proceedings, May 19, 2023). Sono N.V. therefore deconsolidated Sono Motors as of May 19, 2023 in accordance with ASU 810-10-55.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loss of control, Sono N.V. derecognized the assets and liabilities of Sono Motors from the consolidated statement of financial position, recognized its remaining investment retained in Sono Motors at its fair value and subsequently accounted for the investment under the equity method of accounting pursuant to ASU 810-10-55.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deconsolidation, the Company recognized no fair value of the subsidiary at the date of deconsolidation, derecognized the carrying value of assets and liabilities transferred, and recorded a gain for the excess of liabilities extinguished over the carrying value of assets derecognized. Additionally, the Company recognized a provision for potential creditor claims during the Self-Administration Proceedings. The provision was charged against the deconsolidation gain. The net deconsolidation gain and reversal of the parental guarantee provision for the year ended December 31, 2023 resulted in a net loss of  EUR21.8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Reconsolidation of Sono Motors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29, 2024, the Subsidiary exited its Self-Administration Proceedings via its plan under the German Insolvency Code, which set out how the Subsidiary intended to restructure its debt and procure the inflow of new cash, including pursuant to a funding commitment from Yorkville. As a result, all outstanding debts between the Company and the Subsidiary were extinguished, and the Subsidiary was reconsolidated into our consolidated financial statements effective 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reconsolidation resulted in a net gain of approximately EUR62.7 million, reflecting the revaluation of the Subsidiary’s net assets and the extinguishment of parental guarantees and related liabilities. This gain is recorded in our operating results for the three months ended March 31, 2024 and represents the financial impact of regaining control over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 2024, the Company was deemed to have regained control of Sono Motors. The Company recorded the fair value of net assets consolidated at March 1, 2024. The following table reflects the March 1, 2024 Balance Sheet of Sono Motors:</w:t>
      </w:r>
    </w:p>
    <w:p>
      <w:pPr>
        <w:pStyle w:val="TextBody"/>
        <w:bidi w:val="0"/>
        <w:spacing w:before="0" w:after="0"/>
        <w:ind w:left="0" w:right="0" w:hanging="0"/>
        <w:jc w:val="left"/>
        <w:rPr>
          <w:caps w:val="false"/>
          <w:smallCaps w:val="false"/>
        </w:rPr>
      </w:pPr>
      <w:r>
        <w:rPr>
          <w:caps w:val="false"/>
          <w:smallCaps w:val="false"/>
        </w:rPr>
        <w:t> </w:t>
      </w:r>
    </w:p>
    <w:tbl>
      <w:tblPr>
        <w:tblW w:w="4694" w:type="dxa"/>
        <w:jc w:val="left"/>
        <w:tblInd w:w="0" w:type="dxa"/>
        <w:tblLayout w:type="fixed"/>
        <w:tblCellMar>
          <w:top w:w="0" w:type="dxa"/>
          <w:left w:w="0" w:type="dxa"/>
          <w:bottom w:w="0" w:type="dxa"/>
          <w:right w:w="0" w:type="dxa"/>
        </w:tblCellMar>
      </w:tblPr>
      <w:tblGrid>
        <w:gridCol w:w="3350"/>
        <w:gridCol w:w="60"/>
        <w:gridCol w:w="132"/>
        <w:gridCol w:w="1072"/>
        <w:gridCol w:w="8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taxes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recorded on reconsolidation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as of June 30, 2025 and December 31, 2024 were as follows:</w:t>
      </w:r>
    </w:p>
    <w:p>
      <w:pPr>
        <w:pStyle w:val="TextBody"/>
        <w:bidi w:val="0"/>
        <w:spacing w:before="0" w:after="0"/>
        <w:ind w:left="0" w:right="0" w:hanging="0"/>
        <w:jc w:val="left"/>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2165"/>
        <w:gridCol w:w="60"/>
        <w:gridCol w:w="174"/>
        <w:gridCol w:w="985"/>
        <w:gridCol w:w="80"/>
        <w:gridCol w:w="60"/>
        <w:gridCol w:w="242"/>
        <w:gridCol w:w="1352"/>
        <w:gridCol w:w="8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&amp; equipment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13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for the six months ended June 30, 2025 and 2024 was KEUR16 and KEUR18,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6.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its office and warehouse space. The lease has a remaining life of 5yrs. The Company accounts for its leases according to ASC 842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 expense was KEUR42 and KEUR42 for the three and six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Maturities of operating lease liabilities were as follows as of June 30, 2025:</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2585"/>
        <w:gridCol w:w="60"/>
        <w:gridCol w:w="82"/>
        <w:gridCol w:w="463"/>
        <w:gridCol w:w="6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(remaining)</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4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4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4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4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 and beyond</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4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payments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4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2345"/>
        <w:gridCol w:w="60"/>
        <w:gridCol w:w="354"/>
        <w:gridCol w:w="1990"/>
        <w:gridCol w:w="60"/>
        <w:gridCol w:w="60"/>
        <w:gridCol w:w="422"/>
        <w:gridCol w:w="2357"/>
        <w:gridCol w:w="60"/>
      </w:tblGrid>
      <w:tr>
        <w:trPr/>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Sheet Classification</w:t>
            </w:r>
          </w:p>
        </w:tc>
        <w:tc>
          <w:tcPr>
            <w:tcW w:w="60" w:type="dxa"/>
            <w:tcBorders/>
            <w:vAlign w:val="center"/>
          </w:tcPr>
          <w:p>
            <w:pPr>
              <w:pStyle w:val="TableContents"/>
              <w:bidi w:val="0"/>
              <w:spacing w:before="0" w:after="283"/>
              <w:ind w:left="0" w:right="0" w:hanging="0"/>
              <w:jc w:val="left"/>
              <w:rPr/>
            </w:pPr>
            <w:r>
              <w:rPr/>
              <w:t> </w:t>
            </w:r>
          </w:p>
        </w:tc>
        <w:tc>
          <w:tcPr>
            <w:tcW w:w="2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as of June 30, 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as of December 31, 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1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c>
          <w:tcPr>
            <w:tcW w:w="23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term</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1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c>
          <w:tcPr>
            <w:tcW w:w="23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lease was calculated over a 122 month period at a discount rate of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for the three and six months ended June 30, 2025 and 2024, the Company recorded KEUR11, KEUR3 and KEUR17, KEUR51 of an operating lease running on a month-to-month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7.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related to accounts payable and accrued expenses as of June 30, 2025 and December 31, 2024 were as follows:</w:t>
      </w:r>
    </w:p>
    <w:p>
      <w:pPr>
        <w:pStyle w:val="TextBody"/>
        <w:bidi w:val="0"/>
        <w:spacing w:before="0" w:after="0"/>
        <w:ind w:left="0" w:right="0" w:hanging="0"/>
        <w:jc w:val="left"/>
        <w:rPr>
          <w:caps w:val="false"/>
          <w:smallCaps w:val="false"/>
        </w:rPr>
      </w:pPr>
      <w:r>
        <w:rPr>
          <w:caps w:val="false"/>
          <w:smallCaps w:val="false"/>
        </w:rPr>
        <w:t> </w:t>
      </w:r>
    </w:p>
    <w:tbl>
      <w:tblPr>
        <w:tblW w:w="6748" w:type="dxa"/>
        <w:jc w:val="left"/>
        <w:tblInd w:w="0" w:type="dxa"/>
        <w:tblLayout w:type="fixed"/>
        <w:tblCellMar>
          <w:top w:w="0" w:type="dxa"/>
          <w:left w:w="0" w:type="dxa"/>
          <w:bottom w:w="0" w:type="dxa"/>
          <w:right w:w="0" w:type="dxa"/>
        </w:tblCellMar>
      </w:tblPr>
      <w:tblGrid>
        <w:gridCol w:w="3755"/>
        <w:gridCol w:w="60"/>
        <w:gridCol w:w="174"/>
        <w:gridCol w:w="985"/>
        <w:gridCol w:w="60"/>
        <w:gridCol w:w="60"/>
        <w:gridCol w:w="242"/>
        <w:gridCol w:w="1352"/>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8. Convertible Notes Payable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and December 31, 2024, the estimated fair value of our convertible debt is as follows:</w:t>
      </w:r>
    </w:p>
    <w:p>
      <w:pPr>
        <w:pStyle w:val="TextBody"/>
        <w:bidi w:val="0"/>
        <w:spacing w:before="0" w:after="0"/>
        <w:ind w:left="0" w:right="0" w:hanging="0"/>
        <w:jc w:val="left"/>
        <w:rPr>
          <w:caps w:val="false"/>
          <w:smallCaps w:val="false"/>
        </w:rPr>
      </w:pPr>
      <w:r>
        <w:rPr>
          <w:caps w:val="false"/>
          <w:smallCaps w:val="false"/>
        </w:rPr>
        <w:t> </w:t>
      </w:r>
    </w:p>
    <w:tbl>
      <w:tblPr>
        <w:tblW w:w="5338" w:type="dxa"/>
        <w:jc w:val="left"/>
        <w:tblInd w:w="0" w:type="dxa"/>
        <w:tblLayout w:type="fixed"/>
        <w:tblCellMar>
          <w:top w:w="0" w:type="dxa"/>
          <w:left w:w="0" w:type="dxa"/>
          <w:bottom w:w="0" w:type="dxa"/>
          <w:right w:w="0" w:type="dxa"/>
        </w:tblCellMar>
      </w:tblPr>
      <w:tblGrid>
        <w:gridCol w:w="2345"/>
        <w:gridCol w:w="60"/>
        <w:gridCol w:w="107"/>
        <w:gridCol w:w="1052"/>
        <w:gridCol w:w="60"/>
        <w:gridCol w:w="60"/>
        <w:gridCol w:w="146"/>
        <w:gridCol w:w="1448"/>
        <w:gridCol w:w="6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Face value convertible notes</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7, 2022, the Company entered into a share purchase agreement with Yorkville to purchase up to $31.1 million in convertible debentures (the “2022 Debentures”). On February 5, 2024 and August 30, 2024, Company issued additional convertible debentures in the amounts of $4.3 million and $3.3 million, respectively, (the “February 2024 Debenture” and "August 2024 Debenture” respectively, and together, the “2024 Debentures”), pursuant to a funding commitment letter entered into between the Company and Yorkville in connection with Sono Group’s restructuring in connection with the Self-Administration Proceedings. On December 30, 2024 the Company and Yorkville entered into a securities purchase agreement (the “Securities Purchase Agreement”). Under the terms of the Securities Purchase Agreement, Yorkville committed to provide limited financing to the Company in the amount of $5 million, subject to certain conditions and limitations. Following a number of amendments to the Securities Purchase Agreement the Company issued to Yorkville four additional debentures (“2025 Debentures”) in the amounts of $1 million, $1 million, 0.50 million and 0.75 million on February 12, 2025, March 25, 2025, April 24, 2025 and May 27, 2025 respectively. The following table reflects the outstanding debt and accrued interest for each tranche as of June 30, 2025 and December 31, 2024:</w:t>
      </w:r>
    </w:p>
    <w:p>
      <w:pPr>
        <w:pStyle w:val="TextBody"/>
        <w:bidi w:val="0"/>
        <w:spacing w:before="0" w:after="0"/>
        <w:ind w:left="0" w:right="0" w:hanging="0"/>
        <w:jc w:val="left"/>
        <w:rPr>
          <w:caps w:val="false"/>
          <w:smallCaps w:val="false"/>
        </w:rPr>
      </w:pPr>
      <w:r>
        <w:rPr>
          <w:caps w:val="false"/>
          <w:smallCaps w:val="false"/>
        </w:rPr>
        <w:t> </w:t>
      </w:r>
    </w:p>
    <w:tbl>
      <w:tblPr>
        <w:tblW w:w="8499" w:type="dxa"/>
        <w:jc w:val="left"/>
        <w:tblInd w:w="0" w:type="dxa"/>
        <w:tblLayout w:type="fixed"/>
        <w:tblCellMar>
          <w:top w:w="0" w:type="dxa"/>
          <w:left w:w="0" w:type="dxa"/>
          <w:bottom w:w="0" w:type="dxa"/>
          <w:right w:w="0" w:type="dxa"/>
        </w:tblCellMar>
      </w:tblPr>
      <w:tblGrid>
        <w:gridCol w:w="3065"/>
        <w:gridCol w:w="1595"/>
        <w:gridCol w:w="1505"/>
        <w:gridCol w:w="60"/>
        <w:gridCol w:w="69"/>
        <w:gridCol w:w="686"/>
        <w:gridCol w:w="60"/>
        <w:gridCol w:w="60"/>
        <w:gridCol w:w="146"/>
        <w:gridCol w:w="1193"/>
        <w:gridCol w:w="60"/>
      </w:tblGrid>
      <w:tr>
        <w:trPr/>
        <w:tc>
          <w:tcPr>
            <w:tcW w:w="3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159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Issue Date</w:t>
            </w:r>
          </w:p>
        </w:tc>
        <w:tc>
          <w:tcPr>
            <w:tcW w:w="150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Maturity Date</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6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Tranch-1 @4% (12%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7, 2022</w:t>
            </w:r>
          </w:p>
        </w:tc>
        <w:tc>
          <w:tcPr>
            <w:tcW w:w="150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Tranch-2 @4% (12% - default rate)</w:t>
            </w:r>
          </w:p>
        </w:tc>
        <w:tc>
          <w:tcPr>
            <w:tcW w:w="15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8, 2022</w:t>
            </w:r>
          </w:p>
        </w:tc>
        <w:tc>
          <w:tcPr>
            <w:tcW w:w="150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Tranch-3 @4% (12%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20, 2022</w:t>
            </w:r>
          </w:p>
        </w:tc>
        <w:tc>
          <w:tcPr>
            <w:tcW w:w="150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Tranch-4 @12% (18% - default rate)</w:t>
            </w:r>
          </w:p>
        </w:tc>
        <w:tc>
          <w:tcPr>
            <w:tcW w:w="15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5, 2024</w:t>
            </w:r>
          </w:p>
        </w:tc>
        <w:tc>
          <w:tcPr>
            <w:tcW w:w="150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Tranch-5 @12% (18%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August 30, 2024</w:t>
            </w:r>
          </w:p>
        </w:tc>
        <w:tc>
          <w:tcPr>
            <w:tcW w:w="150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August 30,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Tranch-6a @12% (18% - default rate)</w:t>
            </w:r>
          </w:p>
        </w:tc>
        <w:tc>
          <w:tcPr>
            <w:tcW w:w="15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12, 2025</w:t>
            </w:r>
          </w:p>
        </w:tc>
        <w:tc>
          <w:tcPr>
            <w:tcW w:w="150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12, 2026</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Tranch-6b @12% (18%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March 25, 2025</w:t>
            </w:r>
          </w:p>
        </w:tc>
        <w:tc>
          <w:tcPr>
            <w:tcW w:w="150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March 24, 2026</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Tranch-6c @12% (18% - default rate)</w:t>
            </w:r>
          </w:p>
        </w:tc>
        <w:tc>
          <w:tcPr>
            <w:tcW w:w="15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April 24, 2025</w:t>
            </w:r>
          </w:p>
        </w:tc>
        <w:tc>
          <w:tcPr>
            <w:tcW w:w="150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April 23, 2026</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Tranch-6d @12% (18%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27, 2025</w:t>
            </w:r>
          </w:p>
        </w:tc>
        <w:tc>
          <w:tcPr>
            <w:tcW w:w="150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26, 2026</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r>
      <w:tr>
        <w:trPr/>
        <w:tc>
          <w:tcPr>
            <w:tcW w:w="6165"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89" w:type="dxa"/>
        <w:jc w:val="left"/>
        <w:tblInd w:w="0" w:type="dxa"/>
        <w:tblLayout w:type="fixed"/>
        <w:tblCellMar>
          <w:top w:w="0" w:type="dxa"/>
          <w:left w:w="0" w:type="dxa"/>
          <w:bottom w:w="0" w:type="dxa"/>
          <w:right w:w="0" w:type="dxa"/>
        </w:tblCellMar>
      </w:tblPr>
      <w:tblGrid>
        <w:gridCol w:w="2960"/>
        <w:gridCol w:w="1595"/>
        <w:gridCol w:w="60"/>
        <w:gridCol w:w="69"/>
        <w:gridCol w:w="686"/>
        <w:gridCol w:w="60"/>
        <w:gridCol w:w="60"/>
        <w:gridCol w:w="146"/>
        <w:gridCol w:w="1193"/>
        <w:gridCol w:w="60"/>
      </w:tblGrid>
      <w:tr>
        <w:trPr/>
        <w:tc>
          <w:tcPr>
            <w:tcW w:w="2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159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Issue Date</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Tranch-1 @4% (12%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7, 2022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Tranch-2 @4% (12% - default rate)</w:t>
            </w:r>
          </w:p>
        </w:tc>
        <w:tc>
          <w:tcPr>
            <w:tcW w:w="15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8, 2022</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Tranch-3 @4% (12%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20, 2022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Tranch-4 @12% (18% - default rate)</w:t>
            </w:r>
          </w:p>
        </w:tc>
        <w:tc>
          <w:tcPr>
            <w:tcW w:w="159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5, 2024</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Tranch-5 @12% (18% - default rate)</w:t>
            </w:r>
          </w:p>
        </w:tc>
        <w:tc>
          <w:tcPr>
            <w:tcW w:w="159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August 30, 2024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2022 Debentures carry a coupon of 4% and were convertible into common stock at the holder’s option at, the lower of (i) $1.75, or (ii) 96.5% of the lowest daily VWAP of the Ordinary Shares during the (7) consecutive Trading Days immediately preceding the conversion date or other date of determination). As a result of the amendment described below, the 2022 Debentures have a maturity date of the later of July 1, 2025 or 12 months from the issuance date of each such new note. The 2022 Debentures contain default provisions that accelerate the payment of principal and interest calculated at the default rate of 12%. Resulting from the Company’s application for its Self-Administration Proceedings, the 2022 Debentures have been in default since the filing with the bankruptcy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2023, the contractual terms of the 2022 Debentures were renegotiated and significantly amended resulting in modified convertible debentures. The maturity date was extended until July 1, 2025. The conversion price was changed to the lower of USD 0.25 and 85% of the minimum daily volume-weighted average price on the seven trading days before conversion, provided that the conversion price will not be below the nominal value of EUR 0.06, as translated to USD, and, if and only if the shares of Sono Group are listed and traded on Nasdaq on the relevant conversion date, the conversion price will not be lower than the Floor Price of USD 0.006.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2024 Debentures carry a coupon of 12% and are convertible into common stock at the holder’s option at, the lower of (x) a price per Ordinary Share equal to $18.75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2024 Debenture has a maturity date of July 2025, and the August 2024 Debenture has a maturity date of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2025 Debentures carry a coupon of 12% and are convertible into common stock at the holder’s option at, the lower of (x) a price per Ordinary Share equal to $1.75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2025 Debenture has a maturity date of February 2026, the March 2025 Debenture has a maturity date of March 2026, the April 2025 Debenture has a maturity date of April 2026, and the May 2025 Debenture has a maturity date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evaluated the terms and conditions of the convertible notes under the guidance of ASC 815. The conversion feature did not meet the definition of “indexed to a company’s own stock” provided for in ASC 815 due to the variable number of shares issuable at conversion. Therefore, the conversion feature requires bifurcation and liability classification. Rather than bifurcating and recording the embedded derivative as a derivative liability, the Company elected to initially and subsequently measure the convertible note in its entirety at fair value, with changes in fair value recognized in earnings in accordance with ASC 815-15-25-4.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value of the convertible notes, which under ASC 815-15-25-4 is Fair Value, is on the balance sheet, with changes in the carrying value being recorded in earnings. The components of the convertible promissory notes as of June 30, 2025 and December 31, 2024 are as follows:</w:t>
      </w:r>
    </w:p>
    <w:p>
      <w:pPr>
        <w:pStyle w:val="TextBody"/>
        <w:bidi w:val="0"/>
        <w:spacing w:before="0" w:after="0"/>
        <w:ind w:left="0" w:right="0" w:hanging="0"/>
        <w:jc w:val="left"/>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3080"/>
        <w:gridCol w:w="60"/>
        <w:gridCol w:w="149"/>
        <w:gridCol w:w="1010"/>
        <w:gridCol w:w="60"/>
        <w:gridCol w:w="60"/>
        <w:gridCol w:w="185"/>
        <w:gridCol w:w="1409"/>
        <w:gridCol w:w="6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Indexed common shares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18,537,485</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Fair Value of Convertible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15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EUR15,341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4"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EUR24,035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utilized a binomial lattice option pricing model to estimate the fair value per share of the underlying common equity.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of 2025 the Company entered into an exchange agreement whereby the holder will exchange the debt for 1,200 shares of perpetual preferred stock. Each share has a preestablished value of $30K for a total value of $36M. The exchange agreement is contingent upon the Company successfully uplisting its ordinary shares to a national exchange.  As part of the commitment, the holder has agreed to a conversion price of $4.00 for six months.  These terms have been embodied into the calculation of fair value at June 30, 2025. The table below reflects the assumptions used as inputs to the binomial lattice option pricing model.</w:t>
      </w:r>
    </w:p>
    <w:p>
      <w:pPr>
        <w:pStyle w:val="TextBody"/>
        <w:bidi w:val="0"/>
        <w:spacing w:before="0" w:after="0"/>
        <w:ind w:left="0" w:right="0" w:hanging="0"/>
        <w:jc w:val="left"/>
        <w:rPr>
          <w:caps w:val="false"/>
          <w:smallCaps w:val="false"/>
        </w:rPr>
      </w:pPr>
      <w:r>
        <w:rPr>
          <w:caps w:val="false"/>
          <w:smallCaps w:val="false"/>
        </w:rPr>
        <w:t> </w:t>
      </w:r>
    </w:p>
    <w:tbl>
      <w:tblPr>
        <w:tblW w:w="6863" w:type="dxa"/>
        <w:jc w:val="left"/>
        <w:tblInd w:w="0" w:type="dxa"/>
        <w:tblLayout w:type="fixed"/>
        <w:tblCellMar>
          <w:top w:w="0" w:type="dxa"/>
          <w:left w:w="0" w:type="dxa"/>
          <w:bottom w:w="0" w:type="dxa"/>
          <w:right w:w="0" w:type="dxa"/>
        </w:tblCellMar>
      </w:tblPr>
      <w:tblGrid>
        <w:gridCol w:w="3620"/>
        <w:gridCol w:w="60"/>
        <w:gridCol w:w="202"/>
        <w:gridCol w:w="957"/>
        <w:gridCol w:w="185"/>
        <w:gridCol w:w="60"/>
        <w:gridCol w:w="278"/>
        <w:gridCol w:w="1316"/>
        <w:gridCol w:w="185"/>
      </w:tblGrid>
      <w:tr>
        <w:trPr/>
        <w:tc>
          <w:tcPr>
            <w:tcW w:w="36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Assumption</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Closing price of underlying common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8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of underlying common equity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 term (in years)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Free treasury rates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rate at year end USD/EUR</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1.0389</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9.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the Company had authorized share capital of 4,300,000 ordinary shares with a nominal value of €0.02 per share and 53,400 high voting shares with a nominal value of €0.50 per share with 1,409,921 ordinary shares and 40,000 high voting shares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23, 2024, the Company amended its articles of association to implement a reverse share split (the “Reverse Share Split”) of both its ordinary shares and high voting shares at a ratio of 1-for-75. The Reverse Share Split had been previously approved by the Company’s shareholders at an extraordinary general meeting held on January 31, 2024 (the “January 2024 EGM”). The Reverse Share Split took market effect on January 6, 2025, following confirmation from the Financial Industry Regulatory Authority (“FINRA”) that it had received and reviewed all necessary documentation to process the Reverse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Reverse Share Split, every 75 ordinary shares issued and outstanding immediately prior to the Reverse Share Split were converted into one ordinary share, and every 75 high voting shares were converted into one high voting share. Fractional shares resulting from the Reverse Share Split were rounded down to the nearest whole number, with no cash or other compensation paid in lieu of fractional shares. All share and per-share data have been retroactively adjusted throughout this report to account for this share split. In connection with the reverse share split, the Company also decreased the nominal value per share from €0.06 to €0.02 for Ordinary Shares and from €1.50 to €0.5 for High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these actions, the presentation of the Company’s ordinary shares and high voting shares in the consolidated financial statements as of June 30, 2025 and December 31, 2024 has been adjusted to reflect the post-split basis for comparative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2020, against the background of our intention to terminate all relevant benefits under former employee participation programs from 2017 and 2018 (respectively, “VESP 2017” and “VESP 2018”) pursuant to which employees were granted virtual shares, we adopted our conversion stock option program under the LTIP (“CSOP”). Under the CSOP, the Company granted 1,850,100 fully vested stock options, each with an exercise price of €0.06 and which are not subject to any performance criteria, with effect as of the closing date of our IPO on November 19, 2021. The stock options became exercisable one year after the closing of our IPO and are exercisable only in certain windows. The stock options will expire four years after the closing of our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former supervisory board members received one-time awards of restricted stock units for Ordinary Shares (“RSUs”) under the LTIP in connection with the Company’s IPO and such individual’s appointment as a member of the supervisory board, starting from the date of the Company’s IPO. The awards of a total of 63,868 RSUs were granted on November 21, 2021 and vest in four equal, annual installments on each anniversary of the grant date, with the fourth installment vesting on the earlier of (a) the fourth anniversary of the grant date or (b) the Company's annual general meeting of shareholders to be held in 2025. Due to termination of the former supervisory board members no further RSUs were vested in the year 2024 or in the six months ended June 30, 2025. Hence, there were 19,724 RSUs fully vested as of June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the table below, all outstanding stock options and exercise prices have been retrospectively adjusted to reflect the Reverse Share Split implemented on December 23, 2024. The following table summarizes stock option activity as of and for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10"/>
        <w:gridCol w:w="60"/>
        <w:gridCol w:w="300"/>
        <w:gridCol w:w="2967"/>
        <w:gridCol w:w="60"/>
        <w:gridCol w:w="60"/>
        <w:gridCol w:w="202"/>
        <w:gridCol w:w="1285"/>
        <w:gridCol w:w="60"/>
        <w:gridCol w:w="60"/>
        <w:gridCol w:w="392"/>
        <w:gridCol w:w="1804"/>
        <w:gridCol w:w="60"/>
        <w:gridCol w:w="60"/>
        <w:gridCol w:w="348"/>
        <w:gridCol w:w="812"/>
        <w:gridCol w:w="65"/>
      </w:tblGrid>
      <w:tr>
        <w:trPr/>
        <w:tc>
          <w:tcPr>
            <w:tcW w:w="16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26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 be Issued upon Exercise of Outstanding Options, Warrants and Rights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8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19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Term (Yrs)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Intrinsic Value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EUR</w:t>
            </w:r>
          </w:p>
        </w:tc>
        <w:tc>
          <w:tcPr>
            <w:tcW w:w="65" w:type="dxa"/>
            <w:tcBorders>
              <w:bottom w:val="single" w:sz="2" w:space="0" w:color="000000"/>
            </w:tcBorders>
            <w:vAlign w:val="center"/>
          </w:tcPr>
          <w:p>
            <w:pPr>
              <w:pStyle w:val="TableContents"/>
              <w:bidi w:val="0"/>
              <w:spacing w:before="0" w:after="283"/>
              <w:jc w:val="left"/>
              <w:rPr/>
            </w:pPr>
            <w:r>
              <w:rPr/>
              <w:t> </w:t>
            </w:r>
          </w:p>
        </w:tc>
      </w:tr>
      <w:tr>
        <w:trPr/>
        <w:tc>
          <w:tcPr>
            <w:tcW w:w="16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 w:type="dxa"/>
            <w:tcBorders/>
            <w:tcMar>
              <w:bottom w:w="0" w:type="dxa"/>
            </w:tcMar>
            <w:vAlign w:val="center"/>
          </w:tcPr>
          <w:p>
            <w:pPr>
              <w:pStyle w:val="TableContents"/>
              <w:bidi w:val="0"/>
              <w:spacing w:before="0" w:after="283"/>
              <w:jc w:val="left"/>
              <w:rPr/>
            </w:pPr>
            <w:r>
              <w:rPr/>
              <w:t> </w:t>
            </w:r>
          </w:p>
        </w:tc>
        <w:tc>
          <w:tcPr>
            <w:tcW w:w="29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 w:type="dxa"/>
            <w:tcBorders/>
            <w:tcMar>
              <w:bottom w:w="0" w:type="dxa"/>
            </w:tcMar>
            <w:vAlign w:val="center"/>
          </w:tcPr>
          <w:p>
            <w:pPr>
              <w:pStyle w:val="TableContents"/>
              <w:bidi w:val="0"/>
              <w:spacing w:before="0" w:after="283"/>
              <w:jc w:val="left"/>
              <w:rPr/>
            </w:pPr>
            <w:r>
              <w:rPr/>
              <w:t> </w:t>
            </w:r>
          </w:p>
        </w:tc>
        <w:tc>
          <w:tcPr>
            <w:tcW w:w="1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2" w:type="dxa"/>
            <w:tcBorders/>
            <w:tcMar>
              <w:bottom w:w="0" w:type="dxa"/>
            </w:tcMar>
            <w:vAlign w:val="center"/>
          </w:tcPr>
          <w:p>
            <w:pPr>
              <w:pStyle w:val="TableContents"/>
              <w:bidi w:val="0"/>
              <w:spacing w:before="0" w:after="283"/>
              <w:jc w:val="left"/>
              <w:rPr/>
            </w:pPr>
            <w:r>
              <w:rPr/>
              <w:t> </w:t>
            </w:r>
          </w:p>
        </w:tc>
        <w:tc>
          <w:tcPr>
            <w:tcW w:w="18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8" w:type="dxa"/>
            <w:tcBorders/>
            <w:tcMar>
              <w:bottom w:w="0" w:type="dxa"/>
            </w:tcMar>
            <w:vAlign w:val="center"/>
          </w:tcPr>
          <w:p>
            <w:pPr>
              <w:pStyle w:val="TableContents"/>
              <w:bidi w:val="0"/>
              <w:spacing w:before="0" w:after="283"/>
              <w:jc w:val="left"/>
              <w:rPr/>
            </w:pPr>
            <w:r>
              <w:rPr/>
              <w:t> </w:t>
            </w:r>
          </w:p>
        </w:tc>
        <w:tc>
          <w:tcPr>
            <w:tcW w:w="812"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296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ind w:left="0" w:right="0" w:hanging="0"/>
              <w:jc w:val="left"/>
              <w:rPr/>
            </w:pPr>
            <w:r>
              <w:rPr/>
              <w:t> </w:t>
            </w:r>
          </w:p>
        </w:tc>
        <w:tc>
          <w:tcPr>
            <w:tcW w:w="18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ind w:left="0" w:right="0" w:hanging="0"/>
              <w:jc w:val="left"/>
              <w:rPr/>
            </w:pPr>
            <w:r>
              <w:rPr/>
              <w:t> </w:t>
            </w:r>
          </w:p>
        </w:tc>
        <w:tc>
          <w:tcPr>
            <w:tcW w:w="812" w:type="dxa"/>
            <w:tcBorders/>
            <w:shd w:fill="CCEEFF" w:val="clear"/>
            <w:tcMar>
              <w:bottom w:w="0" w:type="dxa"/>
            </w:tcMar>
            <w:vAlign w:val="center"/>
          </w:tcPr>
          <w:p>
            <w:pPr>
              <w:pStyle w:val="TableContents"/>
              <w:bidi w:val="0"/>
              <w:spacing w:before="0" w:after="283"/>
              <w:ind w:left="0" w:right="0" w:hanging="0"/>
              <w:jc w:val="righ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2967"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 during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2967"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2967"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12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pPr>
            <w:r>
              <w:rPr/>
              <w:t> </w:t>
            </w:r>
          </w:p>
        </w:tc>
        <w:tc>
          <w:tcPr>
            <w:tcW w:w="18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pPr>
            <w:r>
              <w:rPr/>
              <w:t> </w:t>
            </w:r>
          </w:p>
        </w:tc>
        <w:tc>
          <w:tcPr>
            <w:tcW w:w="29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12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296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12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ind w:left="0" w:right="0" w:hanging="0"/>
              <w:jc w:val="left"/>
              <w:rPr/>
            </w:pPr>
            <w:r>
              <w:rPr/>
              <w:t> </w:t>
            </w:r>
          </w:p>
        </w:tc>
        <w:tc>
          <w:tcPr>
            <w:tcW w:w="18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ind w:left="0" w:right="0" w:hanging="0"/>
              <w:jc w:val="left"/>
              <w:rPr/>
            </w:pPr>
            <w:r>
              <w:rPr/>
              <w:t> </w:t>
            </w:r>
          </w:p>
        </w:tc>
        <w:tc>
          <w:tcPr>
            <w:tcW w:w="812" w:type="dxa"/>
            <w:tcBorders/>
            <w:shd w:fill="FFFFFF" w:val="clear"/>
            <w:tcMar>
              <w:bottom w:w="0" w:type="dxa"/>
            </w:tcMar>
            <w:vAlign w:val="center"/>
          </w:tcPr>
          <w:p>
            <w:pPr>
              <w:pStyle w:val="TableContents"/>
              <w:bidi w:val="0"/>
              <w:spacing w:before="0" w:after="283"/>
              <w:ind w:left="0" w:right="0" w:hanging="0"/>
              <w:jc w:val="right"/>
              <w:rPr/>
            </w:pPr>
            <w:r>
              <w:rPr/>
              <w:t>–</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296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pPr>
            <w:r>
              <w:rPr/>
              <w:t> </w:t>
            </w:r>
          </w:p>
        </w:tc>
        <w:tc>
          <w:tcPr>
            <w:tcW w:w="12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ind w:left="0" w:right="0" w:hanging="0"/>
              <w:jc w:val="left"/>
              <w:rPr/>
            </w:pPr>
            <w:r>
              <w:rPr/>
              <w:t> </w:t>
            </w:r>
          </w:p>
        </w:tc>
        <w:tc>
          <w:tcPr>
            <w:tcW w:w="18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ind w:left="0" w:right="0" w:hanging="0"/>
              <w:jc w:val="left"/>
              <w:rPr/>
            </w:pPr>
            <w:r>
              <w:rPr/>
              <w:t> </w:t>
            </w:r>
          </w:p>
        </w:tc>
        <w:tc>
          <w:tcPr>
            <w:tcW w:w="812" w:type="dxa"/>
            <w:tcBorders/>
            <w:shd w:fill="CCEEFF" w:val="clear"/>
            <w:tcMar>
              <w:bottom w:w="0" w:type="dxa"/>
            </w:tcMar>
            <w:vAlign w:val="center"/>
          </w:tcPr>
          <w:p>
            <w:pPr>
              <w:pStyle w:val="TableContents"/>
              <w:bidi w:val="0"/>
              <w:spacing w:before="0" w:after="283"/>
              <w:ind w:left="0" w:right="0" w:hanging="0"/>
              <w:jc w:val="righ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provides details on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8256" w:type="dxa"/>
        <w:jc w:val="left"/>
        <w:tblInd w:w="0" w:type="dxa"/>
        <w:tblLayout w:type="fixed"/>
        <w:tblCellMar>
          <w:top w:w="0" w:type="dxa"/>
          <w:left w:w="0" w:type="dxa"/>
          <w:bottom w:w="0" w:type="dxa"/>
          <w:right w:w="0" w:type="dxa"/>
        </w:tblCellMar>
      </w:tblPr>
      <w:tblGrid>
        <w:gridCol w:w="3440"/>
        <w:gridCol w:w="60"/>
        <w:gridCol w:w="118"/>
        <w:gridCol w:w="957"/>
        <w:gridCol w:w="118"/>
        <w:gridCol w:w="118"/>
        <w:gridCol w:w="118"/>
        <w:gridCol w:w="957"/>
        <w:gridCol w:w="60"/>
        <w:gridCol w:w="60"/>
        <w:gridCol w:w="108"/>
        <w:gridCol w:w="879"/>
        <w:gridCol w:w="108"/>
        <w:gridCol w:w="108"/>
        <w:gridCol w:w="108"/>
        <w:gridCol w:w="879"/>
        <w:gridCol w:w="6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118" w:type="dxa"/>
            <w:tcBorders>
              <w:bottom w:val="single" w:sz="2" w:space="0" w:color="000000"/>
            </w:tcBorders>
            <w:tcMar>
              <w:bottom w:w="28" w:type="dxa"/>
            </w:tcMar>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 lease expense</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 fees and subscriptions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provides details on research and development expenses:</w:t>
      </w:r>
    </w:p>
    <w:p>
      <w:pPr>
        <w:pStyle w:val="TextBody"/>
        <w:bidi w:val="0"/>
        <w:spacing w:before="0" w:after="0"/>
        <w:ind w:left="0" w:right="0" w:hanging="0"/>
        <w:jc w:val="left"/>
        <w:rPr>
          <w:caps w:val="false"/>
          <w:smallCaps w:val="false"/>
        </w:rPr>
      </w:pPr>
      <w:r>
        <w:rPr>
          <w:caps w:val="false"/>
          <w:smallCaps w:val="false"/>
        </w:rPr>
        <w:t> </w:t>
      </w:r>
    </w:p>
    <w:tbl>
      <w:tblPr>
        <w:tblW w:w="8233" w:type="dxa"/>
        <w:jc w:val="left"/>
        <w:tblInd w:w="0" w:type="dxa"/>
        <w:tblLayout w:type="fixed"/>
        <w:tblCellMar>
          <w:top w:w="0" w:type="dxa"/>
          <w:left w:w="0" w:type="dxa"/>
          <w:bottom w:w="0" w:type="dxa"/>
          <w:right w:w="0" w:type="dxa"/>
        </w:tblCellMar>
      </w:tblPr>
      <w:tblGrid>
        <w:gridCol w:w="3395"/>
        <w:gridCol w:w="60"/>
        <w:gridCol w:w="157"/>
        <w:gridCol w:w="879"/>
        <w:gridCol w:w="157"/>
        <w:gridCol w:w="157"/>
        <w:gridCol w:w="157"/>
        <w:gridCol w:w="879"/>
        <w:gridCol w:w="80"/>
        <w:gridCol w:w="60"/>
        <w:gridCol w:w="144"/>
        <w:gridCol w:w="808"/>
        <w:gridCol w:w="144"/>
        <w:gridCol w:w="144"/>
        <w:gridCol w:w="144"/>
        <w:gridCol w:w="808"/>
        <w:gridCol w:w="60"/>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157" w:type="dxa"/>
            <w:tcBorders>
              <w:bottom w:val="single" w:sz="2" w:space="0" w:color="000000"/>
            </w:tcBorders>
            <w:tcMar>
              <w:bottom w:w="28" w:type="dxa"/>
            </w:tcM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144" w:type="dxa"/>
            <w:tcBorders>
              <w:bottom w:val="single" w:sz="2" w:space="0" w:color="000000"/>
            </w:tcBorders>
            <w:tcMar>
              <w:bottom w:w="28" w:type="dxa"/>
            </w:tcMar>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costs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 Selling and Distribution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provides details on selling and distribution expenses:</w:t>
      </w:r>
    </w:p>
    <w:p>
      <w:pPr>
        <w:pStyle w:val="TextBody"/>
        <w:bidi w:val="0"/>
        <w:spacing w:before="0" w:after="0"/>
        <w:ind w:left="0" w:right="0" w:hanging="0"/>
        <w:jc w:val="left"/>
        <w:rPr>
          <w:caps w:val="false"/>
          <w:smallCaps w:val="false"/>
        </w:rPr>
      </w:pPr>
      <w:r>
        <w:rPr>
          <w:caps w:val="false"/>
          <w:smallCaps w:val="false"/>
        </w:rPr>
        <w:t> </w:t>
      </w:r>
    </w:p>
    <w:tbl>
      <w:tblPr>
        <w:tblW w:w="8003" w:type="dxa"/>
        <w:jc w:val="left"/>
        <w:tblInd w:w="0" w:type="dxa"/>
        <w:tblLayout w:type="fixed"/>
        <w:tblCellMar>
          <w:top w:w="0" w:type="dxa"/>
          <w:left w:w="0" w:type="dxa"/>
          <w:bottom w:w="0" w:type="dxa"/>
          <w:right w:w="0" w:type="dxa"/>
        </w:tblCellMar>
      </w:tblPr>
      <w:tblGrid>
        <w:gridCol w:w="3185"/>
        <w:gridCol w:w="60"/>
        <w:gridCol w:w="157"/>
        <w:gridCol w:w="879"/>
        <w:gridCol w:w="157"/>
        <w:gridCol w:w="157"/>
        <w:gridCol w:w="157"/>
        <w:gridCol w:w="879"/>
        <w:gridCol w:w="60"/>
        <w:gridCol w:w="60"/>
        <w:gridCol w:w="144"/>
        <w:gridCol w:w="808"/>
        <w:gridCol w:w="144"/>
        <w:gridCol w:w="144"/>
        <w:gridCol w:w="144"/>
        <w:gridCol w:w="808"/>
        <w:gridCol w:w="6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157" w:type="dxa"/>
            <w:tcBorders>
              <w:bottom w:val="single" w:sz="2" w:space="0" w:color="000000"/>
            </w:tcBorders>
            <w:tcMar>
              <w:bottom w:w="28" w:type="dxa"/>
            </w:tcM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144" w:type="dxa"/>
            <w:tcBorders>
              <w:bottom w:val="single" w:sz="2" w:space="0" w:color="000000"/>
            </w:tcBorders>
            <w:tcMar>
              <w:bottom w:w="28" w:type="dxa"/>
            </w:tcMar>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and distribution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Service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carries various service contracts on its office buildings and certain copier equipment for repairs, maintenance and inspections. All contracts are short term and can be cancelled 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Current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 tax assets and liabilities are measured at the amount expected to be recovered from or paid to the taxation authorities based on the tax rates and tax laws that are enacted or substantively enacted at the end of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Deferred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is recognized using the liability method on temporary differences as of the end of the reporting period between the carrying amounts of assets and liabilities and their tax bases.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 Deferred tax liabilities are recognized for all taxable temporary differences associated with investments in subsidiaries and associates, except where the Group is able to control the reversal of the temporary differences, and it is probable that the temporary difference will not reverse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 are recognized for deductible temporary differences and to the extent that it is probable that future taxable income will allow the deferred tax asset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may only be recognized up to the amount of the deferred tax liabilities as it is not sufficiently probable that future taxable profit will be available against which they can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 and deferred tax liabilities are offset if there is a legally enforceable right to offset current tax assets and current tax liabilities and these relate to income taxes levied by the same tax jurisdiction. As the net deferred tax asset is not booked in a first step, no valuation allowance is booked. Given the loss history of the Company, deferred tax assets are not recognized on the balance sheet. The amount of deferred tax assets/liabilities as of June 30, 2025 and December 31, 2024 are zero. There are no deferred taxes regarding Outside Basis Differences as those are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of certain financial instruments, including cash and cash equivalents, approximate their respective fair values due to the short-term nature of such instruments. The Company measures certain financial instruments at fair value on a recurring basis, including certain convertible notes payable. All financial instruments carried at fair value fall within Level 3 of the fair value hierarchy as their value is based on unobservable inputs. The Company evaluates its financial assets and liabilities subject to fair value measurements on a recurring basis to determine the appropriate level in which to classify them for each reporting period. This determination requires significant judgments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conclusions reached regarding fair value measurements as of June 30, 2025 and December 31, 2024:</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28" w:type="dxa"/>
          <w:right w:w="0" w:type="dxa"/>
        </w:tblCellMar>
      </w:tblPr>
      <w:tblGrid>
        <w:gridCol w:w="3170"/>
        <w:gridCol w:w="635"/>
        <w:gridCol w:w="635"/>
        <w:gridCol w:w="60"/>
        <w:gridCol w:w="60"/>
        <w:gridCol w:w="590"/>
        <w:gridCol w:w="60"/>
        <w:gridCol w:w="60"/>
        <w:gridCol w:w="60"/>
        <w:gridCol w:w="590"/>
        <w:gridCol w:w="60"/>
      </w:tblGrid>
      <w:tr>
        <w:trPr/>
        <w:tc>
          <w:tcPr>
            <w:tcW w:w="5920"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2025</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170" w:type="dxa"/>
            <w:tcBorders>
              <w:bottom w:val="single" w:sz="2" w:space="0" w:color="000000"/>
            </w:tcBorders>
            <w:vAlign w:val="center"/>
          </w:tcPr>
          <w:p>
            <w:pPr>
              <w:pStyle w:val="TableContents"/>
              <w:bidi w:val="0"/>
              <w:spacing w:before="0" w:after="283"/>
              <w:ind w:left="60" w:right="0" w:hanging="0"/>
              <w:jc w:val="left"/>
              <w:rPr/>
            </w:pPr>
            <w:r>
              <w:rPr/>
              <w:t> </w:t>
            </w:r>
          </w:p>
        </w:tc>
        <w:tc>
          <w:tcPr>
            <w:tcW w:w="635" w:type="dxa"/>
            <w:tcBorders>
              <w:left w:val="single" w:sz="2" w:space="0" w:color="000000"/>
              <w:bottom w:val="single" w:sz="2" w:space="0" w:color="000000"/>
            </w:tcBorders>
            <w:tcMar>
              <w:left w:w="28" w:type="dxa"/>
            </w:tcMar>
            <w:vAlign w:val="center"/>
          </w:tcPr>
          <w:p>
            <w:pPr>
              <w:pStyle w:val="TableContents"/>
              <w:bidi w:val="0"/>
              <w:spacing w:before="0" w:after="0"/>
              <w:ind w:left="6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35" w:type="dxa"/>
            <w:tcBorders>
              <w:left w:val="single" w:sz="2" w:space="0" w:color="000000"/>
              <w:bottom w:val="single" w:sz="2" w:space="0" w:color="000000"/>
            </w:tcBorders>
            <w:tcMar>
              <w:left w:w="28" w:type="dxa"/>
            </w:tcMar>
            <w:vAlign w:val="center"/>
          </w:tcPr>
          <w:p>
            <w:pPr>
              <w:pStyle w:val="TableContents"/>
              <w:bidi w:val="0"/>
              <w:spacing w:before="0" w:after="0"/>
              <w:ind w:left="1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left w:val="single" w:sz="2" w:space="0" w:color="000000"/>
              <w:bottom w:val="single" w:sz="2" w:space="0" w:color="000000"/>
            </w:tcBorders>
            <w:tcMar>
              <w:left w:w="28" w:type="dxa"/>
            </w:tcMar>
            <w:vAlign w:val="center"/>
          </w:tcPr>
          <w:p>
            <w:pPr>
              <w:pStyle w:val="TableContents"/>
              <w:bidi w:val="0"/>
              <w:spacing w:before="0" w:after="283"/>
              <w:ind w:left="6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1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tcMar>
            <w:vAlign w:val="center"/>
          </w:tcPr>
          <w:p>
            <w:pPr>
              <w:pStyle w:val="TableContents"/>
              <w:bidi w:val="0"/>
              <w:spacing w:before="0" w:after="283"/>
              <w:ind w:left="6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1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35"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35"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9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9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at fair value</w:t>
            </w:r>
          </w:p>
        </w:tc>
        <w:tc>
          <w:tcPr>
            <w:tcW w:w="635"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35"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35"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35"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15,341</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28" w:type="dxa"/>
          <w:right w:w="0" w:type="dxa"/>
        </w:tblCellMar>
      </w:tblPr>
      <w:tblGrid>
        <w:gridCol w:w="3170"/>
        <w:gridCol w:w="635"/>
        <w:gridCol w:w="635"/>
        <w:gridCol w:w="60"/>
        <w:gridCol w:w="60"/>
        <w:gridCol w:w="590"/>
        <w:gridCol w:w="60"/>
        <w:gridCol w:w="60"/>
        <w:gridCol w:w="60"/>
        <w:gridCol w:w="590"/>
        <w:gridCol w:w="60"/>
      </w:tblGrid>
      <w:tr>
        <w:trPr/>
        <w:tc>
          <w:tcPr>
            <w:tcW w:w="5920"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2024</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170" w:type="dxa"/>
            <w:tcBorders>
              <w:bottom w:val="single" w:sz="2" w:space="0" w:color="000000"/>
            </w:tcBorders>
            <w:vAlign w:val="center"/>
          </w:tcPr>
          <w:p>
            <w:pPr>
              <w:pStyle w:val="TableContents"/>
              <w:bidi w:val="0"/>
              <w:spacing w:before="0" w:after="283"/>
              <w:ind w:left="60" w:right="0" w:hanging="0"/>
              <w:jc w:val="left"/>
              <w:rPr/>
            </w:pPr>
            <w:r>
              <w:rPr/>
              <w:t> </w:t>
            </w:r>
          </w:p>
        </w:tc>
        <w:tc>
          <w:tcPr>
            <w:tcW w:w="635" w:type="dxa"/>
            <w:tcBorders>
              <w:left w:val="single" w:sz="2" w:space="0" w:color="000000"/>
              <w:bottom w:val="single" w:sz="2" w:space="0" w:color="000000"/>
            </w:tcBorders>
            <w:tcMar>
              <w:left w:w="28" w:type="dxa"/>
            </w:tcMar>
            <w:vAlign w:val="center"/>
          </w:tcPr>
          <w:p>
            <w:pPr>
              <w:pStyle w:val="TableContents"/>
              <w:bidi w:val="0"/>
              <w:spacing w:before="0" w:after="0"/>
              <w:ind w:left="6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35" w:type="dxa"/>
            <w:tcBorders>
              <w:left w:val="single" w:sz="2" w:space="0" w:color="000000"/>
              <w:bottom w:val="single" w:sz="2" w:space="0" w:color="000000"/>
            </w:tcBorders>
            <w:tcMar>
              <w:left w:w="28" w:type="dxa"/>
            </w:tcMar>
            <w:vAlign w:val="center"/>
          </w:tcPr>
          <w:p>
            <w:pPr>
              <w:pStyle w:val="TableContents"/>
              <w:bidi w:val="0"/>
              <w:spacing w:before="0" w:after="0"/>
              <w:ind w:left="1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left w:val="single" w:sz="2" w:space="0" w:color="000000"/>
              <w:bottom w:val="single" w:sz="2" w:space="0" w:color="000000"/>
            </w:tcBorders>
            <w:tcMar>
              <w:left w:w="28" w:type="dxa"/>
            </w:tcMar>
            <w:vAlign w:val="center"/>
          </w:tcPr>
          <w:p>
            <w:pPr>
              <w:pStyle w:val="TableContents"/>
              <w:bidi w:val="0"/>
              <w:spacing w:before="0" w:after="283"/>
              <w:ind w:left="6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1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tcMar>
            <w:vAlign w:val="center"/>
          </w:tcPr>
          <w:p>
            <w:pPr>
              <w:pStyle w:val="TableContents"/>
              <w:bidi w:val="0"/>
              <w:spacing w:before="0" w:after="283"/>
              <w:ind w:left="6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1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35"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35"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9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9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at fair value</w:t>
            </w:r>
          </w:p>
        </w:tc>
        <w:tc>
          <w:tcPr>
            <w:tcW w:w="635"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35"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35"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35"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Convertible notes payable is a Level 3 financial instrument that is measured at fair value on a recurring basis. Gains/(Losses) from the change in fair value of convertible notes payable were KEUR10,331 and KEUR21,062, respectively.</w:t>
      </w:r>
    </w:p>
    <w:p>
      <w:pPr>
        <w:pStyle w:val="TextBody"/>
        <w:bidi w:val="0"/>
        <w:spacing w:before="0" w:after="0"/>
        <w:ind w:left="0" w:right="0" w:hanging="0"/>
        <w:jc w:val="left"/>
        <w:rPr/>
      </w:pPr>
      <w:r>
        <w:rPr/>
        <w:t> </w:t>
      </w:r>
    </w:p>
    <w:tbl>
      <w:tblPr>
        <w:tblW w:w="4724" w:type="dxa"/>
        <w:jc w:val="left"/>
        <w:tblInd w:w="0" w:type="dxa"/>
        <w:tblLayout w:type="fixed"/>
        <w:tblCellMar>
          <w:top w:w="0" w:type="dxa"/>
          <w:left w:w="0" w:type="dxa"/>
          <w:bottom w:w="0" w:type="dxa"/>
          <w:right w:w="0" w:type="dxa"/>
        </w:tblCellMar>
      </w:tblPr>
      <w:tblGrid>
        <w:gridCol w:w="2840"/>
        <w:gridCol w:w="60"/>
        <w:gridCol w:w="147"/>
        <w:gridCol w:w="1597"/>
        <w:gridCol w:w="8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w:t>
              <w:br/>
              <w:t>Payable at Fair Value</w:t>
            </w:r>
          </w:p>
        </w:tc>
        <w:tc>
          <w:tcPr>
            <w:tcW w:w="8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2024</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new Borrowings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5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 (gain)/loss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15,305</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new Borrowings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5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 (gain)/loss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6, 2025, the Company and YA II PN, Ltd. (“Yorkville”) entered into a sixth Omnibus Amendment to Transaction Documents, effective as of June 30, 2025 (the “Sixth Omnibus Amendment”), pursuant to which the parties agreed to modify the terms of the Securities Purchase Agreement, the Exchange Agreement and certain convertible debentures previously issued by the Company.</w:t>
        <w:br/>
        <w:br/>
        <w:t>Pursuant to the Sixth Omnibus Amendment, the parties agreed to extend the maturity date from July 1, 2025 to August 1, 2025 for the four convertible debentures previously issued by the Company, including the (1) Convertible Debenture issued on December 7, 2022 in the original principal amount of $11.1 million (“Debenture SEV-1”), (2) Convertible Debenture issued on December 8, 2022 in the original principal amount of $10.0 million (“Debenture SEV-2”), (3) Convertible Debenture issued on December 20, 2022 in the original principal amount of $10.0 million (“Debenture SEV-3”), and (4) Convertible Debenture issued on February 5, 2024 in the original principal amount of $4,317,600 (“Debenture SEV-4,” and collectively with Debenture SEV-1, Debenture SEV-2, and Debenture SEV-3, the “Maturing Debentures”).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Sixth Omnibus Amendment, the parties also agreed to extend the termination dates of the Securities Purchase Agreement and the Exchange Agreement to August 1, 2025.</w:t>
        <w:br/>
        <w:br/>
        <w:t>On August 6, 2025, the Company and Yorkville entered into a seventh Omnibus Amendment to Transaction Documents (the “Seventh Omnibus Amendment”) and an eighth Omnibus Amendment to Transaction Documents (the “Eighth Omnibus Amendment”), pursuant to which the parties agreed to modify the terms of the Securities Purchase Agreement, the Exchange Agreement and certain convertible debentures previously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Seventh Omnibus Amendment, the parties agreed to extend the maturity date from August 1, 2025 to September 1, 2025 for the four convertible debentures previously issued by the Company, including the (1) Convertible Debenture issued on December 7, 2022 in the original principal amount of $11.1 million (“Debenture SEV-1”), (2) Convertible Debenture issued on December 8, 2022 in the original principal amount of $10.0 million (“Debenture SEV-2”), (3) Convertible Debenture issued on December 20, 2022 in the original principal amount of $10.0 million (“Debenture SEV-3”), and (4) Convertible Debenture issued on February 5, 2024 in the original principal amount of $4,317,600 (“Debenture SEV-4,” and collectively with Debenture SEV-1, Debenture SEV-2, and Debenture SEV-3, the “Maturing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Seventh Omnibus Amendment, the parties also agreed to extend the termination dates of the Securities Purchase Agreement and the Exchange Agreement to September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Eighth Omnibus Amendment, the parties agreed to modify the terms of the Securities Purchase Agreement to, among other things, provide for an immediate advance by Yorkville to the Company of $190,000 in the form of a secured convertible debenture in the aggregate principal amount of $190,000 (the “Fifth Debenture”). As previously disclosed, a prior advance of $1,000,000 was funded on February 12, 2025 in connection with the First Omnibus Amendment in the form of a secured convertible debenture in the aggregate principal amount of $1,000,000 (the “First Debenture”), a second advance was funded on March 25, 2025 in connection with the Third Omnibus Amendment in the form of a secured convertible debenture in the aggregate principal amount of $1,000,000 (the “Second Debenture”), a third advance was funded on April 24, 2025 in connection with the Fourth Omnibus Amendment in the form of a secured convertible debenture in the aggregate principal amount of $500,000 (the “Third Debenture”) and a fourth advance was funded on May 26, 2025 in connection with the Fifth Omnibus Amendment in the form of a secured convertible debenture in the aggregate principal amount of $750,000 (the “Fourth Debenture” and together with the First Debenture, the Second Debenture, the Third Debenture and the Fifth Debenture, the “Advance Debentures”). As a result of the issuance of the Advance Debentures, and pursuant to the Eighth Omnibus Amendment, the Debenture to be issued to Yorkville, upon the satisfaction of all of the conditions set forth in the Securities Purchase Agreement, will have an aggregate principal amount of $1,560,000. Under the terms of the Eighth Omnibus Amendment, Debenture 6 (as defined in the Exchange Agreement), will collectively consist of the Debenture and the Advance Debentures for purposes of the transactions contemplated by the 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Fifth Debenture will mature on August 6, 2026, which maturity date may be extended at the option of Yorkville. Further, interest accrues on the outstanding principal balance of the Fourth Debenture at an annual rate of 12%, which will increase to an annual rate of 18% upon an Event of Default (as defined in the Fifth Debenture) for so long as such Event of Default remains uncured. Yorkville will have the right to convert the Fifth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Fifth Debenture) then in effect or the nominal value of one Ordinary Share. Net proceeds to the Company from the Fifth Debenture were $190,000.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15, 2025, the Company and Yorkville entered into a ninth Omnibus Amendment to Transaction Documents (the “Ninth Omnibus Amendment”), pursuant to which the parties agreed to modify the terms of the Securities Purchase Agreement, the Exchange Agreement and certain convertible debentures previously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Ninth Omnibus Amendment, the parties agreed to modify the terms of the Securities Purchase Agreement to, among other things, provide for an immediate advance by Yorkville to the Company of EUR300,000 ($350,540 at conversion rate of 1.1685) in the form of a secured convertible debenture in the aggregate principal amount of $350,540 (the “Sixth Debenture”). As a result of the issuance of the Sixth Debenture and the Advance Debentures, and pursuant to the Ninth Omnibus Amendment, the Debenture to be issued to Yorkville, upon the satisfaction of all of the conditions set forth in the Securities Purchase Agreement, will have an aggregate principal amount of $1,209,460. Under the terms of the Ninth Omnibus Amendment, Debenture 6 (as defined in the Exchange Agreement), will collectively consist of the Debenture, the Sixth Debenture and the Advance Debentures for purposes of the transactions contemplated by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Sixth Debenture will mature on August 15, 2026, which maturity date may be extended at the option of Yorkville. Further, interest accrues on the outstanding principal balance of the Fourth Debenture at an annual rate of 12%, which will increase to an annual rate of 18% upon an Event of Default (as defined in the Fifth Debenture) for so long as such Event of Default remains uncured. Yorkville will have the right to convert the Fifth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Fifth Debenture) then in effect or the nominal value of one Ordinary Share. Net proceeds to the Company from the Fifth Debenture were $350,540.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9" w:name="p1i2"/>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and analysis of our financial condition and results of operations together with our unaudited condensed consolidated financial statements and related notes thereto included in Part I, Item 1 of this Quarterly Report on Form 10-Q for the six months ended June 30, 2025 (this </w:t>
      </w:r>
      <w:r>
        <w:rPr>
          <w:rFonts w:ascii="Times New Roman" w:hAnsi="Times New Roman"/>
          <w:caps w:val="false"/>
          <w:smallCaps w:val="false"/>
          <w:sz w:val="20"/>
        </w:rPr>
        <w:t>“</w:t>
      </w:r>
      <w:r>
        <w:rPr>
          <w:rFonts w:ascii="Times New Roman" w:hAnsi="Times New Roman"/>
          <w:i/>
          <w:caps w:val="false"/>
          <w:smallCaps w:val="false"/>
          <w:sz w:val="20"/>
        </w:rPr>
        <w:t>Quarterly Report</w:t>
      </w:r>
      <w:r>
        <w:rPr>
          <w:rFonts w:ascii="Times New Roman" w:hAnsi="Times New Roman"/>
          <w:caps w:val="false"/>
          <w:smallCaps w:val="false"/>
          <w:sz w:val="20"/>
        </w:rPr>
        <w:t>”</w:t>
      </w:r>
      <w:r>
        <w:rPr>
          <w:rFonts w:ascii="Times New Roman" w:hAnsi="Times New Roman"/>
          <w:i/>
          <w:caps w:val="false"/>
          <w:smallCaps w:val="false"/>
          <w:sz w:val="20"/>
        </w:rPr>
        <w:t xml:space="preserve">) and our audited consolidated financial statements and related notes thereto for the year ended December 31, 2024, included in our Annual Report on Form 10-K filed with the U.S.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on April 17, 2025 (our </w:t>
      </w:r>
      <w:r>
        <w:rPr>
          <w:rFonts w:ascii="Times New Roman" w:hAnsi="Times New Roman"/>
          <w:caps w:val="false"/>
          <w:smallCaps w:val="false"/>
          <w:sz w:val="20"/>
        </w:rPr>
        <w:t>“</w:t>
      </w:r>
      <w:r>
        <w:rPr>
          <w:rFonts w:ascii="Times New Roman" w:hAnsi="Times New Roman"/>
          <w:i/>
          <w:caps w:val="false"/>
          <w:smallCaps w:val="false"/>
          <w:sz w:val="20"/>
        </w:rPr>
        <w:t>2024 Form 10-K</w:t>
      </w:r>
      <w:r>
        <w:rPr>
          <w:rFonts w:ascii="Times New Roman" w:hAnsi="Times New Roman"/>
          <w:caps w:val="false"/>
          <w:smallCaps w:val="false"/>
          <w:sz w:val="20"/>
        </w:rPr>
        <w:t>”</w:t>
      </w:r>
      <w:r>
        <w:rPr>
          <w:rFonts w:ascii="Times New Roman" w:hAnsi="Times New Roman"/>
          <w:i/>
          <w:caps w:val="false"/>
          <w:smallCaps w:val="false"/>
          <w:sz w:val="20"/>
        </w:rPr>
        <w:t>).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section titled</w:t>
      </w:r>
      <w:r>
        <w:rPr>
          <w:rFonts w:ascii="Times New Roman" w:hAnsi="Times New Roman"/>
          <w:caps w:val="false"/>
          <w:smallCaps w:val="false"/>
          <w:sz w:val="20"/>
        </w:rPr>
        <w:t> “</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Part I, Item 1A of our Annual Report on2024 Form 10-K, as updated from time to time in our other filings with the SEC. You should carefully read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to gain an understanding of the important factors that could cause actual results to differ materially from our forward-looking statements. Please also see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below. The events and circumstances reflected in our forward-looking statements may not be achieved or may not occur, and actual results could differ materially from those described in or implied by the forward-looking statements contained in the following discussion and analysis. As a result of these risks, you should not place undue reliance on these forward-looking statements. We assume no obligation to revise or update any forward-looking statements for any reason,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conduct our business through our subsidiary Sono Motors GmbH, a German limited liability company (Gesellschaft mit beschr</w:t>
      </w:r>
      <w:r>
        <w:rPr>
          <w:rFonts w:ascii="Times New Roman" w:hAnsi="Times New Roman"/>
          <w:caps w:val="false"/>
          <w:smallCaps w:val="false"/>
          <w:sz w:val="20"/>
        </w:rPr>
        <w:t>ä</w:t>
      </w:r>
      <w:r>
        <w:rPr>
          <w:rFonts w:ascii="Times New Roman" w:hAnsi="Times New Roman"/>
          <w:i/>
          <w:caps w:val="false"/>
          <w:smallCaps w:val="false"/>
          <w:sz w:val="20"/>
        </w:rPr>
        <w:t xml:space="preserve">nkter Haftung) (the </w:t>
      </w:r>
      <w:r>
        <w:rPr>
          <w:rFonts w:ascii="Times New Roman" w:hAnsi="Times New Roman"/>
          <w:caps w:val="false"/>
          <w:smallCaps w:val="false"/>
          <w:sz w:val="20"/>
        </w:rPr>
        <w:t>“</w:t>
      </w:r>
      <w:r>
        <w:rPr>
          <w:rFonts w:ascii="Times New Roman" w:hAnsi="Times New Roman"/>
          <w:i/>
          <w:caps w:val="false"/>
          <w:smallCaps w:val="false"/>
          <w:sz w:val="20"/>
        </w:rPr>
        <w:t>Subsidiary</w:t>
      </w:r>
      <w:r>
        <w:rPr>
          <w:rFonts w:ascii="Times New Roman" w:hAnsi="Times New Roman"/>
          <w:caps w:val="false"/>
          <w:smallCaps w:val="false"/>
          <w:sz w:val="20"/>
        </w:rPr>
        <w:t>”</w:t>
      </w:r>
      <w:r>
        <w:rPr>
          <w:rFonts w:ascii="Times New Roman" w:hAnsi="Times New Roman"/>
          <w:i/>
          <w:caps w:val="false"/>
          <w:smallCaps w:val="false"/>
          <w:sz w:val="20"/>
        </w:rPr>
        <w:t xml:space="preserve">). Unless otherwise indicated or the context otherwise requires, the terms </w:t>
      </w:r>
      <w:r>
        <w:rPr>
          <w:rFonts w:ascii="Times New Roman" w:hAnsi="Times New Roman"/>
          <w:caps w:val="false"/>
          <w:smallCaps w:val="false"/>
          <w:sz w:val="20"/>
        </w:rPr>
        <w:t>“</w:t>
      </w:r>
      <w:r>
        <w:rPr>
          <w:rFonts w:ascii="Times New Roman" w:hAnsi="Times New Roman"/>
          <w:i/>
          <w:caps w:val="false"/>
          <w:smallCaps w:val="false"/>
          <w:sz w:val="20"/>
        </w:rPr>
        <w:t>Sono Motors,</w:t>
      </w:r>
      <w:r>
        <w:rPr>
          <w:rFonts w:ascii="Times New Roman" w:hAnsi="Times New Roman"/>
          <w:caps w:val="false"/>
          <w:smallCaps w:val="false"/>
          <w:sz w:val="20"/>
        </w:rPr>
        <w:t>” “</w:t>
      </w:r>
      <w:r>
        <w:rPr>
          <w:rFonts w:ascii="Times New Roman" w:hAnsi="Times New Roman"/>
          <w:i/>
          <w:caps w:val="false"/>
          <w:smallCaps w:val="false"/>
          <w:sz w:val="20"/>
        </w:rPr>
        <w:t>Sono,</w:t>
      </w:r>
      <w:r>
        <w:rPr>
          <w:rFonts w:ascii="Times New Roman" w:hAnsi="Times New Roman"/>
          <w:caps w:val="false"/>
          <w:smallCaps w:val="false"/>
          <w:sz w:val="20"/>
        </w:rPr>
        <w:t>” “</w:t>
      </w:r>
      <w:r>
        <w:rPr>
          <w:rFonts w:ascii="Times New Roman" w:hAnsi="Times New Roman"/>
          <w:i/>
          <w:caps w:val="false"/>
          <w:smallCaps w:val="false"/>
          <w:sz w:val="20"/>
        </w:rPr>
        <w:t>the Companies,</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ours,</w:t>
      </w:r>
      <w:r>
        <w:rPr>
          <w:rFonts w:ascii="Times New Roman" w:hAnsi="Times New Roman"/>
          <w:caps w:val="false"/>
          <w:smallCaps w:val="false"/>
          <w:sz w:val="20"/>
        </w:rPr>
        <w:t>” “</w:t>
      </w:r>
      <w:r>
        <w:rPr>
          <w:rFonts w:ascii="Times New Roman" w:hAnsi="Times New Roman"/>
          <w:i/>
          <w:caps w:val="false"/>
          <w:smallCaps w:val="false"/>
          <w:sz w:val="20"/>
        </w:rPr>
        <w:t>ourselves,</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similar terms refer to Sono Group N.V. together with the Subsidiary. 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refers to Sono Group N.V. and the </w:t>
      </w:r>
      <w:r>
        <w:rPr>
          <w:rFonts w:ascii="Times New Roman" w:hAnsi="Times New Roman"/>
          <w:caps w:val="false"/>
          <w:smallCaps w:val="false"/>
          <w:sz w:val="20"/>
        </w:rPr>
        <w:t>“</w:t>
      </w:r>
      <w:r>
        <w:rPr>
          <w:rFonts w:ascii="Times New Roman" w:hAnsi="Times New Roman"/>
          <w:i/>
          <w:caps w:val="false"/>
          <w:smallCaps w:val="false"/>
          <w:sz w:val="20"/>
        </w:rPr>
        <w:t>Subsidiary</w:t>
      </w:r>
      <w:r>
        <w:rPr>
          <w:rFonts w:ascii="Times New Roman" w:hAnsi="Times New Roman"/>
          <w:caps w:val="false"/>
          <w:smallCaps w:val="false"/>
          <w:sz w:val="20"/>
        </w:rPr>
        <w:t xml:space="preserve">” </w:t>
      </w:r>
      <w:r>
        <w:rPr>
          <w:rFonts w:ascii="Times New Roman" w:hAnsi="Times New Roman"/>
          <w:i/>
          <w:caps w:val="false"/>
          <w:smallCaps w:val="false"/>
          <w:sz w:val="20"/>
        </w:rPr>
        <w:t>refers to Sono Motors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contains forward-looking statements within the meaning of the Private Securities Litigation Reform Act of 1995 that relate to our current expectations and views of future events. These statements relate to events that involve known and unknown risks, uncertainties and other factors, including those listed under “Risk Factors” in Item 1A of Part I of our 2024 Form 10-K, which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some cases, these forward-looking statements can be identified by words or phrases such as “believe,” “may,” “will,” “expect,” “estimate,” “could,” “should,” “anticipate,” “aim,” “estimate,” “intend,” “plan,” “believe,” “potential,” “forecast,” “project,” “target,” “continue,” “is/are likely to,” “will” or other similar or comparable expressions (including the negative of any of the foregoing). These forward-looking statements include all matters that are not historical facts and are statements regarding our intentions, beliefs, or current expectations. Forward-looking statements involve inherent known and unknown risks, uncertainties and contingencies because they relate to events and depend on circumstances that may or may not occur in the future and could cause our actual results, performance or achievements to differ materially from those expressed or implied by such forward-looking statements. Forward-looking statements contained in this Quarterly Report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our ability to access the unfunded portion of the Yorkville Commitment (as defined herein) and implement the Debt Conversion (as defined herein), including our ability to meet the initial listing requirements for admission of our securities to trading on the Nasdaq Capital Market and to satisfy the other conditions precedent set forth in the Securities Purchase Agreement and the Exchange Agreement (each as defined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the closing the transactions contemplated by the Securities Purchase Agreement and the Exchange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the transactions contemplated by the Exchange Agreement and Securities Purchase Agreement on the Company’s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relationships with lenders, suppliers, customers, employees and other third parties, to pursue new customer arrangements and projects, and to attract, retain and motivate key employees in light of the performance and credit risks associated with our constrained liquidity position and capital 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comply with the continuing standards of OTCQB;</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strategies, plan, objectives and goals, including, for example: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successful implementation and management of the pivot of our business to exclusively retrofitting and integrating our solar technology onto third party vehicles;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successful continued development, sale and delivery of our solar solutions for vehicles and similar products, as well as the continuous advancement of our current technologies and development of new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secure a sufficient number of future customer contracts or otherwise raise the additional funding required beyond the Yorkville Commitment to further develop and commercialize our solar technology and business as well as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business and financial performance, including our ability to turn profitable, scale our operations and build a well-recognized and respected brand cost-effectively;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customer acceptance of and demand for our products, including by developing and maintaining relationships with key business partners who are crucial for our operations or who directly deal with end users in our target market;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the development of our industry, market size and the regulatory and competitive environment in which we operate.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intend such forward-looking statements to be covered by the safe harbor provisions for forward-looking statements contained in Section 27A of the Securities Act of 1933, as amended, and Section 21E of the Securities Exchange Act of 1934, as amended (the “Exchange Act”). These forward-looking statements are subject to known and unknown risks, uncertainties and assumptions, many of which are beyond our control. In addition, these forward-looking statements reflect our current views with respect to future events and trends that we believe may affect our financial condition, results of operations, business strategy, short-term and long-term business operations and objectives, and financial needs. These forward-looking statements are neither promises nor guarantees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Quarterly Report.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risks, uncertainties, and assumptions described under “</w:t>
      </w:r>
      <w:r>
        <w:rPr>
          <w:rFonts w:ascii="Times New Roman" w:hAnsi="Times New Roman"/>
          <w:i/>
          <w:caps w:val="false"/>
          <w:smallCaps w:val="false"/>
          <w:sz w:val="20"/>
        </w:rPr>
        <w:t>Risk Factors</w:t>
      </w:r>
      <w:r>
        <w:rPr>
          <w:rFonts w:ascii="Times New Roman" w:hAnsi="Times New Roman"/>
          <w:caps w:val="false"/>
          <w:smallCaps w:val="false"/>
          <w:sz w:val="20"/>
        </w:rPr>
        <w:t>” in Item 1A of Part I of our 2024 Form 10-K,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in this Quarterly Report and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Investors and others should note that we may announce material business and financial information to our investors using our investor relations website at https://ir.sonomotors.com. We therefore encourage investors and others interested in the Company to review the information that we make available on our website, in addition to following our filings with the U.S. Securities and Exchange Commission (“SEC”), webcasts, press releases and conference calls. Information contained on our website is not part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technology company focused on the development and commercialization of solar integration solutions for commercial vehicles. Our proprietary solar charge controller (MCU) technology enables the seamless integration of solar energy into high- and low-voltage vehicle architectures, reducing fuel consumption and emissions for diesel-powered vehicles and extending battery life for electric vehicles.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 portfolio includes complete solar solutions for refrigerated trailers, electric buses, commercial vans and trucks, as well as standalone components, such as solar charge controllers (MCUs) and solar modules. We also provide engineering services to assist OEMs and fleet operators in integrating solar technology into their vehicle production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our pivot to solar-only solutions in early 2023, we have continued to refine and expand our offerings, with an increased focus on OEM partnerships to drive adoption of factory-installed solar solutions. While we have generated limited revenue to date, we believe that our technology has large market potential in addressing the growing demand for cost-saving and emission-reducing energy solutions for commercial fleets.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Historically, we have incurred operating losses since our inception; however, in 2024, we recorded an operating profit due to the impact of revaluation gains following the reconsolidation of our operating subsidiary after the termination of the self-administration proceedings with respect to the Companies (the “Self-Administration Proceedings”) in early 2024. This one-time accounting impact significantly influenced our reported net income for the year ending December 31, 2024. In the first quarter of 2025, we reported net income of €1.5 million, primarily driven by fair value adjustments related to our outstanding convertible debt. Excluding these effects, our core operations remain in an investment and scaling phase, and we expect to continue incurring operating losses going forward as we expand our product offerings, scale production and establish strategic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we had cash and cash equivalents of €0.3 million, and we anticipate that our current funding arrangements, including the Yorkville Commitment and the Debt Conversion, if we are able to successfully satisfy the conditions precedent thereto, as well as anticipated fund raising efforts in Q3 and Q4 of 2025, if successful, will be sufficient to support our business operations through the second quarter of 2026. However, we will have to either secure a sufficient number of future customer contracts or secure additional financing to execute our long-term growth strategy, and our ability to secure such funding will depend on, among other things, market conditions, operational milestones and investor confidence.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as a single business segment, managing our financing, research and development and product commercialization on a consolidated basis. Our financial results reflect a transition from pre-revenue technology development to commercial-scale implementation, and we expect continued volatility as we scale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6, 2025, the Company and YA II PN, Ltd. (“Yorkville”) entered into a sixth Omnibus Amendment to Transaction Documents, effective as of June 30, 2025 (the “Sixth Omnibus Amendment”), pursuant to which the parties agreed to modify the terms of the Securities Purchase Agreement, the Exchange Agreement and certain convertible debentures previously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Sixth Omnibus Amendment, the parties agreed to extend the maturity date from July 1, 2025 to August 1, 2025 for the four convertible debentures previously issued by the Company, including the (1) Convertible Debenture issued on December 7, 2022 in the original principal amount of $11.1 million (“Debenture SEV-1”), (2) Convertible Debenture issued on December 8, 2022 in the original principal amount of $10.0 million (“Debenture SEV-2”), (3) Convertible Debenture issued on December 20, 2022 in the original principal amount of $10.0 million (“Debenture SEV-3”), and (4) Convertible Debenture issued on February 5, 2024 in the original principal amount of $4,317,600 (“Debenture SEV-4,” and collectively with Debenture SEV-1, Debenture SEV-2, and Debenture SEV-3, the “Maturing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Sixth Omnibus Amendment, the parties also agreed to extend the termination dates of the Securities Purchase Agreement and the Exchange Agreement to August 1,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6, 2025, the Company and Yorkville entered into a seventh Omnibus Amendment to Transaction Documents (the “Seventh Omnibus Amendment”) and an eighth Omnibus Amendment to Transaction Documents (the “Eighth Omnibus Amendment”), pursuant to which the parties agreed to modify the terms of the Securities Purchase Agreement, the Exchange Agreement and certain convertible debentures previously issued by the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Seventh Omnibus Amendment, the parties agreed to extend the maturity date from August 1, 2025 to September 1, 2025 for the four convertible debentures previously issued by the Company, including the (1) Convertible Debenture issued on December 7, 2022 in the original principal amount of $11.1 million (“Debenture SEV-1”), (2) Convertible Debenture issued on December 8, 2022 in the original principal amount of $10.0 million (“Debenture SEV-2”), (3) Convertible Debenture issued on December 20, 2022 in the original principal amount of $10.0 million (“Debenture SEV-3”), and (4) Convertible Debenture issued on February 5, 2024 in the original principal amount of $4,317,600 (“Debenture SEV-4,” and collectively with Debenture SEV-1, Debenture SEV-2, and Debenture SEV-3, the “Maturing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Seventh Omnibus Amendment, the parties also agreed to extend the termination dates of the Securities Purchase Agreement and the Exchange Agreement to September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Eighth Omnibus Amendment, the parties agreed to modify the terms of the Securities Purchase Agreement to, among other things, provide for an immediate advance by Yorkville to the Company of $190,000 in the form of a secured convertible debenture in the aggregate principal amount of $190,000 (the “Fifth Debenture”). As previously disclosed, a prior advance of $1,000,000 was funded on February 12, 2025 in connection with the First Omnibus Amendment in the form of a secured convertible debenture in the aggregate principal amount of $1,000,000 (the “First Debenture”), a second advance was funded on March 25, 2025 in connection with the Third Omnibus Amendment in the form of a secured convertible debenture in the aggregate principal amount of $1,000,000 (the “Second Debenture”), a third advance was funded on April 24, 2025 in connection with the Fourth Omnibus Amendment in the form of a secured convertible debenture in the aggregate principal amount of $500,000 (the “Third Debenture”) and a fourth advance was funded on May 26, 2025 in connection with the Fifth Omnibus Amendment in the form of a secured convertible debenture in the aggregate principal amount of $750,000 (the “Fourth Debenture” and together with the First Debenture, the Second Debenture, the Third Debenture and the Fifth Debenture, the “Advance Debentures”). As a result of the issuance of the Advance Debentures, and pursuant to the Eighth Omnibus Amendment, the Debenture to be issued to Yorkville, upon the satisfaction of all of the conditions set forth in the Securities Purchase Agreement, will have an aggregate principal amount of $1,560,000. Under the terms of the EIghth Omnibus Amendment, Debenture 6 (as defined in the Exchange Agreement), will collectively consist of the Debenture and the Advance Debentures for purposes of the transactions contemplated by the 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Fifth Debenture will mature on August 6, 2026, which maturity date may be extended at the option of Yorkville. Further, interest accrues on the outstanding principal balance of the Fourth Debenture at an annual rate of 12%, which will increase to an annual rate of 18% upon an Event of Default (as defined in the Fifth Debenture) for so long as such Event of Default remains uncured. Yorkville will have the right to convert the Fifth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Fifth Debenture) then in effect or the nominal value of one Ordinary Share. Net proceeds to the Company from the Fifth Debenture were $190,000.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15, 2025, the Company and Yorkville entered into a ninth Omnibus Amendment to Transaction Documents (the “Ninth Omnibus Amendment”), pursuant to which the parties agreed to modify the terms of the Securities Purchase Agreement, the Exchange Agreement and certain convertible debentures previously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Ninth Omnibus Amendment, the parties agreed to modify the terms of the Securities Purchase Agreement to, among other things, provide for an immediate advance by Yorkville to the Company of EUR300,000 ($350,540 at conversion rate of 1.1685) in the form of a secured convertible debenture in the aggregate principal amount of $350,540 (the “Sixth Debenture”). As a result of the issuance of the Sixth Debenture and the Advance Debentures, and pursuant to the Ninth Omnibus Amendment, the Debenture to be issued to Yorkville, upon the satisfaction of all of the conditions set forth in the Securities Purchase Agreement, will have an aggregate principal amount of $1,209,460. Under the terms of the Ninth Omnibus Amendment, Debenture 6 (as defined in the Exchange Agreement), will collectively consist of the Debenture, the Sixth Debenture and the Advance Debentures for purposes of the transactions contemplated by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Sixth Debenture will mature on August 15, 2026, which maturity date may be extended at the option of Yorkville. Further, interest accrues on the outstanding principal balance of the Fourth Debenture at an annual rate of 12%, which will increase to an annual rate of 18% upon an Event of Default (as defined in the Fifth Debenture) for so long as such Event of Default remains uncured. Yorkville will have the right to convert the Fifth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Fifth Debenture) then in effect or the nominal value of one Ordinary Share. Net proceeds to the Company from the Fifth Debenture were $350,540.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not yet generated material revenue from our solar technology solutions. Historically, our revenue has been derived primarily from prototype sales and pilot installations of our solar retrofit solutions, including the Solar Bus Kit. In 2024, we expanded our product offerings to include additional commercial vehicle categories, such as trucks, refrigerated trailers and electric vans. While these developments position us for potential future revenue growth, we expect revenue generation to remain limited in the near term as we focus on finalizing product developments, securing large-scale partnerships with OEMs and fleet operators and ramping up commercial deployments.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our continued transition to an asset-light business model in 2024, revenue growth will depend on our ability to successfully scale our solar technology offerings through direct sales and strategic partnerships. Additionally, regulatory approvals and customer adoption rates will play a critical role in the timing and magnitude of revenue recognition in the coming years. We anticipate that revenue fluctuations may occur as we move from initial pilot programs toward broader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anticipate an increase in revenue as adoption of our solar solutions expands, our future revenue growth is subject to factors including successful commercialization of our technology, scaling production, obtaining additional regulatory approvals and securing long-term contracts with OEMs and fleet operators. Additionally, revenue growth may be affected by macroeconomic conditions, supply chain constraints and shifts in government incentives for renewable energy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expected revenue streams include the sale of complete solar solutions, standalone solar products such as solar modules and solar charge controllers, as well as data services and engineering services that support OEM integration and fleet adoption. Our revenue recognition follows standard contract-based policies, with revenue recognized upon delivery of products or completion of contractual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Historically, our cost of sales has been minimal, reflecting the limited revenue generation from prototype projects and early-stage product deployments. As we scale production and move toward broader commercialization, we expect cost of sales to increase in line with higher manufacturing volumes, supply chain expenditures and product fulfillment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did not record research expenses in prior years, as we did not engage in fundamental research activities. Our development expenses primarily consist of (i) personnel expenses for our development team, including salaries, bonuses and related share-based compensation, (ii) costs associated with prototype development and solar integration, (iii) professional services and (iv) other expenses. Development costs are expensed as incurred, as the recognition criteria for capitalization have not been met. In 2024, research and development expenses declined as we shifted from early-stage development to commercialization. We intend to focus future investments on optimizing our solar charge controller technology, enhancing solar integration efficiency and supporting OEM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 General</w:t>
      </w:r>
      <w:r>
        <w:rPr>
          <w:rFonts w:ascii="Times New Roman" w:hAnsi="Times New Roman"/>
          <w:caps w:val="false"/>
          <w:smallCaps w:val="false"/>
          <w:sz w:val="20"/>
        </w:rPr>
        <w:t> </w:t>
      </w:r>
      <w:r>
        <w:rPr>
          <w:rFonts w:ascii="Times New Roman" w:hAnsi="Times New Roman"/>
          <w:b/>
          <w:i/>
          <w:caps w:val="false"/>
          <w:smallCaps w:val="false"/>
          <w:sz w:val="20"/>
        </w:rPr>
        <w:t>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selling, general and administrative expenses (“SG&amp;A”) on an accrual basis when incurred. These expenses primarily include employee compensation, consultant and professional service fees, legal and compliance costs, marketing and promotional activities, intellectual property-related expenses and general overhead costs. As we continue to scale our operations and expand our market presence, we anticipate SG&amp;A expenses to reflect investments in business development, commercialization efforts and strategic partnerships. Additionally, as a public company, we expect continued costs related to regulatory compliance, financial reporting and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Operating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operating income primarily includes government grants, reimbursements for personnel expenses and any non-recurring income. Other operating expenses mainly consist of foreign exchange losses from currency conversions and other non-operating costs. These items may vary from period to period depending on external factors such as exchange rate fluctuations and grant allocations.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Gain from Reconsolidation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29, 2024, the Subsidiary exited its Self-Administration Proceedings via its plan under the German Insolvency Code, which set out how the Subsidiary intended to restructure its debt and procure the inflow of new cash, including pursuant to a funding commitment from Yorkville. As a result, all outstanding debts between the Company and the Subsidiary were extinguished, and the Subsidiary was reconsolidated into our consolidated financial statements effective March 1, 2024.</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reconsolidation resulted in a net gain of approximately €62.7 million, reflecting the revaluation of the Subsidiary’s net assets and the extinguishment of parental guarantees and related liabilities. This gain is recorded in our 2024 operating results and represents the financial impact of regaining control over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this gain had a significant positive effect on our reported 2024 operating results, it does not reflect ongoing business operations or recurring profitability. We expect that our future financial performance will be driven by commercialization of our solar solutions, expansion of OEM partnerships and disciplined cost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and Similar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expenses primarily consist of costs associated with interest-bearing liabilities, including convertible debentures and other financing instruments used to support our operations. These expenses reflect the cost of capital required to fund our business activities and ongoing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9051" w:type="dxa"/>
        <w:jc w:val="left"/>
        <w:tblInd w:w="0" w:type="dxa"/>
        <w:tblLayout w:type="fixed"/>
        <w:tblCellMar>
          <w:top w:w="0" w:type="dxa"/>
          <w:left w:w="0" w:type="dxa"/>
          <w:bottom w:w="0" w:type="dxa"/>
          <w:right w:w="0" w:type="dxa"/>
        </w:tblCellMar>
      </w:tblPr>
      <w:tblGrid>
        <w:gridCol w:w="6380"/>
        <w:gridCol w:w="60"/>
        <w:gridCol w:w="76"/>
        <w:gridCol w:w="698"/>
        <w:gridCol w:w="102"/>
        <w:gridCol w:w="76"/>
        <w:gridCol w:w="76"/>
        <w:gridCol w:w="698"/>
        <w:gridCol w:w="80"/>
        <w:gridCol w:w="60"/>
        <w:gridCol w:w="73"/>
        <w:gridCol w:w="592"/>
        <w:gridCol w:w="8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592"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reconsolidation</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income/(loss)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 / income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(1,772</w:t>
            </w:r>
          </w:p>
        </w:tc>
        <w:tc>
          <w:tcPr>
            <w:tcW w:w="10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 (expense)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changes in fair value of convertible debt carried at fair value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 (Loss) on foreign currency translation</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tax</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(812</w:t>
            </w:r>
          </w:p>
        </w:tc>
        <w:tc>
          <w:tcPr>
            <w:tcW w:w="1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on income and earnings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 on expense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(812</w:t>
            </w:r>
          </w:p>
        </w:tc>
        <w:tc>
          <w:tcPr>
            <w:tcW w:w="10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that will not be reclassified to profit or loss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(812</w:t>
            </w:r>
          </w:p>
        </w:tc>
        <w:tc>
          <w:tcPr>
            <w:tcW w:w="10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we recorded revenue of €25 thousand, while for the three months ended June 30, 2024, we recorded no revenue. Our revenue is generated from the sale of our integrated solar solutions as well as individual components, including solar charge controllers, solar panels, and other assembly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we recorded cost of sales of €19 thousand. For the three months ended June 30, 2024, we recorded no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cost of development expenses increased to approximately €525 thousand from €336 thousand for the three months ended June 30, 2024. The increase primarily reflects improvements and refinements to our solar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 (SG&amp;A)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SG&amp;A expenses totaled approximately €1,381 thousand, compared to €1,933 thousand for the three months ended June 30, 2024. The decrease reflects a reduction in professional fees from €876 thousand for the three months ended June 30, 2024 down to €537 thousand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Income/(expense) from changes in fair value of convertible notes payable carried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we recognized a gain of approximately €813 thousand from the fair value measurement of financial liabilities. This gain primarily relates to the revaluation of convertible debentures issued in connection with our financing arrangements, which are accounted for at fair value through profit or loss under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2024, we recorded a gain of approximately €847 thousand from the revaluation of convertible debentures under the same fair value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Gain (Loss) on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we recorded a foreign currency translation gain of approximately €147 thousand, primarily resulting from exchange rate movements impacting Euro-denominated balances. We recognized a net loss from foreign currency translation of approximately €859 thousand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2025, we reported a net loss of €</w:t>
      </w:r>
      <w:r>
        <w:rPr>
          <w:rFonts w:ascii="Times New Roman" w:hAnsi="Times New Roman"/>
          <w:caps w:val="false"/>
          <w:smallCaps w:val="false"/>
          <w:sz w:val="20"/>
          <w:u w:val="single"/>
        </w:rPr>
        <w:t>812</w:t>
      </w:r>
      <w:r>
        <w:rPr>
          <w:rFonts w:ascii="Times New Roman" w:hAnsi="Times New Roman"/>
          <w:caps w:val="false"/>
          <w:smallCaps w:val="false"/>
          <w:sz w:val="20"/>
        </w:rPr>
        <w:t xml:space="preserve"> thousand, while for the three months ended June 30, 2024, we reported a net loss of €1,443 thousand. This change was primarily driven by the decrease in general and administrative expenses recorded for the three months ended June 30, 2025, as well as by the €147 gain on foreign currency translation recognized for the three months ended June 30, 2025 compared to €859 thousand loss recorded for the three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consolidated results of operations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858" w:type="dxa"/>
        <w:jc w:val="left"/>
        <w:tblInd w:w="0" w:type="dxa"/>
        <w:tblLayout w:type="fixed"/>
        <w:tblCellMar>
          <w:top w:w="0" w:type="dxa"/>
          <w:left w:w="0" w:type="dxa"/>
          <w:bottom w:w="0" w:type="dxa"/>
          <w:right w:w="0" w:type="dxa"/>
        </w:tblCellMar>
      </w:tblPr>
      <w:tblGrid>
        <w:gridCol w:w="6380"/>
        <w:gridCol w:w="60"/>
        <w:gridCol w:w="62"/>
        <w:gridCol w:w="610"/>
        <w:gridCol w:w="82"/>
        <w:gridCol w:w="62"/>
        <w:gridCol w:w="62"/>
        <w:gridCol w:w="610"/>
        <w:gridCol w:w="80"/>
        <w:gridCol w:w="60"/>
        <w:gridCol w:w="60"/>
        <w:gridCol w:w="650"/>
        <w:gridCol w:w="8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reconsolidation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income/(loss)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 /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(3,579</w:t>
            </w:r>
          </w:p>
        </w:tc>
        <w:tc>
          <w:tcPr>
            <w:tcW w:w="8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(63,466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changes in fair value of convertible debt carried at fair value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11,144</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 (Loss) on foreign currency translation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 before tax</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8,025</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(71,414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on income and earnings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 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 for the period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8,025</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(71,414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that will not be reclassified to profit or loss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8,025</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(71,414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we recorded revenue of €51 thousand, while for the six months ended June 30, 2024, we recorded no revenue. Our revenue is generated from the sale of our integrated solar solutions as well as individual components, including solar charge controllers, solar panels, and other assembly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we recorded cost of sales of €39 thousand. For the six months ended June 30, 2024, we recorded no cost of sales.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cost of development expenses increased to approximately €968 thousand from €557 thousand for the six months ended June 30, 2024. The increase primarily reflects improvements and refinements to our solar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 (SG&amp;A)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SG&amp;A expenses totaled approximately €2,755 thousand, compared to €3,117 thousand for the six months ended June 30, 2024. The decrease reflects a reduction in professional fees from €1,743 thousand for the six months ended June 30, 2024 down to €1,030 thousand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largest components of SG&amp;A expenses in the first half of 2025 were payroll and social contributions, and legal, audit and other advisory services. In comparison, SG&amp;A expenses in the first half of 2024 included expenses related to the restructuring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Gain (Loss) on deconsolidation/reconsolidation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2024, we recognized a gain of approximately €63,491 thousand in connection with the reconsolidation of the Subsidiary following its exit from its Self-Administration Proceedings. This gain primarily reflects the extinguishment of certain liabilities and the re-recognition of net assets upon regaining control of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we recorded no gain or loss in connection to reconsolidation of the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Income/(expense) from changes in fair value of convertible notes payable carried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we recognized a gain of approximately €11,144 thousand from the fair value measurement of financial liabilities. This gain primarily relates to the revaluation of convertible debentures issued in connection with our financing arrangements, which are accounted for at fair value through profit or loss under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2024, we recorded a gain of approximately €21,909 thousand from the revaluation of convertible debentures under the same fair value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Gain (Loss) on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we recorded a foreign currency translation gain of approximately €460 thousand, primarily resulting from exchange rate movements impacting Euro-denominated balances. We recognized a net loss from foreign currency translation of approximately €2,357 thousand for the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we reported net income of €8,025 thousand, while for the six months ended June 30, 2024, we reported a net income of €79,439 thousand. This change in net income was primarily driven by the €63,491 thousand reconsolidation gain recognized upon regaining control of our Subsidiary after the completion of its Self-Administration Proceedings in the first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Looking ahead, we anticipate incurring operating losses in future periods as we continue to scale our operations, invest in research and development and expand our commercial footprint. Our long-term financial performance will depend on successful commercialization of our ViPV solutions, revenue growth from OEM partnerships and standalone product sales and efficient cost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our cash was €339 thousand, compared to €1,354 thousand as of December 31, 2024. Cash consists of cash in bank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currently generate material revenue from operations and continue to incur operating expenses related to the commercialization of our solar technology, general and administrative functions and development activities. Our liquidity position is highly dependent on external financing, including equity and equity-linked financings, debt instruments and strategic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Sources and Uses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Historically, we have financed our operations through: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Equity and equity-linked financings, including our initial public offering (“IPO”) in November 2021, a follow-on offering in May 2022 and a committed equity facility entered into in June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17, 2021, the Company consummated its IPO of 10,000,000 Ordinary Shares at a price of $15.00 per share. In addition, the underwriters in our IPO exercised their greenshoe option to purchase an additional 1,500,000 ordinary shares (“Ordinary Shares”) at a price of $13.95 per share. In total, the Company raised $160 million (€142 million) through the IPO, after deducting underwriting discounts and commissions.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successfully completed a follow-on offering on May 3, 2022 of 10,930,000 Ordinary Shares at a price of $4.00 per share, which amount included shares sold pursuant to the partial exercise of the underwriters’ over-allotment option. Pursuant to the offering, the Company received proceeds of $42 million (€39 million) after deducting underwriting discounts and commissions.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13, 2022, the Company entered into an ordinary share purchase agreement with Joh. Berenberg, Gossler &amp; Co. KG (“Berenberg”), which governed a committed equity facility (the “CEF”) for the Company. The CEF provided the Company with the right, but not the obligation, to sell and issue up to $150 million of its Ordinary Shares over a period of 24 months to Berenberg, subject to certain limitations and conditions. During 2022, the Company sold to Berenberg a total of 8,748,433 Ordinary Shares for total gross proceeds of $17 million (€17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2022 Convertible Debentures (as defined below) issued to Yorkville pursuant to the securities purchase agreement in December 2022 and subsequent amendment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7, 2022, the Company entered into a securities purchase agreement with Yorkville under which the Company agreed to sell and issue to Yorkville debentures (the “2022 Convertible Debentures”) in a gross aggregate principal amount of up to $31.1 million (€29.4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context of the former Self-Administration Proceedings and in connection with Yorkville’s commitment to provide limited financing (the “First Commitment”) to the Company pursuant to a funding commitment letter (the “Funding Commitment Letter”), the Companies entered into certain investment-related agreements with Yorkville in mid-November 2023, and on April 30, 2024, the Company and Yorkville entered into an amendment to the Funding Commitment Letter pursuant to which Yorkville committed additional financing to the Company (the “Second Commitment” and together with the First Commitment, the “Yorkville Restructuring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30, 2024, the Company and Yorkville entered into a Securities Purchase Agreement (the “Securities Purchase Agreement”), pursuant to which the Company agreed to sell and issue to Yorkville a new convertible debenture (the “New Commitment Debenture”) in the aggregate principal amount of $5 million (the “Yorkville Commitment”).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12, 2025, the Company and Yorkville entered into an Omnibus Amendment to Transaction Documents, pursuant to which the parties agreed to modify the terms of the Securities Purchase Agreement to, among other things, provide for an immediate advance of $1,000,000 of the Yorkville Commitment in the form of a $1,000,000 secured convertible debenture (the “First Advance 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Company and Yorkville entered into a third Omnibus Amendment to Transaction Documents, pursuant to which the parties agreed to modify the terms of the Securities Purchase Agreement to, among other things, provide for an immediate advance of $1 million of the Yorkville Commitment in the form of a $1,000,000 secured convertible debenture (the “Second Advance 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24, 2025, the Company and Yorkville entered into a fourth Omnibus Amendment, pursuant to which the parties agreed to modify the terms of the Securities Purchase Agreement to, among other things, provide for an immediate advance of $500,000 of the Yorkville Commitment in the form of a $500,000 secured convertible debenture (the “Third Advance Debenture”).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27, 2025, the Company and Yorkville entered into a fifth Omnibus Amendment, pursuant to which the parties agreed to modify the terms of the Securities Purchase Agreement to, among other things, provide for an immediate advance of $750,000 of the Yorkville Commitment in the form of a $750,000 secured convertible debenture (the “Fourth Advance Debenture”).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6, 2025, the Company and Yorkville entered into an eighth Omnibus Amendment, pursuant to which the parties agreed to modify the terms of the Securities Purchase Agreement to, among other things, provide for an immediate advance of $190,000 of the Yorkville Commitment in the form of a $190,000 secured convertible debenture (the “Fifth Advance Debenture” and together with the First Advance Debenture, the Second Advance Debenture, the Third Advance Debenture and the Fourth Advance Debenture, the “Advance Debentures”).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30, 2024, the Company and Yorkville also entered into the Exchange Agreement (the “Exchange Agreement”), pursuant to which the Company agreed to issue, subject to the satisfaction of certain closing conditions, 1,242 preferred shares to Yorkville solely in exchange for the surrender and cancellation of all of the debentures held by Yorkville, including the 2022 Convertible Debentures, the convertible debentures issued to Yorkville on February 5, 2024 and August 30, 2024, the New Commitment Debenture (if issued) and the Advance Debentures (the “Debt Conversion”).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Limited grant funding from government and public research institutions, supporting the development of our proprietary solar technology.</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Limited revenues from sale of prototypes, our solar products and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cash outflows have primarily been driven by:</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expenditures, including product testing, solar module validation and MCU development.</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60"/>
        <w:gridCol w:w="170"/>
        <w:gridCol w:w="9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costs, such as payroll, legal and advisory services and public company compliance costs.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in commercialization efforts, including OEM partnerships and vehicle integration projects.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Capital Needs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our current funding structure, which is based on the receipt of the unfunded portion of the Yorkville Commitment and implementation of the Debt Conversion, if we are able to successfully satisfy the conditions precedent thereto, as well as our anticipated fund raising efforts in Q3 and Q4 of 2025, if successful, is expected to provide sufficient capital through the end of the second quarter of 2026, we will have to either secure a sufficient number of future customer contracts or secure additional external financing to support our scaling and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actively evaluating a mix of financing options, including:</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equity or debt financings, subject to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Non-dilutive funding sources, such as government grants and strategic collaborations.</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generation from sales of our solar solutions and engineering services, which we expect to ramp up over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financing requirements will depend on many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market’s willingness to adopt solar-powered mobility solutions;</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60"/>
        <w:gridCol w:w="170"/>
        <w:gridCol w:w="7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commercialize our proprietary solar technology in time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meet the initial listing requirements for admission of our Ordinary Shares to trading on the Nasdaq Capital Market;</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develop installation processes and capabilities within our projected costs and timelines;</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raw materials or certain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or agree on acceptable terms and conditions on all or a significant portion of the government grants, loans and other incentives for which we may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establish a network for aftersales customer service or otherwise successfully address the service and maintenance requirements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70"/>
        <w:gridCol w:w="5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product liability or other lawsuits related to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are unable to secure additional funding on acceptable terms, we may be required to adjust our growth strategy, delay development projects or pursue alternative financing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Going Concern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relied on external financing to fund our operations, and as of June 30, 2025, we had cash of €0.3 million. Based on our current operating plan and if we are able to successfully access the unfunded portion of the Yorkville Commitment and implement the Debt Conversion as well as successfully complete the planned fund raising activities, we anticipate that our existing cash resources, together with the remaining unfunded portion of the Yorkville Commitment and proceeds from the planned fund raising activities, will be sufficient to fund our business operations through the end of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our ability to continue as a going concern is dependent on the uplisting of our Ordinary Shares to the Nasdaq Capital Market, which we cannot guarantee will occur, and on our ability to either secure a sufficient number of future customer contracts or secure additional capital. If we are unable to obtain sufficient funding, we may need to modify our operating plans, reduce costs or pursue alternative financing strategies. Management continues to evaluate financing alternatives, and we remain confident in our ability to raise the necessary capital to execute our business plan, especially if we are able to satisfy the initial listing requirements of the Nasdaq Capital Market or another national securities exchange. Based upon this uncertainty, our management has concluded that there is substantial doubt that the company will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our cash flows (used in) from operating, investing and financing activities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775"/>
        <w:gridCol w:w="60"/>
        <w:gridCol w:w="92"/>
        <w:gridCol w:w="839"/>
        <w:gridCol w:w="123"/>
        <w:gridCol w:w="92"/>
        <w:gridCol w:w="92"/>
        <w:gridCol w:w="1000"/>
        <w:gridCol w:w="8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123" w:type="dxa"/>
            <w:tcBorders>
              <w:bottom w:val="single" w:sz="2" w:space="0" w:color="000000"/>
            </w:tcBorders>
            <w:tcMar>
              <w:bottom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 thousands )</w:t>
            </w:r>
          </w:p>
        </w:tc>
        <w:tc>
          <w:tcPr>
            <w:tcW w:w="8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(3,451</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in)/provided by investing activities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from financing activities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Net decrease</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in cash</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currency translation on cash and cash equivalents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at end of the period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decreased from €15,885 thousand in the six months ended June 30, 2024 to €3,451 thousand for the six months ended June 30, 2025. The decrease was primarily driven by higher cash outflows for the six months ended June 30, 2024 related to the restructuring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cash provided by</w:t>
      </w:r>
      <w:r>
        <w:rPr>
          <w:rFonts w:ascii="Times New Roman" w:hAnsi="Times New Roman"/>
          <w:caps w:val="false"/>
          <w:smallCaps w:val="false"/>
          <w:sz w:val="20"/>
        </w:rPr>
        <w:t> </w:t>
      </w: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used €8 thousand in investing activities in the six months ended June 30, 2025, with the entire amount related to equipment acquisition. Net cash provided by investing activities in the six months ended June 30, 2024 was €1,307 thousand with the entire amount related to reconsolidation of the Subsidiary cash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cash from</w:t>
      </w:r>
      <w:r>
        <w:rPr>
          <w:rFonts w:ascii="Times New Roman" w:hAnsi="Times New Roman"/>
          <w:caps w:val="false"/>
          <w:smallCaps w:val="false"/>
          <w:sz w:val="20"/>
        </w:rPr>
        <w:t> </w:t>
      </w: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€2,904 thousand in the six months ended June 30, 2025, resulting from proceeds received in connection with the issuance of convertible notes. For the six months ended June 30, 2024, net cash provided by financing activities amounted to €7,000 thousand, resulting from the proceeds received in connection with the issuance of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critical accounting policies are disclosed in Note 2 of the notes to our consolidated financial statements included in Part II, Item 8 of the 2024 Form 10-K. Since the date of such financial statements, there have been no material changes to our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bookmarkStart w:id="10" w:name="p1i3"/>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bookmarkStart w:id="11" w:name="p1i4"/>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2025, our management team, with the participation of our principal executive officer and principal financial officer, carried out an evaluation of the effectiveness of our disclosure controls and procedures (as defined in Rules 13a-15(e) and 15d-15(e) under the Exchange Act). Based on that evaluation, our principal executive officer and principal financial officer concluded that, due to the unremediated material weakness in our internal control over financial reporting as described below and in Part II, Item 9A. “Controls and Procedures” in our 2024 Form 10-K, our disclosure controls and procedures were not effective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previous years’ audits, the material weaknesses that were identified relate to: (i) a lack of consistent and proper application of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 In 2023, certain measures that were planned in order to remedy such material weaknesses could not be implemented as planned as a result of the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light of the Companies’ successful emergence from their respective Self-Administration Proceedings and the restructuring/recapitalization of our businesses, we are currently planning measures to remedy such material weaknesses. Beginning January 1, 2025, the planned remedial measures began with the hiring of additional accounting staff and the appointment of a new chief financial offer who possess the requisite skills to address technical accounting and reporting issues and implement processes that include taking steps to improve our controls and procedures. We continue to devote attention to remediating the aforementioned deficiencies and specifically plan to incorporate automated and software-based accounting tools, engage third parties to support our internal resources related to accounting and internal controls, implement ongoing internal training for our accounting and finance teams and continue to invest in our finance IT systems. However, as of June 30, 2025, we are still in the process of remediating the previously identified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quarter ended June 30, 2025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Effectiveness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bookmarkStart w:id="12" w:name="p2"/>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bookmarkStart w:id="13" w:name="p2i1"/>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from time to time, party to various claims and legal proceedings arising in the ordinary course of our business. See Part I, Item I “Financial Statements (Unaudited) - Note 14, Commitments and Contingencies” in this Quarterly Report,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r>
        <w:rPr>
          <w:rFonts w:ascii="Times New Roman" w:hAnsi="Times New Roman"/>
          <w:caps w:val="false"/>
          <w:smallCaps w:val="false"/>
          <w:sz w:val="20"/>
        </w:rPr>
        <w:t> </w:t>
      </w:r>
      <w:bookmarkStart w:id="14" w:name="p2i1a"/>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smaller reporting company under Rule 12b-2 of the Exchange Act, we are not required to include risk factors in this Quarterly Report. For additional risks relating to our operations, see the section titled “Risk Factors” contained in our 2024 Form 10-K.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Unregistered Sales of Equity Securities and Use of Proceeds.</w:t>
      </w:r>
      <w:r>
        <w:rPr>
          <w:rFonts w:ascii="Times New Roman" w:hAnsi="Times New Roman"/>
          <w:caps w:val="false"/>
          <w:smallCaps w:val="false"/>
          <w:sz w:val="20"/>
        </w:rPr>
        <w:t> </w:t>
      </w:r>
      <w:bookmarkStart w:id="15" w:name="p2i2"/>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bookmarkStart w:id="16" w:name="p2i3"/>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bookmarkStart w:id="17" w:name="p2i4"/>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bookmarkStart w:id="18" w:name="p2i5"/>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None.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None.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During the quarter ended June 30, 2025, none of our directors or officers adopted or terminated a “Rule 10b5-1 trading arrangement” or a “non-Rule 10b5-1 trading arrangement” (in each case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 Exhibits.</w:t>
      </w:r>
      <w:r>
        <w:rPr>
          <w:rFonts w:ascii="Times New Roman" w:hAnsi="Times New Roman"/>
          <w:caps w:val="false"/>
          <w:smallCaps w:val="false"/>
          <w:sz w:val="20"/>
        </w:rPr>
        <w:t> </w:t>
      </w:r>
      <w:bookmarkStart w:id="19" w:name="p2i6"/>
      <w:bookmarkEnd w:id="19"/>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5474"/>
        <w:gridCol w:w="60"/>
        <w:gridCol w:w="440"/>
        <w:gridCol w:w="60"/>
        <w:gridCol w:w="840"/>
        <w:gridCol w:w="60"/>
        <w:gridCol w:w="635"/>
        <w:gridCol w:w="60"/>
        <w:gridCol w:w="733"/>
        <w:gridCol w:w="60"/>
        <w:gridCol w:w="1058"/>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w:t>
            </w:r>
          </w:p>
        </w:tc>
        <w:tc>
          <w:tcPr>
            <w:tcW w:w="60" w:type="dxa"/>
            <w:tcBorders/>
            <w:vAlign w:val="center"/>
          </w:tcPr>
          <w:p>
            <w:pPr>
              <w:pStyle w:val="TableContents"/>
              <w:bidi w:val="0"/>
              <w:spacing w:before="0" w:after="283"/>
              <w:jc w:val="left"/>
              <w:rPr/>
            </w:pPr>
            <w:r>
              <w:rPr/>
              <w:t> </w:t>
            </w:r>
          </w:p>
        </w:tc>
        <w:tc>
          <w:tcPr>
            <w:tcW w:w="54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w:t>
            </w:r>
          </w:p>
        </w:tc>
        <w:tc>
          <w:tcPr>
            <w:tcW w:w="60" w:type="dxa"/>
            <w:tcBorders/>
            <w:vAlign w:val="center"/>
          </w:tcPr>
          <w:p>
            <w:pPr>
              <w:pStyle w:val="TableContents"/>
              <w:bidi w:val="0"/>
              <w:spacing w:before="0" w:after="283"/>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w:t>
            </w:r>
          </w:p>
        </w:tc>
        <w:tc>
          <w:tcPr>
            <w:tcW w:w="60" w:type="dxa"/>
            <w:tcBorders/>
            <w:vAlign w:val="center"/>
          </w:tcPr>
          <w:p>
            <w:pPr>
              <w:pStyle w:val="TableContents"/>
              <w:bidi w:val="0"/>
              <w:spacing w:before="0" w:after="283"/>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Filing</w:t>
              <w:br/>
              <w:t>Date</w:t>
            </w:r>
          </w:p>
        </w:tc>
        <w:tc>
          <w:tcPr>
            <w:tcW w:w="60" w:type="dxa"/>
            <w:tcBorders/>
            <w:vAlign w:val="center"/>
          </w:tcPr>
          <w:p>
            <w:pPr>
              <w:pStyle w:val="TableContents"/>
              <w:bidi w:val="0"/>
              <w:spacing w:before="0" w:after="283"/>
              <w:jc w:val="left"/>
              <w:rPr/>
            </w:pPr>
            <w:r>
              <w:rPr/>
              <w:t> </w:t>
            </w:r>
          </w:p>
        </w:tc>
        <w:tc>
          <w:tcPr>
            <w:tcW w:w="10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Filed/Furnished</w:t>
              <w:br/>
              <w:t>Herewith</w:t>
            </w:r>
          </w:p>
        </w:tc>
      </w:tr>
      <w:tr>
        <w:trPr/>
        <w:tc>
          <w:tcPr>
            <w:tcW w:w="10205" w:type="dxa"/>
            <w:gridSpan w:val="1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rPr>
                <w:t>3.1</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Articles of Association of Sono Group N.V. (translated into English)</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12/30/2024</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3.2</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Proposed amendment of the Company’s articles of association with Part A (English translation)</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99.3</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10/23/2024</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10205" w:type="dxa"/>
            <w:gridSpan w:val="1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3.3</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Proposed amendment of the Company’s articles of association with Part B (English translation)</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99.4</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10/23/2024</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3.4</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Proposed amendment of the Company’s articles of association with Part C (increased authorized capital) (English translation)</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99.5</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10/23/2024</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3.5</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rPr>
                <w:t>Form of internal rules of the Management Board of Sono Group N.V.</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F-1</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333-260432</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11/8/2021</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rPr>
                <w:t>3.6</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Form of internal rules of the Supervisory Board of Sono Group N.V.</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F-1</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333-260432</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11/8/2021</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4.1</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Secured Convertible Debenture, dated February 12, 2025, issued by Sono Group N.V. to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2/13/2025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4.2</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rPr>
                <w:t>Secured Convertible Debenture, dated March 25, 2025, issued by Sono Group N.V. to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3/26/2025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rPr>
                <w:t>4.3</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rPr>
                <w:t>Secured Convertible Debenture, dated April 24, 2025, issued by Sono Group N.V. to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4/25/2025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rPr>
                <w:t>4.4</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rPr>
                <w:t>Secured Convertible Debenture, dated May 27, 2025, issued by Sono Group N.V. to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5/27/2025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r:id="rId22">
              <w:r>
                <w:rPr>
                  <w:rStyle w:val="InternetLink"/>
                </w:rPr>
                <w:t>4.5</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hyperlink r:id="rId23">
              <w:r>
                <w:rPr>
                  <w:rStyle w:val="InternetLink"/>
                </w:rPr>
                <w:t>Secured Convertible Debenture, dated August 6, 2025, issued by Sono Group N.V. to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center"/>
              <w:rPr/>
            </w:pPr>
            <w:r>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center"/>
              <w:rPr/>
            </w:pPr>
            <w:r>
              <w:rPr/>
              <w:t>8/7/2025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ex_854680.htm">
              <w:r>
                <w:rPr>
                  <w:rStyle w:val="InternetLink"/>
                </w:rPr>
                <w:t>4.6</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hyperlink w:anchor="ex_854680.htm">
              <w:r>
                <w:rPr>
                  <w:rStyle w:val="InternetLink"/>
                </w:rPr>
                <w:t>Secured Convertible Debenture, dated August 15, 2025, issued by Sono Group N.V. to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center"/>
              <w:rPr/>
            </w:pPr>
            <w:r>
              <w:rPr/>
              <w:t>*</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rPr>
                <w:t>10.1</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rPr>
                <w:t>Omnibus Amendment to Transaction Documents, dated February 12, 2025,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2/13/2025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rPr>
                <w:t>10.2</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rPr>
                <w:t>Omnibus Amendment to Transaction Documents, dated March 7, 2025,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8">
              <w:r>
                <w:rPr>
                  <w:rStyle w:val="InternetLink"/>
                  <w:rFonts w:ascii="Times New Roman" w:hAnsi="Times New Roman"/>
                  <w:caps w:val="false"/>
                  <w:smallCaps w:val="false"/>
                  <w:sz w:val="20"/>
                </w:rPr>
                <w:t>10.3</w:t>
              </w:r>
            </w:hyperlink>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0"/>
              <w:ind w:left="0" w:right="0" w:hanging="0"/>
              <w:jc w:val="left"/>
              <w:rPr/>
            </w:pPr>
            <w:hyperlink r:id="rId29">
              <w:r>
                <w:rPr>
                  <w:rStyle w:val="InternetLink"/>
                  <w:rFonts w:ascii="Times New Roman" w:hAnsi="Times New Roman"/>
                  <w:caps w:val="false"/>
                  <w:smallCaps w:val="false"/>
                  <w:sz w:val="20"/>
                </w:rPr>
                <w:t>Omnibus Amendment to Transaction Documents, dated March 25, 2025,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3/26/2025</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2"/>
        <w:gridCol w:w="60"/>
        <w:gridCol w:w="6836"/>
        <w:gridCol w:w="60"/>
        <w:gridCol w:w="292"/>
        <w:gridCol w:w="60"/>
        <w:gridCol w:w="807"/>
        <w:gridCol w:w="60"/>
        <w:gridCol w:w="440"/>
        <w:gridCol w:w="60"/>
        <w:gridCol w:w="707"/>
        <w:gridCol w:w="60"/>
        <w:gridCol w:w="181"/>
      </w:tblGrid>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pPr>
            <w:hyperlink r:id="rId30">
              <w:r>
                <w:rPr>
                  <w:rStyle w:val="InternetLink"/>
                  <w:rFonts w:ascii="Times New Roman" w:hAnsi="Times New Roman"/>
                  <w:caps w:val="false"/>
                  <w:smallCaps w:val="false"/>
                  <w:sz w:val="20"/>
                </w:rPr>
                <w:t>10.4</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pPr>
            <w:hyperlink r:id="rId31">
              <w:r>
                <w:rPr>
                  <w:rStyle w:val="InternetLink"/>
                  <w:rFonts w:ascii="Times New Roman" w:hAnsi="Times New Roman"/>
                  <w:caps w:val="false"/>
                  <w:smallCaps w:val="false"/>
                  <w:sz w:val="20"/>
                </w:rPr>
                <w:t>Omnibus Amendment to Transaction Documents, dated April 24, 2025, by and between Sono Group N.V. and YA II PN, Ltd.</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4/25/2025</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hyperlink r:id="rId32">
              <w:r>
                <w:rPr>
                  <w:rStyle w:val="InternetLink"/>
                </w:rPr>
                <w:t>10.5</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hyperlink r:id="rId33">
              <w:r>
                <w:rPr>
                  <w:rStyle w:val="InternetLink"/>
                </w:rPr>
                <w:t>Omnibus Amendment to Transaction Documents, dated May 26, 2025, by and between Sono Group N.V. and YA II PN, Ltd.</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center"/>
              <w:rPr/>
            </w:pPr>
            <w:r>
              <w:rPr/>
              <w:t>001-41066</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center"/>
              <w:rPr/>
            </w:pPr>
            <w:r>
              <w:rPr/>
              <w:t>5/27/2025</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hyperlink r:id="rId34">
              <w:r>
                <w:rPr>
                  <w:rStyle w:val="InternetLink"/>
                </w:rPr>
                <w:t>10.6</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hyperlink r:id="rId35">
              <w:r>
                <w:rPr>
                  <w:rStyle w:val="InternetLink"/>
                </w:rPr>
                <w:t>Omnibus Amendment to Transaction Documents, dated July 6, 2025, by and between Sono Group N.V. and YA II PN, Ltd.</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center"/>
              <w:rPr/>
            </w:pPr>
            <w:r>
              <w:rPr/>
              <w:t>001-41066</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center"/>
              <w:rPr/>
            </w:pPr>
            <w:r>
              <w:rPr/>
              <w:t>7/8/2025</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hyperlink r:id="rId36">
              <w:r>
                <w:rPr>
                  <w:rStyle w:val="InternetLink"/>
                </w:rPr>
                <w:t>10.7</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hyperlink r:id="rId37">
              <w:r>
                <w:rPr>
                  <w:rStyle w:val="InternetLink"/>
                </w:rPr>
                <w:t>Omnibus Amendment to Transaction Documents, dated August 6, 2025, by and between Sono Group N.V. and YA II PN, Ltd.</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center"/>
              <w:rPr/>
            </w:pPr>
            <w:r>
              <w:rPr/>
              <w:t>001-41066</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center"/>
              <w:rPr/>
            </w:pPr>
            <w:r>
              <w:rPr/>
              <w:t>8/7/2025</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hyperlink r:id="rId38">
              <w:r>
                <w:rPr>
                  <w:rStyle w:val="InternetLink"/>
                </w:rPr>
                <w:t>10.8</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hyperlink r:id="rId39">
              <w:r>
                <w:rPr>
                  <w:rStyle w:val="InternetLink"/>
                </w:rPr>
                <w:t>Omnibus Amendment to Transaction Documents, dated August 6, 2025, by and between Sono Group N.V. and YA II PN, Ltd.</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center"/>
              <w:rPr/>
            </w:pPr>
            <w:r>
              <w:rPr/>
              <w:t>001-41066</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center"/>
              <w:rPr/>
            </w:pPr>
            <w:r>
              <w:rPr/>
              <w:t>8/7/2025</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hyperlink w:anchor="ex_854681.htm">
              <w:r>
                <w:rPr>
                  <w:rStyle w:val="InternetLink"/>
                </w:rPr>
                <w:t>10.9</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hyperlink w:anchor="ex_854681.htm">
              <w:r>
                <w:rPr>
                  <w:rStyle w:val="InternetLink"/>
                </w:rPr>
                <w:t>Omnibus Amendment to Transaction Documents, dated August 15, 2025, by and between Sono Group N.V. and YA II PN, Ltd.</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center"/>
              <w:rPr/>
            </w:pPr>
            <w:r>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pPr>
            <w:hyperlink w:anchor="ex_850527.htm">
              <w:r>
                <w:rPr>
                  <w:rStyle w:val="InternetLink"/>
                  <w:rFonts w:ascii="Times New Roman" w:hAnsi="Times New Roman"/>
                  <w:caps w:val="false"/>
                  <w:smallCaps w:val="false"/>
                  <w:sz w:val="20"/>
                </w:rPr>
                <w:t>31.1</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pPr>
            <w:hyperlink w:anchor="ex_850527.htm">
              <w:r>
                <w:rPr>
                  <w:rStyle w:val="InternetLink"/>
                  <w:rFonts w:ascii="Times New Roman" w:hAnsi="Times New Roman"/>
                  <w:caps w:val="false"/>
                  <w:smallCaps w:val="false"/>
                  <w:sz w:val="20"/>
                </w:rPr>
                <w:t>Certification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pPr>
            <w:hyperlink w:anchor="ex_850541.htm">
              <w:r>
                <w:rPr>
                  <w:rStyle w:val="InternetLink"/>
                  <w:rFonts w:ascii="Times New Roman" w:hAnsi="Times New Roman"/>
                  <w:caps w:val="false"/>
                  <w:smallCaps w:val="false"/>
                  <w:sz w:val="20"/>
                </w:rPr>
                <w:t>31.2</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pPr>
            <w:hyperlink w:anchor="ex_850541.htm">
              <w:r>
                <w:rPr>
                  <w:rStyle w:val="InternetLink"/>
                  <w:rFonts w:ascii="Times New Roman" w:hAnsi="Times New Roman"/>
                  <w:caps w:val="false"/>
                  <w:smallCaps w:val="false"/>
                  <w:sz w:val="20"/>
                </w:rPr>
                <w:t>Certification of the Principal Financial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pPr>
            <w:hyperlink w:anchor="ex_850542.htm">
              <w:r>
                <w:rPr>
                  <w:rStyle w:val="InternetLink"/>
                  <w:rFonts w:ascii="Times New Roman" w:hAnsi="Times New Roman"/>
                  <w:caps w:val="false"/>
                  <w:smallCaps w:val="false"/>
                  <w:sz w:val="20"/>
                </w:rPr>
                <w:t>32.1</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pPr>
            <w:hyperlink w:anchor="ex_850542.htm">
              <w:r>
                <w:rPr>
                  <w:rStyle w:val="InternetLink"/>
                  <w:rFonts w:ascii="Times New Roman" w:hAnsi="Times New Roman"/>
                  <w:caps w:val="false"/>
                  <w:smallCaps w:val="false"/>
                  <w:sz w:val="20"/>
                </w:rPr>
                <w:t>Certification of the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pPr>
            <w:hyperlink w:anchor="ex_850543.htm">
              <w:r>
                <w:rPr>
                  <w:rStyle w:val="InternetLink"/>
                  <w:rFonts w:ascii="Times New Roman" w:hAnsi="Times New Roman"/>
                  <w:caps w:val="false"/>
                  <w:smallCaps w:val="false"/>
                  <w:sz w:val="20"/>
                </w:rPr>
                <w:t>32.2</w:t>
              </w:r>
            </w:hyperlink>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pPr>
            <w:hyperlink w:anchor="ex_850543.htm">
              <w:r>
                <w:rPr>
                  <w:rStyle w:val="InternetLink"/>
                  <w:rFonts w:ascii="Times New Roman" w:hAnsi="Times New Roman"/>
                  <w:caps w:val="false"/>
                  <w:smallCaps w:val="false"/>
                  <w:sz w:val="20"/>
                </w:rPr>
                <w:t>Certification of the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0" w:name="sign"/>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850"/>
        <w:gridCol w:w="320"/>
        <w:gridCol w:w="60"/>
        <w:gridCol w:w="3875"/>
      </w:tblGrid>
      <w:tr>
        <w:trPr/>
        <w:tc>
          <w:tcPr>
            <w:tcW w:w="1850" w:type="dxa"/>
            <w:tcBorders/>
            <w:vAlign w:val="center"/>
          </w:tcPr>
          <w:p>
            <w:pPr>
              <w:pStyle w:val="TableContents"/>
              <w:bidi w:val="0"/>
              <w:spacing w:before="0" w:after="283"/>
              <w:jc w:val="left"/>
              <w:rPr/>
            </w:pPr>
            <w:r>
              <w:rPr/>
              <w:t> </w:t>
            </w:r>
          </w:p>
        </w:tc>
        <w:tc>
          <w:tcPr>
            <w:tcW w:w="425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35"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19,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38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George O’Leary</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George O’Leary</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Managing Director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19,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38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 Scott Calhoun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 Scott Calhoun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36</w:t>
      </w:r>
    </w:p>
    <w:p>
      <w:pPr>
        <w:pStyle w:val="TextBody"/>
        <w:bidi w:val="0"/>
        <w:spacing w:before="0" w:after="0"/>
        <w:ind w:left="0" w:right="0" w:hanging="0"/>
        <w:jc w:val="right"/>
        <w:rPr>
          <w:rFonts w:ascii="Times New Roman;Times;serif" w:hAnsi="Times New Roman;Times;serif"/>
          <w:b/>
          <w:sz w:val="20"/>
        </w:rPr>
      </w:pPr>
      <w:bookmarkStart w:id="21" w:name="ex_854680.htm"/>
      <w:bookmarkStart w:id="22" w:name="ksex_854680"/>
      <w:bookmarkEnd w:id="21"/>
      <w:bookmarkEnd w:id="22"/>
      <w:r>
        <w:rPr>
          <w:rFonts w:ascii="Times New Roman;Times;serif" w:hAnsi="Times New Roman;Times;serif"/>
          <w:b/>
          <w:sz w:val="20"/>
        </w:rPr>
        <w:t>Exhibit 4.6</w:t>
      </w:r>
      <w:r>
        <w:br w:type="page"/>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hAnsi="Times New Roman"/>
          <w:caps w:val="false"/>
          <w:smallCaps w:val="false"/>
          <w:sz w:val="20"/>
        </w:rPr>
        <w:t>“</w:t>
      </w:r>
      <w:r>
        <w:rPr>
          <w:rFonts w:ascii="Times New Roman" w:hAnsi="Times New Roman"/>
          <w:b/>
          <w:caps w:val="false"/>
          <w:smallCaps w:val="false"/>
          <w:sz w:val="20"/>
          <w:u w:val="single"/>
        </w:rPr>
        <w:t>SECURITIES ACT</w:t>
      </w:r>
      <w:r>
        <w:rPr>
          <w:rFonts w:ascii="Times New Roman" w:hAnsi="Times New Roman"/>
          <w:caps w:val="false"/>
          <w:smallCaps w:val="false"/>
          <w:sz w:val="20"/>
        </w:rPr>
        <w:t>”</w:t>
      </w:r>
      <w:r>
        <w:rPr>
          <w:rFonts w:ascii="Times New Roman" w:hAnsi="Times New Roman"/>
          <w:b/>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4"/>
        </w:rPr>
      </w:pPr>
      <w:r>
        <w:rPr>
          <w:rFonts w:ascii="Times New Roman" w:hAnsi="Times New Roman"/>
          <w:b/>
          <w:smallCaps/>
          <w:sz w:val="24"/>
        </w:rPr>
        <w:t>sono group n.v.</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Secured Convertible Debenture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Principal Amount: $350,540</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Debenture Issuance Date: August 15, 2025</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Debenture Number: SEV-6f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FOR VALUE RECEIVED, SONO GROUP N.V.</w:t>
      </w:r>
      <w:r>
        <w:rPr>
          <w:rFonts w:ascii="Times New Roman" w:hAnsi="Times New Roman"/>
          <w:caps w:val="false"/>
          <w:smallCaps w:val="false"/>
          <w:sz w:val="20"/>
        </w:rPr>
        <w:t>, a Dutch public limited liability company (the “</w:t>
      </w:r>
      <w:r>
        <w:rPr>
          <w:rFonts w:ascii="Times New Roman" w:hAnsi="Times New Roman"/>
          <w:caps w:val="false"/>
          <w:smallCaps w:val="false"/>
          <w:sz w:val="20"/>
          <w:u w:val="single"/>
        </w:rPr>
        <w:t>Company</w:t>
      </w:r>
      <w:r>
        <w:rPr>
          <w:rFonts w:ascii="Times New Roman" w:hAnsi="Times New Roman"/>
          <w:caps w:val="false"/>
          <w:smallCaps w:val="false"/>
          <w:sz w:val="20"/>
        </w:rPr>
        <w:t xml:space="preserve">”), hereby promises to pay to the order of </w:t>
      </w:r>
      <w:r>
        <w:rPr>
          <w:rFonts w:ascii="Times New Roman" w:hAnsi="Times New Roman"/>
          <w:b/>
          <w:caps w:val="false"/>
          <w:smallCaps w:val="false"/>
          <w:sz w:val="20"/>
        </w:rPr>
        <w:t>YA II PN, Ltd.</w:t>
      </w:r>
      <w:r>
        <w:rPr>
          <w:rFonts w:ascii="Times New Roman" w:hAnsi="Times New Roman"/>
          <w:caps w:val="false"/>
          <w:smallCaps w:val="false"/>
          <w:sz w:val="20"/>
        </w:rPr>
        <w:t>, or its registered assigns (the “</w:t>
      </w:r>
      <w:r>
        <w:rPr>
          <w:rFonts w:ascii="Times New Roman" w:hAnsi="Times New Roman"/>
          <w:caps w:val="false"/>
          <w:smallCaps w:val="false"/>
          <w:sz w:val="20"/>
          <w:u w:val="single"/>
        </w:rPr>
        <w:t>Holder</w:t>
      </w:r>
      <w:r>
        <w:rPr>
          <w:rFonts w:ascii="Times New Roman" w:hAnsi="Times New Roman"/>
          <w:caps w:val="false"/>
          <w:smallCaps w:val="false"/>
          <w:sz w:val="20"/>
        </w:rPr>
        <w:t>”), the amount set out above as the principal amount (as reduced or increased pursuant to the terms hereof pursuant to redemption, conversion or otherwise, the “</w:t>
      </w:r>
      <w:r>
        <w:rPr>
          <w:rFonts w:ascii="Times New Roman" w:hAnsi="Times New Roman"/>
          <w:caps w:val="false"/>
          <w:smallCaps w:val="false"/>
          <w:sz w:val="20"/>
          <w:u w:val="single"/>
        </w:rPr>
        <w:t>Principal</w:t>
      </w:r>
      <w:r>
        <w:rPr>
          <w:rFonts w:ascii="Times New Roman" w:hAnsi="Times New Roman"/>
          <w:caps w:val="false"/>
          <w:smallCaps w:val="false"/>
          <w:sz w:val="20"/>
        </w:rPr>
        <w:t>”) when due, whether upon the Maturity Date (as defined below), acceleration, redemption or otherwise (in each case in accordance with the terms hereof) and to pay interest (“</w:t>
      </w:r>
      <w:r>
        <w:rPr>
          <w:rFonts w:ascii="Times New Roman" w:hAnsi="Times New Roman"/>
          <w:caps w:val="false"/>
          <w:smallCaps w:val="false"/>
          <w:sz w:val="20"/>
          <w:u w:val="single"/>
        </w:rPr>
        <w:t>Interest</w:t>
      </w:r>
      <w:r>
        <w:rPr>
          <w:rFonts w:ascii="Times New Roman" w:hAnsi="Times New Roman"/>
          <w:caps w:val="false"/>
          <w:smallCaps w:val="false"/>
          <w:sz w:val="20"/>
        </w:rPr>
        <w:t>”) on any outstanding Principal at the applicable Interest Rate from the date set out above as the Debenture Issuance Date (the “</w:t>
      </w:r>
      <w:r>
        <w:rPr>
          <w:rFonts w:ascii="Times New Roman" w:hAnsi="Times New Roman"/>
          <w:caps w:val="false"/>
          <w:smallCaps w:val="false"/>
          <w:sz w:val="20"/>
          <w:u w:val="single"/>
        </w:rPr>
        <w:t>Issuance Date</w:t>
      </w:r>
      <w:r>
        <w:rPr>
          <w:rFonts w:ascii="Times New Roman" w:hAnsi="Times New Roman"/>
          <w:caps w:val="false"/>
          <w:smallCaps w:val="false"/>
          <w:sz w:val="20"/>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rFonts w:ascii="Times New Roman" w:hAnsi="Times New Roman"/>
          <w:caps w:val="false"/>
          <w:smallCaps w:val="false"/>
          <w:sz w:val="20"/>
          <w:u w:val="single"/>
        </w:rPr>
        <w:t>Debenture</w:t>
      </w:r>
      <w:r>
        <w:rPr>
          <w:rFonts w:ascii="Times New Roman" w:hAnsi="Times New Roman"/>
          <w:caps w:val="false"/>
          <w:smallCaps w:val="false"/>
          <w:sz w:val="20"/>
        </w:rPr>
        <w:t>”) was originally issued pursuant to the Securities Purchase Agreement dated as of December 30, 2024, as it may be amended from time to time (the “</w:t>
      </w:r>
      <w:r>
        <w:rPr>
          <w:rFonts w:ascii="Times New Roman" w:hAnsi="Times New Roman"/>
          <w:caps w:val="false"/>
          <w:smallCaps w:val="false"/>
          <w:sz w:val="20"/>
          <w:u w:val="single"/>
        </w:rPr>
        <w:t>Securities Purchase Agreement</w:t>
      </w:r>
      <w:r>
        <w:rPr>
          <w:rFonts w:ascii="Times New Roman" w:hAnsi="Times New Roman"/>
          <w:caps w:val="false"/>
          <w:smallCaps w:val="false"/>
          <w:sz w:val="20"/>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GENERAL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Maturity Date</w:t>
      </w:r>
      <w:r>
        <w:rPr>
          <w:rFonts w:ascii="Times New Roman" w:hAnsi="Times New Roman"/>
          <w:caps w:val="false"/>
          <w:smallCaps w:val="false"/>
          <w:sz w:val="20"/>
        </w:rPr>
        <w:t>. On the Maturity Date, the Company shall pay to the Holder an amount in cash representing all outstanding Principal, accrued and unpaid Interest, and any other amounts outstanding pursuant to the terms of this Debenture. The “</w:t>
      </w:r>
      <w:r>
        <w:rPr>
          <w:rFonts w:ascii="Times New Roman" w:hAnsi="Times New Roman"/>
          <w:caps w:val="false"/>
          <w:smallCaps w:val="false"/>
          <w:sz w:val="20"/>
          <w:u w:val="single"/>
        </w:rPr>
        <w:t>Maturity Date</w:t>
      </w:r>
      <w:r>
        <w:rPr>
          <w:rFonts w:ascii="Times New Roman" w:hAnsi="Times New Roman"/>
          <w:caps w:val="false"/>
          <w:smallCaps w:val="false"/>
          <w:sz w:val="20"/>
        </w:rPr>
        <w:t>” shall be August 15, 2026, as may be extended at the option of the Holder. Other than as specifically permitted by this Debenture, the Company may not prepay or redeem any portion of the outstanding Principal and accrued and unpaid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Interest Rate and Payment of Interest</w:t>
      </w:r>
      <w:r>
        <w:rPr>
          <w:rFonts w:ascii="Times New Roman" w:hAnsi="Times New Roman"/>
          <w:caps w:val="false"/>
          <w:smallCaps w:val="false"/>
          <w:sz w:val="20"/>
        </w:rPr>
        <w:t>. Interest shall accrue on the outstanding Principal balance hereof at an annual rate equal to 12% (“</w:t>
      </w:r>
      <w:r>
        <w:rPr>
          <w:rFonts w:ascii="Times New Roman" w:hAnsi="Times New Roman"/>
          <w:caps w:val="false"/>
          <w:smallCaps w:val="false"/>
          <w:sz w:val="20"/>
          <w:u w:val="single"/>
        </w:rPr>
        <w:t>Interest Rate</w:t>
      </w:r>
      <w:r>
        <w:rPr>
          <w:rFonts w:ascii="Times New Roman" w:hAnsi="Times New Roman"/>
          <w:caps w:val="false"/>
          <w:smallCaps w:val="false"/>
          <w:sz w:val="20"/>
        </w:rPr>
        <w:t>”), which Interest Rate shall increase to an annual rate of 18% upon an Event of Default for so long as it remains uncured. Interest shall be calculated based on a 365-day year and the actual number of days elapsed,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Early Redemption</w:t>
      </w:r>
      <w:r>
        <w:rPr>
          <w:rFonts w:ascii="Times New Roman" w:hAnsi="Times New Roman"/>
          <w:caps w:val="false"/>
          <w:smallCaps w:val="false"/>
          <w:sz w:val="20"/>
        </w:rPr>
        <w:t>. The Company at its option shall have the right, but not the obligation, to redeem (“</w:t>
      </w:r>
      <w:r>
        <w:rPr>
          <w:rFonts w:ascii="Times New Roman" w:hAnsi="Times New Roman"/>
          <w:caps w:val="false"/>
          <w:smallCaps w:val="false"/>
          <w:sz w:val="20"/>
          <w:u w:val="single"/>
        </w:rPr>
        <w:t>Optional Redemption</w:t>
      </w:r>
      <w:r>
        <w:rPr>
          <w:rFonts w:ascii="Times New Roman" w:hAnsi="Times New Roman"/>
          <w:caps w:val="false"/>
          <w:smallCaps w:val="false"/>
          <w:sz w:val="20"/>
        </w:rPr>
        <w:t xml:space="preserve">”) early a portion or all amounts outstanding under this Debenture as described in this Section;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(i) the trading price of the Ordinary Shares is less than the Fixed Conversion Price and (ii) the Company provides the Holder with at least five (5) Business Days’ prior written notice (each, a “</w:t>
      </w:r>
      <w:r>
        <w:rPr>
          <w:rFonts w:ascii="Times New Roman" w:hAnsi="Times New Roman"/>
          <w:caps w:val="false"/>
          <w:smallCaps w:val="false"/>
          <w:sz w:val="20"/>
          <w:u w:val="single"/>
        </w:rPr>
        <w:t>Redemption Notice</w:t>
      </w:r>
      <w:r>
        <w:rPr>
          <w:rFonts w:ascii="Times New Roman" w:hAnsi="Times New Roman"/>
          <w:caps w:val="false"/>
          <w:smallCaps w:val="false"/>
          <w:sz w:val="20"/>
        </w:rPr>
        <w:t>”) of its desire to exercise an Optional Redemption. Each Redemption Notice shall be irrevocable and shall specify the outstanding balance of the Secured Convertible Debenture to be redeemed and the applicable Redemption Premium. The “</w:t>
      </w:r>
      <w:r>
        <w:rPr>
          <w:rFonts w:ascii="Times New Roman" w:hAnsi="Times New Roman"/>
          <w:caps w:val="false"/>
          <w:smallCaps w:val="false"/>
          <w:sz w:val="20"/>
          <w:u w:val="single"/>
        </w:rPr>
        <w:t>Redemption Amount</w:t>
      </w:r>
      <w:r>
        <w:rPr>
          <w:rFonts w:ascii="Times New Roman" w:hAnsi="Times New Roman"/>
          <w:caps w:val="false"/>
          <w:smallCaps w:val="false"/>
          <w:sz w:val="20"/>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EVENTS OF DEFAULT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An “</w:t>
      </w:r>
      <w:r>
        <w:rPr>
          <w:rFonts w:ascii="Times New Roman" w:hAnsi="Times New Roman"/>
          <w:caps w:val="false"/>
          <w:smallCaps w:val="false"/>
          <w:sz w:val="20"/>
          <w:u w:val="single"/>
        </w:rPr>
        <w:t>Event of Default</w:t>
      </w:r>
      <w:r>
        <w:rPr>
          <w:rFonts w:ascii="Times New Roman" w:hAnsi="Times New Roman"/>
          <w:caps w:val="false"/>
          <w:smallCaps w:val="false"/>
          <w:sz w:val="20"/>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the Company’s or any Guarantor’s failure to pay to the Holder any amount of Principal, Redemption Premium, Interest, or other amounts when and as due under this Debenture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(iv)              The Company, any Subsidiary of the Company or any Guarantor shall be a party to any Change of Control Transaction (as defined in Section 14) unless in connection with such Change of Control Transaction this Debenture is retired;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            The Company shall fail for any reason to deliver the payment in cash pursuant to a Buy-In (as defined in Section 4(b)(ii) herein) within five Business Days after such payment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hAnsi="Times New Roman"/>
          <w:caps w:val="false"/>
          <w:smallCaps w:val="false"/>
          <w:sz w:val="20"/>
          <w:u w:val="single"/>
        </w:rPr>
        <w:t>Periodic Reports</w:t>
      </w:r>
      <w:r>
        <w:rPr>
          <w:rFonts w:ascii="Times New Roman" w:hAnsi="Times New Roman"/>
          <w:caps w:val="false"/>
          <w:smallCaps w:val="false"/>
          <w:sz w:val="20"/>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hAnsi="Times New Roman"/>
          <w:i/>
          <w:caps w:val="false"/>
          <w:smallCaps w:val="false"/>
          <w:sz w:val="20"/>
        </w:rPr>
        <w:t>provided</w:t>
      </w:r>
      <w:r>
        <w:rPr>
          <w:rFonts w:ascii="Times New Roman" w:hAnsi="Times New Roman"/>
          <w:caps w:val="false"/>
          <w:smallCaps w:val="false"/>
          <w:sz w:val="20"/>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             The Company or any Guarantor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(xi)          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(xii)         any Security Document (including this Debenture) covering a material portion of the Collateral shall cease to create a valid and perfected lien, with the priority required by the Security Documents (including this Debenture) on and security interest in any material portion of the Collateral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CONVERSION OF DEBENTURE</w:t>
      </w:r>
      <w:r>
        <w:rPr>
          <w:rFonts w:ascii="Times New Roman" w:hAnsi="Times New Roman"/>
          <w:caps w:val="false"/>
          <w:smallCaps w:val="false"/>
          <w:sz w:val="20"/>
        </w:rPr>
        <w:t>. This Debenture shall be convertible into Ordinary Shares, on the terms and conditions set forth in this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Conversion Right</w:t>
      </w:r>
      <w:r>
        <w:rPr>
          <w:rFonts w:ascii="Times New Roman" w:hAnsi="Times New Roman"/>
          <w:caps w:val="false"/>
          <w:smallCaps w:val="false"/>
          <w:sz w:val="20"/>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hAnsi="Times New Roman"/>
          <w:caps w:val="false"/>
          <w:smallCaps w:val="false"/>
          <w:sz w:val="20"/>
          <w:u w:val="single"/>
        </w:rPr>
        <w:t>Conversion Rate</w:t>
      </w:r>
      <w:r>
        <w:rPr>
          <w:rFonts w:ascii="Times New Roman" w:hAnsi="Times New Roman"/>
          <w:caps w:val="false"/>
          <w:smallCaps w:val="false"/>
          <w:sz w:val="20"/>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caps w:val="false"/>
          <w:smallCaps w:val="false"/>
        </w:rPr>
      </w:pPr>
      <w:r>
        <w:rPr>
          <w:caps w:val="false"/>
          <w:smallCaps w:val="false"/>
        </w:rPr>
        <w:t> </w:t>
      </w:r>
      <w:r>
        <w:rPr>
          <w:rFonts w:ascii="Times New Roman" w:hAnsi="Times New Roman"/>
          <w:caps w:val="false"/>
          <w:smallCaps w:val="false"/>
          <w:sz w:val="20"/>
        </w:rPr>
        <w:t>(i)             “</w:t>
      </w:r>
      <w:r>
        <w:rPr>
          <w:rFonts w:ascii="Times New Roman" w:hAnsi="Times New Roman"/>
          <w:caps w:val="false"/>
          <w:smallCaps w:val="false"/>
          <w:sz w:val="20"/>
          <w:u w:val="single"/>
        </w:rPr>
        <w:t>Conversion Amount</w:t>
      </w:r>
      <w:r>
        <w:rPr>
          <w:rFonts w:ascii="Times New Roman" w:hAnsi="Times New Roman"/>
          <w:caps w:val="false"/>
          <w:smallCaps w:val="false"/>
          <w:sz w:val="20"/>
        </w:rPr>
        <w:t>” means the portion of the Principal and/or accrued Interest to be converted, redeemed or otherwise with respect to which this determination is being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Conversion Price</w:t>
      </w:r>
      <w:r>
        <w:rPr>
          <w:rFonts w:ascii="Times New Roman" w:hAnsi="Times New Roman"/>
          <w:caps w:val="false"/>
          <w:smallCaps w:val="false"/>
          <w:sz w:val="20"/>
        </w:rPr>
        <w:t>” means, as of any Conversion Date (as defined below) or other date of determination the lower of (i) a price per Ordinary Share equal to USD 18.75 (the “</w:t>
      </w:r>
      <w:r>
        <w:rPr>
          <w:rFonts w:ascii="Times New Roman" w:hAnsi="Times New Roman"/>
          <w:caps w:val="false"/>
          <w:smallCaps w:val="false"/>
          <w:sz w:val="20"/>
          <w:u w:val="single"/>
        </w:rPr>
        <w:t>Fixed Conversion Price</w:t>
      </w:r>
      <w:r>
        <w:rPr>
          <w:rFonts w:ascii="Times New Roman" w:hAnsi="Times New Roman"/>
          <w:caps w:val="false"/>
          <w:smallCaps w:val="false"/>
          <w:sz w:val="20"/>
        </w:rPr>
        <w:t>”), or (ii) 85% of the lowest daily VWAP of the Ordinary Shares during the seven (7) consecutive Trading Days immediately preceding the Conversion Date or other date of determination (the “</w:t>
      </w:r>
      <w:r>
        <w:rPr>
          <w:rFonts w:ascii="Times New Roman" w:hAnsi="Times New Roman"/>
          <w:caps w:val="false"/>
          <w:smallCaps w:val="false"/>
          <w:sz w:val="20"/>
          <w:u w:val="single"/>
        </w:rPr>
        <w:t>Variable Conversion Price</w:t>
      </w:r>
      <w:r>
        <w:rPr>
          <w:rFonts w:ascii="Times New Roman" w:hAnsi="Times New Roman"/>
          <w:caps w:val="false"/>
          <w:smallCaps w:val="false"/>
          <w:sz w:val="20"/>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Mechanics of Conversion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Optional Conversion</w:t>
      </w:r>
      <w:r>
        <w:rPr>
          <w:rFonts w:ascii="Times New Roman" w:hAnsi="Times New Roman"/>
          <w:caps w:val="false"/>
          <w:smallCaps w:val="false"/>
          <w:sz w:val="20"/>
        </w:rPr>
        <w:t>. To convert any Conversion Amount into Ordinary Shares on any date (a “</w:t>
      </w:r>
      <w:r>
        <w:rPr>
          <w:rFonts w:ascii="Times New Roman" w:hAnsi="Times New Roman"/>
          <w:caps w:val="false"/>
          <w:smallCaps w:val="false"/>
          <w:sz w:val="20"/>
          <w:u w:val="single"/>
        </w:rPr>
        <w:t>Conversion Date</w:t>
      </w:r>
      <w:r>
        <w:rPr>
          <w:rFonts w:ascii="Times New Roman" w:hAnsi="Times New Roman"/>
          <w:caps w:val="false"/>
          <w:smallCaps w:val="false"/>
          <w:sz w:val="20"/>
        </w:rPr>
        <w:t xml:space="preserve">”), the Holder shall (A) transmit by email (or otherwise deliver), for receipt on or prior to 11:59 p.m., New York Time, on such date, a copy of an executed notice of conversion in the form attached hereto as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(the “</w:t>
      </w:r>
      <w:r>
        <w:rPr>
          <w:rFonts w:ascii="Times New Roman" w:hAnsi="Times New Roman"/>
          <w:caps w:val="false"/>
          <w:smallCaps w:val="false"/>
          <w:sz w:val="20"/>
          <w:u w:val="single"/>
        </w:rPr>
        <w:t>Conversion Notice</w:t>
      </w:r>
      <w:r>
        <w:rPr>
          <w:rFonts w:ascii="Times New Roman" w:hAnsi="Times New Roman"/>
          <w:caps w:val="false"/>
          <w:smallCaps w:val="false"/>
          <w:sz w:val="20"/>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rFonts w:ascii="Times New Roman" w:hAnsi="Times New Roman"/>
          <w:caps w:val="false"/>
          <w:smallCaps w:val="false"/>
          <w:sz w:val="20"/>
          <w:u w:val="single"/>
        </w:rPr>
        <w:t>Share Delivery Date</w:t>
      </w:r>
      <w:r>
        <w:rPr>
          <w:rFonts w:ascii="Times New Roman" w:hAnsi="Times New Roman"/>
          <w:caps w:val="false"/>
          <w:smallCaps w:val="false"/>
          <w:sz w:val="20"/>
        </w:rPr>
        <w:t>”), the Company shall (X) if legends are not required to be placed on certificates of Ordinary Shares and provided that the Transfer Agent is participating in the Depository Trust Company's (“</w:t>
      </w:r>
      <w:r>
        <w:rPr>
          <w:rFonts w:ascii="Times New Roman" w:hAnsi="Times New Roman"/>
          <w:caps w:val="false"/>
          <w:smallCaps w:val="false"/>
          <w:sz w:val="20"/>
          <w:u w:val="single"/>
        </w:rPr>
        <w:t>DTC</w:t>
      </w:r>
      <w:r>
        <w:rPr>
          <w:rFonts w:ascii="Times New Roman" w:hAnsi="Times New Roman"/>
          <w:caps w:val="false"/>
          <w:smallCaps w:val="false"/>
          <w:sz w:val="20"/>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rFonts w:ascii="Times New Roman" w:hAnsi="Times New Roman"/>
          <w:i/>
          <w:caps w:val="false"/>
          <w:smallCaps w:val="false"/>
          <w:sz w:val="20"/>
        </w:rPr>
        <w:t>verrekenen</w:t>
      </w:r>
      <w:r>
        <w:rPr>
          <w:rFonts w:ascii="Times New Roman" w:hAnsi="Times New Roman"/>
          <w:caps w:val="false"/>
          <w:smallCaps w:val="false"/>
          <w:sz w:val="20"/>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Company's Failure to Timely Convert</w:t>
      </w:r>
      <w:r>
        <w:rPr>
          <w:rFonts w:ascii="Times New Roman" w:hAnsi="Times New Roman"/>
          <w:caps w:val="false"/>
          <w:smallCaps w:val="false"/>
          <w:sz w:val="20"/>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hAnsi="Times New Roman"/>
          <w:caps w:val="false"/>
          <w:smallCaps w:val="false"/>
          <w:sz w:val="20"/>
          <w:u w:val="single"/>
        </w:rPr>
        <w:t>Buy-In Price</w:t>
      </w:r>
      <w:r>
        <w:rPr>
          <w:rFonts w:ascii="Times New Roman" w:hAnsi="Times New Roman"/>
          <w:caps w:val="false"/>
          <w:smallCaps w:val="false"/>
          <w:sz w:val="20"/>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Book-Entry</w:t>
      </w:r>
      <w:r>
        <w:rPr>
          <w:rFonts w:ascii="Times New Roman" w:hAnsi="Times New Roman"/>
          <w:caps w:val="false"/>
          <w:smallCaps w:val="false"/>
          <w:sz w:val="20"/>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Limitations on Conversions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Beneficial Ownership</w:t>
      </w:r>
      <w:r>
        <w:rPr>
          <w:rFonts w:ascii="Times New Roman" w:hAnsi="Times New Roman"/>
          <w:caps w:val="false"/>
          <w:smallCaps w:val="false"/>
          <w:sz w:val="20"/>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Other Provisions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All calculations under this Section (4) shall be rounded to the nearest $0.0001 or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hAnsi="Times New Roman"/>
          <w:caps w:val="false"/>
          <w:smallCaps w:val="false"/>
          <w:sz w:val="20"/>
          <w:u w:val="single"/>
        </w:rPr>
        <w:t>Required Reserve Amount</w:t>
      </w:r>
      <w:r>
        <w:rPr>
          <w:rFonts w:ascii="Times New Roman" w:hAnsi="Times New Roman"/>
          <w:caps w:val="false"/>
          <w:smallCaps w:val="false"/>
          <w:sz w:val="20"/>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(iv)             </w:t>
      </w:r>
      <w:r>
        <w:rPr>
          <w:rFonts w:ascii="Times New Roman" w:hAnsi="Times New Roman"/>
          <w:caps w:val="false"/>
          <w:smallCaps w:val="false"/>
          <w:sz w:val="20"/>
          <w:u w:val="single"/>
        </w:rPr>
        <w:t>Legal Opinions</w:t>
      </w:r>
      <w:r>
        <w:rPr>
          <w:rFonts w:ascii="Times New Roman" w:hAnsi="Times New Roman"/>
          <w:caps w:val="false"/>
          <w:smallCaps w:val="false"/>
          <w:sz w:val="20"/>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Adjustment of Conversion Price upon Subdivision or Combination of Ordinary Shares</w:t>
      </w:r>
      <w:r>
        <w:rPr>
          <w:rFonts w:ascii="Times New Roman" w:hAnsi="Times New Roman"/>
          <w:caps w:val="false"/>
          <w:smallCaps w:val="false"/>
          <w:sz w:val="20"/>
        </w:rPr>
        <w:t>. If the Company, at any time while this Debenture is outstanding, shall (a) pay a stock dividend or otherwise make a distribution or distributions on its Ordinary Shares or any other equity or equity equivalent securities payable in Ordinary Shares, (b) subdivide outstanding Ordinary Shares into a larger number of shares, (c) combine (including by way of reverse stock split) outstanding Ordinary Shares into a smaller number of shares, or (d) issue by reclassification of shares of the Ordinary Shares any shares of capital stock of the Company, then each of the Fixed Conversion Price and the Floor Price shall be multiplied by a fraction of which the numerator shall be the number of Ordinary Shares (excluding treasury shares, if any) outstanding before such event and of which the denominator shall be the number of Ordinary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Other Corporate Events</w:t>
      </w:r>
      <w:r>
        <w:rPr>
          <w:rFonts w:ascii="Times New Roman" w:hAnsi="Times New Roman"/>
          <w:caps w:val="false"/>
          <w:smallCaps w:val="false"/>
          <w:sz w:val="20"/>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hAnsi="Times New Roman"/>
          <w:caps w:val="false"/>
          <w:smallCaps w:val="false"/>
          <w:sz w:val="20"/>
          <w:u w:val="single"/>
        </w:rPr>
        <w:t>Corporate Event</w:t>
      </w:r>
      <w:r>
        <w:rPr>
          <w:rFonts w:ascii="Times New Roman" w:hAnsi="Times New Roman"/>
          <w:caps w:val="false"/>
          <w:smallCaps w:val="false"/>
          <w:sz w:val="20"/>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REISSUANCE OF THIS DEBENTURE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Transfer</w:t>
      </w:r>
      <w:r>
        <w:rPr>
          <w:rFonts w:ascii="Times New Roman" w:hAnsi="Times New Roman"/>
          <w:caps w:val="false"/>
          <w:smallCaps w:val="false"/>
          <w:sz w:val="20"/>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Lost, Stolen or Mutilated Debenture</w:t>
      </w:r>
      <w:r>
        <w:rPr>
          <w:rFonts w:ascii="Times New Roman" w:hAnsi="Times New Roman"/>
          <w:caps w:val="false"/>
          <w:smallCaps w:val="false"/>
          <w:sz w:val="20"/>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Debenture Exchangeable for Different Denominations</w:t>
      </w:r>
      <w:r>
        <w:rPr>
          <w:rFonts w:ascii="Times New Roman" w:hAnsi="Times New Roman"/>
          <w:caps w:val="false"/>
          <w:smallCaps w:val="false"/>
          <w:sz w:val="20"/>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Issuance of New Debentures</w:t>
      </w:r>
      <w:r>
        <w:rPr>
          <w:rFonts w:ascii="Times New Roman" w:hAnsi="Times New Roman"/>
          <w:caps w:val="false"/>
          <w:smallCaps w:val="false"/>
          <w:sz w:val="20"/>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NOTICES</w:t>
      </w:r>
      <w:r>
        <w:rPr>
          <w:rFonts w:ascii="Times New Roman" w:hAnsi="Times New Roman"/>
          <w:caps w:val="false"/>
          <w:smallCaps w:val="false"/>
          <w:sz w:val="20"/>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4055"/>
        <w:gridCol w:w="3080"/>
      </w:tblGrid>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If to the Company, to:</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Waldmeisterstraße 93</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80935 Munich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Attn: Legal Department</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legal@sonomotors.com</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DLA Piper Nederland N.V.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Strawinskyhuis Prinses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Amaliaplein 3 1077 XS Amsterdam</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Netherlands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 (0)20 541 98 88</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Pabe Suurd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Pabe.Suurd@dlapiper.com</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Holder:</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Yorkville Advisors Global, LLC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1012 Springfield Avenue</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Mountainside, NJ 07092</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Mark Angelo</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201-985-8300</w:t>
            </w:r>
          </w:p>
        </w:tc>
      </w:tr>
      <w:tr>
        <w:trPr/>
        <w:tc>
          <w:tcPr>
            <w:tcW w:w="40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Legal@yorkvilleadvisors.com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CHOICE OF LAW; VENUE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(14)         Whenever any payment or other obligation hereunder shall be due on a day other than a Business Day, such payment shall be made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CERTAIN DEFINITIONS.</w:t>
      </w:r>
      <w:r>
        <w:rPr>
          <w:rFonts w:ascii="Times New Roman" w:hAnsi="Times New Roman"/>
          <w:caps w:val="false"/>
          <w:smallCaps w:val="false"/>
          <w:sz w:val="20"/>
        </w:rPr>
        <w:t xml:space="preserve"> For purposes of this Debenture,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sz w:val="20"/>
        </w:rPr>
      </w:pPr>
      <w:r>
        <w:rPr>
          <w:rFonts w:ascii="Times New Roman" w:hAnsi="Times New Roman"/>
          <w:sz w:val="20"/>
        </w:rPr>
        <w:t>(a)           “</w:t>
      </w:r>
      <w:r>
        <w:rPr>
          <w:rFonts w:ascii="Times New Roman" w:hAnsi="Times New Roman"/>
          <w:sz w:val="20"/>
          <w:u w:val="single"/>
        </w:rPr>
        <w:t>Bloomberg</w:t>
      </w:r>
      <w:r>
        <w:rPr>
          <w:rFonts w:ascii="Times New Roman" w:hAnsi="Times New Roman"/>
          <w:sz w:val="20"/>
        </w:rPr>
        <w:t>” means Bloomberg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except Saturday, Sunday and any day which shall be a federal legal holiday in the United States or a day on which banking institutions are authorized or required by law or other government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Change of Control Transaction</w:t>
      </w:r>
      <w:r>
        <w:rPr>
          <w:rFonts w:ascii="Times New Roman" w:hAnsi="Times New Roman"/>
          <w:caps w:val="false"/>
          <w:smallCaps w:val="false"/>
          <w:sz w:val="20"/>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Closing Price</w:t>
      </w:r>
      <w:r>
        <w:rPr>
          <w:rFonts w:ascii="Times New Roman" w:hAnsi="Times New Roman"/>
          <w:caps w:val="false"/>
          <w:smallCaps w:val="false"/>
          <w:sz w:val="20"/>
        </w:rPr>
        <w:t>” means the price per share in the last reported trade of the Ordinary Shares on a Primary Market or on the exchange or over-the-counter market on which the Ordinary Shares is then listed as quoted by Bloomberg.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Collateral</w:t>
      </w:r>
      <w:r>
        <w:rPr>
          <w:rFonts w:ascii="Times New Roman" w:hAnsi="Times New Roman"/>
          <w:caps w:val="false"/>
          <w:smallCaps w:val="false"/>
          <w:sz w:val="20"/>
        </w:rPr>
        <w:t>” has the meaning given to such term in the Security Agreement and the 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Commission</w:t>
      </w:r>
      <w:r>
        <w:rPr>
          <w:rFonts w:ascii="Times New Roman" w:hAnsi="Times New Roman"/>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Floor Price</w:t>
      </w:r>
      <w:r>
        <w:rPr>
          <w:rFonts w:ascii="Times New Roman" w:hAnsi="Times New Roman"/>
          <w:caps w:val="false"/>
          <w:smallCaps w:val="false"/>
          <w:sz w:val="20"/>
        </w:rPr>
        <w:t>” solely with respect to the Variable Conversion Price, shall mean a price per share equal to 20% of the Closing Price on the Trading Day immediately prior to the Issuance Date of this Debenture. Notwithstanding the foregoing, the Company may reduce the Floor Price to any amounts set forth in a written notice to the Holder; provided that such reduction shall be irrevocable and shall not be subject to increase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Guarantors</w:t>
      </w:r>
      <w:r>
        <w:rPr>
          <w:rFonts w:ascii="Times New Roman" w:hAnsi="Times New Roman"/>
          <w:caps w:val="false"/>
          <w:smallCaps w:val="false"/>
          <w:sz w:val="20"/>
        </w:rPr>
        <w:t>” means each of the guarantors from time to time party to the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Guaranty</w:t>
      </w:r>
      <w:r>
        <w:rPr>
          <w:rFonts w:ascii="Times New Roman" w:hAnsi="Times New Roman"/>
          <w:caps w:val="false"/>
          <w:smallCaps w:val="false"/>
          <w:sz w:val="20"/>
        </w:rPr>
        <w:t>” means that certain Guaranty Agreement, dated as of June 20, 2024, made by each of the Guarantors party thereto from time to time in favor of the Holder, as may be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Obligations</w:t>
      </w:r>
      <w:r>
        <w:rPr>
          <w:rFonts w:ascii="Times New Roman" w:hAnsi="Times New Roman"/>
          <w:caps w:val="false"/>
          <w:smallCaps w:val="false"/>
          <w:sz w:val="20"/>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Ordinary Shares</w:t>
      </w:r>
      <w:r>
        <w:rPr>
          <w:rFonts w:ascii="Times New Roman" w:hAnsi="Times New Roman"/>
          <w:caps w:val="false"/>
          <w:smallCaps w:val="false"/>
          <w:sz w:val="20"/>
        </w:rPr>
        <w:t>” means the Ordinary Shares, nominal value €0.06, of the Company and shares of any other class into which such shares may hereafter be changed or reclassified.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Other Debentures</w:t>
      </w:r>
      <w:r>
        <w:rPr>
          <w:rFonts w:ascii="Times New Roman" w:hAnsi="Times New Roman"/>
          <w:caps w:val="false"/>
          <w:smallCaps w:val="false"/>
          <w:sz w:val="20"/>
        </w:rPr>
        <w:t>” means (i) the convertible debenture issued on December 7, 2022 in the original principal amount of USD 11,100,000 and designated as “SEV-1,” (ii) the convertible debenture issued on December 8, 2022 in the original principal amount of USD 10,000,000 and designated as “SEV-2,”(iii) the convertible debenture issued on December 20, 2022 in the original principal amount of USD 10,000,000 and designated as “SEV-3,” (iv) the convertible debenture issued on February 5, 2024 in the original principal amount of USD 4,317,600 and designated as “SEV-4,” (v) the convertible debenture issued on August 30, 2024 in the original principal amount of USD 3,338,100 and designated as “SEV-5,” (vi) the convertible debenture issued on February 12, 2025 in the original principal amount of USD 1,000,000 and designated as “SEV-6a,” (vii) the convertible debenture issued on March 25, 2025 in the original principal amount of USD 1,000,000 and designated as “SEV-6b,” (viii) the convertible debenture issued on April 24, 2025 in the original principal amount of USD 500,000 and designated as “SEV-6c,” (ix) the convertible debenture issued on May 27, 2025 in the original principal amount of USD 750,000 and designated as “SEV-6d,” and (x) the convertible debenture issued on August 6, 2025 in the original principal amount of USD 190,000 and designated as “SEV-6e,”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Person</w:t>
      </w:r>
      <w:r>
        <w:rPr>
          <w:rFonts w:ascii="Times New Roman" w:hAnsi="Times New Roman"/>
          <w:caps w:val="false"/>
          <w:smallCaps w:val="false"/>
          <w:sz w:val="20"/>
        </w:rPr>
        <w:t>” means a corporation, an association, a partnership, organization, a business, an individual, a government or political subdivision thereof or a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Pledge Agreement</w:t>
      </w:r>
      <w:r>
        <w:rPr>
          <w:rFonts w:ascii="Times New Roman" w:hAnsi="Times New Roman"/>
          <w:caps w:val="false"/>
          <w:smallCaps w:val="false"/>
          <w:sz w:val="20"/>
        </w:rPr>
        <w:t>” means that certain Pledge Agreement, dated as of February 5, 2024, by the Company and the Guarantors from time to time party thereto in favor of the Holder, as may be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Primary Market</w:t>
      </w:r>
      <w:r>
        <w:rPr>
          <w:rFonts w:ascii="Times New Roman" w:hAnsi="Times New Roman"/>
          <w:caps w:val="false"/>
          <w:smallCaps w:val="false"/>
          <w:sz w:val="20"/>
        </w:rPr>
        <w:t>” means any of OTCQB, The New York Stock Exchange, the Nasdaq Global Market or the Nasdaq Global Select Market, and any successor to any of the foregoing markets or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Redemption Premium</w:t>
      </w:r>
      <w:r>
        <w:rPr>
          <w:rFonts w:ascii="Times New Roman" w:hAnsi="Times New Roman"/>
          <w:caps w:val="false"/>
          <w:smallCaps w:val="false"/>
          <w:sz w:val="20"/>
        </w:rPr>
        <w:t>” means four percent (4%) of the Principal amount being redeemed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Security Agreement</w:t>
      </w:r>
      <w:r>
        <w:rPr>
          <w:rFonts w:ascii="Times New Roman" w:hAnsi="Times New Roman"/>
          <w:caps w:val="false"/>
          <w:smallCaps w:val="false"/>
          <w:sz w:val="20"/>
        </w:rPr>
        <w:t>” means that certain Security Agreement, dated as of February 5, 2024, by the Company and the Guarantors from time to time party thereto in favor of the Holder, as may be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Security Documents</w:t>
      </w:r>
      <w:r>
        <w:rPr>
          <w:rFonts w:ascii="Times New Roman" w:hAnsi="Times New Roman"/>
          <w:caps w:val="false"/>
          <w:smallCaps w:val="false"/>
          <w:sz w:val="20"/>
        </w:rPr>
        <w:t>” means, collectively, the Security Agreement, the Pledge Agreement, and any other security agreements, pledge agreements or other similar agreements delivered to the Holder, the Guaranty and each of the other agreements, instruments or documents that creates a lien or guaranty in favor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Subsidiary</w:t>
      </w:r>
      <w:r>
        <w:rPr>
          <w:rFonts w:ascii="Times New Roman" w:hAnsi="Times New Roman"/>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Transaction Document</w:t>
      </w:r>
      <w:r>
        <w:rPr>
          <w:rFonts w:ascii="Times New Roman" w:hAnsi="Times New Roman"/>
          <w:caps w:val="false"/>
          <w:smallCaps w:val="false"/>
          <w:sz w:val="20"/>
        </w:rPr>
        <w:t>” means, each of, the Securities Purchase Agreement, the Registration Rights Agreement, the Other Debentures, the Security Documents and any and all documents, agreements, instruments or other items executed or delivered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Underlying Shares</w:t>
      </w:r>
      <w:r>
        <w:rPr>
          <w:rFonts w:ascii="Times New Roman" w:hAnsi="Times New Roman"/>
          <w:caps w:val="false"/>
          <w:smallCaps w:val="false"/>
          <w:sz w:val="20"/>
        </w:rPr>
        <w:t>” means the Ordinary Shares issuable upon conversion of this Debenture or as payment of interest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caps w:val="false"/>
          <w:smallCaps w:val="false"/>
          <w:sz w:val="20"/>
          <w:u w:val="single"/>
        </w:rPr>
        <w:t>VWAP</w:t>
      </w:r>
      <w:r>
        <w:rPr>
          <w:rFonts w:ascii="Times New Roman" w:hAnsi="Times New Roman"/>
          <w:caps w:val="false"/>
          <w:smallCaps w:val="false"/>
          <w:sz w:val="20"/>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Company has caused this Secured Convertible Debenture to be duly executed by a duly authorized officer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65"/>
        <w:gridCol w:w="1700"/>
      </w:tblGrid>
      <w:tr>
        <w:trPr/>
        <w:tc>
          <w:tcPr>
            <w:tcW w:w="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COMPANY:</w:t>
            </w:r>
          </w:p>
        </w:tc>
      </w:tr>
      <w:tr>
        <w:trPr/>
        <w:tc>
          <w:tcPr>
            <w:tcW w:w="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320"/>
        <w:gridCol w:w="182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20" w:type="dxa"/>
            <w:tcBorders>
              <w:bottom w:val="single" w:sz="2" w:space="0" w:color="000000"/>
            </w:tcBorders>
            <w:tcMar>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/s/ George G. O’Leary</w:t>
            </w:r>
          </w:p>
        </w:tc>
      </w:tr>
    </w:tbl>
    <w:tbl>
      <w:tblPr>
        <w:tblW w:w="2905" w:type="dxa"/>
        <w:jc w:val="left"/>
        <w:tblInd w:w="0" w:type="dxa"/>
        <w:tblLayout w:type="fixed"/>
        <w:tblCellMar>
          <w:top w:w="0" w:type="dxa"/>
          <w:left w:w="0" w:type="dxa"/>
          <w:bottom w:w="0" w:type="dxa"/>
          <w:right w:w="0" w:type="dxa"/>
        </w:tblCellMar>
      </w:tblPr>
      <w:tblGrid>
        <w:gridCol w:w="65"/>
        <w:gridCol w:w="2840"/>
      </w:tblGrid>
      <w:tr>
        <w:trPr/>
        <w:tc>
          <w:tcPr>
            <w:tcW w:w="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George G. O’Leary</w:t>
            </w:r>
          </w:p>
        </w:tc>
      </w:tr>
      <w:tr>
        <w:trPr/>
        <w:tc>
          <w:tcPr>
            <w:tcW w:w="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CEO and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EXHIBIT I</w:t>
      </w:r>
      <w:r>
        <w:rPr>
          <w:rFonts w:ascii="Times New Roman" w:hAnsi="Times New Roman"/>
          <w:caps w:val="false"/>
          <w:smallCaps w:val="false"/>
          <w:sz w:val="20"/>
        </w:rPr>
        <w:br/>
      </w:r>
      <w:r>
        <w:rPr>
          <w:rFonts w:ascii="Times New Roman" w:hAnsi="Times New Roman"/>
          <w:b/>
          <w:caps w:val="false"/>
          <w:smallCaps w:val="false"/>
          <w:sz w:val="20"/>
          <w:u w:val="single"/>
        </w:rP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executed by the Holder in order to Convert the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Via 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undersigned hereby irrevocably elects to convert a portion of the outstanding and unpaid Conversion Amount of Debenture No. SEV-6f into Ordinary Shares of </w:t>
      </w:r>
      <w:r>
        <w:rPr>
          <w:rFonts w:ascii="Times New Roman" w:hAnsi="Times New Roman"/>
          <w:b/>
          <w:caps w:val="false"/>
          <w:smallCaps w:val="false"/>
          <w:sz w:val="20"/>
        </w:rPr>
        <w:t>SONO GROUP N.V.</w:t>
      </w:r>
      <w:r>
        <w:rPr>
          <w:rFonts w:ascii="Times New Roman" w:hAnsi="Times New Roman"/>
          <w:caps w:val="false"/>
          <w:smallCaps w:val="false"/>
          <w:sz w:val="20"/>
        </w:rPr>
        <w:t>, according to the conditions stated therein, as of the Conversion Date written below.</w:t>
      </w:r>
    </w:p>
    <w:p>
      <w:pPr>
        <w:pStyle w:val="TextBody"/>
        <w:bidi w:val="0"/>
        <w:spacing w:before="0" w:after="0"/>
        <w:ind w:left="0" w:right="0" w:hanging="0"/>
        <w:jc w:val="left"/>
        <w:rPr>
          <w:caps w:val="false"/>
          <w:smallCaps w:val="false"/>
        </w:rPr>
      </w:pPr>
      <w:r>
        <w:rPr>
          <w:caps w:val="false"/>
          <w:smallCaps w:val="false"/>
        </w:rPr>
        <w:t>  </w:t>
      </w:r>
    </w:p>
    <w:tbl>
      <w:tblPr>
        <w:tblW w:w="8224" w:type="dxa"/>
        <w:jc w:val="left"/>
        <w:tblInd w:w="0" w:type="dxa"/>
        <w:tblLayout w:type="fixed"/>
        <w:tblCellMar>
          <w:top w:w="0" w:type="dxa"/>
          <w:left w:w="0" w:type="dxa"/>
          <w:bottom w:w="0" w:type="dxa"/>
          <w:right w:w="0" w:type="dxa"/>
        </w:tblCellMar>
      </w:tblPr>
      <w:tblGrid>
        <w:gridCol w:w="8079"/>
        <w:gridCol w:w="145"/>
      </w:tblGrid>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Conversion Date:</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Amount to be Converted:</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Accrued Interest to be Converted:</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Conversion Amount to be converted:</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Fixed Conversion Price: </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Variable Conversion Price:</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Applicable Conversion Price:</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Ordinary Shares to be issued:</w:t>
            </w:r>
          </w:p>
        </w:tc>
        <w:tc>
          <w:tcPr>
            <w:tcW w:w="1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22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Please issue the Ordinary Shares in the following name and deliver them to the following account:</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630"/>
        <w:gridCol w:w="65"/>
      </w:tblGrid>
      <w:tr>
        <w:trPr/>
        <w:tc>
          <w:tcPr>
            <w:tcW w:w="26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 to:</w:t>
            </w:r>
          </w:p>
        </w:tc>
        <w:tc>
          <w:tcPr>
            <w:tcW w:w="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6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Broker DTC Participant Code:</w:t>
            </w:r>
          </w:p>
        </w:tc>
        <w:tc>
          <w:tcPr>
            <w:tcW w:w="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6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 Number:</w:t>
            </w:r>
          </w:p>
        </w:tc>
        <w:tc>
          <w:tcPr>
            <w:tcW w:w="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6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Authorized Signature: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3" w:name="ex_854681.htm"/>
      <w:bookmarkStart w:id="24" w:name="ksex_854681"/>
      <w:bookmarkEnd w:id="23"/>
      <w:bookmarkEnd w:id="24"/>
      <w:r>
        <w:rPr>
          <w:rFonts w:ascii="Times New Roman;Times;serif" w:hAnsi="Times New Roman;Times;serif"/>
          <w:b/>
          <w:sz w:val="20"/>
        </w:rPr>
        <w:t>Exhibit 10.9</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OMNIBUS AMENDMENT TO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60"/>
        <w:jc w:val="both"/>
        <w:rPr>
          <w:rFonts w:ascii="Times New Roman" w:hAnsi="Times New Roman"/>
          <w:caps w:val="false"/>
          <w:smallCaps w:val="false"/>
          <w:sz w:val="20"/>
        </w:rPr>
      </w:pPr>
      <w:r>
        <w:rPr>
          <w:rFonts w:ascii="Times New Roman" w:hAnsi="Times New Roman"/>
          <w:caps w:val="false"/>
          <w:smallCaps w:val="false"/>
          <w:sz w:val="20"/>
        </w:rPr>
        <w:t>This Omnibus Amendment to Transaction Documents (this “</w:t>
      </w:r>
      <w:r>
        <w:rPr>
          <w:rFonts w:ascii="Times New Roman" w:hAnsi="Times New Roman"/>
          <w:caps w:val="false"/>
          <w:smallCaps w:val="false"/>
          <w:sz w:val="20"/>
          <w:u w:val="single"/>
        </w:rPr>
        <w:t>Amendment</w:t>
      </w:r>
      <w:r>
        <w:rPr>
          <w:rFonts w:ascii="Times New Roman" w:hAnsi="Times New Roman"/>
          <w:caps w:val="false"/>
          <w:smallCaps w:val="false"/>
          <w:sz w:val="20"/>
        </w:rPr>
        <w:t>” or “</w:t>
      </w:r>
      <w:r>
        <w:rPr>
          <w:rFonts w:ascii="Times New Roman" w:hAnsi="Times New Roman"/>
          <w:caps w:val="false"/>
          <w:smallCaps w:val="false"/>
          <w:sz w:val="20"/>
          <w:u w:val="single"/>
        </w:rPr>
        <w:t>Agreement</w:t>
      </w:r>
      <w:r>
        <w:rPr>
          <w:rFonts w:ascii="Times New Roman" w:hAnsi="Times New Roman"/>
          <w:caps w:val="false"/>
          <w:smallCaps w:val="false"/>
          <w:sz w:val="20"/>
        </w:rPr>
        <w:t>”) is entered into as of August 15, 2025 by and between Sono Group N.V., a Dutch public limited liability company (the “</w:t>
      </w:r>
      <w:r>
        <w:rPr>
          <w:rFonts w:ascii="Times New Roman" w:hAnsi="Times New Roman"/>
          <w:caps w:val="false"/>
          <w:smallCaps w:val="false"/>
          <w:sz w:val="20"/>
          <w:u w:val="single"/>
        </w:rPr>
        <w:t>Company</w:t>
      </w:r>
      <w:r>
        <w:rPr>
          <w:rFonts w:ascii="Times New Roman" w:hAnsi="Times New Roman"/>
          <w:caps w:val="false"/>
          <w:smallCaps w:val="false"/>
          <w:sz w:val="20"/>
        </w:rPr>
        <w:t>”) and YA II PN, LTD., a Cayman Islands exempt limited partnership (the “</w:t>
      </w:r>
      <w:r>
        <w:rPr>
          <w:rFonts w:ascii="Times New Roman" w:hAnsi="Times New Roman"/>
          <w:caps w:val="false"/>
          <w:smallCaps w:val="false"/>
          <w:sz w:val="20"/>
          <w:u w:val="single"/>
        </w:rPr>
        <w:t>Investor</w:t>
      </w:r>
      <w:r>
        <w:rPr>
          <w:rFonts w:ascii="Times New Roman" w:hAnsi="Times New Roman"/>
          <w:caps w:val="false"/>
          <w:smallCaps w:val="false"/>
          <w:sz w:val="20"/>
        </w:rPr>
        <w:t>”), with reference to (1) the Exchange Agreement entered into on December 30, 2024 between the Company to the Investor (“</w:t>
      </w:r>
      <w:r>
        <w:rPr>
          <w:rFonts w:ascii="Times New Roman" w:hAnsi="Times New Roman"/>
          <w:caps w:val="false"/>
          <w:smallCaps w:val="false"/>
          <w:sz w:val="20"/>
          <w:u w:val="single"/>
        </w:rPr>
        <w:t>Exchange Agreement</w:t>
      </w:r>
      <w:r>
        <w:rPr>
          <w:rFonts w:ascii="Times New Roman" w:hAnsi="Times New Roman"/>
          <w:caps w:val="false"/>
          <w:smallCaps w:val="false"/>
          <w:sz w:val="20"/>
        </w:rPr>
        <w:t>”); and (2) the Securities Purchase Agreement entered into on December 30, 2024 between the Company and the Investor (the “</w:t>
      </w:r>
      <w:r>
        <w:rPr>
          <w:rFonts w:ascii="Times New Roman" w:hAnsi="Times New Roman"/>
          <w:caps w:val="false"/>
          <w:smallCaps w:val="false"/>
          <w:sz w:val="20"/>
          <w:u w:val="single"/>
        </w:rPr>
        <w:t>Securities Purchase Agreement</w:t>
      </w:r>
      <w:r>
        <w:rPr>
          <w:rFonts w:ascii="Times New Roman" w:hAnsi="Times New Roman"/>
          <w:caps w:val="false"/>
          <w:smallCaps w:val="false"/>
          <w:sz w:val="20"/>
        </w:rPr>
        <w:t>”), each as previously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the Securities Purchase Agreement, the Investor shall advance to the Company $5,000,000, which shall be evidenced by a convertible debenture in the form attached thereto (the “</w:t>
      </w:r>
      <w:r>
        <w:rPr>
          <w:rFonts w:ascii="Times New Roman" w:hAnsi="Times New Roman"/>
          <w:caps w:val="false"/>
          <w:smallCaps w:val="false"/>
          <w:sz w:val="20"/>
          <w:u w:val="single"/>
        </w:rPr>
        <w:t>Convertible Debenture</w:t>
      </w:r>
      <w:r>
        <w:rPr>
          <w:rFonts w:ascii="Times New Roman" w:hAnsi="Times New Roman"/>
          <w:caps w:val="false"/>
          <w:smallCaps w:val="false"/>
          <w:sz w:val="20"/>
        </w:rPr>
        <w:t>”) in the aggregate principal amount of $5,000,000, upon the satisfaction of the terms and conditions set forth therein, which conditions have not yet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February 12, 2025, the Company requested, and the Investor agreed to, an advance of $1,000,000 of the $5,000,000, and, on such date the Investor advanced $1,000,000 to the Company and the Company issued to the Investor a Convertible Debenture in the principal amount of $1,000,000 (“</w:t>
      </w:r>
      <w:r>
        <w:rPr>
          <w:rFonts w:ascii="Times New Roman" w:hAnsi="Times New Roman"/>
          <w:caps w:val="false"/>
          <w:smallCaps w:val="false"/>
          <w:sz w:val="20"/>
          <w:u w:val="single"/>
        </w:rPr>
        <w:t>Debenture No. SEV-6a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March 25, 2025, the Company requested, and the Investor agreed to, an advance of an additional $1,000,000 of the $5,000,000, and, on such date the Investor advanced $1,000,000 to the Company and the Company issued to the Investor a Convertible Debenture in the principal amount of $1,000,000 (“</w:t>
      </w:r>
      <w:r>
        <w:rPr>
          <w:rFonts w:ascii="Times New Roman" w:hAnsi="Times New Roman"/>
          <w:caps w:val="false"/>
          <w:smallCaps w:val="false"/>
          <w:sz w:val="20"/>
          <w:u w:val="single"/>
        </w:rPr>
        <w:t>Debenture No. SEV-6b</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April 24, 2025, the Company requested, and the Investor agreed to, an advance of an additional $500,000 of the $5,000,000, and, on such date the Investor advanced $500,000 to the Company and the Company issued to the Investor a Convertible Debenture in the principal amount of $500,000 (“</w:t>
      </w:r>
      <w:r>
        <w:rPr>
          <w:rFonts w:ascii="Times New Roman" w:hAnsi="Times New Roman"/>
          <w:caps w:val="false"/>
          <w:smallCaps w:val="false"/>
          <w:sz w:val="20"/>
          <w:u w:val="single"/>
        </w:rPr>
        <w:t>Debenture No. SEV-6c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May 27, 2025, the Company requested, and the Investor agreed to, an advance of an additional $750,000 of the $5,000,000, and, on such date the Investor advanced $750,000 to the Company and the Company issued to the Investor a Convertible Debenture in the principal amount of $750,000 (“</w:t>
      </w:r>
      <w:r>
        <w:rPr>
          <w:rFonts w:ascii="Times New Roman" w:hAnsi="Times New Roman"/>
          <w:caps w:val="false"/>
          <w:smallCaps w:val="false"/>
          <w:sz w:val="20"/>
          <w:u w:val="single"/>
        </w:rPr>
        <w:t>Debenture No. SEV-6d</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Aug 6, 2025, the Company requested, and the Investor agreed to, an advance of an additional $190,000 of the $5,000,000, and, on such date the Investor advanced $190,000 to the Company and the Company issued to the Investor a Convertible Debenture in the principal amount of $190,000 (“</w:t>
      </w:r>
      <w:r>
        <w:rPr>
          <w:rFonts w:ascii="Times New Roman" w:hAnsi="Times New Roman"/>
          <w:caps w:val="false"/>
          <w:smallCaps w:val="false"/>
          <w:sz w:val="20"/>
          <w:u w:val="single"/>
        </w:rPr>
        <w:t>Debenture No. SEV-6e</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has requested, and the Investor has agreed to, an additional advance of 300,000 EUR (current conversion of 1.1685 US $350,540) of the $5,000,000 on the date hereof, with the remaining $1,209,460 to be advanced upon the satisfaction of all of the conditions set forth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this Amendment, the Company and Lender have agreed to the following terms:</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Modifications to the Securities Purchase Agreement</w:t>
            </w:r>
            <w:r>
              <w:rPr>
                <w:rFonts w:ascii="Times New Roman" w:hAnsi="Times New Roman"/>
                <w:b/>
                <w:caps w:val="false"/>
                <w:smallCaps w:val="false"/>
                <w:sz w:val="20"/>
              </w:rPr>
              <w:t>.</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the satisfaction of the conditions set forth in Section 6 and 7 of the Securities Purchase Agreement, as modified by this Agreement, the parties hereby agree that on the date hereof, the Investor shall advance to the Company the principal amount of 300,000 EUR and the Company shall issue and deliver to the Investor a Convertible Debenture, duly executed on behalf of the Company, with an aggregate principal amount of the US Dollar equivalent of 300,000 EUR (the “</w:t>
            </w:r>
            <w:r>
              <w:rPr>
                <w:rFonts w:ascii="Times New Roman" w:hAnsi="Times New Roman"/>
                <w:caps w:val="false"/>
                <w:smallCaps w:val="false"/>
                <w:sz w:val="20"/>
                <w:u w:val="single"/>
              </w:rPr>
              <w:t>Sixth Convertible Debenture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Solely in connection with the closing of the issuance of the Sixth Convertible Debenture, the Investor waives the satisfaction of the conditions set forth in Section 7(d) of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remaining terms and conditions with respect to the issuance and sale of the Convertible Debenture set forth in the Securities Purchase Agreement shall remain in full force and effect, except that the principal amount of the Convertible Debenture shall be reduced to $1,209,460 as a result of the issuance of the Sixth Convertible Debenture, Debenture No. SEV-6a., Debenture No. SEV-6b, Debenture No. SEV-6c, Debenture SEV-6d and Debenture SEV-6e.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Exchange Agreement.</w:t>
            </w:r>
            <w:r>
              <w:rPr>
                <w:rFonts w:ascii="Times New Roman" w:hAnsi="Times New Roman"/>
                <w:caps w:val="false"/>
                <w:smallCaps w:val="false"/>
                <w:sz w:val="20"/>
              </w:rPr>
              <w:t> In connection with the Exchange Agreement, the Convertible Debenture in the principal amount of $5,000,000 (referred to as “Debenture 6” therein) shall be exchanged for Preferred Shares (as defined in the Exchange Agreement), subject to the satisfaction of the conditions precedent set forth therein. The parties hereby agree that from and after the issuance of the Sixth Convertible Debenture contemplated by this Agreement, for the purposes of the Exchange Agreement, “Debenture 6” shall consist of each of Debenture No. SEV-6a, Debenture No. SEV-6b, Debenture No. SEV-6c, Debenture No. SEV-6d, Debenture No. SEV-6e and the Sixth Convertible Debenture, and the remaining Convertible Debenture to be issued pursuant to the Securities Purchase Agreement in the principal amount of $1,209,460, each of which shall be part of the exchange of debentures for Preferred Shares as contemplated by the Exchange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Effect; Continuing Validity.</w:t>
            </w:r>
            <w:r>
              <w:rPr>
                <w:rFonts w:ascii="Times New Roman" w:hAnsi="Times New Roman"/>
                <w:caps w:val="false"/>
                <w:smallCaps w:val="false"/>
                <w:sz w:val="20"/>
              </w:rPr>
              <w:t>  The Securities Purchase Agreement and the Exchange Agreement are amended to the extent necessary to give effect to this Agreement, and the terms of this Agreement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This Agreement One of the Transaction Documents</w:t>
            </w:r>
            <w:r>
              <w:rPr>
                <w:rFonts w:ascii="Times New Roman" w:hAnsi="Times New Roman"/>
                <w:caps w:val="false"/>
                <w:smallCaps w:val="false"/>
                <w:sz w:val="20"/>
              </w:rPr>
              <w:t>.  From and after the date hereof, this Agreement is and shall be deemed a “Transaction Document” as used in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Miscellaneous</w:t>
            </w:r>
            <w:r>
              <w:rPr>
                <w:rFonts w:ascii="Times New Roman" w:hAnsi="Times New Roman"/>
                <w:caps w:val="false"/>
                <w:smallCaps w:val="false"/>
                <w:sz w:val="20"/>
              </w:rPr>
              <w:t>. This Agreement shall be governed by and construed in accordance with the laws of the State of New York. This Agreement may be 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Company and Investor have caused this this Omnibus Amendment to Transaction Documents to be duly executed by a duly authorized officer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60"/>
        <w:gridCol w:w="4460"/>
      </w:tblGrid>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COMPANY:</w:t>
            </w:r>
          </w:p>
        </w:tc>
      </w:tr>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tc>
      </w:tr>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/s/ George O’Leary                                             </w:t>
            </w:r>
          </w:p>
        </w:tc>
      </w:tr>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George O’Leary</w:t>
            </w:r>
          </w:p>
        </w:tc>
      </w:tr>
      <w:tr>
        <w:trPr/>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ind w:left="640" w:right="0" w:hanging="640"/>
              <w:jc w:val="left"/>
              <w:rPr>
                <w:rFonts w:ascii="Times New Roman" w:hAnsi="Times New Roman"/>
                <w:caps w:val="false"/>
                <w:smallCaps w:val="false"/>
                <w:sz w:val="20"/>
              </w:rPr>
            </w:pPr>
            <w:r>
              <w:rPr>
                <w:rFonts w:ascii="Times New Roman" w:hAnsi="Times New Roman"/>
                <w:caps w:val="false"/>
                <w:smallCaps w:val="false"/>
                <w:sz w:val="20"/>
              </w:rPr>
              <w:t>Title:   Chief Executive Officer and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60"/>
        <w:gridCol w:w="3425"/>
      </w:tblGrid>
      <w:tr>
        <w:trPr/>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w:t>
            </w:r>
          </w:p>
        </w:tc>
      </w:tr>
      <w:tr>
        <w:trPr/>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YA II PN, LTD.</w:t>
            </w:r>
          </w:p>
        </w:tc>
      </w:tr>
      <w:tr>
        <w:trPr/>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Yorkville Advisors Global, 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Investment Manger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Yorkville Advisors Global II, LLC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/s/ Michael Rosselli                           </w:t>
            </w:r>
          </w:p>
        </w:tc>
      </w:tr>
      <w:tr>
        <w:trPr/>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Michael Rosselli          </w:t>
            </w:r>
          </w:p>
        </w:tc>
      </w:tr>
      <w:tr>
        <w:trPr/>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5" w:name="ex_850527.htm"/>
      <w:bookmarkStart w:id="26" w:name="ksex_850527"/>
      <w:bookmarkEnd w:id="25"/>
      <w:bookmarkEnd w:id="26"/>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RULE 13a-14 AND 15d-14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George O’Leary, certify that:</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George O’Leary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George O’Leary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7" w:name="ex_850541.htm"/>
      <w:bookmarkStart w:id="28" w:name="ksex_850541"/>
      <w:bookmarkEnd w:id="27"/>
      <w:bookmarkEnd w:id="28"/>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RULE 13a-14 AND 15d-14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Martin Scott Calhoun, certify that:</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Martin Scott Calhoun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 Scott Calhoun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9" w:name="ex_850542.htm"/>
      <w:bookmarkStart w:id="30" w:name="ksex_850542"/>
      <w:bookmarkEnd w:id="29"/>
      <w:bookmarkEnd w:id="30"/>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EXECUTIVE OFFICER</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Sono Group N.V. (the “Company”) for the quarterly period ended June 30, 2025, as filed with the Securities and Exchange Commission on the date hereof (the “Report”), I, George O’Leary,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60"/>
        <w:gridCol w:w="3170"/>
      </w:tblGrid>
      <w:tr>
        <w:trPr/>
        <w:tc>
          <w:tcPr>
            <w:tcW w:w="60" w:type="dxa"/>
            <w:tcBorders/>
            <w:vAlign w:val="center"/>
          </w:tcPr>
          <w:p>
            <w:pPr>
              <w:pStyle w:val="TableContents"/>
              <w:bidi w:val="0"/>
              <w:spacing w:before="0" w:after="283"/>
              <w:jc w:val="left"/>
              <w:rPr/>
            </w:pPr>
            <w:r>
              <w:rPr/>
              <w:t> </w:t>
            </w:r>
          </w:p>
        </w:tc>
        <w:tc>
          <w:tcPr>
            <w:tcW w:w="31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George O’Leary                                    </w:t>
            </w:r>
          </w:p>
        </w:tc>
      </w:tr>
      <w:tr>
        <w:trPr/>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George O’Leary</w:t>
            </w:r>
          </w:p>
        </w:tc>
      </w:tr>
      <w:tr>
        <w:trPr/>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31" w:name="ex_850543.htm"/>
      <w:bookmarkStart w:id="32" w:name="ksex_850543"/>
      <w:bookmarkEnd w:id="31"/>
      <w:bookmarkEnd w:id="32"/>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FINANCIAL OFFICER</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Sono Group N.V. (the “Company”) for the quarterly period ended June 30, 2025, as filed with the Securities and Exchange Commission on the date hereof (the “Report”), I, Martin Scott Calhoun,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05" w:type="dxa"/>
        <w:jc w:val="left"/>
        <w:tblInd w:w="0" w:type="dxa"/>
        <w:tblLayout w:type="fixed"/>
        <w:tblCellMar>
          <w:top w:w="0" w:type="dxa"/>
          <w:left w:w="0" w:type="dxa"/>
          <w:bottom w:w="0" w:type="dxa"/>
          <w:right w:w="0" w:type="dxa"/>
        </w:tblCellMar>
      </w:tblPr>
      <w:tblGrid>
        <w:gridCol w:w="60"/>
        <w:gridCol w:w="3245"/>
      </w:tblGrid>
      <w:tr>
        <w:trPr/>
        <w:tc>
          <w:tcPr>
            <w:tcW w:w="60" w:type="dxa"/>
            <w:tcBorders/>
            <w:vAlign w:val="center"/>
          </w:tcPr>
          <w:p>
            <w:pPr>
              <w:pStyle w:val="TableContents"/>
              <w:bidi w:val="0"/>
              <w:spacing w:before="0" w:after="283"/>
              <w:jc w:val="left"/>
              <w:rPr/>
            </w:pPr>
            <w:r>
              <w:rPr/>
              <w:t> </w:t>
            </w:r>
          </w:p>
        </w:tc>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Martin Scott Calhoun                           </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 Scott Calhoun</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0416/000117184324007104/exh_31.htm" TargetMode="External"/><Relationship Id="rId3" Type="http://schemas.openxmlformats.org/officeDocument/2006/relationships/hyperlink" Target="http://www.sec.gov/Archives/edgar/data/1840416/000117184324007104/exh_31.htm" TargetMode="External"/><Relationship Id="rId4" Type="http://schemas.openxmlformats.org/officeDocument/2006/relationships/hyperlink" Target="http://www.sec.gov/Archives/edgar/data/1840416/000117184324005768/exh_993.htm" TargetMode="External"/><Relationship Id="rId5" Type="http://schemas.openxmlformats.org/officeDocument/2006/relationships/hyperlink" Target="http://www.sec.gov/Archives/edgar/data/1840416/000117184324005768/exh_993.htm" TargetMode="External"/><Relationship Id="rId6" Type="http://schemas.openxmlformats.org/officeDocument/2006/relationships/hyperlink" Target="http://www.sec.gov/Archives/edgar/data/1840416/000117184324005768/exh_994.htm" TargetMode="External"/><Relationship Id="rId7" Type="http://schemas.openxmlformats.org/officeDocument/2006/relationships/hyperlink" Target="http://www.sec.gov/Archives/edgar/data/1840416/000117184324005768/exh_994.htm" TargetMode="External"/><Relationship Id="rId8" Type="http://schemas.openxmlformats.org/officeDocument/2006/relationships/hyperlink" Target="http://www.sec.gov/Archives/edgar/data/1840416/000117184324005768/exh_995.htm" TargetMode="External"/><Relationship Id="rId9" Type="http://schemas.openxmlformats.org/officeDocument/2006/relationships/hyperlink" Target="http://www.sec.gov/Archives/edgar/data/1840416/000117184324005768/exh_995.htm" TargetMode="External"/><Relationship Id="rId10" Type="http://schemas.openxmlformats.org/officeDocument/2006/relationships/hyperlink" Target="http://www.sec.gov/Archives/edgar/data/1840416/000110465921135375/tm212911d11_ex3-2.htm" TargetMode="External"/><Relationship Id="rId11" Type="http://schemas.openxmlformats.org/officeDocument/2006/relationships/hyperlink" Target="http://www.sec.gov/Archives/edgar/data/1840416/000110465921135375/tm212911d11_ex3-2.htm" TargetMode="External"/><Relationship Id="rId12" Type="http://schemas.openxmlformats.org/officeDocument/2006/relationships/hyperlink" Target="http://www.sec.gov/Archives/edgar/data/1840416/000110465921135375/tm212911d11_ex3-3.htm" TargetMode="External"/><Relationship Id="rId13" Type="http://schemas.openxmlformats.org/officeDocument/2006/relationships/hyperlink" Target="http://www.sec.gov/Archives/edgar/data/1840416/000110465921135375/tm212911d11_ex3-3.htm" TargetMode="External"/><Relationship Id="rId14" Type="http://schemas.openxmlformats.org/officeDocument/2006/relationships/hyperlink" Target="http://www.sec.gov/Archives/edgar/data/1840416/000117184325000803/exh_101.htm" TargetMode="External"/><Relationship Id="rId15" Type="http://schemas.openxmlformats.org/officeDocument/2006/relationships/hyperlink" Target="http://www.sec.gov/Archives/edgar/data/1840416/000117184325000803/exh_101.htm" TargetMode="External"/><Relationship Id="rId16" Type="http://schemas.openxmlformats.org/officeDocument/2006/relationships/hyperlink" Target="http://www.sec.gov/Archives/edgar/data/1840416/000117184325001726/exh_101.htm" TargetMode="External"/><Relationship Id="rId17" Type="http://schemas.openxmlformats.org/officeDocument/2006/relationships/hyperlink" Target="http://www.sec.gov/Archives/edgar/data/1840416/000117184325001726/exh_101.htm" TargetMode="External"/><Relationship Id="rId18" Type="http://schemas.openxmlformats.org/officeDocument/2006/relationships/hyperlink" Target="http://www.sec.gov/Archives/edgar/data/1840416/000117184325002511/exh_101.htm" TargetMode="External"/><Relationship Id="rId19" Type="http://schemas.openxmlformats.org/officeDocument/2006/relationships/hyperlink" Target="http://www.sec.gov/Archives/edgar/data/1840416/000117184325002511/exh_101.htm" TargetMode="External"/><Relationship Id="rId20" Type="http://schemas.openxmlformats.org/officeDocument/2006/relationships/hyperlink" Target="http://www.sec.gov/Archives/edgar/data/1840416/000117184325003467/exh_101.htm" TargetMode="External"/><Relationship Id="rId21" Type="http://schemas.openxmlformats.org/officeDocument/2006/relationships/hyperlink" Target="http://www.sec.gov/Archives/edgar/data/1840416/000117184325003467/exh_101.htm" TargetMode="External"/><Relationship Id="rId22" Type="http://schemas.openxmlformats.org/officeDocument/2006/relationships/hyperlink" Target="http://www.sec.gov/Archives/edgar/data/1840416/000117184325005186/exh_103.htm" TargetMode="External"/><Relationship Id="rId23" Type="http://schemas.openxmlformats.org/officeDocument/2006/relationships/hyperlink" Target="http://www.sec.gov/Archives/edgar/data/1840416/000117184325005186/exh_103.htm" TargetMode="External"/><Relationship Id="rId24" Type="http://schemas.openxmlformats.org/officeDocument/2006/relationships/hyperlink" Target="http://www.sec.gov/Archives/edgar/data/1840416/000117184325000803/exh_102.htm" TargetMode="External"/><Relationship Id="rId25" Type="http://schemas.openxmlformats.org/officeDocument/2006/relationships/hyperlink" Target="http://www.sec.gov/Archives/edgar/data/1840416/000117184325000803/exh_102.htm" TargetMode="External"/><Relationship Id="rId26" Type="http://schemas.openxmlformats.org/officeDocument/2006/relationships/hyperlink" Target="http://www.sec.gov/Archives/edgar/data/1840416/000117184325001327/exh_101.htm" TargetMode="External"/><Relationship Id="rId27" Type="http://schemas.openxmlformats.org/officeDocument/2006/relationships/hyperlink" Target="http://www.sec.gov/Archives/edgar/data/1840416/000117184325001327/exh_101.htm" TargetMode="External"/><Relationship Id="rId28" Type="http://schemas.openxmlformats.org/officeDocument/2006/relationships/hyperlink" Target="http://www.sec.gov/Archives/edgar/data/1840416/000117184325001726/exh_102.htm" TargetMode="External"/><Relationship Id="rId29" Type="http://schemas.openxmlformats.org/officeDocument/2006/relationships/hyperlink" Target="http://www.sec.gov/Archives/edgar/data/1840416/000117184325001726/exh_102.htm" TargetMode="External"/><Relationship Id="rId30" Type="http://schemas.openxmlformats.org/officeDocument/2006/relationships/hyperlink" Target="http://www.sec.gov/Archives/edgar/data/1840416/000117184325002511/exh_102.htm" TargetMode="External"/><Relationship Id="rId31" Type="http://schemas.openxmlformats.org/officeDocument/2006/relationships/hyperlink" Target="http://www.sec.gov/Archives/edgar/data/1840416/000117184325002511/exh_102.htm" TargetMode="External"/><Relationship Id="rId32" Type="http://schemas.openxmlformats.org/officeDocument/2006/relationships/hyperlink" Target="http://www.sec.gov/Archives/edgar/data/1840416/000117184325003467/exh_102.htm" TargetMode="External"/><Relationship Id="rId33" Type="http://schemas.openxmlformats.org/officeDocument/2006/relationships/hyperlink" Target="http://www.sec.gov/Archives/edgar/data/1840416/000117184325003467/exh_102.htm" TargetMode="External"/><Relationship Id="rId34" Type="http://schemas.openxmlformats.org/officeDocument/2006/relationships/hyperlink" Target="http://www.sec.gov/Archives/edgar/data/1840416/000117184325004369/exh_101.htm" TargetMode="External"/><Relationship Id="rId35" Type="http://schemas.openxmlformats.org/officeDocument/2006/relationships/hyperlink" Target="http://www.sec.gov/Archives/edgar/data/1840416/000117184325004369/exh_101.htm" TargetMode="External"/><Relationship Id="rId36" Type="http://schemas.openxmlformats.org/officeDocument/2006/relationships/hyperlink" Target="http://www.sec.gov/Archives/edgar/data/1840416/000117184325005186/exh_101.htm" TargetMode="External"/><Relationship Id="rId37" Type="http://schemas.openxmlformats.org/officeDocument/2006/relationships/hyperlink" Target="http://www.sec.gov/Archives/edgar/data/1840416/000117184325005186/exh_101.htm" TargetMode="External"/><Relationship Id="rId38" Type="http://schemas.openxmlformats.org/officeDocument/2006/relationships/hyperlink" Target="http://www.sec.gov/Archives/edgar/data/1840416/000117184325005186/exh_102.htm" TargetMode="External"/><Relationship Id="rId39" Type="http://schemas.openxmlformats.org/officeDocument/2006/relationships/hyperlink" Target="http://www.sec.gov/Archives/edgar/data/1840416/000117184325005186/exh_102.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31052</Words>
  <Characters>168591</Characters>
  <CharactersWithSpaces>203380</CharactersWithSpaces>
  <Paragraphs>6547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