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May 12, 2026</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475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75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349"/>
        </w:trPr>
        <w:tc>
          <w:tcPr>
            <w:tcW w:w="3880" w:type="dxa"/>
            <w:vAlign w:val="bottom"/>
          </w:tcPr>
          <w:p>
            <w:pPr>
              <w:spacing w:after="0"/>
              <w:rPr>
                <w:sz w:val="24"/>
                <w:szCs w:val="24"/>
                <w:color w:val="auto"/>
              </w:rPr>
            </w:pPr>
          </w:p>
        </w:tc>
        <w:tc>
          <w:tcPr>
            <w:tcW w:w="7380" w:type="dxa"/>
            <w:vAlign w:val="bottom"/>
          </w:tcPr>
          <w:p>
            <w:pPr>
              <w:jc w:val="center"/>
              <w:ind w:right="3804"/>
              <w:spacing w:after="0"/>
              <w:rPr>
                <w:sz w:val="20"/>
                <w:szCs w:val="20"/>
                <w:color w:val="auto"/>
              </w:rPr>
            </w:pPr>
            <w:r>
              <w:rPr>
                <w:rFonts w:ascii="Times New Roman" w:cs="Times New Roman" w:eastAsia="Times New Roman" w:hAnsi="Times New Roman"/>
                <w:sz w:val="29"/>
                <w:szCs w:val="29"/>
                <w:b w:val="1"/>
                <w:bCs w:val="1"/>
                <w:color w:val="auto"/>
                <w:w w:val="99"/>
              </w:rPr>
              <w:t>FORM S-3</w:t>
            </w:r>
          </w:p>
        </w:tc>
      </w:tr>
      <w:tr>
        <w:trPr>
          <w:trHeight w:val="192"/>
        </w:trPr>
        <w:tc>
          <w:tcPr>
            <w:tcW w:w="3880" w:type="dxa"/>
            <w:vAlign w:val="bottom"/>
          </w:tcPr>
          <w:p>
            <w:pPr>
              <w:spacing w:after="0"/>
              <w:rPr>
                <w:sz w:val="16"/>
                <w:szCs w:val="16"/>
                <w:color w:val="auto"/>
              </w:rPr>
            </w:pPr>
          </w:p>
        </w:tc>
        <w:tc>
          <w:tcPr>
            <w:tcW w:w="7380" w:type="dxa"/>
            <w:vAlign w:val="bottom"/>
          </w:tcPr>
          <w:p>
            <w:pPr>
              <w:jc w:val="center"/>
              <w:ind w:right="3784"/>
              <w:spacing w:after="0"/>
              <w:rPr>
                <w:sz w:val="20"/>
                <w:szCs w:val="20"/>
                <w:color w:val="auto"/>
              </w:rPr>
            </w:pPr>
            <w:r>
              <w:rPr>
                <w:rFonts w:ascii="Times New Roman" w:cs="Times New Roman" w:eastAsia="Times New Roman" w:hAnsi="Times New Roman"/>
                <w:sz w:val="16"/>
                <w:szCs w:val="16"/>
                <w:b w:val="1"/>
                <w:bCs w:val="1"/>
                <w:color w:val="auto"/>
                <w:w w:val="98"/>
              </w:rPr>
              <w:t>REGISTRATION STATEMENT UNDER</w:t>
            </w:r>
          </w:p>
        </w:tc>
      </w:tr>
      <w:tr>
        <w:trPr>
          <w:trHeight w:val="211"/>
        </w:trPr>
        <w:tc>
          <w:tcPr>
            <w:tcW w:w="388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tcPr>
          <w:p>
            <w:pPr>
              <w:jc w:val="center"/>
              <w:ind w:right="3804"/>
              <w:spacing w:after="0"/>
              <w:rPr>
                <w:sz w:val="20"/>
                <w:szCs w:val="20"/>
                <w:color w:val="auto"/>
              </w:rPr>
            </w:pPr>
            <w:r>
              <w:rPr>
                <w:rFonts w:ascii="Times New Roman" w:cs="Times New Roman" w:eastAsia="Times New Roman" w:hAnsi="Times New Roman"/>
                <w:sz w:val="16"/>
                <w:szCs w:val="16"/>
                <w:b w:val="1"/>
                <w:bCs w:val="1"/>
                <w:color w:val="auto"/>
              </w:rPr>
              <w:t>THE SECURITIES ACT OF 1933</w:t>
            </w:r>
          </w:p>
        </w:tc>
      </w:tr>
      <w:tr>
        <w:trPr>
          <w:trHeight w:val="493"/>
        </w:trPr>
        <w:tc>
          <w:tcPr>
            <w:tcW w:w="3880" w:type="dxa"/>
            <w:vAlign w:val="bottom"/>
          </w:tcPr>
          <w:p>
            <w:pPr>
              <w:spacing w:after="0"/>
              <w:rPr>
                <w:sz w:val="24"/>
                <w:szCs w:val="24"/>
                <w:color w:val="auto"/>
              </w:rPr>
            </w:pPr>
          </w:p>
        </w:tc>
        <w:tc>
          <w:tcPr>
            <w:tcW w:w="7380" w:type="dxa"/>
            <w:vAlign w:val="bottom"/>
          </w:tcPr>
          <w:p>
            <w:pPr>
              <w:jc w:val="center"/>
              <w:ind w:right="3804"/>
              <w:spacing w:after="0"/>
              <w:rPr>
                <w:sz w:val="20"/>
                <w:szCs w:val="20"/>
                <w:color w:val="auto"/>
              </w:rPr>
            </w:pPr>
            <w:r>
              <w:rPr>
                <w:rFonts w:ascii="Times New Roman" w:cs="Times New Roman" w:eastAsia="Times New Roman" w:hAnsi="Times New Roman"/>
                <w:sz w:val="29"/>
                <w:szCs w:val="29"/>
                <w:b w:val="1"/>
                <w:bCs w:val="1"/>
                <w:color w:val="auto"/>
                <w:w w:val="97"/>
              </w:rPr>
              <w:t>SONO GROUP N.V.</w:t>
            </w:r>
          </w:p>
        </w:tc>
      </w:tr>
      <w:tr>
        <w:trPr>
          <w:trHeight w:val="209"/>
        </w:trPr>
        <w:tc>
          <w:tcPr>
            <w:tcW w:w="3880" w:type="dxa"/>
            <w:vAlign w:val="bottom"/>
          </w:tcPr>
          <w:p>
            <w:pPr>
              <w:spacing w:after="0"/>
              <w:rPr>
                <w:sz w:val="18"/>
                <w:szCs w:val="18"/>
                <w:color w:val="auto"/>
              </w:rPr>
            </w:pPr>
          </w:p>
        </w:tc>
        <w:tc>
          <w:tcPr>
            <w:tcW w:w="7380" w:type="dxa"/>
            <w:vAlign w:val="bottom"/>
          </w:tcPr>
          <w:p>
            <w:pPr>
              <w:jc w:val="center"/>
              <w:ind w:right="3804"/>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409"/>
        </w:trPr>
        <w:tc>
          <w:tcPr>
            <w:tcW w:w="3880" w:type="dxa"/>
            <w:vAlign w:val="bottom"/>
          </w:tcPr>
          <w:p>
            <w:pPr>
              <w:jc w:val="center"/>
              <w:ind w:left="1460"/>
              <w:spacing w:after="0"/>
              <w:rPr>
                <w:sz w:val="20"/>
                <w:szCs w:val="20"/>
                <w:color w:val="auto"/>
              </w:rPr>
            </w:pPr>
            <w:r>
              <w:rPr>
                <w:rFonts w:ascii="Times New Roman" w:cs="Times New Roman" w:eastAsia="Times New Roman" w:hAnsi="Times New Roman"/>
                <w:sz w:val="16"/>
                <w:szCs w:val="16"/>
                <w:b w:val="1"/>
                <w:bCs w:val="1"/>
                <w:color w:val="auto"/>
                <w:w w:val="99"/>
              </w:rPr>
              <w:t>The Netherlands</w:t>
            </w:r>
          </w:p>
        </w:tc>
        <w:tc>
          <w:tcPr>
            <w:tcW w:w="7380" w:type="dxa"/>
            <w:vAlign w:val="bottom"/>
          </w:tcPr>
          <w:p>
            <w:pPr>
              <w:jc w:val="center"/>
              <w:ind w:left="1804"/>
              <w:spacing w:after="0"/>
              <w:rPr>
                <w:sz w:val="20"/>
                <w:szCs w:val="20"/>
                <w:color w:val="auto"/>
              </w:rPr>
            </w:pPr>
            <w:r>
              <w:rPr>
                <w:rFonts w:ascii="Times New Roman" w:cs="Times New Roman" w:eastAsia="Times New Roman" w:hAnsi="Times New Roman"/>
                <w:sz w:val="16"/>
                <w:szCs w:val="16"/>
                <w:b w:val="1"/>
                <w:bCs w:val="1"/>
                <w:color w:val="auto"/>
                <w:w w:val="98"/>
              </w:rPr>
              <w:t>98-1828632</w:t>
            </w:r>
          </w:p>
        </w:tc>
      </w:tr>
      <w:tr>
        <w:trPr>
          <w:trHeight w:val="222"/>
        </w:trPr>
        <w:tc>
          <w:tcPr>
            <w:tcW w:w="3880" w:type="dxa"/>
            <w:vAlign w:val="bottom"/>
          </w:tcPr>
          <w:p>
            <w:pPr>
              <w:jc w:val="center"/>
              <w:ind w:left="148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7380" w:type="dxa"/>
            <w:vAlign w:val="bottom"/>
          </w:tcPr>
          <w:p>
            <w:pPr>
              <w:jc w:val="center"/>
              <w:ind w:left="1804"/>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1"/>
        </w:trPr>
        <w:tc>
          <w:tcPr>
            <w:tcW w:w="3880" w:type="dxa"/>
            <w:vAlign w:val="bottom"/>
          </w:tcPr>
          <w:p>
            <w:pPr>
              <w:jc w:val="center"/>
              <w:ind w:left="148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7380" w:type="dxa"/>
            <w:vAlign w:val="bottom"/>
          </w:tcPr>
          <w:p>
            <w:pPr>
              <w:jc w:val="center"/>
              <w:ind w:left="1804"/>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Sono Group N.V.</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4965 Trinidad Drive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Land O’ Lakes, FL 34639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+1 352-502-1191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475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Kevin McGurn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4965 Trinidad Drive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Land O’ Lakes, FL 34639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+1 352-502-1191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475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Jeffrey C. Selman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DLA Piper LLP (US)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555 Mission Street, Suite 2400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San Francisco, California 94105</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(415) 615-6035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475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 From time to time after this Registration Statement becomes effective.</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4" w:lineRule="exact"/>
        <w:rPr>
          <w:sz w:val="24"/>
          <w:szCs w:val="24"/>
          <w:color w:val="auto"/>
        </w:rPr>
      </w:pPr>
    </w:p>
    <w:p>
      <w:pPr>
        <w:ind w:right="460"/>
        <w:spacing w:after="0" w:line="192"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 </w:t>
      </w:r>
      <w:r>
        <w:rPr>
          <w:rFonts w:ascii="MS PGothic" w:cs="MS PGothic" w:eastAsia="MS PGothic" w:hAnsi="MS PGothic"/>
          <w:sz w:val="16"/>
          <w:szCs w:val="16"/>
          <w:color w:val="auto"/>
        </w:rPr>
        <w:t>☒</w:t>
      </w:r>
    </w:p>
    <w:p>
      <w:pPr>
        <w:spacing w:after="0" w:line="2" w:lineRule="exact"/>
        <w:rPr>
          <w:sz w:val="24"/>
          <w:szCs w:val="24"/>
          <w:color w:val="auto"/>
        </w:rPr>
      </w:pPr>
    </w:p>
    <w:p>
      <w:pPr>
        <w:ind w:right="120"/>
        <w:spacing w:after="0" w:line="192"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 w:lineRule="exact"/>
        <w:rPr>
          <w:sz w:val="24"/>
          <w:szCs w:val="24"/>
          <w:color w:val="auto"/>
        </w:rPr>
      </w:pPr>
    </w:p>
    <w:p>
      <w:pPr>
        <w:ind w:right="320"/>
        <w:spacing w:after="0" w:line="192"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 w:lineRule="exact"/>
        <w:rPr>
          <w:sz w:val="24"/>
          <w:szCs w:val="24"/>
          <w:color w:val="auto"/>
        </w:rPr>
      </w:pPr>
    </w:p>
    <w:p>
      <w:pPr>
        <w:ind w:right="100"/>
        <w:spacing w:after="0" w:line="192"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2" w:lineRule="exact"/>
        <w:rPr>
          <w:sz w:val="24"/>
          <w:szCs w:val="24"/>
          <w:color w:val="auto"/>
        </w:rPr>
      </w:pPr>
    </w:p>
    <w:p>
      <w:pPr>
        <w:ind w:right="320"/>
        <w:spacing w:after="0" w:line="20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305435</wp:posOffset>
            </wp:positionV>
            <wp:extent cx="714756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410" w:right="319" w:bottom="1440" w:gutter="0" w:footer="0" w:header="0"/>
        </w:sectPr>
      </w:pPr>
    </w:p>
    <w:bookmarkStart w:id="1" w:name="page2"/>
    <w:bookmarkEnd w:id="1"/>
    <w:p>
      <w:pPr>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1"/>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1"/>
        </w:trPr>
        <w:tc>
          <w:tcPr>
            <w:tcW w:w="21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62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4" w:lineRule="exact"/>
        <w:rPr>
          <w:sz w:val="20"/>
          <w:szCs w:val="20"/>
          <w:color w:val="auto"/>
        </w:rPr>
      </w:pPr>
    </w:p>
    <w:p>
      <w:pPr>
        <w:jc w:val="both"/>
        <w:ind w:right="40"/>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49"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2139950</wp:posOffset>
            </wp:positionV>
            <wp:extent cx="714756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180"/>
          </w:cols>
          <w:pgMar w:left="320" w:top="532"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are filing this registration statement with the Securities and Exchange Commission (the “</w:t>
      </w:r>
      <w:r>
        <w:rPr>
          <w:rFonts w:ascii="Times New Roman" w:cs="Times New Roman" w:eastAsia="Times New Roman" w:hAnsi="Times New Roman"/>
          <w:sz w:val="16"/>
          <w:szCs w:val="16"/>
          <w:b w:val="1"/>
          <w:bCs w:val="1"/>
          <w:i w:val="1"/>
          <w:iCs w:val="1"/>
          <w:color w:val="auto"/>
        </w:rPr>
        <w:t>SEC</w:t>
      </w:r>
      <w:r>
        <w:rPr>
          <w:rFonts w:ascii="Times New Roman" w:cs="Times New Roman" w:eastAsia="Times New Roman" w:hAnsi="Times New Roman"/>
          <w:sz w:val="16"/>
          <w:szCs w:val="16"/>
          <w:color w:val="auto"/>
        </w:rPr>
        <w:t>”) using a “shelf” registration on Form S-3 (File No. 333-[______]).</w:t>
      </w:r>
    </w:p>
    <w:p>
      <w:pPr>
        <w:spacing w:after="0" w:line="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6"/>
          <w:szCs w:val="16"/>
          <w:color w:val="auto"/>
        </w:rPr>
        <w:t>Under this registered “shelf,” in the future, we may, from time to time, sell any combination of the securities described herein, in one or more offerings, up to a maximum aggregate offering price of $100,000,000.</w:t>
      </w:r>
    </w:p>
    <w:p>
      <w:pPr>
        <w:spacing w:after="0" w:line="161" w:lineRule="exact"/>
        <w:rPr>
          <w:sz w:val="20"/>
          <w:szCs w:val="20"/>
          <w:color w:val="auto"/>
        </w:rPr>
      </w:pPr>
    </w:p>
    <w:p>
      <w:pPr>
        <w:ind w:right="260" w:firstLine="289"/>
        <w:spacing w:after="0" w:line="267" w:lineRule="auto"/>
        <w:rPr>
          <w:sz w:val="20"/>
          <w:szCs w:val="20"/>
          <w:color w:val="auto"/>
        </w:rPr>
      </w:pPr>
      <w:r>
        <w:rPr>
          <w:rFonts w:ascii="Times New Roman" w:cs="Times New Roman" w:eastAsia="Times New Roman" w:hAnsi="Times New Roman"/>
          <w:sz w:val="16"/>
          <w:szCs w:val="16"/>
          <w:color w:val="auto"/>
        </w:rPr>
        <w:t>This registration statement contains a base prospectus, which covers the offering, issuance and sale by us of the securities identified therein from time to time in one or more offerings with a total value of up to $100,000,000. The specific terms of any securities to be offered pursuant to the base prospectus will be specified in a prospectus supplement to the base prospectus.</w:t>
      </w:r>
    </w:p>
    <w:p>
      <w:pPr>
        <w:spacing w:after="0" w:line="15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b w:val="1"/>
          <w:bCs w:val="1"/>
          <w:color w:val="DE1A1E"/>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2873375</wp:posOffset>
            </wp:positionV>
            <wp:extent cx="714756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DE1A1E"/>
        </w:rPr>
        <w:t>PRELIMINARY PROSPECTUS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DE1A1E"/>
        </w:rPr>
        <w:t>SUBJECT TO COMPLETION, DATED MAY 12, 2026</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SONO GROUP N.V.</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Up to $100,000,000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Ordinary Shares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Preferred Shares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Debt Securities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Rights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p>
      <w:pPr>
        <w:spacing w:after="0" w:line="184" w:lineRule="exact"/>
        <w:rPr>
          <w:sz w:val="20"/>
          <w:szCs w:val="20"/>
          <w:color w:val="auto"/>
        </w:rPr>
      </w:pPr>
    </w:p>
    <w:p>
      <w:pPr>
        <w:ind w:right="20" w:firstLine="289"/>
        <w:spacing w:after="0" w:line="261" w:lineRule="auto"/>
        <w:rPr>
          <w:sz w:val="20"/>
          <w:szCs w:val="20"/>
          <w:color w:val="auto"/>
        </w:rPr>
      </w:pPr>
      <w:r>
        <w:rPr>
          <w:rFonts w:ascii="Times New Roman" w:cs="Times New Roman" w:eastAsia="Times New Roman" w:hAnsi="Times New Roman"/>
          <w:sz w:val="16"/>
          <w:szCs w:val="16"/>
          <w:color w:val="auto"/>
        </w:rPr>
        <w:t>We may, from time to time in one or more offerings, offer and sell up to $100.0 million in the aggregate amount of our ordinary shares, nominal value €0.01 per share (“</w:t>
      </w:r>
      <w:r>
        <w:rPr>
          <w:rFonts w:ascii="Times New Roman" w:cs="Times New Roman" w:eastAsia="Times New Roman" w:hAnsi="Times New Roman"/>
          <w:sz w:val="16"/>
          <w:szCs w:val="16"/>
          <w:b w:val="1"/>
          <w:bCs w:val="1"/>
          <w:i w:val="1"/>
          <w:iCs w:val="1"/>
          <w:color w:val="auto"/>
        </w:rPr>
        <w:t>Ordinary Shares</w:t>
      </w:r>
      <w:r>
        <w:rPr>
          <w:rFonts w:ascii="Times New Roman" w:cs="Times New Roman" w:eastAsia="Times New Roman" w:hAnsi="Times New Roman"/>
          <w:sz w:val="16"/>
          <w:szCs w:val="16"/>
          <w:color w:val="auto"/>
        </w:rPr>
        <w:t>”), preferred shares, nominal value €300.00 per share (“</w:t>
      </w:r>
      <w:r>
        <w:rPr>
          <w:rFonts w:ascii="Times New Roman" w:cs="Times New Roman" w:eastAsia="Times New Roman" w:hAnsi="Times New Roman"/>
          <w:sz w:val="16"/>
          <w:szCs w:val="16"/>
          <w:b w:val="1"/>
          <w:bCs w:val="1"/>
          <w:i w:val="1"/>
          <w:iCs w:val="1"/>
          <w:color w:val="auto"/>
        </w:rPr>
        <w:t>Preferred Shares</w:t>
      </w:r>
      <w:r>
        <w:rPr>
          <w:rFonts w:ascii="Times New Roman" w:cs="Times New Roman" w:eastAsia="Times New Roman" w:hAnsi="Times New Roman"/>
          <w:sz w:val="16"/>
          <w:szCs w:val="16"/>
          <w:color w:val="auto"/>
        </w:rPr>
        <w:t>”), debt securities, warrants, rights and/or units, in one or more series or classes and in any combination, together or separately, in one or more offerings in amounts, at prices and on the terms that we will determine at the time of the offering and which will be set forth in a prospectus supplement to this prospectus and any related free writing prospectus.</w:t>
      </w:r>
    </w:p>
    <w:p>
      <w:pPr>
        <w:spacing w:after="0" w:line="162" w:lineRule="exact"/>
        <w:rPr>
          <w:sz w:val="20"/>
          <w:szCs w:val="20"/>
          <w:color w:val="auto"/>
        </w:rPr>
      </w:pPr>
    </w:p>
    <w:p>
      <w:pPr>
        <w:ind w:firstLine="289"/>
        <w:spacing w:after="0" w:line="254" w:lineRule="auto"/>
        <w:rPr>
          <w:sz w:val="20"/>
          <w:szCs w:val="20"/>
          <w:color w:val="auto"/>
        </w:rPr>
      </w:pPr>
      <w:r>
        <w:rPr>
          <w:rFonts w:ascii="Times New Roman" w:cs="Times New Roman" w:eastAsia="Times New Roman" w:hAnsi="Times New Roman"/>
          <w:sz w:val="16"/>
          <w:szCs w:val="16"/>
          <w:color w:val="auto"/>
        </w:rPr>
        <w:t xml:space="preserve">We may offer these securities separately or together in units. This prospectus provides a general description of the securities we may offer. Each time we sell securities described herein, we will provide the specific terms of the securities offered in one or more supplements to this prospectus. We will provide prospective investors with a supplement to this prospectus that will specify the terms of the securities being offered. We may also authorize one or more free writing prospectuses to be provided to you in connection with these offerings. We may sell these securities to or through underwriters or dealers and also to other purchasers or through agents. We will set forth the names of any underwriters or agents, and any fees, conversions, or discount arrangements, in the applicable prospectus supplement. For additional information on the methods of sale, you should refer to the section entitled “Plan of Distribution” in this prospectus and in the applicable prospectus supplement. The prospectus supplement and any related free writing prospectus may add, update or change information contained in this prospectus. Please read carefully this prospectus, the applicable prospectus supplement, any related free writing prospectus, and the documents incorporated by reference before you invest in any of our securities. We may not sell any securities under this prospectus without delivery of the applicable prospectus supplement. </w:t>
      </w:r>
      <w:r>
        <w:rPr>
          <w:rFonts w:ascii="Times New Roman" w:cs="Times New Roman" w:eastAsia="Times New Roman" w:hAnsi="Times New Roman"/>
          <w:sz w:val="16"/>
          <w:szCs w:val="16"/>
          <w:b w:val="1"/>
          <w:bCs w:val="1"/>
          <w:color w:val="auto"/>
        </w:rPr>
        <w:t>This prospectus may not be used to offer or sell any securities unless accompanied by the applicable prospectus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supplement.</w:t>
      </w:r>
    </w:p>
    <w:p>
      <w:pPr>
        <w:spacing w:after="0" w:line="169" w:lineRule="exact"/>
        <w:rPr>
          <w:sz w:val="20"/>
          <w:szCs w:val="20"/>
          <w:color w:val="auto"/>
        </w:rPr>
      </w:pPr>
    </w:p>
    <w:p>
      <w:pPr>
        <w:jc w:val="both"/>
        <w:ind w:right="80" w:firstLine="289"/>
        <w:spacing w:after="0" w:line="267" w:lineRule="auto"/>
        <w:rPr>
          <w:sz w:val="20"/>
          <w:szCs w:val="20"/>
          <w:color w:val="auto"/>
        </w:rPr>
      </w:pPr>
      <w:r>
        <w:rPr>
          <w:rFonts w:ascii="Times New Roman" w:cs="Times New Roman" w:eastAsia="Times New Roman" w:hAnsi="Times New Roman"/>
          <w:sz w:val="16"/>
          <w:szCs w:val="16"/>
          <w:color w:val="auto"/>
        </w:rPr>
        <w:t>You should read this prospectus and any prospectus supplement or amendment carefully before you invest in our securities. Our Ordinary Shares are listed on the Nasdaq Stock Market LLC (“</w:t>
      </w:r>
      <w:r>
        <w:rPr>
          <w:rFonts w:ascii="Times New Roman" w:cs="Times New Roman" w:eastAsia="Times New Roman" w:hAnsi="Times New Roman"/>
          <w:sz w:val="16"/>
          <w:szCs w:val="16"/>
          <w:b w:val="1"/>
          <w:bCs w:val="1"/>
          <w:i w:val="1"/>
          <w:iCs w:val="1"/>
          <w:color w:val="auto"/>
        </w:rPr>
        <w:t>Nasdaq</w:t>
      </w:r>
      <w:r>
        <w:rPr>
          <w:rFonts w:ascii="Times New Roman" w:cs="Times New Roman" w:eastAsia="Times New Roman" w:hAnsi="Times New Roman"/>
          <w:sz w:val="16"/>
          <w:szCs w:val="16"/>
          <w:color w:val="auto"/>
        </w:rPr>
        <w:t>”) and trade on the Nasdaq Capital Market (“</w:t>
      </w:r>
      <w:r>
        <w:rPr>
          <w:rFonts w:ascii="Times New Roman" w:cs="Times New Roman" w:eastAsia="Times New Roman" w:hAnsi="Times New Roman"/>
          <w:sz w:val="16"/>
          <w:szCs w:val="16"/>
          <w:b w:val="1"/>
          <w:bCs w:val="1"/>
          <w:i w:val="1"/>
          <w:iCs w:val="1"/>
          <w:color w:val="auto"/>
        </w:rPr>
        <w:t>Nasdaq-CM</w:t>
      </w:r>
      <w:r>
        <w:rPr>
          <w:rFonts w:ascii="Times New Roman" w:cs="Times New Roman" w:eastAsia="Times New Roman" w:hAnsi="Times New Roman"/>
          <w:sz w:val="16"/>
          <w:szCs w:val="16"/>
          <w:color w:val="auto"/>
        </w:rPr>
        <w:t>”) under the symbol “SSM”. On May 8, 2026, the closing price of our Ordinary Shares was $4.42.</w:t>
      </w:r>
    </w:p>
    <w:p>
      <w:pPr>
        <w:spacing w:after="0" w:line="152" w:lineRule="exact"/>
        <w:rPr>
          <w:sz w:val="20"/>
          <w:szCs w:val="20"/>
          <w:color w:val="auto"/>
        </w:rPr>
      </w:pPr>
    </w:p>
    <w:p>
      <w:pPr>
        <w:ind w:firstLine="289"/>
        <w:spacing w:after="0" w:line="295" w:lineRule="auto"/>
        <w:rPr>
          <w:sz w:val="20"/>
          <w:szCs w:val="20"/>
          <w:color w:val="auto"/>
        </w:rPr>
      </w:pPr>
      <w:r>
        <w:rPr>
          <w:rFonts w:ascii="Times New Roman" w:cs="Times New Roman" w:eastAsia="Times New Roman" w:hAnsi="Times New Roman"/>
          <w:sz w:val="15"/>
          <w:szCs w:val="15"/>
          <w:color w:val="auto"/>
        </w:rPr>
        <w:t>We are an “emerging growth company” as defined in Section 2(a) of the Securities Act of 1933, as amended (the “</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until December 31, 2026, and a “smaller reporting company” as defined in Item 10(f)(1) of Regulation S-K of the U.S. Securities and Exchange Commission (the “</w:t>
      </w:r>
      <w:r>
        <w:rPr>
          <w:rFonts w:ascii="Times New Roman" w:cs="Times New Roman" w:eastAsia="Times New Roman" w:hAnsi="Times New Roman"/>
          <w:sz w:val="15"/>
          <w:szCs w:val="15"/>
          <w:b w:val="1"/>
          <w:bCs w:val="1"/>
          <w:i w:val="1"/>
          <w:iCs w:val="1"/>
          <w:color w:val="auto"/>
        </w:rPr>
        <w:t>SEC</w:t>
      </w:r>
      <w:r>
        <w:rPr>
          <w:rFonts w:ascii="Times New Roman" w:cs="Times New Roman" w:eastAsia="Times New Roman" w:hAnsi="Times New Roman"/>
          <w:sz w:val="15"/>
          <w:szCs w:val="15"/>
          <w:color w:val="auto"/>
        </w:rPr>
        <w:t>”), and are subject to reduced public company reporting requirements. This prospectus complies with the requirements that apply to an issuer that is an emerging growth company and a smaller reporting company.</w:t>
      </w:r>
    </w:p>
    <w:p>
      <w:pPr>
        <w:spacing w:after="0" w:line="134"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16"/>
          <w:szCs w:val="16"/>
          <w:b w:val="1"/>
          <w:bCs w:val="1"/>
          <w:color w:val="auto"/>
        </w:rPr>
        <w:t>Investing in our securities involves a high degree of risk. You should review carefully the risks and uncertainties referenced under the heading “</w:t>
      </w:r>
      <w:r>
        <w:rPr>
          <w:rFonts w:ascii="Times New Roman" w:cs="Times New Roman" w:eastAsia="Times New Roman" w:hAnsi="Times New Roman"/>
          <w:sz w:val="16"/>
          <w:szCs w:val="16"/>
          <w:b w:val="1"/>
          <w:bCs w:val="1"/>
          <w:i w:val="1"/>
          <w:iCs w:val="1"/>
          <w:u w:val="single" w:color="auto"/>
          <w:color w:val="0000EE"/>
        </w:rPr>
        <w:t>Risk Factors</w:t>
      </w:r>
      <w:r>
        <w:rPr>
          <w:rFonts w:ascii="Times New Roman" w:cs="Times New Roman" w:eastAsia="Times New Roman" w:hAnsi="Times New Roman"/>
          <w:sz w:val="16"/>
          <w:szCs w:val="16"/>
          <w:b w:val="1"/>
          <w:bCs w:val="1"/>
          <w:color w:val="auto"/>
        </w:rPr>
        <w:t>” contained in this prospectus beginning on page 6 and any applicable prospectus supplement, and under similar headings in the other documents that are incorporated by reference into this prospectus. You should read the entire prospectus carefully before you make your investment decision.</w:t>
      </w:r>
    </w:p>
    <w:p>
      <w:pPr>
        <w:spacing w:after="0" w:line="153" w:lineRule="exact"/>
        <w:rPr>
          <w:sz w:val="20"/>
          <w:szCs w:val="20"/>
          <w:color w:val="auto"/>
        </w:rPr>
      </w:pPr>
    </w:p>
    <w:p>
      <w:pPr>
        <w:ind w:right="560"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Neither the SEC nor any other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1475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date of this prospectus is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345440</wp:posOffset>
            </wp:positionV>
            <wp:extent cx="714756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565"/>
        </w:trPr>
        <w:tc>
          <w:tcPr>
            <w:tcW w:w="20" w:type="dxa"/>
            <w:vAlign w:val="bottom"/>
          </w:tcPr>
          <w:p>
            <w:pPr>
              <w:spacing w:after="0"/>
              <w:rPr>
                <w:sz w:val="24"/>
                <w:szCs w:val="24"/>
                <w:color w:val="auto"/>
              </w:rPr>
            </w:pPr>
          </w:p>
        </w:tc>
        <w:tc>
          <w:tcPr>
            <w:tcW w:w="1014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ABOUT THIS PROSPECTUS</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1</w:t>
            </w:r>
          </w:p>
        </w:tc>
        <w:tc>
          <w:tcPr>
            <w:tcW w:w="9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014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CAUTIONARY NOTE REGARDING FORWARD-LOOKING STATEMENTS</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2</w:t>
            </w:r>
          </w:p>
        </w:tc>
        <w:tc>
          <w:tcPr>
            <w:tcW w:w="9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51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6"/>
                <w:szCs w:val="16"/>
                <w:color w:val="0000EE"/>
              </w:rPr>
              <w:t>OUR COMPANY</w:t>
            </w:r>
          </w:p>
        </w:tc>
        <w:tc>
          <w:tcPr>
            <w:tcW w:w="5000" w:type="dxa"/>
            <w:vAlign w:val="bottom"/>
          </w:tcPr>
          <w:p>
            <w:pPr>
              <w:spacing w:after="0"/>
              <w:rPr>
                <w:sz w:val="24"/>
                <w:szCs w:val="24"/>
                <w:color w:val="auto"/>
              </w:rPr>
            </w:pPr>
          </w:p>
        </w:tc>
        <w:tc>
          <w:tcPr>
            <w:tcW w:w="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74"/>
              </w:rPr>
              <w:t>3</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1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RISK FACTORS</w:t>
            </w:r>
          </w:p>
        </w:tc>
        <w:tc>
          <w:tcPr>
            <w:tcW w:w="8980" w:type="dxa"/>
            <w:vAlign w:val="bottom"/>
            <w:gridSpan w:val="15"/>
          </w:tcPr>
          <w:p>
            <w:pPr>
              <w:spacing w:after="0"/>
              <w:rPr>
                <w:sz w:val="24"/>
                <w:szCs w:val="24"/>
                <w:color w:val="auto"/>
              </w:rPr>
            </w:pPr>
          </w:p>
        </w:tc>
        <w:tc>
          <w:tcPr>
            <w:tcW w:w="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74"/>
              </w:rPr>
              <w:t>6</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014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USE OF PROCEEDS</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7</w:t>
            </w:r>
          </w:p>
        </w:tc>
        <w:tc>
          <w:tcPr>
            <w:tcW w:w="9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1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6"/>
                <w:szCs w:val="16"/>
                <w:color w:val="0000EE"/>
                <w:w w:val="98"/>
              </w:rPr>
              <w:t>SECURITIES WE MAY OFFER</w:t>
            </w:r>
          </w:p>
        </w:tc>
        <w:tc>
          <w:tcPr>
            <w:tcW w:w="8000" w:type="dxa"/>
            <w:vAlign w:val="bottom"/>
            <w:gridSpan w:val="8"/>
          </w:tcPr>
          <w:p>
            <w:pPr>
              <w:spacing w:after="0"/>
              <w:rPr>
                <w:sz w:val="24"/>
                <w:szCs w:val="24"/>
                <w:color w:val="auto"/>
              </w:rPr>
            </w:pPr>
          </w:p>
        </w:tc>
        <w:tc>
          <w:tcPr>
            <w:tcW w:w="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74"/>
              </w:rPr>
              <w:t>8</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014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DESCRIPTION OF CAPITAL STOCK</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9</w:t>
            </w:r>
          </w:p>
        </w:tc>
        <w:tc>
          <w:tcPr>
            <w:tcW w:w="9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014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DESCRIPTION OF DEBT SECURITIES</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87"/>
              </w:rPr>
              <w:t>16</w:t>
            </w:r>
          </w:p>
        </w:tc>
        <w:tc>
          <w:tcPr>
            <w:tcW w:w="9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268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6"/>
                <w:szCs w:val="16"/>
                <w:color w:val="0000EE"/>
              </w:rPr>
              <w:t>DESCRIPTION OF WARRANTS</w:t>
            </w:r>
          </w:p>
        </w:tc>
        <w:tc>
          <w:tcPr>
            <w:tcW w:w="7460" w:type="dxa"/>
            <w:vAlign w:val="bottom"/>
            <w:gridSpan w:val="5"/>
          </w:tcPr>
          <w:p>
            <w:pPr>
              <w:spacing w:after="0"/>
              <w:rPr>
                <w:sz w:val="24"/>
                <w:szCs w:val="24"/>
                <w:color w:val="auto"/>
              </w:rPr>
            </w:pPr>
          </w:p>
        </w:tc>
        <w:tc>
          <w:tcPr>
            <w:tcW w:w="1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87"/>
              </w:rPr>
              <w:t>21</w:t>
            </w:r>
          </w:p>
        </w:tc>
        <w:tc>
          <w:tcPr>
            <w:tcW w:w="9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22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rPr>
              <w:t>DESCRIPTION OF RIGHTS</w:t>
            </w:r>
          </w:p>
        </w:tc>
        <w:tc>
          <w:tcPr>
            <w:tcW w:w="7940" w:type="dxa"/>
            <w:vAlign w:val="bottom"/>
            <w:gridSpan w:val="7"/>
          </w:tcPr>
          <w:p>
            <w:pPr>
              <w:spacing w:after="0"/>
              <w:rPr>
                <w:sz w:val="24"/>
                <w:szCs w:val="24"/>
                <w:color w:val="auto"/>
              </w:rPr>
            </w:pPr>
          </w:p>
        </w:tc>
        <w:tc>
          <w:tcPr>
            <w:tcW w:w="1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87"/>
              </w:rPr>
              <w:t>23</w:t>
            </w:r>
          </w:p>
        </w:tc>
        <w:tc>
          <w:tcPr>
            <w:tcW w:w="940" w:type="dxa"/>
            <w:vAlign w:val="bottom"/>
          </w:tcPr>
          <w:p>
            <w:pPr>
              <w:spacing w:after="0"/>
              <w:rPr>
                <w:sz w:val="24"/>
                <w:szCs w:val="24"/>
                <w:color w:val="auto"/>
              </w:rPr>
            </w:pPr>
          </w:p>
        </w:tc>
      </w:tr>
      <w:tr>
        <w:trPr>
          <w:trHeight w:val="461"/>
        </w:trPr>
        <w:tc>
          <w:tcPr>
            <w:tcW w:w="2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w w:val="99"/>
              </w:rPr>
              <w:t>DESCRIPTION OF UNITS</w:t>
            </w:r>
          </w:p>
        </w:tc>
        <w:tc>
          <w:tcPr>
            <w:tcW w:w="100" w:type="dxa"/>
            <w:vAlign w:val="bottom"/>
            <w:tcBorders>
              <w:top w:val="single" w:sz="8" w:color="0000EE"/>
            </w:tcBorders>
            <w:gridSpan w:val="2"/>
          </w:tcPr>
          <w:p>
            <w:pPr>
              <w:spacing w:after="0"/>
              <w:rPr>
                <w:sz w:val="24"/>
                <w:szCs w:val="24"/>
                <w:color w:val="auto"/>
              </w:rPr>
            </w:pPr>
          </w:p>
        </w:tc>
        <w:tc>
          <w:tcPr>
            <w:tcW w:w="8240" w:type="dxa"/>
            <w:vAlign w:val="bottom"/>
            <w:gridSpan w:val="10"/>
          </w:tcPr>
          <w:p>
            <w:pPr>
              <w:spacing w:after="0"/>
              <w:rPr>
                <w:sz w:val="24"/>
                <w:szCs w:val="24"/>
                <w:color w:val="auto"/>
              </w:rPr>
            </w:pPr>
          </w:p>
        </w:tc>
        <w:tc>
          <w:tcPr>
            <w:tcW w:w="1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87"/>
              </w:rPr>
              <w:t>24</w:t>
            </w:r>
          </w:p>
        </w:tc>
        <w:tc>
          <w:tcPr>
            <w:tcW w:w="9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43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w w:val="98"/>
              </w:rPr>
              <w:t>MATERIAL U.S. FEDERAL INCOME TAX CONSIDERATIONS</w:t>
            </w:r>
          </w:p>
        </w:tc>
        <w:tc>
          <w:tcPr>
            <w:tcW w:w="5800" w:type="dxa"/>
            <w:vAlign w:val="bottom"/>
            <w:gridSpan w:val="2"/>
          </w:tcPr>
          <w:p>
            <w:pPr>
              <w:spacing w:after="0"/>
              <w:rPr>
                <w:sz w:val="24"/>
                <w:szCs w:val="24"/>
                <w:color w:val="auto"/>
              </w:rPr>
            </w:pPr>
          </w:p>
        </w:tc>
        <w:tc>
          <w:tcPr>
            <w:tcW w:w="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87"/>
              </w:rPr>
              <w:t>27</w:t>
            </w:r>
          </w:p>
        </w:tc>
        <w:tc>
          <w:tcPr>
            <w:tcW w:w="9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014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PLAN OF DISTRIBUTION</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87"/>
              </w:rPr>
              <w:t>28</w:t>
            </w:r>
          </w:p>
        </w:tc>
        <w:tc>
          <w:tcPr>
            <w:tcW w:w="9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7"/>
              </w:rPr>
              <w:t>LEGAL MATTERS</w:t>
            </w:r>
          </w:p>
        </w:tc>
        <w:tc>
          <w:tcPr>
            <w:tcW w:w="520" w:type="dxa"/>
            <w:vAlign w:val="bottom"/>
            <w:tcBorders>
              <w:top w:val="single" w:sz="8" w:color="0000EE"/>
            </w:tcBorders>
            <w:gridSpan w:val="3"/>
          </w:tcPr>
          <w:p>
            <w:pPr>
              <w:spacing w:after="0"/>
              <w:rPr>
                <w:sz w:val="24"/>
                <w:szCs w:val="24"/>
                <w:color w:val="auto"/>
              </w:rPr>
            </w:pPr>
          </w:p>
        </w:tc>
        <w:tc>
          <w:tcPr>
            <w:tcW w:w="8320" w:type="dxa"/>
            <w:vAlign w:val="bottom"/>
            <w:gridSpan w:val="11"/>
          </w:tcPr>
          <w:p>
            <w:pPr>
              <w:spacing w:after="0"/>
              <w:rPr>
                <w:sz w:val="24"/>
                <w:szCs w:val="24"/>
                <w:color w:val="auto"/>
              </w:rPr>
            </w:pPr>
          </w:p>
        </w:tc>
        <w:tc>
          <w:tcPr>
            <w:tcW w:w="1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87"/>
              </w:rPr>
              <w:t>31</w:t>
            </w:r>
          </w:p>
        </w:tc>
        <w:tc>
          <w:tcPr>
            <w:tcW w:w="9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014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EXPERTS</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87"/>
              </w:rPr>
              <w:t>31</w:t>
            </w:r>
          </w:p>
        </w:tc>
        <w:tc>
          <w:tcPr>
            <w:tcW w:w="9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2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4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w w:val="99"/>
              </w:rPr>
              <w:t>WHERE YOU CAN FIND MORE INFORMATION</w:t>
            </w:r>
          </w:p>
        </w:tc>
        <w:tc>
          <w:tcPr>
            <w:tcW w:w="6740" w:type="dxa"/>
            <w:vAlign w:val="bottom"/>
            <w:gridSpan w:val="4"/>
          </w:tcPr>
          <w:p>
            <w:pPr>
              <w:spacing w:after="0"/>
              <w:rPr>
                <w:sz w:val="24"/>
                <w:szCs w:val="24"/>
                <w:color w:val="auto"/>
              </w:rPr>
            </w:pPr>
          </w:p>
        </w:tc>
        <w:tc>
          <w:tcPr>
            <w:tcW w:w="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87"/>
              </w:rPr>
              <w:t>31</w:t>
            </w:r>
          </w:p>
        </w:tc>
        <w:tc>
          <w:tcPr>
            <w:tcW w:w="9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014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INFORMATION INCORPORATED BY REFERENCE</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87"/>
              </w:rPr>
              <w:t>32</w:t>
            </w:r>
          </w:p>
        </w:tc>
        <w:tc>
          <w:tcPr>
            <w:tcW w:w="940" w:type="dxa"/>
            <w:vAlign w:val="bottom"/>
          </w:tcPr>
          <w:p>
            <w:pPr>
              <w:spacing w:after="0"/>
              <w:rPr>
                <w:sz w:val="24"/>
                <w:szCs w:val="24"/>
                <w:color w:val="auto"/>
              </w:rPr>
            </w:pPr>
          </w:p>
        </w:tc>
      </w:tr>
      <w:tr>
        <w:trPr>
          <w:trHeight w:val="1122"/>
        </w:trPr>
        <w:tc>
          <w:tcPr>
            <w:tcW w:w="2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r>
      <w:tr>
        <w:trPr>
          <w:trHeight w:val="60"/>
        </w:trPr>
        <w:tc>
          <w:tcPr>
            <w:tcW w:w="2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50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r>
    </w:tbl>
    <w:p>
      <w:pPr>
        <w:sectPr>
          <w:pgSz w:w="11900" w:h="16838" w:orient="portrait"/>
          <w:cols w:equalWidth="0" w:num="1">
            <w:col w:w="11260"/>
          </w:cols>
          <w:pgMar w:left="320" w:top="530"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203" w:lineRule="exact"/>
        <w:rPr>
          <w:sz w:val="20"/>
          <w:szCs w:val="20"/>
          <w:color w:val="auto"/>
        </w:rPr>
      </w:pPr>
    </w:p>
    <w:p>
      <w:pPr>
        <w:ind w:right="120" w:firstLine="289"/>
        <w:spacing w:after="0" w:line="261" w:lineRule="auto"/>
        <w:rPr>
          <w:sz w:val="20"/>
          <w:szCs w:val="20"/>
          <w:color w:val="auto"/>
        </w:rPr>
      </w:pPr>
      <w:r>
        <w:rPr>
          <w:rFonts w:ascii="Times New Roman" w:cs="Times New Roman" w:eastAsia="Times New Roman" w:hAnsi="Times New Roman"/>
          <w:sz w:val="16"/>
          <w:szCs w:val="16"/>
          <w:color w:val="auto"/>
        </w:rPr>
        <w:t>This prospectus is part of a registration statement on Form S-3 that we filed with the Securities and Exchange Commission, or the SEC, under the Securities Act of 1933, as amended (the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using the “shelf” registration process for the offering and sale of securities pursuant to Rule 415 under the Securities Act. Under this shelf registration process, we may, from time to time, offer and sell any combination of the securities described in this prospectus in one or more offerings, up to a total dollar amount of $100.0 million.</w:t>
      </w:r>
    </w:p>
    <w:p>
      <w:pPr>
        <w:spacing w:after="0" w:line="162" w:lineRule="exact"/>
        <w:rPr>
          <w:sz w:val="20"/>
          <w:szCs w:val="20"/>
          <w:color w:val="auto"/>
        </w:rPr>
      </w:pPr>
    </w:p>
    <w:p>
      <w:pPr>
        <w:ind w:right="60" w:firstLine="289"/>
        <w:spacing w:after="0" w:line="257" w:lineRule="auto"/>
        <w:rPr>
          <w:sz w:val="20"/>
          <w:szCs w:val="20"/>
          <w:color w:val="auto"/>
        </w:rPr>
      </w:pPr>
      <w:r>
        <w:rPr>
          <w:rFonts w:ascii="Times New Roman" w:cs="Times New Roman" w:eastAsia="Times New Roman" w:hAnsi="Times New Roman"/>
          <w:sz w:val="16"/>
          <w:szCs w:val="16"/>
          <w:color w:val="auto"/>
        </w:rPr>
        <w:t>This prospectus provides a general description of the securities we may offer. Each time we sell securities under this prospectus, we will, to the extent required by law, provide a prospectus supplement that will contain specific information about the terms of that offering. We may also authorize one or more free writing prospectuses to be provided to you that may contain material information relating to a particular offering. The prospectus supplement and any related free writing prospectus may also add, update or change information contained in this prospectus or in any documents that we have incorporated by reference into this prospectus. To the extent there is a conflict between any statement contained in this prospectus, any applicable prospectus supplement, any related free writing prospectus or any document incorporated by reference into this prospectus, the statement in the document having the later date modifies or supersedes the earlier statement.</w:t>
      </w:r>
    </w:p>
    <w:p>
      <w:pPr>
        <w:spacing w:after="0" w:line="165" w:lineRule="exact"/>
        <w:rPr>
          <w:sz w:val="20"/>
          <w:szCs w:val="20"/>
          <w:color w:val="auto"/>
        </w:rPr>
      </w:pPr>
    </w:p>
    <w:p>
      <w:pPr>
        <w:ind w:firstLine="289"/>
        <w:spacing w:after="0" w:line="261" w:lineRule="auto"/>
        <w:rPr>
          <w:sz w:val="20"/>
          <w:szCs w:val="20"/>
          <w:color w:val="auto"/>
        </w:rPr>
      </w:pPr>
      <w:r>
        <w:rPr>
          <w:rFonts w:ascii="Times New Roman" w:cs="Times New Roman" w:eastAsia="Times New Roman" w:hAnsi="Times New Roman"/>
          <w:sz w:val="16"/>
          <w:szCs w:val="16"/>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the time of any sale of a security. Our business, financial condition, results of operations and prospects may have changed since those dates.</w:t>
      </w:r>
    </w:p>
    <w:p>
      <w:pPr>
        <w:spacing w:after="0" w:line="162" w:lineRule="exact"/>
        <w:rPr>
          <w:sz w:val="20"/>
          <w:szCs w:val="20"/>
          <w:color w:val="auto"/>
        </w:rPr>
      </w:pPr>
    </w:p>
    <w:p>
      <w:pPr>
        <w:ind w:right="320" w:firstLine="289"/>
        <w:spacing w:after="0" w:line="292" w:lineRule="auto"/>
        <w:rPr>
          <w:sz w:val="20"/>
          <w:szCs w:val="20"/>
          <w:color w:val="auto"/>
        </w:rPr>
      </w:pPr>
      <w:r>
        <w:rPr>
          <w:rFonts w:ascii="Times New Roman" w:cs="Times New Roman" w:eastAsia="Times New Roman" w:hAnsi="Times New Roman"/>
          <w:sz w:val="15"/>
          <w:szCs w:val="15"/>
          <w:color w:val="auto"/>
        </w:rPr>
        <w:t>You may rely only on the information contained in, or incorporated by reference into, this prospectus and any applicable prospectus supplement, or the information contained in any free writing prospectus we have authorized for use in connection with a specific offering. We have not authorized anyone to provide you with different or additional information. This prospectus is an offer to sell only the securities offered hereby, but only under circumstances and in jurisdictions where it is lawful to do so.</w:t>
      </w:r>
    </w:p>
    <w:p>
      <w:pPr>
        <w:spacing w:after="0" w:line="140" w:lineRule="exact"/>
        <w:rPr>
          <w:sz w:val="20"/>
          <w:szCs w:val="20"/>
          <w:color w:val="auto"/>
        </w:rPr>
      </w:pPr>
    </w:p>
    <w:p>
      <w:pPr>
        <w:ind w:right="200" w:firstLine="289"/>
        <w:spacing w:after="0" w:line="261" w:lineRule="auto"/>
        <w:rPr>
          <w:sz w:val="20"/>
          <w:szCs w:val="20"/>
          <w:color w:val="auto"/>
        </w:rPr>
      </w:pPr>
      <w:r>
        <w:rPr>
          <w:rFonts w:ascii="Times New Roman" w:cs="Times New Roman" w:eastAsia="Times New Roman" w:hAnsi="Times New Roman"/>
          <w:sz w:val="16"/>
          <w:szCs w:val="16"/>
          <w:color w:val="auto"/>
        </w:rPr>
        <w:t>As permitted by SEC rules and regulations, the registration statement of which this prospectus forms a part includes additional information not contained in this prospectus. This prospectus also contains summaries of certain provisions of the documents described herein, but all summaries are qualified in their entirety by reference to the actual documents. You may read the registration statement and the other reports we file with the SEC, and you may obtain copies of the actual documents summarized herein (if and when filed with the SEC), at the SEC’s website or at its offices described in the section of this prospectus titled “</w:t>
      </w:r>
      <w:r>
        <w:rPr>
          <w:rFonts w:ascii="Times New Roman" w:cs="Times New Roman" w:eastAsia="Times New Roman" w:hAnsi="Times New Roman"/>
          <w:sz w:val="16"/>
          <w:szCs w:val="16"/>
          <w:i w:val="1"/>
          <w:iCs w:val="1"/>
          <w:color w:val="auto"/>
        </w:rPr>
        <w:t>Where You Can Find More Information</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right="60" w:firstLine="289"/>
        <w:spacing w:after="0" w:line="254" w:lineRule="auto"/>
        <w:rPr>
          <w:sz w:val="20"/>
          <w:szCs w:val="20"/>
          <w:color w:val="auto"/>
        </w:rPr>
      </w:pPr>
      <w:r>
        <w:rPr>
          <w:rFonts w:ascii="Times New Roman" w:cs="Times New Roman" w:eastAsia="Times New Roman" w:hAnsi="Times New Roman"/>
          <w:sz w:val="16"/>
          <w:szCs w:val="16"/>
          <w:color w:val="auto"/>
        </w:rPr>
        <w:t>Sono Group N.V. was incorporated on October 23, 2020 (at that time as a Dutch limited liability company (</w:t>
      </w:r>
      <w:r>
        <w:rPr>
          <w:rFonts w:ascii="Times New Roman" w:cs="Times New Roman" w:eastAsia="Times New Roman" w:hAnsi="Times New Roman"/>
          <w:sz w:val="16"/>
          <w:szCs w:val="16"/>
          <w:i w:val="1"/>
          <w:iCs w:val="1"/>
          <w:color w:val="auto"/>
        </w:rPr>
        <w:t>besloten vennootschap met beperkte aansprakelijkheid</w:t>
      </w:r>
      <w:r>
        <w:rPr>
          <w:rFonts w:ascii="Times New Roman" w:cs="Times New Roman" w:eastAsia="Times New Roman" w:hAnsi="Times New Roman"/>
          <w:sz w:val="16"/>
          <w:szCs w:val="16"/>
          <w:color w:val="auto"/>
        </w:rPr>
        <w:t>) named Sono Motors Finance B.V.), pursuant to the laws of the Netherlands, as a wholly owned subsidiary of Sono Motors GmbH, a German limited liability company (</w:t>
      </w:r>
      <w:r>
        <w:rPr>
          <w:rFonts w:ascii="Times New Roman" w:cs="Times New Roman" w:eastAsia="Times New Roman" w:hAnsi="Times New Roman"/>
          <w:sz w:val="16"/>
          <w:szCs w:val="16"/>
          <w:i w:val="1"/>
          <w:iCs w:val="1"/>
          <w:color w:val="auto"/>
        </w:rPr>
        <w:t>Gesellschaft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mit beschränkter Haftung</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i w:val="1"/>
          <w:iCs w:val="1"/>
          <w:color w:val="auto"/>
        </w:rPr>
        <w:t>Subsidiary</w:t>
      </w:r>
      <w:r>
        <w:rPr>
          <w:rFonts w:ascii="Times New Roman" w:cs="Times New Roman" w:eastAsia="Times New Roman" w:hAnsi="Times New Roman"/>
          <w:sz w:val="16"/>
          <w:szCs w:val="16"/>
          <w:color w:val="auto"/>
        </w:rPr>
        <w:t>”). On November 27, 2020, as part of a corporate reorganization, our then-existing shareholders contributed all of their shares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Subsidiary to Sono Motors Finance B.V. in exchange for newly issued common shares of Sono Motors Finance B.V. In addition, the sole issued and outstanding common share in Sono Motors Finance B.V. at that time, which was held by the Subsidiary, was cancelled (</w:t>
      </w:r>
      <w:r>
        <w:rPr>
          <w:rFonts w:ascii="Times New Roman" w:cs="Times New Roman" w:eastAsia="Times New Roman" w:hAnsi="Times New Roman"/>
          <w:sz w:val="16"/>
          <w:szCs w:val="16"/>
          <w:i w:val="1"/>
          <w:iCs w:val="1"/>
          <w:color w:val="auto"/>
        </w:rPr>
        <w:t>ingetrokken</w:t>
      </w:r>
      <w:r>
        <w:rPr>
          <w:rFonts w:ascii="Times New Roman" w:cs="Times New Roman" w:eastAsia="Times New Roman" w:hAnsi="Times New Roman"/>
          <w:sz w:val="16"/>
          <w:szCs w:val="16"/>
          <w:color w:val="auto"/>
        </w:rPr>
        <w:t>). As a result, the Subsidiary became a wholly owned subsidiary of Sono Motors Finance B.V. and the then-existing shareholders of the Subsidiary became the shareholders of Sono Motors Finance B.V. Also on November 27, 2020, Sono Motors Finance B.V. was converted into a public company with limited liability under Dutch law (</w:t>
      </w:r>
      <w:r>
        <w:rPr>
          <w:rFonts w:ascii="Times New Roman" w:cs="Times New Roman" w:eastAsia="Times New Roman" w:hAnsi="Times New Roman"/>
          <w:sz w:val="16"/>
          <w:szCs w:val="16"/>
          <w:i w:val="1"/>
          <w:iCs w:val="1"/>
          <w:color w:val="auto"/>
        </w:rPr>
        <w:t>naamloze vennootschap</w:t>
      </w:r>
      <w:r>
        <w:rPr>
          <w:rFonts w:ascii="Times New Roman" w:cs="Times New Roman" w:eastAsia="Times New Roman" w:hAnsi="Times New Roman"/>
          <w:sz w:val="16"/>
          <w:szCs w:val="16"/>
          <w:color w:val="auto"/>
        </w:rPr>
        <w:t>), and changed its legal name from Sono Motors Finance B.V. to Sono Group N.V. (the “</w:t>
      </w:r>
      <w:r>
        <w:rPr>
          <w:rFonts w:ascii="Times New Roman" w:cs="Times New Roman" w:eastAsia="Times New Roman" w:hAnsi="Times New Roman"/>
          <w:sz w:val="16"/>
          <w:szCs w:val="16"/>
          <w:b w:val="1"/>
          <w:bCs w:val="1"/>
          <w:i w:val="1"/>
          <w:iCs w:val="1"/>
          <w:color w:val="auto"/>
        </w:rPr>
        <w:t>Conversion</w:t>
      </w:r>
      <w:r>
        <w:rPr>
          <w:rFonts w:ascii="Times New Roman" w:cs="Times New Roman" w:eastAsia="Times New Roman" w:hAnsi="Times New Roman"/>
          <w:sz w:val="16"/>
          <w:szCs w:val="16"/>
          <w:color w:val="auto"/>
        </w:rPr>
        <w:t>”). Following the Conversion, Sono Group N.V. will be referred to as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i w:val="1"/>
          <w:iCs w:val="1"/>
          <w:color w:val="auto"/>
        </w:rPr>
        <w:t>Sono N.V.</w:t>
      </w:r>
      <w:r>
        <w:rPr>
          <w:rFonts w:ascii="Times New Roman" w:cs="Times New Roman" w:eastAsia="Times New Roman" w:hAnsi="Times New Roman"/>
          <w:sz w:val="16"/>
          <w:szCs w:val="16"/>
          <w:color w:val="auto"/>
        </w:rPr>
        <w:t>” Unless the context indicates otherwise, references in this prospectus to the “Company,” “Sono N.V.,” “we,” “us,” “our” and similar terms refer to Sono Group N.V. (f/k/a Sono Motors Finance B.V.).</w:t>
      </w:r>
    </w:p>
    <w:p>
      <w:pPr>
        <w:spacing w:after="0" w:line="169" w:lineRule="exact"/>
        <w:rPr>
          <w:sz w:val="20"/>
          <w:szCs w:val="20"/>
          <w:color w:val="auto"/>
        </w:rPr>
      </w:pPr>
    </w:p>
    <w:p>
      <w:pPr>
        <w:ind w:right="220"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THIS PROSPECTUS MAY NOT BE USED TO OFFER AND SELL SECURITIES UNLESS IT IS ACCOMPANIED BY AN ADDITIONAL PROSPECTUS OR A PROSPECTUS SUPPLEMENT.</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0" w:right="319" w:bottom="1440" w:gutter="0" w:footer="0" w:header="0"/>
        </w:sectPr>
      </w:pPr>
    </w:p>
    <w:bookmarkStart w:id="6" w:name="page7"/>
    <w:bookmarkEnd w:id="6"/>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03" w:lineRule="exact"/>
        <w:rPr>
          <w:sz w:val="20"/>
          <w:szCs w:val="20"/>
          <w:color w:val="auto"/>
        </w:rPr>
      </w:pPr>
    </w:p>
    <w:p>
      <w:pPr>
        <w:ind w:left="4" w:right="80" w:firstLine="289"/>
        <w:spacing w:after="0" w:line="254" w:lineRule="auto"/>
        <w:rPr>
          <w:sz w:val="20"/>
          <w:szCs w:val="20"/>
          <w:color w:val="auto"/>
        </w:rPr>
      </w:pPr>
      <w:r>
        <w:rPr>
          <w:rFonts w:ascii="Times New Roman" w:cs="Times New Roman" w:eastAsia="Times New Roman" w:hAnsi="Times New Roman"/>
          <w:sz w:val="16"/>
          <w:szCs w:val="16"/>
          <w:color w:val="auto"/>
        </w:rPr>
        <w:t>This prospectus contains certain forward-looking statements within the meaning of the Private Securities Litigation Reform Act of 1995 that relate to our current expectations and views of future events. We intend for such forward-looking statements to be covered by the safe harbor provisions for forward-looking statements contained in Section 27A of the Securities Act and Section 21E of the Exchange Act. These forward-looking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 When used in this prospectus, the words “believe,” “may,” “might,” “could,” “will,” “estimate,” “continue,” “anticipate,” “intend,” “expect,” “indicate,” “seek,” “should,” “plan,” “potential,” “is/are likely to,” “would,” and similar expressions (including the negative of any of the foregoing) are intended to identify forward-looking statements, though not all forward-looking statements contain these identifying words.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These forward-looking statements include, without limitation, statements about the following matters:</w:t>
      </w:r>
    </w:p>
    <w:p>
      <w:pPr>
        <w:spacing w:after="0" w:line="167" w:lineRule="exact"/>
        <w:rPr>
          <w:sz w:val="20"/>
          <w:szCs w:val="20"/>
          <w:color w:val="auto"/>
        </w:rPr>
      </w:pPr>
    </w:p>
    <w:p>
      <w:pPr>
        <w:ind w:left="1244" w:hanging="282"/>
        <w:spacing w:after="0"/>
        <w:tabs>
          <w:tab w:leader="none" w:pos="1244" w:val="left"/>
        </w:tabs>
        <w:numPr>
          <w:ilvl w:val="0"/>
          <w:numId w:val="1"/>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ability to comply with the continuing standards of the Nasdaq-CM;</w:t>
      </w:r>
    </w:p>
    <w:p>
      <w:pPr>
        <w:spacing w:after="0" w:line="24" w:lineRule="exact"/>
        <w:rPr>
          <w:rFonts w:ascii="Arial" w:cs="Arial" w:eastAsia="Arial" w:hAnsi="Arial"/>
          <w:sz w:val="16"/>
          <w:szCs w:val="16"/>
          <w:b w:val="1"/>
          <w:bCs w:val="1"/>
          <w:color w:val="auto"/>
        </w:rPr>
      </w:pPr>
    </w:p>
    <w:p>
      <w:pPr>
        <w:ind w:left="1244" w:hanging="282"/>
        <w:spacing w:after="0"/>
        <w:tabs>
          <w:tab w:leader="none" w:pos="1244" w:val="left"/>
        </w:tabs>
        <w:numPr>
          <w:ilvl w:val="0"/>
          <w:numId w:val="1"/>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strategies, plan, objectives and goals;</w:t>
      </w:r>
    </w:p>
    <w:p>
      <w:pPr>
        <w:spacing w:after="0" w:line="7" w:lineRule="exact"/>
        <w:rPr>
          <w:rFonts w:ascii="Arial" w:cs="Arial" w:eastAsia="Arial" w:hAnsi="Arial"/>
          <w:sz w:val="16"/>
          <w:szCs w:val="16"/>
          <w:b w:val="1"/>
          <w:bCs w:val="1"/>
          <w:color w:val="auto"/>
        </w:rPr>
      </w:pPr>
    </w:p>
    <w:p>
      <w:pPr>
        <w:ind w:left="1244" w:hanging="282"/>
        <w:spacing w:after="0"/>
        <w:tabs>
          <w:tab w:leader="none" w:pos="1244" w:val="left"/>
        </w:tabs>
        <w:numPr>
          <w:ilvl w:val="0"/>
          <w:numId w:val="1"/>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expectations regarding the development of our industry, market size and the regulatory and competitive environment in which we operate;</w:t>
      </w:r>
    </w:p>
    <w:p>
      <w:pPr>
        <w:spacing w:after="0" w:line="7" w:lineRule="exact"/>
        <w:rPr>
          <w:rFonts w:ascii="Arial" w:cs="Arial" w:eastAsia="Arial" w:hAnsi="Arial"/>
          <w:sz w:val="16"/>
          <w:szCs w:val="16"/>
          <w:b w:val="1"/>
          <w:bCs w:val="1"/>
          <w:color w:val="auto"/>
        </w:rPr>
      </w:pPr>
    </w:p>
    <w:p>
      <w:pPr>
        <w:ind w:left="1244" w:hanging="282"/>
        <w:spacing w:after="0"/>
        <w:tabs>
          <w:tab w:leader="none" w:pos="1244" w:val="left"/>
        </w:tabs>
        <w:numPr>
          <w:ilvl w:val="0"/>
          <w:numId w:val="1"/>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expectations and beliefs regarding accounting and tax matters;</w:t>
      </w:r>
    </w:p>
    <w:p>
      <w:pPr>
        <w:spacing w:after="0" w:line="184" w:lineRule="exact"/>
        <w:rPr>
          <w:sz w:val="20"/>
          <w:szCs w:val="20"/>
          <w:color w:val="auto"/>
        </w:rPr>
      </w:pPr>
    </w:p>
    <w:p>
      <w:pPr>
        <w:ind w:left="4" w:right="40" w:firstLine="289"/>
        <w:spacing w:after="0" w:line="267" w:lineRule="auto"/>
        <w:rPr>
          <w:sz w:val="20"/>
          <w:szCs w:val="20"/>
          <w:color w:val="auto"/>
        </w:rPr>
      </w:pPr>
      <w:r>
        <w:rPr>
          <w:rFonts w:ascii="Times New Roman" w:cs="Times New Roman" w:eastAsia="Times New Roman" w:hAnsi="Times New Roman"/>
          <w:sz w:val="16"/>
          <w:szCs w:val="16"/>
          <w:color w:val="auto"/>
        </w:rPr>
        <w:t>Although we believe that the expectations reflected in these forward-looking statements are reasonable as of the date of this prospectus, actual results may prove to be materially different from the results expressed or implied by the forward-looking statements. Important factors that could cause actual results to differ materially from those in the forward-looking statements include, but are not limited to, those summarized below:</w:t>
      </w:r>
    </w:p>
    <w:p>
      <w:pPr>
        <w:spacing w:after="0" w:line="156" w:lineRule="exact"/>
        <w:rPr>
          <w:sz w:val="20"/>
          <w:szCs w:val="20"/>
          <w:color w:val="auto"/>
        </w:rPr>
      </w:pPr>
    </w:p>
    <w:p>
      <w:pPr>
        <w:ind w:left="1244" w:hanging="282"/>
        <w:spacing w:after="0"/>
        <w:tabs>
          <w:tab w:leader="none" w:pos="1244" w:val="left"/>
        </w:tabs>
        <w:numPr>
          <w:ilvl w:val="0"/>
          <w:numId w:val="2"/>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ability to maintain relationships with lenders and other third parties;</w:t>
      </w:r>
    </w:p>
    <w:p>
      <w:pPr>
        <w:spacing w:after="0" w:line="24" w:lineRule="exact"/>
        <w:rPr>
          <w:rFonts w:ascii="Arial" w:cs="Arial" w:eastAsia="Arial" w:hAnsi="Arial"/>
          <w:sz w:val="16"/>
          <w:szCs w:val="16"/>
          <w:b w:val="1"/>
          <w:bCs w:val="1"/>
          <w:color w:val="auto"/>
        </w:rPr>
      </w:pPr>
    </w:p>
    <w:p>
      <w:pPr>
        <w:ind w:left="1244" w:hanging="282"/>
        <w:spacing w:after="0"/>
        <w:tabs>
          <w:tab w:leader="none" w:pos="1244" w:val="left"/>
        </w:tabs>
        <w:numPr>
          <w:ilvl w:val="0"/>
          <w:numId w:val="2"/>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ability to raise any additional financing that may be required to continue as a going concern;</w:t>
      </w:r>
    </w:p>
    <w:p>
      <w:pPr>
        <w:spacing w:after="0" w:line="7" w:lineRule="exact"/>
        <w:rPr>
          <w:rFonts w:ascii="Arial" w:cs="Arial" w:eastAsia="Arial" w:hAnsi="Arial"/>
          <w:sz w:val="16"/>
          <w:szCs w:val="16"/>
          <w:b w:val="1"/>
          <w:bCs w:val="1"/>
          <w:color w:val="auto"/>
        </w:rPr>
      </w:pPr>
    </w:p>
    <w:p>
      <w:pPr>
        <w:ind w:left="1244" w:hanging="282"/>
        <w:spacing w:after="0" w:line="250" w:lineRule="auto"/>
        <w:tabs>
          <w:tab w:leader="none" w:pos="1244" w:val="left"/>
        </w:tabs>
        <w:numPr>
          <w:ilvl w:val="0"/>
          <w:numId w:val="2"/>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future business and financial performance, including our ability to turn profitable, scale our operations and build a well-recognized and respected brand cost-effectively;</w:t>
      </w:r>
    </w:p>
    <w:p>
      <w:pPr>
        <w:ind w:left="1244" w:hanging="282"/>
        <w:spacing w:after="0"/>
        <w:tabs>
          <w:tab w:leader="none" w:pos="1244" w:val="left"/>
        </w:tabs>
        <w:numPr>
          <w:ilvl w:val="0"/>
          <w:numId w:val="2"/>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ability to develop and maintain relationships with key business partners who are crucial for our operations;</w:t>
      </w:r>
    </w:p>
    <w:p>
      <w:pPr>
        <w:spacing w:after="0" w:line="7" w:lineRule="exact"/>
        <w:rPr>
          <w:rFonts w:ascii="Arial" w:cs="Arial" w:eastAsia="Arial" w:hAnsi="Arial"/>
          <w:sz w:val="16"/>
          <w:szCs w:val="16"/>
          <w:b w:val="1"/>
          <w:bCs w:val="1"/>
          <w:color w:val="auto"/>
        </w:rPr>
      </w:pPr>
    </w:p>
    <w:p>
      <w:pPr>
        <w:ind w:left="1244" w:hanging="282"/>
        <w:spacing w:after="0"/>
        <w:tabs>
          <w:tab w:leader="none" w:pos="1244" w:val="left"/>
        </w:tabs>
        <w:numPr>
          <w:ilvl w:val="0"/>
          <w:numId w:val="2"/>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exposure to various liability risks resulting from past or existing employment relationships and labor laws; and</w:t>
      </w:r>
    </w:p>
    <w:p>
      <w:pPr>
        <w:spacing w:after="0" w:line="7" w:lineRule="exact"/>
        <w:rPr>
          <w:rFonts w:ascii="Arial" w:cs="Arial" w:eastAsia="Arial" w:hAnsi="Arial"/>
          <w:sz w:val="16"/>
          <w:szCs w:val="16"/>
          <w:b w:val="1"/>
          <w:bCs w:val="1"/>
          <w:color w:val="auto"/>
        </w:rPr>
      </w:pPr>
    </w:p>
    <w:p>
      <w:pPr>
        <w:ind w:left="1244" w:hanging="282"/>
        <w:spacing w:after="0"/>
        <w:tabs>
          <w:tab w:leader="none" w:pos="1244" w:val="left"/>
        </w:tabs>
        <w:numPr>
          <w:ilvl w:val="0"/>
          <w:numId w:val="2"/>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changes in general political, economic and competitive conditions and specific market conditions.</w:t>
      </w:r>
    </w:p>
    <w:p>
      <w:pPr>
        <w:spacing w:after="0" w:line="184" w:lineRule="exact"/>
        <w:rPr>
          <w:sz w:val="20"/>
          <w:szCs w:val="20"/>
          <w:color w:val="auto"/>
        </w:rPr>
      </w:pPr>
    </w:p>
    <w:p>
      <w:pPr>
        <w:ind w:left="4" w:right="20" w:firstLine="289"/>
        <w:spacing w:after="0" w:line="261" w:lineRule="auto"/>
        <w:rPr>
          <w:sz w:val="20"/>
          <w:szCs w:val="20"/>
          <w:color w:val="auto"/>
        </w:rPr>
      </w:pPr>
      <w:r>
        <w:rPr>
          <w:rFonts w:ascii="Times New Roman" w:cs="Times New Roman" w:eastAsia="Times New Roman" w:hAnsi="Times New Roman"/>
          <w:sz w:val="16"/>
          <w:szCs w:val="16"/>
          <w:color w:val="auto"/>
        </w:rPr>
        <w:t>For additional information regarding known material factors that could cause our actual results to differ from our projected results, please read the descriptions under the heading “Risk Factors” contained in (1) Part I, Item 1A. of our 2025 Annual Report, (2) our other reports and registration statements filed from time to time with the SEC, and</w:t>
      </w:r>
    </w:p>
    <w:p>
      <w:pPr>
        <w:spacing w:after="0" w:line="1" w:lineRule="exact"/>
        <w:rPr>
          <w:sz w:val="20"/>
          <w:szCs w:val="20"/>
          <w:color w:val="auto"/>
        </w:rPr>
      </w:pPr>
    </w:p>
    <w:p>
      <w:pPr>
        <w:ind w:left="4" w:right="60" w:hanging="4"/>
        <w:spacing w:after="0" w:line="256" w:lineRule="auto"/>
        <w:tabs>
          <w:tab w:leader="none" w:pos="2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public announcements we make from time to time. Given these uncertainties, you should not place undue reliance on these forward-looking statements, which speak only as of the date of this prospectus. Except as required by law, we assume no obligation to update or revise these forward-looking statements for any reason, even if new information becomes available in the future.</w:t>
      </w:r>
    </w:p>
    <w:p>
      <w:pPr>
        <w:spacing w:after="0" w:line="164" w:lineRule="exact"/>
        <w:rPr>
          <w:sz w:val="20"/>
          <w:szCs w:val="20"/>
          <w:color w:val="auto"/>
        </w:rPr>
      </w:pPr>
    </w:p>
    <w:p>
      <w:pPr>
        <w:ind w:left="4" w:right="400" w:firstLine="289"/>
        <w:spacing w:after="0" w:line="283" w:lineRule="auto"/>
        <w:rPr>
          <w:sz w:val="20"/>
          <w:szCs w:val="20"/>
          <w:color w:val="auto"/>
        </w:rPr>
      </w:pPr>
      <w:r>
        <w:rPr>
          <w:rFonts w:ascii="Times New Roman" w:cs="Times New Roman" w:eastAsia="Times New Roman" w:hAnsi="Times New Roman"/>
          <w:sz w:val="16"/>
          <w:szCs w:val="16"/>
          <w:color w:val="auto"/>
        </w:rPr>
        <w:t>All forward-looking statements included herein attributable to Sono N.V. or any person acting on its behalf are expressly qualified in their entirety by the cautionary statements contained or referred to in this section.</w:t>
      </w:r>
    </w:p>
    <w:p>
      <w:pPr>
        <w:spacing w:after="0" w:line="24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24"/>
          </w:cols>
          <w:pgMar w:left="316" w:top="530"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198120</wp:posOffset>
            </wp:positionH>
            <wp:positionV relativeFrom="page">
              <wp:posOffset>467995</wp:posOffset>
            </wp:positionV>
            <wp:extent cx="7152640" cy="7799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2640" cy="7799070"/>
                    </a:xfrm>
                    <a:prstGeom prst="rect">
                      <a:avLst/>
                    </a:prstGeom>
                    <a:noFill/>
                  </pic:spPr>
                </pic:pic>
              </a:graphicData>
            </a:graphic>
          </wp:anchor>
        </w:drawing>
        <w:t>OUR COMPANY</w:t>
      </w:r>
    </w:p>
    <w:p>
      <w:pPr>
        <w:spacing w:after="0" w:line="201" w:lineRule="exact"/>
        <w:rPr>
          <w:sz w:val="20"/>
          <w:szCs w:val="20"/>
          <w:color w:val="auto"/>
        </w:rPr>
      </w:pPr>
    </w:p>
    <w:p>
      <w:pPr>
        <w:ind w:right="80" w:firstLine="289"/>
        <w:spacing w:after="0" w:line="268" w:lineRule="auto"/>
        <w:rPr>
          <w:sz w:val="20"/>
          <w:szCs w:val="20"/>
          <w:color w:val="auto"/>
        </w:rPr>
      </w:pPr>
      <w:r>
        <w:rPr>
          <w:rFonts w:ascii="Times New Roman" w:cs="Times New Roman" w:eastAsia="Times New Roman" w:hAnsi="Times New Roman"/>
          <w:sz w:val="16"/>
          <w:szCs w:val="16"/>
          <w:i w:val="1"/>
          <w:iCs w:val="1"/>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before making an investment decision.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Company</w:t>
      </w:r>
    </w:p>
    <w:p>
      <w:pPr>
        <w:spacing w:after="0" w:line="199"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Sono Group N.V. (“</w:t>
      </w:r>
      <w:r>
        <w:rPr>
          <w:rFonts w:ascii="Times New Roman" w:cs="Times New Roman" w:eastAsia="Times New Roman" w:hAnsi="Times New Roman"/>
          <w:sz w:val="16"/>
          <w:szCs w:val="16"/>
          <w:b w:val="1"/>
          <w:bCs w:val="1"/>
          <w:i w:val="1"/>
          <w:iCs w:val="1"/>
          <w:color w:val="auto"/>
        </w:rPr>
        <w:t>Sono N.V.</w:t>
      </w:r>
      <w:r>
        <w:rPr>
          <w:rFonts w:ascii="Times New Roman" w:cs="Times New Roman" w:eastAsia="Times New Roman" w:hAnsi="Times New Roman"/>
          <w:sz w:val="16"/>
          <w:szCs w:val="16"/>
          <w:color w:val="auto"/>
        </w:rPr>
        <w:t>”) is a public company with limited liability (</w:t>
      </w:r>
      <w:r>
        <w:rPr>
          <w:rFonts w:ascii="Times New Roman" w:cs="Times New Roman" w:eastAsia="Times New Roman" w:hAnsi="Times New Roman"/>
          <w:sz w:val="16"/>
          <w:szCs w:val="16"/>
          <w:i w:val="1"/>
          <w:iCs w:val="1"/>
          <w:color w:val="auto"/>
        </w:rPr>
        <w:t>naamloze vennootschap</w:t>
      </w:r>
      <w:r>
        <w:rPr>
          <w:rFonts w:ascii="Times New Roman" w:cs="Times New Roman" w:eastAsia="Times New Roman" w:hAnsi="Times New Roman"/>
          <w:sz w:val="16"/>
          <w:szCs w:val="16"/>
          <w:color w:val="auto"/>
        </w:rPr>
        <w:t>) duly incorporated and validly existing under the laws of the Netherlands, having its registered office at 4965 Trinidad Drive, Land O’ Lakes, FL 34639. Our telephone number is +1 352-502-1191, and our website address is https://ir.sonomotors.com/. During the year ended December 31, 2025, our business consisted of our legacy solar operations conducted through the Subsidiary, as further described below under the subheading “</w:t>
      </w:r>
      <w:r>
        <w:rPr>
          <w:rFonts w:ascii="Times New Roman" w:cs="Times New Roman" w:eastAsia="Times New Roman" w:hAnsi="Times New Roman"/>
          <w:sz w:val="16"/>
          <w:szCs w:val="16"/>
          <w:i w:val="1"/>
          <w:iCs w:val="1"/>
          <w:color w:val="auto"/>
        </w:rPr>
        <w:t>Overview</w:t>
      </w:r>
      <w:r>
        <w:rPr>
          <w:rFonts w:ascii="Times New Roman" w:cs="Times New Roman" w:eastAsia="Times New Roman" w:hAnsi="Times New Roman"/>
          <w:sz w:val="16"/>
          <w:szCs w:val="16"/>
          <w:color w:val="auto"/>
        </w:rPr>
        <w:t>” in this prospectus and in our 2025 Annual Report. As of December 31, 2025, we operated our legacy solar business as a single business segment, managing our financing, research and development and product commercialization on a consolidated basis. Subsequent to December 31, 2025, Sono N.V. adopted the digital asset treasury strategy and initiated an exit from our legacy solar operations. As a result, we anticipate that future operating losses will be materially reduced compared to historical periods, as the primary source of our historical cash consumption (the solar operations) has been eliminated. Our long-term financial performance will depend on the successful implementation of the digital asset treasury strategy, the cash flows generated through our digital asset holdings, and efficient management of our streamlined holding company cost structure. There can be no assurance that the digital asset treasury strategy will generate the anticipated returns or that additional financing will not be required. See the discussion in our 2025 Annual Report.</w:t>
      </w:r>
    </w:p>
    <w:p>
      <w:pPr>
        <w:spacing w:after="0" w:line="164"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 xml:space="preserve">Sono N.V. was incorporated on October 23, 2020 </w:t>
      </w:r>
      <w:r>
        <w:rPr>
          <w:rFonts w:ascii="Times New Roman" w:cs="Times New Roman" w:eastAsia="Times New Roman" w:hAnsi="Times New Roman"/>
          <w:sz w:val="16"/>
          <w:szCs w:val="16"/>
          <w:color w:val="auto"/>
          <w:highlight w:val="white"/>
        </w:rPr>
        <w:t>(at that time as a Dutch limited liability company (</w:t>
      </w:r>
      <w:r>
        <w:rPr>
          <w:rFonts w:ascii="Times New Roman" w:cs="Times New Roman" w:eastAsia="Times New Roman" w:hAnsi="Times New Roman"/>
          <w:sz w:val="16"/>
          <w:szCs w:val="16"/>
          <w:i w:val="1"/>
          <w:iCs w:val="1"/>
          <w:color w:val="auto"/>
          <w:highlight w:val="white"/>
        </w:rPr>
        <w:t>besloten vennootschap met beperkte aansprakelijkheid</w:t>
      </w:r>
      <w:r>
        <w:rPr>
          <w:rFonts w:ascii="Times New Roman" w:cs="Times New Roman" w:eastAsia="Times New Roman" w:hAnsi="Times New Roman"/>
          <w:sz w:val="16"/>
          <w:szCs w:val="16"/>
          <w:color w:val="auto"/>
          <w:highlight w:val="white"/>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white"/>
        </w:rPr>
        <w:t>named Sono Motors Finance B.V.)</w:t>
      </w:r>
      <w:r>
        <w:rPr>
          <w:rFonts w:ascii="Times New Roman" w:cs="Times New Roman" w:eastAsia="Times New Roman" w:hAnsi="Times New Roman"/>
          <w:sz w:val="16"/>
          <w:szCs w:val="16"/>
          <w:color w:val="auto"/>
        </w:rPr>
        <w:t>, pursuant to the laws of the Netherlands, as a wholly owned-subsidiary of Sono Motors GmbH, a German limited liability company</w:t>
      </w:r>
      <w:r>
        <w:rPr>
          <w:rFonts w:ascii="Times New Roman" w:cs="Times New Roman" w:eastAsia="Times New Roman" w:hAnsi="Times New Roman"/>
          <w:sz w:val="16"/>
          <w:szCs w:val="16"/>
          <w:color w:val="auto"/>
          <w:highlight w:val="white"/>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Gesellschaft mit beschr</w:t>
      </w:r>
      <w:r>
        <w:rPr>
          <w:rFonts w:ascii="Times New Roman" w:cs="Times New Roman" w:eastAsia="Times New Roman" w:hAnsi="Times New Roman"/>
          <w:sz w:val="16"/>
          <w:szCs w:val="16"/>
          <w:color w:val="auto"/>
        </w:rPr>
        <w:t>ä</w:t>
      </w:r>
      <w:r>
        <w:rPr>
          <w:rFonts w:ascii="Times New Roman" w:cs="Times New Roman" w:eastAsia="Times New Roman" w:hAnsi="Times New Roman"/>
          <w:sz w:val="16"/>
          <w:szCs w:val="16"/>
          <w:i w:val="1"/>
          <w:iCs w:val="1"/>
          <w:color w:val="auto"/>
        </w:rPr>
        <w:t>nkter Haftung</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i w:val="1"/>
          <w:iCs w:val="1"/>
          <w:color w:val="auto"/>
        </w:rPr>
        <w:t>Subsidiary</w:t>
      </w:r>
      <w:r>
        <w:rPr>
          <w:rFonts w:ascii="Times New Roman" w:cs="Times New Roman" w:eastAsia="Times New Roman" w:hAnsi="Times New Roman"/>
          <w:sz w:val="16"/>
          <w:szCs w:val="16"/>
          <w:color w:val="auto"/>
        </w:rPr>
        <w:t>”). As part of the corporate reorganization that was completed on November 27, 2020, our then-existing shareholders contributed all of their shares in the Subsidiary to Sono Motors Finance B.V. in exchange for newly issued common shares of Sono Motors Finance B.V. In addition, the sole issued and outstanding common share in Sono Motors Finance B.V. at that time, which was held by the Subsidiary, was cancelled (</w:t>
      </w:r>
      <w:r>
        <w:rPr>
          <w:rFonts w:ascii="Times New Roman" w:cs="Times New Roman" w:eastAsia="Times New Roman" w:hAnsi="Times New Roman"/>
          <w:sz w:val="16"/>
          <w:szCs w:val="16"/>
          <w:i w:val="1"/>
          <w:iCs w:val="1"/>
          <w:color w:val="auto"/>
        </w:rPr>
        <w:t>ingetrokken</w:t>
      </w:r>
      <w:r>
        <w:rPr>
          <w:rFonts w:ascii="Times New Roman" w:cs="Times New Roman" w:eastAsia="Times New Roman" w:hAnsi="Times New Roman"/>
          <w:sz w:val="16"/>
          <w:szCs w:val="16"/>
          <w:color w:val="auto"/>
        </w:rPr>
        <w:t>). As a result, the Subsidiary became a wholly owned subsidiary of Sono Motors Finance B.V. and the then-existing shareholders of the Subsidiary became the shareholders of Sono Motors Finance B.V. Also on November 27, 2020, Sono Motors Finance B.V. was converted into a public company with limited liability under Dutch law (</w:t>
      </w:r>
      <w:r>
        <w:rPr>
          <w:rFonts w:ascii="Times New Roman" w:cs="Times New Roman" w:eastAsia="Times New Roman" w:hAnsi="Times New Roman"/>
          <w:sz w:val="16"/>
          <w:szCs w:val="16"/>
          <w:i w:val="1"/>
          <w:iCs w:val="1"/>
          <w:color w:val="auto"/>
        </w:rPr>
        <w:t>naamloze vennootschap</w:t>
      </w:r>
      <w:r>
        <w:rPr>
          <w:rFonts w:ascii="Times New Roman" w:cs="Times New Roman" w:eastAsia="Times New Roman" w:hAnsi="Times New Roman"/>
          <w:sz w:val="16"/>
          <w:szCs w:val="16"/>
          <w:color w:val="auto"/>
        </w:rPr>
        <w:t>), and changed its legal name from Sono Motors Finance B.V. to Sono Group N.V.</w:t>
      </w:r>
    </w:p>
    <w:p>
      <w:pPr>
        <w:spacing w:after="0" w:line="170"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On September 5, 2025, the Sono N.V. Ordinary Shares commenced trading on the Nasdaq-CM under the ticker symbol “SSM.” The Sono N.V. high voting shares (“</w:t>
      </w:r>
      <w:r>
        <w:rPr>
          <w:rFonts w:ascii="Times New Roman" w:cs="Times New Roman" w:eastAsia="Times New Roman" w:hAnsi="Times New Roman"/>
          <w:sz w:val="16"/>
          <w:szCs w:val="16"/>
          <w:b w:val="1"/>
          <w:bCs w:val="1"/>
          <w:i w:val="1"/>
          <w:iCs w:val="1"/>
          <w:color w:val="auto"/>
        </w:rPr>
        <w:t>High Voting Shares</w:t>
      </w:r>
      <w:r>
        <w:rPr>
          <w:rFonts w:ascii="Times New Roman" w:cs="Times New Roman" w:eastAsia="Times New Roman" w:hAnsi="Times New Roman"/>
          <w:sz w:val="16"/>
          <w:szCs w:val="16"/>
          <w:color w:val="auto"/>
        </w:rPr>
        <w:t>”) and the Sono N.V. Preferred Shares are not currently listed for trading on any securities exchange or included in any automatic quotation system.</w:t>
      </w:r>
    </w:p>
    <w:p>
      <w:pPr>
        <w:spacing w:after="0" w:line="156"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Additional information regarding Sono N.V. is contained in the documents incorporated by reference into this prospectus and the other documents that we file with the SEC. See the section entitled “</w:t>
      </w:r>
      <w:r>
        <w:rPr>
          <w:rFonts w:ascii="Times New Roman" w:cs="Times New Roman" w:eastAsia="Times New Roman" w:hAnsi="Times New Roman"/>
          <w:sz w:val="16"/>
          <w:szCs w:val="16"/>
          <w:i w:val="1"/>
          <w:iCs w:val="1"/>
          <w:color w:val="auto"/>
        </w:rPr>
        <w:t>Where You Can Find More Information</w:t>
      </w:r>
      <w:r>
        <w:rPr>
          <w:rFonts w:ascii="Times New Roman" w:cs="Times New Roman" w:eastAsia="Times New Roman" w:hAnsi="Times New Roman"/>
          <w:sz w:val="16"/>
          <w:szCs w:val="16"/>
          <w:color w:val="auto"/>
        </w:rPr>
        <w:t>” beginning on page 31 of this prospectus. The information contained in, or that can be accessed through, Sono N.V.’s website is not part of this prospectus or incorporated by reference herein.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Digital Asset Treasury</w:t>
      </w:r>
    </w:p>
    <w:p>
      <w:pPr>
        <w:spacing w:after="0" w:line="205"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Subsequent to December 31, 2025, on March 14, 2026, the Management Board, with the approval of the Supervisory Board, ratified Sono N.V.’s entry into the ISDA Master Agreement, the Schedule and the Credit Support Annex (in each case, as defined below) and approved the adoption of a digital asset treasury strategy and digital asset treasury policy and the purchase by Sono N.V. of Bitcoin (“</w:t>
      </w:r>
      <w:r>
        <w:rPr>
          <w:rFonts w:ascii="Times New Roman" w:cs="Times New Roman" w:eastAsia="Times New Roman" w:hAnsi="Times New Roman"/>
          <w:sz w:val="16"/>
          <w:szCs w:val="16"/>
          <w:b w:val="1"/>
          <w:bCs w:val="1"/>
          <w:i w:val="1"/>
          <w:iCs w:val="1"/>
          <w:color w:val="auto"/>
        </w:rPr>
        <w:t>Bitcoin</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i w:val="1"/>
          <w:iCs w:val="1"/>
          <w:color w:val="auto"/>
        </w:rPr>
        <w:t>BTC</w:t>
      </w:r>
      <w:r>
        <w:rPr>
          <w:rFonts w:ascii="Times New Roman" w:cs="Times New Roman" w:eastAsia="Times New Roman" w:hAnsi="Times New Roman"/>
          <w:sz w:val="16"/>
          <w:szCs w:val="16"/>
          <w:color w:val="auto"/>
        </w:rPr>
        <w:t>”) and other digital assets in connection therewith. Under Sono N.V.’s digital asset treasury strategy, the principal holding in Sono N.V.’s treasury reserve on its balance sheet will be allocated to digital assets, principally Bitcoin, by applying a covered-call yield strategy. Sono N.V. may use available liquidity, including proceeds from previously disclosed financing arrangements, to purchase Bitcoin and other digital assets, subject to applicable law.</w:t>
      </w:r>
    </w:p>
    <w:p>
      <w:pPr>
        <w:spacing w:after="0" w:line="165"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In connection with the digital asset treasury strategy, on March 10, 2026, Sono N.V. entered into an International Swaps and Derivatives Association, Inc. (“</w:t>
      </w:r>
      <w:r>
        <w:rPr>
          <w:rFonts w:ascii="Times New Roman" w:cs="Times New Roman" w:eastAsia="Times New Roman" w:hAnsi="Times New Roman"/>
          <w:sz w:val="16"/>
          <w:szCs w:val="16"/>
          <w:b w:val="1"/>
          <w:bCs w:val="1"/>
          <w:i w:val="1"/>
          <w:iCs w:val="1"/>
          <w:color w:val="auto"/>
        </w:rPr>
        <w:t>ISDA</w:t>
      </w:r>
      <w:r>
        <w:rPr>
          <w:rFonts w:ascii="Times New Roman" w:cs="Times New Roman" w:eastAsia="Times New Roman" w:hAnsi="Times New Roman"/>
          <w:sz w:val="16"/>
          <w:szCs w:val="16"/>
          <w:color w:val="auto"/>
        </w:rPr>
        <w:t>”) 2002 ISDA Master Agreement, (the “</w:t>
      </w:r>
      <w:r>
        <w:rPr>
          <w:rFonts w:ascii="Times New Roman" w:cs="Times New Roman" w:eastAsia="Times New Roman" w:hAnsi="Times New Roman"/>
          <w:sz w:val="16"/>
          <w:szCs w:val="16"/>
          <w:b w:val="1"/>
          <w:bCs w:val="1"/>
          <w:i w:val="1"/>
          <w:iCs w:val="1"/>
          <w:color w:val="auto"/>
        </w:rPr>
        <w:t>ISDA Master Agreement</w:t>
      </w:r>
      <w:r>
        <w:rPr>
          <w:rFonts w:ascii="Times New Roman" w:cs="Times New Roman" w:eastAsia="Times New Roman" w:hAnsi="Times New Roman"/>
          <w:sz w:val="16"/>
          <w:szCs w:val="16"/>
          <w:color w:val="auto"/>
        </w:rPr>
        <w:t>”) with Blockchain.com (BVI) II Limited, a business company incorporated under the laws of the British Virgin Islands (“</w:t>
      </w:r>
      <w:r>
        <w:rPr>
          <w:rFonts w:ascii="Times New Roman" w:cs="Times New Roman" w:eastAsia="Times New Roman" w:hAnsi="Times New Roman"/>
          <w:sz w:val="16"/>
          <w:szCs w:val="16"/>
          <w:b w:val="1"/>
          <w:bCs w:val="1"/>
          <w:i w:val="1"/>
          <w:iCs w:val="1"/>
          <w:color w:val="auto"/>
        </w:rPr>
        <w:t>Blockchain.com</w:t>
      </w:r>
      <w:r>
        <w:rPr>
          <w:rFonts w:ascii="Times New Roman" w:cs="Times New Roman" w:eastAsia="Times New Roman" w:hAnsi="Times New Roman"/>
          <w:sz w:val="16"/>
          <w:szCs w:val="16"/>
          <w:color w:val="auto"/>
        </w:rPr>
        <w:t>”), facilitating Sono N.V. to enter into derivative and/or hedging transactions (collectively, the “</w:t>
      </w:r>
      <w:r>
        <w:rPr>
          <w:rFonts w:ascii="Times New Roman" w:cs="Times New Roman" w:eastAsia="Times New Roman" w:hAnsi="Times New Roman"/>
          <w:sz w:val="16"/>
          <w:szCs w:val="16"/>
          <w:b w:val="1"/>
          <w:bCs w:val="1"/>
          <w:i w:val="1"/>
          <w:iCs w:val="1"/>
          <w:color w:val="auto"/>
        </w:rPr>
        <w:t>Transactions</w:t>
      </w:r>
      <w:r>
        <w:rPr>
          <w:rFonts w:ascii="Times New Roman" w:cs="Times New Roman" w:eastAsia="Times New Roman" w:hAnsi="Times New Roman"/>
          <w:sz w:val="16"/>
          <w:szCs w:val="16"/>
          <w:color w:val="auto"/>
        </w:rPr>
        <w:t>”) to manage the risk associated with the digital asset treasury strategy. The derivative and hedging transactions will be governed by the ISDA Master Agreement, including the related Schedule to the ISDA Master Agreement executed by Sono N.V. and Blockchain.com on March 10, 2026 (the “</w:t>
      </w:r>
      <w:r>
        <w:rPr>
          <w:rFonts w:ascii="Times New Roman" w:cs="Times New Roman" w:eastAsia="Times New Roman" w:hAnsi="Times New Roman"/>
          <w:sz w:val="16"/>
          <w:szCs w:val="16"/>
          <w:b w:val="1"/>
          <w:bCs w:val="1"/>
          <w:i w:val="1"/>
          <w:iCs w:val="1"/>
          <w:color w:val="auto"/>
        </w:rPr>
        <w:t>Schedule</w:t>
      </w:r>
      <w:r>
        <w:rPr>
          <w:rFonts w:ascii="Times New Roman" w:cs="Times New Roman" w:eastAsia="Times New Roman" w:hAnsi="Times New Roman"/>
          <w:sz w:val="16"/>
          <w:szCs w:val="16"/>
          <w:color w:val="auto"/>
        </w:rPr>
        <w:t>”). The structure of the Transactions may include forwards, swaps, futures, options or other derivatives transactions in respect of digital assets. Certain events of default will apply to the Transactions under the ISDA Master Agreement and Schedule, including, but not limited to, failure to pay or deliver, breach of the agreement, credit support default, cross-defaults and misrepresentation. In addition, in connection with the ISDA Master Agreement, Sono N.V. and Blockchain.com entered into a Credit Support Annex to the Schedule to the ISDA Master Agreement, dated as of March 10, 2026 (the “</w:t>
      </w:r>
      <w:r>
        <w:rPr>
          <w:rFonts w:ascii="Times New Roman" w:cs="Times New Roman" w:eastAsia="Times New Roman" w:hAnsi="Times New Roman"/>
          <w:sz w:val="16"/>
          <w:szCs w:val="16"/>
          <w:b w:val="1"/>
          <w:bCs w:val="1"/>
          <w:i w:val="1"/>
          <w:iCs w:val="1"/>
          <w:color w:val="auto"/>
        </w:rPr>
        <w:t>Credit Support Annex</w:t>
      </w:r>
      <w:r>
        <w:rPr>
          <w:rFonts w:ascii="Times New Roman" w:cs="Times New Roman" w:eastAsia="Times New Roman" w:hAnsi="Times New Roman"/>
          <w:sz w:val="16"/>
          <w:szCs w:val="16"/>
          <w:color w:val="auto"/>
        </w:rPr>
        <w:t>”), which sets forth the terms and conditions upon which Sono N.V. will be required to deliver additional collateral to Blockchain.com (and Blockchain.com will be required to return collateral to Sono N.V.) depending upon the mark to market exposure under the ISDA Master Agreement and the value of the collateral. The ISDA Master Agreement, the Schedule and the Credit Support Annex are governed by the laws of England and Wales.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23495</wp:posOffset>
            </wp:positionV>
            <wp:extent cx="714756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0900"/>
          </w:cols>
          <w:pgMar w:left="500" w:top="1095" w:right="499" w:bottom="1440" w:gutter="0" w:footer="0" w:header="0"/>
        </w:sectPr>
      </w:pPr>
    </w:p>
    <w:bookmarkStart w:id="8" w:name="page9"/>
    <w:bookmarkEnd w:id="8"/>
    <w:p>
      <w:pPr>
        <w:jc w:val="both"/>
        <w:ind w:firstLine="577"/>
        <w:spacing w:after="0" w:line="28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198120</wp:posOffset>
            </wp:positionH>
            <wp:positionV relativeFrom="page">
              <wp:posOffset>467995</wp:posOffset>
            </wp:positionV>
            <wp:extent cx="7152640" cy="6088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2640" cy="6088380"/>
                    </a:xfrm>
                    <a:prstGeom prst="rect">
                      <a:avLst/>
                    </a:prstGeom>
                    <a:noFill/>
                  </pic:spPr>
                </pic:pic>
              </a:graphicData>
            </a:graphic>
          </wp:anchor>
        </w:drawing>
        <w:t>Under the strategy, we intend to use the net proceeds from our recent financings to purchase or otherwise acquire Bitcoin and other digital assets and to establish digital asset treasury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 of Legacy Solar Operations through Sono Motors GmbH</w:t>
      </w:r>
    </w:p>
    <w:p>
      <w:pPr>
        <w:spacing w:after="0" w:line="205"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For the year ended December 31, 2025, we were a technology company focused on the development and commercialization of solar integration solutions for commercial vehicles, as further described in our 2025 Annual Report. After terminating our Sion passenger car program due to a lack of available funding at the end of February 2023, we pivoted our business model to focus exclusively on retrofitting and integrating our proprietary solar technology onto third party vehicles with an initial focus on our Solar Bus Kit.</w:t>
      </w:r>
    </w:p>
    <w:p>
      <w:pPr>
        <w:spacing w:after="0" w:line="162"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In 2024, we expanded our product portfolio beyond the Solar Bus Kit to include similar solar integration solutions for additional commercial vehicle categories, including trucks, vans, RVs, refrigerated trailers, coach buses and panel vans. This strategic expansion was intended to align with the growing demand for sustainable energy solutions across multiple transportation sectors, allowing us to address a broader range of manufacturers and fleet operators looking to reduce fuel costs and emissions.</w:t>
      </w:r>
    </w:p>
    <w:p>
      <w:pPr>
        <w:spacing w:after="0" w:line="162"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Expanding beyond our low-voltage retrofit solar solutions, in the beginning of 2025, we increased our offerings to also include high-voltage solar solutions, leveraging our proprietary solar charge controller, also known as the MCU. This advanced technology enables seamless solar energy integration into the high voltage system of commercial vehicles with larger energy demands. Additionally, we adjusted our distribution strategy and increased our focus on direct collaborations with original equipment manufacturers (“</w:t>
      </w:r>
      <w:r>
        <w:rPr>
          <w:rFonts w:ascii="Times New Roman" w:cs="Times New Roman" w:eastAsia="Times New Roman" w:hAnsi="Times New Roman"/>
          <w:sz w:val="16"/>
          <w:szCs w:val="16"/>
          <w:b w:val="1"/>
          <w:bCs w:val="1"/>
          <w:i w:val="1"/>
          <w:iCs w:val="1"/>
          <w:color w:val="auto"/>
        </w:rPr>
        <w:t>OEMs</w:t>
      </w:r>
      <w:r>
        <w:rPr>
          <w:rFonts w:ascii="Times New Roman" w:cs="Times New Roman" w:eastAsia="Times New Roman" w:hAnsi="Times New Roman"/>
          <w:sz w:val="16"/>
          <w:szCs w:val="16"/>
          <w:color w:val="auto"/>
        </w:rPr>
        <w:t>”) and certain partners including cooling unit and battery manufacturers. Building on a series of pilot projects, we aimed to collaborate with OEMs and certain partners to integrate our complete solar solutions and standalone solar products into vehicle structures, and work toward collaborations with several OEMs for specific vehicles, which could enable customers to select solar-powered options at the time of vehicle or trailer purchase. This approach was designed to enhance accessibility and scalability while streamlining adoption for commercial fleets.</w:t>
      </w:r>
    </w:p>
    <w:p>
      <w:pPr>
        <w:spacing w:after="0" w:line="165"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Historically, Sono N.V. has incurred recurring operating losses and negative cash flows from operations since inception, primarily attributable to the operations of the Subsidiary; however, in 2024, Sono N.V. recorded an operating profit due to the impact of revaluation gains following the reconsolidation of Sono Motors GmbH after the termination of the Self-Administration Proceedings in early 2024. This one-time accounting impact significantly influenced our reported net income for the year ended December 31, 2024. In 2025, we recorded an operating loss of €7.7 million, although our net income for the same period was positive and amounted to €4.0 million, primarily due to recorded gains in the fair value of convertible debentures carried at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Exit from Legacy Solar Operations through Sono Motors GmbH</w:t>
      </w:r>
    </w:p>
    <w:p>
      <w:pPr>
        <w:spacing w:after="0" w:line="205"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On March 14, 2026, the Management Board, with approval of our Supervisory Board resolved to terminate all current and future funding commitments to the Subsidiary and to exit the legacy solar operations conducted through the Subsidiary, with immediate effect. Sono N.V.’s decision was driven by the Subsidiary’s historical lack of profitability, which has resulted in Sono N.V. having to continuously provide funding to the Subsidiary, and thus incur losses, and a determination by the Management Board that there was not a clear path for the Subsidiary to achieve profitability in a reasonably desirable timeframe and thus, avoid future losses by Sono N.V. This decision was made in conjunction with the decision on March 14, 2026 by the Management Board, with the approval of the Supervisory Board, to adopt the digital asset treasury strategy. The digital asset treasury strategy is projected to generate cash flow for Sono N.V. in the first year of its execution. Sono N.V. is also exploring other strategic alternatives to maximize shareholder value.</w:t>
      </w:r>
    </w:p>
    <w:p>
      <w:pPr>
        <w:spacing w:after="0" w:line="165"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Sono N.V. is currently unable to make a good faith estimate of the total costs and charges, if any, that may be incurred in connection with the cessation of funding to the Subsidiary and the exit from our legacy solar business. The determination of any such costs is subject to significant uncertainties, including, among other things, the timing, scope and manner of any actions undertaken with respect to the Subsidiary following the cessation of funding, as well as the extent of any obligations of Sono N.V. in connection therewith. Potential costs, if any, may include legal, advisory and other professional fees and expenses associated with activities relating to the Subsidiary. Any such costs and expenditures, if incurred, are expected to be reduced by cash flow to Sono N.V. from the digital asset treasury strategy. Sono N.V. will disclose material costs, charges and cash expenditures to be borne directly by Sono N.V., if and when such amounts become reasonably estimable.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23495</wp:posOffset>
            </wp:positionV>
            <wp:extent cx="714756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0900"/>
          </w:cols>
          <w:pgMar w:left="500" w:top="1097"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198120</wp:posOffset>
            </wp:positionH>
            <wp:positionV relativeFrom="page">
              <wp:posOffset>467995</wp:posOffset>
            </wp:positionV>
            <wp:extent cx="7152640" cy="3891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2640" cy="3891915"/>
                    </a:xfrm>
                    <a:prstGeom prst="rect">
                      <a:avLst/>
                    </a:prstGeom>
                    <a:noFill/>
                  </pic:spPr>
                </pic:pic>
              </a:graphicData>
            </a:graphic>
          </wp:anchor>
        </w:drawing>
        <w:t>Corporate Information</w:t>
      </w:r>
    </w:p>
    <w:p>
      <w:pPr>
        <w:spacing w:after="0" w:line="203"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We were incorporated pursuant to the laws of the Netherlands as Sono Motors Finance B.V. on October 23, 2020 as a wholly-owned subsidiary of Sono Motors GmbH. As part of the corporate reorganization that was completed on November 27, 2020, our then-existing shareholders contributed all of their shares in Sono Motors GmbH to Sono Motors Finance B.V. in exchange for newly issued common shares of Sono Motors Finance B.V. In addition, the sole issued and outstanding common share in Sono Motors Finance B.V. at that time, which was held by Sono Motors GmbH, was cancelled (</w:t>
      </w:r>
      <w:r>
        <w:rPr>
          <w:rFonts w:ascii="Times New Roman" w:cs="Times New Roman" w:eastAsia="Times New Roman" w:hAnsi="Times New Roman"/>
          <w:sz w:val="16"/>
          <w:szCs w:val="16"/>
          <w:i w:val="1"/>
          <w:iCs w:val="1"/>
          <w:color w:val="auto"/>
        </w:rPr>
        <w:t>ingetrokken</w:t>
      </w:r>
      <w:r>
        <w:rPr>
          <w:rFonts w:ascii="Times New Roman" w:cs="Times New Roman" w:eastAsia="Times New Roman" w:hAnsi="Times New Roman"/>
          <w:sz w:val="16"/>
          <w:szCs w:val="16"/>
          <w:color w:val="auto"/>
        </w:rPr>
        <w:t>). As a result, Sono Motors GmbH became a wholly-owned subsidiary of Sono Motors Finance B.V. and the then-existing shareholders of Sono Motors GmbH became the shareholders of Sono Motors Finance B.V. Also on November 27, 2020, Sono Motors Finance B.V. was converted into a public company with limited liability under Dutch law (</w:t>
      </w:r>
      <w:r>
        <w:rPr>
          <w:rFonts w:ascii="Times New Roman" w:cs="Times New Roman" w:eastAsia="Times New Roman" w:hAnsi="Times New Roman"/>
          <w:sz w:val="16"/>
          <w:szCs w:val="16"/>
          <w:i w:val="1"/>
          <w:iCs w:val="1"/>
          <w:color w:val="auto"/>
        </w:rPr>
        <w:t>naamloze vennootschap</w:t>
      </w:r>
      <w:r>
        <w:rPr>
          <w:rFonts w:ascii="Times New Roman" w:cs="Times New Roman" w:eastAsia="Times New Roman" w:hAnsi="Times New Roman"/>
          <w:sz w:val="16"/>
          <w:szCs w:val="16"/>
          <w:color w:val="auto"/>
        </w:rPr>
        <w:t>), and changed its legal name from Sono Motors Finance B.V. to Sono Group N.V. The corporate office of Sono Group N.V. is located at 4965 Trinidad Drive, Land O’ Lakes, FL 34639 and its telephone number is +1 352-502-1191.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Implications of Being an Emerging Growth Company and a Smaller Reporting Company</w:t>
      </w:r>
    </w:p>
    <w:p>
      <w:pPr>
        <w:spacing w:after="0" w:line="199" w:lineRule="exact"/>
        <w:rPr>
          <w:sz w:val="20"/>
          <w:szCs w:val="20"/>
          <w:color w:val="auto"/>
        </w:rPr>
      </w:pPr>
    </w:p>
    <w:p>
      <w:pPr>
        <w:jc w:val="both"/>
        <w:ind w:firstLine="577"/>
        <w:spacing w:after="0" w:line="260" w:lineRule="auto"/>
        <w:rPr>
          <w:sz w:val="20"/>
          <w:szCs w:val="20"/>
          <w:color w:val="auto"/>
        </w:rPr>
      </w:pPr>
      <w:r>
        <w:rPr>
          <w:rFonts w:ascii="Times New Roman" w:cs="Times New Roman" w:eastAsia="Times New Roman" w:hAnsi="Times New Roman"/>
          <w:sz w:val="16"/>
          <w:szCs w:val="16"/>
          <w:color w:val="auto"/>
        </w:rPr>
        <w:t>We are an emerging growth company as defined in the Jumpstart Our Business Startups Act of 2012 (the “</w:t>
      </w:r>
      <w:r>
        <w:rPr>
          <w:rFonts w:ascii="Times New Roman" w:cs="Times New Roman" w:eastAsia="Times New Roman" w:hAnsi="Times New Roman"/>
          <w:sz w:val="16"/>
          <w:szCs w:val="16"/>
          <w:b w:val="1"/>
          <w:bCs w:val="1"/>
          <w:i w:val="1"/>
          <w:iCs w:val="1"/>
          <w:color w:val="auto"/>
        </w:rPr>
        <w:t>JOBS Act</w:t>
      </w:r>
      <w:r>
        <w:rPr>
          <w:rFonts w:ascii="Times New Roman" w:cs="Times New Roman" w:eastAsia="Times New Roman" w:hAnsi="Times New Roman"/>
          <w:sz w:val="16"/>
          <w:szCs w:val="16"/>
          <w:color w:val="auto"/>
        </w:rPr>
        <w:t>”). We will remain an emerging growth company under the JOBS Act until the earliest of (i) the last day of our first fiscal year (a) following the fifth anniversary of our IPO (November 17, 2026), (b) in which we have total annual gross revenue of at least $1.235 billion, or (c) in which we are deemed to be a “large accelerated filer” under the rules of the SEC with at least $700.0 million of outstanding securities held by non-affiliates; and (ii) the date on which we have issued more than $1.00 billion in non-convertible debt securities during the prior three-year period.</w:t>
      </w:r>
    </w:p>
    <w:p>
      <w:pPr>
        <w:spacing w:after="0" w:line="162"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We are also a “smaller reporting company” as defined in Item 10(f)(1) of Regulation S-K of the SEC.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Ordinary Shares held by non-affiliates is less than $250.0 million measured on the last business day of our second fiscal quarter, or our annual revenue is less than $100.0 million during the most recently completed fiscal year and the market value of our voting and non-voting Ordinary Shares held by non-affiliates is less than $700.0 million measured on the last business day of our second fiscal quarter.</w:t>
      </w:r>
    </w:p>
    <w:p>
      <w:pPr>
        <w:spacing w:after="0" w:line="16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highlight w:val="white"/>
        </w:rPr>
        <w:t>As a result, the information in this prospectus and that we provide to our investors in the future may be different than what you might receive from other public reporting companies or what has been shared/disclosed by Sono N.V. previously.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23495</wp:posOffset>
            </wp:positionV>
            <wp:extent cx="714756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0900"/>
          </w:cols>
          <w:pgMar w:left="500" w:top="1095" w:right="499" w:bottom="1440" w:gutter="0" w:footer="0" w:header="0"/>
        </w:sectPr>
      </w:pPr>
    </w:p>
    <w:bookmarkStart w:id="10" w:name="page11"/>
    <w:bookmarkEnd w:id="10"/>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203" w:lineRule="exact"/>
        <w:rPr>
          <w:sz w:val="20"/>
          <w:szCs w:val="20"/>
          <w:color w:val="auto"/>
        </w:rPr>
      </w:pPr>
    </w:p>
    <w:p>
      <w:pPr>
        <w:ind w:firstLine="289"/>
        <w:spacing w:after="0" w:line="259" w:lineRule="auto"/>
        <w:rPr>
          <w:sz w:val="20"/>
          <w:szCs w:val="20"/>
          <w:color w:val="auto"/>
        </w:rPr>
      </w:pPr>
      <w:r>
        <w:rPr>
          <w:rFonts w:ascii="Times New Roman" w:cs="Times New Roman" w:eastAsia="Times New Roman" w:hAnsi="Times New Roman"/>
          <w:sz w:val="16"/>
          <w:szCs w:val="16"/>
          <w:color w:val="auto"/>
        </w:rPr>
        <w:t>An investment in our securities involves a high degree of risk. Before investing in our securities, you should carefully consider the risk factors incorporated by reference into this prospectus, including any reports we file with the SEC after the date of this prospectus that are incorporated herein by reference, as well as the risk factors and other information contained in any applicable prospectus supplement and any applicable free writing prospectus we file with the SEC. The market price of our securities could decline if one or more of these risks or uncertainties actually occur, causing you to lose all or part of your investment in our securities. See “</w:t>
      </w:r>
      <w:r>
        <w:rPr>
          <w:rFonts w:ascii="Times New Roman" w:cs="Times New Roman" w:eastAsia="Times New Roman" w:hAnsi="Times New Roman"/>
          <w:sz w:val="16"/>
          <w:szCs w:val="16"/>
          <w:i w:val="1"/>
          <w:iCs w:val="1"/>
          <w:color w:val="auto"/>
        </w:rPr>
        <w:t>Where You Can Find More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Information</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Information Incorporated by Reference</w:t>
      </w:r>
      <w:r>
        <w:rPr>
          <w:rFonts w:ascii="Times New Roman" w:cs="Times New Roman" w:eastAsia="Times New Roman" w:hAnsi="Times New Roman"/>
          <w:sz w:val="16"/>
          <w:szCs w:val="16"/>
          <w:color w:val="auto"/>
        </w:rPr>
        <w:t>”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100"/>
          </w:cols>
          <w:pgMar w:left="320" w:top="530" w:right="479" w:bottom="1440" w:gutter="0" w:footer="0" w:header="0"/>
        </w:sectPr>
      </w:pPr>
    </w:p>
    <w:bookmarkStart w:id="11" w:name="page12"/>
    <w:bookmarkEnd w:id="11"/>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203" w:lineRule="exact"/>
        <w:rPr>
          <w:sz w:val="20"/>
          <w:szCs w:val="20"/>
          <w:color w:val="auto"/>
        </w:rPr>
      </w:pPr>
    </w:p>
    <w:p>
      <w:pPr>
        <w:ind w:firstLine="289"/>
        <w:spacing w:after="0" w:line="256" w:lineRule="auto"/>
        <w:rPr>
          <w:sz w:val="20"/>
          <w:szCs w:val="20"/>
          <w:color w:val="auto"/>
        </w:rPr>
      </w:pPr>
      <w:r>
        <w:rPr>
          <w:rFonts w:ascii="Times New Roman" w:cs="Times New Roman" w:eastAsia="Times New Roman" w:hAnsi="Times New Roman"/>
          <w:sz w:val="16"/>
          <w:szCs w:val="16"/>
          <w:color w:val="auto"/>
        </w:rPr>
        <w:t>We will retain broad discretion over the use of the net proceeds from the sale of our securities offered hereby. Except as described in any prospectus supplement or any related free writing prospectus that we may authorize to be provided to you, we currently intend to use the net proceeds from the sale of our securities offered hereby for working capital and general corporate purposes. We may invest the net proceeds in a variety of capital preservation instruments, including purchasing or otherwise acquiring Bitcoin and other digital assets and establishing digital asset treasury operations, or may hold such proceeds as cash, until they are used for their stated purpose. We have not determined the amount of net proceeds to be used specifically for such purposes. As a result, management will retain broad discretion over the allocation of net proceeds. We will set forth in the applicable prospectus supplement or free writing prospectus our intended use for the net proceeds received from the sale of any securities sold pursuant to the prospectus supplement or free writing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140"/>
          </w:cols>
          <w:pgMar w:left="320" w:top="530" w:right="4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WE MAY OFFER</w:t>
      </w:r>
    </w:p>
    <w:p>
      <w:pPr>
        <w:spacing w:after="0" w:line="203" w:lineRule="exact"/>
        <w:rPr>
          <w:sz w:val="20"/>
          <w:szCs w:val="20"/>
          <w:color w:val="auto"/>
        </w:rPr>
      </w:pPr>
    </w:p>
    <w:p>
      <w:pPr>
        <w:ind w:firstLine="289"/>
        <w:spacing w:after="0" w:line="261" w:lineRule="auto"/>
        <w:rPr>
          <w:sz w:val="20"/>
          <w:szCs w:val="20"/>
          <w:color w:val="auto"/>
        </w:rPr>
      </w:pPr>
      <w:r>
        <w:rPr>
          <w:rFonts w:ascii="Times New Roman" w:cs="Times New Roman" w:eastAsia="Times New Roman" w:hAnsi="Times New Roman"/>
          <w:sz w:val="16"/>
          <w:szCs w:val="16"/>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w:t>
      </w:r>
    </w:p>
    <w:p>
      <w:pPr>
        <w:spacing w:after="0" w:line="162" w:lineRule="exact"/>
        <w:rPr>
          <w:sz w:val="20"/>
          <w:szCs w:val="20"/>
          <w:color w:val="auto"/>
        </w:rPr>
      </w:pPr>
    </w:p>
    <w:p>
      <w:pPr>
        <w:ind w:right="120" w:firstLine="289"/>
        <w:spacing w:after="0" w:line="257" w:lineRule="auto"/>
        <w:rPr>
          <w:sz w:val="20"/>
          <w:szCs w:val="20"/>
          <w:color w:val="auto"/>
        </w:rPr>
      </w:pPr>
      <w:r>
        <w:rPr>
          <w:rFonts w:ascii="Times New Roman" w:cs="Times New Roman" w:eastAsia="Times New Roman" w:hAnsi="Times New Roman"/>
          <w:sz w:val="16"/>
          <w:szCs w:val="16"/>
          <w:color w:val="auto"/>
        </w:rPr>
        <w:t>We may offer up to $100.0 million of securities under this prospectus. The prices and terms of any offering will be determined by market conditions at the time of the offering. We may sell the securities to or through underwriters, dealers or agents, directly to purchasers or through a combination of any of these methods of sale or as otherwise set forth below under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 We, as well as any agents acting on our behalf, reserve the sole right to accept and to reject in whole or in part any proposed purchase of securities. This prospectus provides a general description of the securities we may offer. Each time we offer securities under this prospectus, we will, to the extent required by law, provide offerees with a prospectus supplement that will describe the specific amounts, prices and other important terms of the securities being offered. The prospectus supplement may also add, update or change information in this prospectus. For more information, see “</w:t>
      </w:r>
      <w:r>
        <w:rPr>
          <w:rFonts w:ascii="Times New Roman" w:cs="Times New Roman" w:eastAsia="Times New Roman" w:hAnsi="Times New Roman"/>
          <w:sz w:val="16"/>
          <w:szCs w:val="16"/>
          <w:i w:val="1"/>
          <w:iCs w:val="1"/>
          <w:color w:val="auto"/>
        </w:rPr>
        <w:t>About this Prospectus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CAPITAL STOCK</w:t>
      </w:r>
    </w:p>
    <w:p>
      <w:pPr>
        <w:spacing w:after="0" w:line="203" w:lineRule="exact"/>
        <w:rPr>
          <w:sz w:val="20"/>
          <w:szCs w:val="20"/>
          <w:color w:val="auto"/>
        </w:rPr>
      </w:pPr>
    </w:p>
    <w:p>
      <w:pPr>
        <w:ind w:right="480" w:firstLine="289"/>
        <w:spacing w:after="0" w:line="283" w:lineRule="auto"/>
        <w:rPr>
          <w:sz w:val="20"/>
          <w:szCs w:val="20"/>
          <w:color w:val="auto"/>
        </w:rPr>
      </w:pPr>
      <w:r>
        <w:rPr>
          <w:rFonts w:ascii="Times New Roman" w:cs="Times New Roman" w:eastAsia="Times New Roman" w:hAnsi="Times New Roman"/>
          <w:sz w:val="16"/>
          <w:szCs w:val="16"/>
          <w:color w:val="auto"/>
        </w:rPr>
        <w:t>The following summary of the general terms and provisions of our Ordinary Shares does not purport to be complete and is subject to and qualified in its entirety by reference to our articles of association (as amended from time to time, our “</w:t>
      </w:r>
      <w:r>
        <w:rPr>
          <w:rFonts w:ascii="Times New Roman" w:cs="Times New Roman" w:eastAsia="Times New Roman" w:hAnsi="Times New Roman"/>
          <w:sz w:val="16"/>
          <w:szCs w:val="16"/>
          <w:b w:val="1"/>
          <w:bCs w:val="1"/>
          <w:i w:val="1"/>
          <w:iCs w:val="1"/>
          <w:color w:val="auto"/>
        </w:rPr>
        <w:t>Articles of Association</w:t>
      </w:r>
      <w:r>
        <w:rPr>
          <w:rFonts w:ascii="Times New Roman" w:cs="Times New Roman" w:eastAsia="Times New Roman" w:hAnsi="Times New Roman"/>
          <w:sz w:val="16"/>
          <w:szCs w:val="16"/>
          <w:color w:val="auto"/>
        </w:rPr>
        <w:t>”) and applicable Dutch law provisions.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Ordinary Shares</w:t>
      </w:r>
    </w:p>
    <w:p>
      <w:pPr>
        <w:spacing w:after="0" w:line="203" w:lineRule="exact"/>
        <w:rPr>
          <w:sz w:val="20"/>
          <w:szCs w:val="20"/>
          <w:color w:val="auto"/>
        </w:rPr>
      </w:pPr>
    </w:p>
    <w:p>
      <w:pPr>
        <w:ind w:right="300" w:firstLine="289"/>
        <w:spacing w:after="0" w:line="283" w:lineRule="auto"/>
        <w:rPr>
          <w:sz w:val="20"/>
          <w:szCs w:val="20"/>
          <w:color w:val="auto"/>
        </w:rPr>
      </w:pPr>
      <w:r>
        <w:rPr>
          <w:rFonts w:ascii="Times New Roman" w:cs="Times New Roman" w:eastAsia="Times New Roman" w:hAnsi="Times New Roman"/>
          <w:sz w:val="16"/>
          <w:szCs w:val="16"/>
          <w:color w:val="auto"/>
        </w:rPr>
        <w:t>Our Ordinary Shares are issued in registered form. Our authorized share capital is €1,630,300, divided into 120,000,000 ordinary shares, each with a nominal value of €0.01, 40,000 high voting shares, each with a nominal value of €0.25 and 1,401 preferred shares, each with a nominal value of €300.</w:t>
      </w:r>
    </w:p>
    <w:p>
      <w:pPr>
        <w:spacing w:after="0" w:line="139" w:lineRule="exact"/>
        <w:rPr>
          <w:sz w:val="20"/>
          <w:szCs w:val="20"/>
          <w:color w:val="auto"/>
        </w:rPr>
      </w:pPr>
    </w:p>
    <w:p>
      <w:pPr>
        <w:ind w:right="280" w:firstLine="289"/>
        <w:spacing w:after="0" w:line="263" w:lineRule="auto"/>
        <w:rPr>
          <w:sz w:val="20"/>
          <w:szCs w:val="20"/>
          <w:color w:val="auto"/>
        </w:rPr>
      </w:pPr>
      <w:r>
        <w:rPr>
          <w:rFonts w:ascii="Times New Roman" w:cs="Times New Roman" w:eastAsia="Times New Roman" w:hAnsi="Times New Roman"/>
          <w:sz w:val="16"/>
          <w:szCs w:val="16"/>
          <w:color w:val="auto"/>
        </w:rPr>
        <w:t>On December 23, 2024, the Company amended its Articles of Association to implement a reverse share split (the “</w:t>
      </w:r>
      <w:r>
        <w:rPr>
          <w:rFonts w:ascii="Times New Roman" w:cs="Times New Roman" w:eastAsia="Times New Roman" w:hAnsi="Times New Roman"/>
          <w:sz w:val="16"/>
          <w:szCs w:val="16"/>
          <w:b w:val="1"/>
          <w:bCs w:val="1"/>
          <w:i w:val="1"/>
          <w:iCs w:val="1"/>
          <w:color w:val="auto"/>
        </w:rPr>
        <w:t>Reverse Share Split</w:t>
      </w:r>
      <w:r>
        <w:rPr>
          <w:rFonts w:ascii="Times New Roman" w:cs="Times New Roman" w:eastAsia="Times New Roman" w:hAnsi="Times New Roman"/>
          <w:sz w:val="16"/>
          <w:szCs w:val="16"/>
          <w:color w:val="auto"/>
        </w:rPr>
        <w:t>”) of the Company’s Ordinary Shares and High Voting Shares at a ratio of 1-for-75. The Reverse Share Split took market effect on January 6, 2025, following confirmation from the Financial Industry Regulatory Authority that it had received and reviewed all necessary documentation to process the Reverse Share Split and was perfected pursuant to an amendment of the Company's Articles of Association on September 9, 2025.</w:t>
      </w:r>
    </w:p>
    <w:p>
      <w:pPr>
        <w:spacing w:after="0" w:line="160" w:lineRule="exact"/>
        <w:rPr>
          <w:sz w:val="20"/>
          <w:szCs w:val="20"/>
          <w:color w:val="auto"/>
        </w:rPr>
      </w:pPr>
    </w:p>
    <w:p>
      <w:pPr>
        <w:ind w:right="180" w:firstLine="289"/>
        <w:spacing w:after="0" w:line="257" w:lineRule="auto"/>
        <w:rPr>
          <w:sz w:val="20"/>
          <w:szCs w:val="20"/>
          <w:color w:val="auto"/>
        </w:rPr>
      </w:pPr>
      <w:r>
        <w:rPr>
          <w:rFonts w:ascii="Times New Roman" w:cs="Times New Roman" w:eastAsia="Times New Roman" w:hAnsi="Times New Roman"/>
          <w:sz w:val="16"/>
          <w:szCs w:val="16"/>
          <w:color w:val="auto"/>
        </w:rPr>
        <w:t>In addition, at Sono N.V.'s extraordinary general meeting held on January 31, 2024, the shareholders approved a proposal to increase (in one or a series of amendments) our authorized share capital in order to cover conversions under the convertible debentures held by YA II PN, Ltd. (“</w:t>
      </w:r>
      <w:r>
        <w:rPr>
          <w:rFonts w:ascii="Times New Roman" w:cs="Times New Roman" w:eastAsia="Times New Roman" w:hAnsi="Times New Roman"/>
          <w:sz w:val="16"/>
          <w:szCs w:val="16"/>
          <w:b w:val="1"/>
          <w:bCs w:val="1"/>
          <w:i w:val="1"/>
          <w:iCs w:val="1"/>
          <w:color w:val="auto"/>
        </w:rPr>
        <w:t>Yorkville</w:t>
      </w:r>
      <w:r>
        <w:rPr>
          <w:rFonts w:ascii="Times New Roman" w:cs="Times New Roman" w:eastAsia="Times New Roman" w:hAnsi="Times New Roman"/>
          <w:sz w:val="16"/>
          <w:szCs w:val="16"/>
          <w:color w:val="auto"/>
        </w:rPr>
        <w:t>”). At the Company’s extraordinary meeting of shareholders on November 7, 2024 (the “</w:t>
      </w:r>
      <w:r>
        <w:rPr>
          <w:rFonts w:ascii="Times New Roman" w:cs="Times New Roman" w:eastAsia="Times New Roman" w:hAnsi="Times New Roman"/>
          <w:sz w:val="16"/>
          <w:szCs w:val="16"/>
          <w:b w:val="1"/>
          <w:bCs w:val="1"/>
          <w:i w:val="1"/>
          <w:iCs w:val="1"/>
          <w:color w:val="auto"/>
        </w:rPr>
        <w:t>November 2024 EGM</w:t>
      </w:r>
      <w:r>
        <w:rPr>
          <w:rFonts w:ascii="Times New Roman" w:cs="Times New Roman" w:eastAsia="Times New Roman" w:hAnsi="Times New Roman"/>
          <w:sz w:val="16"/>
          <w:szCs w:val="16"/>
          <w:color w:val="auto"/>
        </w:rPr>
        <w:t>”), the shareholders approved a proposal to inter alia (i) increase (in one or a series of amendments) our authorised share capital in order to cover the increase of our authorised share capital under an authority of the management board to issue Ordinary Shares or grant rights to subscribe for Ordinary Shares, and (ii) introduce a new class of preferred shares, with a nominal value of €300.00 per preferred share, with each preferred share being convertible into 30,000 Ordinary Shares, which changes were implemented by amendment to the Company's Articles of Association on September 9, 2025.</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Under Dutch law, our authorized share capital is the maximum capital that we may issue without amending our Articles of Association.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Preferred Shares</w:t>
      </w:r>
    </w:p>
    <w:p>
      <w:pPr>
        <w:spacing w:after="0" w:line="199" w:lineRule="exact"/>
        <w:rPr>
          <w:sz w:val="20"/>
          <w:szCs w:val="20"/>
          <w:color w:val="auto"/>
        </w:rPr>
      </w:pPr>
    </w:p>
    <w:p>
      <w:pPr>
        <w:jc w:val="both"/>
        <w:ind w:right="160" w:firstLine="289"/>
        <w:spacing w:after="0" w:line="263" w:lineRule="auto"/>
        <w:rPr>
          <w:sz w:val="20"/>
          <w:szCs w:val="20"/>
          <w:color w:val="auto"/>
        </w:rPr>
      </w:pPr>
      <w:r>
        <w:rPr>
          <w:rFonts w:ascii="Times New Roman" w:cs="Times New Roman" w:eastAsia="Times New Roman" w:hAnsi="Times New Roman"/>
          <w:sz w:val="16"/>
          <w:szCs w:val="16"/>
          <w:color w:val="auto"/>
        </w:rPr>
        <w:t>We are authorized to issue 1,401 preferred shares, nominal value €300.00 per share (the “</w:t>
      </w:r>
      <w:r>
        <w:rPr>
          <w:rFonts w:ascii="Times New Roman" w:cs="Times New Roman" w:eastAsia="Times New Roman" w:hAnsi="Times New Roman"/>
          <w:sz w:val="16"/>
          <w:szCs w:val="16"/>
          <w:b w:val="1"/>
          <w:bCs w:val="1"/>
          <w:i w:val="1"/>
          <w:iCs w:val="1"/>
          <w:color w:val="auto"/>
        </w:rPr>
        <w:t>Preferred Shares</w:t>
      </w:r>
      <w:r>
        <w:rPr>
          <w:rFonts w:ascii="Times New Roman" w:cs="Times New Roman" w:eastAsia="Times New Roman" w:hAnsi="Times New Roman"/>
          <w:sz w:val="16"/>
          <w:szCs w:val="16"/>
          <w:color w:val="auto"/>
        </w:rPr>
        <w:t>”), all of which are issued, outstanding and held by Yorkville. The Preferred Shares were created as a new class of shares approved by shareholders at the November 2024 EGM and were issued on September 9, 2025 solely in exchange for the surrender and cancellation of all outstanding convertible debentures held by Yorkville pursuant to an exchange agreement dated December 30, 2024, as amended (the “</w:t>
      </w:r>
      <w:r>
        <w:rPr>
          <w:rFonts w:ascii="Times New Roman" w:cs="Times New Roman" w:eastAsia="Times New Roman" w:hAnsi="Times New Roman"/>
          <w:sz w:val="16"/>
          <w:szCs w:val="16"/>
          <w:b w:val="1"/>
          <w:bCs w:val="1"/>
          <w:i w:val="1"/>
          <w:iCs w:val="1"/>
          <w:color w:val="auto"/>
        </w:rPr>
        <w:t>Exchange Agreement</w:t>
      </w:r>
      <w:r>
        <w:rPr>
          <w:rFonts w:ascii="Times New Roman" w:cs="Times New Roman" w:eastAsia="Times New Roman" w:hAnsi="Times New Roman"/>
          <w:sz w:val="16"/>
          <w:szCs w:val="16"/>
          <w:color w:val="auto"/>
        </w:rPr>
        <w:t>”). The total debt converted was approximately $42.1 million (inclusive of accrued interest).</w:t>
      </w:r>
    </w:p>
    <w:p>
      <w:pPr>
        <w:spacing w:after="0" w:line="156" w:lineRule="exact"/>
        <w:rPr>
          <w:sz w:val="20"/>
          <w:szCs w:val="20"/>
          <w:color w:val="auto"/>
        </w:rPr>
      </w:pPr>
    </w:p>
    <w:p>
      <w:pPr>
        <w:ind w:right="40" w:firstLine="289"/>
        <w:spacing w:after="0" w:line="258" w:lineRule="auto"/>
        <w:rPr>
          <w:sz w:val="20"/>
          <w:szCs w:val="20"/>
          <w:color w:val="auto"/>
        </w:rPr>
      </w:pPr>
      <w:r>
        <w:rPr>
          <w:rFonts w:ascii="Times New Roman" w:cs="Times New Roman" w:eastAsia="Times New Roman" w:hAnsi="Times New Roman"/>
          <w:sz w:val="16"/>
          <w:szCs w:val="16"/>
          <w:color w:val="auto"/>
        </w:rPr>
        <w:t>Each Preferred Share is convertible into 30,000 Ordinary Shares, subject to the terms of the Exchange Agreement. The effective conversion price (the “</w:t>
      </w:r>
      <w:r>
        <w:rPr>
          <w:rFonts w:ascii="Times New Roman" w:cs="Times New Roman" w:eastAsia="Times New Roman" w:hAnsi="Times New Roman"/>
          <w:sz w:val="16"/>
          <w:szCs w:val="16"/>
          <w:b w:val="1"/>
          <w:bCs w:val="1"/>
          <w:i w:val="1"/>
          <w:iCs w:val="1"/>
          <w:color w:val="auto"/>
        </w:rPr>
        <w:t>Effective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Conversion Price</w:t>
      </w:r>
      <w:r>
        <w:rPr>
          <w:rFonts w:ascii="Times New Roman" w:cs="Times New Roman" w:eastAsia="Times New Roman" w:hAnsi="Times New Roman"/>
          <w:sz w:val="16"/>
          <w:szCs w:val="16"/>
          <w:color w:val="auto"/>
        </w:rPr>
        <w:t>”) equals 85% of the lowest daily volume weighted average price of the Ordinary Shares during the 10 trading days immediately preceding the date of notice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conversion, subject to a floor price equal to $4.00 per Ordinary Share from the closing date until six months after the Nasdaq listing date, and $1.00 per Ordinary Share thereafter. Upon conversion, Yorkville must surrender the Preferred Shares being converted plus automatically sell back to the Company (for no consideration) additional Preferred Shares such that the total number of Preferred Shares surrendered and subject to the conversion will be equal to (a) the total number of Ordinary Shares issuable upon such conversion, multiplied by (b) the Effective Conversion Price, divided by (c) 30,000.</w:t>
      </w:r>
    </w:p>
    <w:p>
      <w:pPr>
        <w:spacing w:after="0" w:line="164" w:lineRule="exact"/>
        <w:rPr>
          <w:sz w:val="20"/>
          <w:szCs w:val="20"/>
          <w:color w:val="auto"/>
        </w:rPr>
      </w:pPr>
    </w:p>
    <w:p>
      <w:pPr>
        <w:ind w:firstLine="289"/>
        <w:spacing w:after="0" w:line="261" w:lineRule="auto"/>
        <w:rPr>
          <w:sz w:val="20"/>
          <w:szCs w:val="20"/>
          <w:color w:val="auto"/>
        </w:rPr>
      </w:pPr>
      <w:r>
        <w:rPr>
          <w:rFonts w:ascii="Times New Roman" w:cs="Times New Roman" w:eastAsia="Times New Roman" w:hAnsi="Times New Roman"/>
          <w:sz w:val="16"/>
          <w:szCs w:val="16"/>
          <w:color w:val="auto"/>
        </w:rPr>
        <w:t>Each Preferred Share carries 30,000 votes at any general meeting of shareholders. However, Yorkville is subject to a contractually agreed voting blocker equal to 4.99% of the combined voting power in the share capital of Sono N.V. In addition, Yorkville may not convert Preferred Shares if, after giving effect to such conversion, Yorkville (together with its affiliates) would beneficially own more than 4.99% of the number or voting power of the outstanding Ordinary Shares. This beneficial ownership limitation may be waived by Yorkville upon not less than 65 days’ prior notice to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Issuance of Shares</w:t>
      </w:r>
    </w:p>
    <w:p>
      <w:pPr>
        <w:spacing w:after="0" w:line="203" w:lineRule="exact"/>
        <w:rPr>
          <w:sz w:val="20"/>
          <w:szCs w:val="20"/>
          <w:color w:val="auto"/>
        </w:rPr>
      </w:pPr>
    </w:p>
    <w:p>
      <w:pPr>
        <w:ind w:right="40" w:firstLine="289"/>
        <w:spacing w:after="0" w:line="257" w:lineRule="auto"/>
        <w:rPr>
          <w:sz w:val="20"/>
          <w:szCs w:val="20"/>
          <w:color w:val="auto"/>
        </w:rPr>
      </w:pPr>
      <w:r>
        <w:rPr>
          <w:rFonts w:ascii="Times New Roman" w:cs="Times New Roman" w:eastAsia="Times New Roman" w:hAnsi="Times New Roman"/>
          <w:sz w:val="16"/>
          <w:szCs w:val="16"/>
          <w:color w:val="auto"/>
        </w:rPr>
        <w:t>Under Dutch law and our Articles of Association, the issuance of shares and/or the granting of rights to subscribe for shares requires a resolution of the general meeting. Another corporate body, such as the management board or the supervisory board, may be designated as the authorized body to do so by the general meeting. Such designation can be granted for a period not exceeding five years. A resolution of the general meeting to issue shares, grant rights to subscribe for shares or designate another corporate body of the Company to do the same requires the approval of the relevant class meeting whose rights are prejudiced. A designation of another corporate body is irrevocable unless stipulated differently. Our supervisory board has been authorized to issue shares and/or rights to subscribe for shares, for a period of maximum eighteen months after an annual general meeting of Sono N.V. held on August 13, 2025 (the “</w:t>
      </w:r>
      <w:r>
        <w:rPr>
          <w:rFonts w:ascii="Times New Roman" w:cs="Times New Roman" w:eastAsia="Times New Roman" w:hAnsi="Times New Roman"/>
          <w:sz w:val="16"/>
          <w:szCs w:val="16"/>
          <w:b w:val="1"/>
          <w:bCs w:val="1"/>
          <w:i w:val="1"/>
          <w:iCs w:val="1"/>
          <w:color w:val="auto"/>
        </w:rPr>
        <w:t>August 2025 AGM</w:t>
      </w:r>
      <w:r>
        <w:rPr>
          <w:rFonts w:ascii="Times New Roman" w:cs="Times New Roman" w:eastAsia="Times New Roman" w:hAnsi="Times New Roman"/>
          <w:sz w:val="16"/>
          <w:szCs w:val="16"/>
          <w:color w:val="auto"/>
        </w:rPr>
        <w:t>”).</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color w:val="auto"/>
        </w:rPr>
        <w:t>Preemptive Rights</w:t>
      </w:r>
    </w:p>
    <w:p>
      <w:pPr>
        <w:spacing w:after="0" w:line="203" w:lineRule="exact"/>
        <w:rPr>
          <w:sz w:val="20"/>
          <w:szCs w:val="20"/>
          <w:color w:val="auto"/>
        </w:rPr>
      </w:pPr>
    </w:p>
    <w:p>
      <w:pPr>
        <w:ind w:right="80" w:firstLine="289"/>
        <w:spacing w:after="0" w:line="274" w:lineRule="auto"/>
        <w:rPr>
          <w:sz w:val="20"/>
          <w:szCs w:val="20"/>
          <w:color w:val="auto"/>
        </w:rPr>
      </w:pPr>
      <w:r>
        <w:rPr>
          <w:rFonts w:ascii="Times New Roman" w:cs="Times New Roman" w:eastAsia="Times New Roman" w:hAnsi="Times New Roman"/>
          <w:sz w:val="15"/>
          <w:szCs w:val="15"/>
          <w:color w:val="auto"/>
        </w:rPr>
        <w:t>Under Dutch law and our Articles of Association, in the event of an issuance of shares of a certain class, each shareholder will have a pro rata preemptive right in proportion to the aggregate nominal value of the shares of such class held by such holder (with the exception of shares to be issued to employees or shares issued against a contribution other than in cash or pursuant to the exercise of a previously acquired right to subscribe for shares). Under our Articles of Association, the preemptive rights in respect of newly issued shares may be restricted or excluded by a resolution of the general meeting. Another corporate body, such as the management board or the supervisory board, may restrict or exclude the preemptive rights in respect of newly issued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two-thirds of the votes cast, if less than one-half of our issued share capital is represented at the meeting. Our supervisory board has been authorized to restrict or exclude preemptive rights, for a period of maximum eighteen months after the August 2025 AGM.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Conversion of Shares</w:t>
      </w:r>
    </w:p>
    <w:p>
      <w:pPr>
        <w:spacing w:after="0" w:line="203" w:lineRule="exact"/>
        <w:rPr>
          <w:sz w:val="20"/>
          <w:szCs w:val="20"/>
          <w:color w:val="auto"/>
        </w:rPr>
      </w:pPr>
    </w:p>
    <w:p>
      <w:pPr>
        <w:jc w:val="both"/>
        <w:ind w:right="60" w:firstLine="289"/>
        <w:spacing w:after="0" w:line="267" w:lineRule="auto"/>
        <w:rPr>
          <w:sz w:val="20"/>
          <w:szCs w:val="20"/>
          <w:color w:val="auto"/>
        </w:rPr>
      </w:pPr>
      <w:r>
        <w:rPr>
          <w:rFonts w:ascii="Times New Roman" w:cs="Times New Roman" w:eastAsia="Times New Roman" w:hAnsi="Times New Roman"/>
          <w:sz w:val="16"/>
          <w:szCs w:val="16"/>
          <w:color w:val="auto"/>
        </w:rPr>
        <w:t>Under our Articles of Association, and subject to certain requirements, each issued high voting share can be converted into twenty-five Ordinary Shares. Ordinary shares cannot be converted into High Voting Shares. Upon the issuance of the Preferred Shares, and subject to certain requirements, each issued preferred share can be converted into 30,000 Ordinary Shares. Ordinary shares cannot be converted into Preferred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of Ordinary Shares</w:t>
      </w:r>
    </w:p>
    <w:p>
      <w:pPr>
        <w:spacing w:after="0" w:line="203" w:lineRule="exact"/>
        <w:rPr>
          <w:sz w:val="20"/>
          <w:szCs w:val="20"/>
          <w:color w:val="auto"/>
        </w:rPr>
      </w:pPr>
    </w:p>
    <w:p>
      <w:pPr>
        <w:ind w:right="100" w:firstLine="289"/>
        <w:spacing w:after="0" w:line="259" w:lineRule="auto"/>
        <w:rPr>
          <w:sz w:val="20"/>
          <w:szCs w:val="20"/>
          <w:color w:val="auto"/>
        </w:rPr>
      </w:pPr>
      <w:r>
        <w:rPr>
          <w:rFonts w:ascii="Times New Roman" w:cs="Times New Roman" w:eastAsia="Times New Roman" w:hAnsi="Times New Roman"/>
          <w:sz w:val="16"/>
          <w:szCs w:val="16"/>
          <w:color w:val="auto"/>
        </w:rPr>
        <w:t>Except as otherwise provided or allowed by Dutch law, the issue or transfer of a share shall require a deed to that effect and, in the case of a transfer and unless the Company itself is a party to the transaction, acknowledgement of the transfer by the Company. The acknowledgement shall be set out in the deed or shall be made in such other manner as prescribed by law. For as long as any Ordinary Shares are admitted to trading on the New York Stock Exchange, the Nasdaq Stock Market or on any other regulated stock exchange operating in the United States of America, the laws of the State of New York shall apply to the property law aspects of the Ordinary Shares reflected in the register administered by the relevant transfer agent.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Repurchase of Shares</w:t>
      </w:r>
    </w:p>
    <w:p>
      <w:pPr>
        <w:spacing w:after="0" w:line="203" w:lineRule="exact"/>
        <w:rPr>
          <w:sz w:val="20"/>
          <w:szCs w:val="20"/>
          <w:color w:val="auto"/>
        </w:rPr>
      </w:pPr>
    </w:p>
    <w:p>
      <w:pPr>
        <w:ind w:right="20" w:firstLine="289"/>
        <w:spacing w:after="0" w:line="259" w:lineRule="auto"/>
        <w:rPr>
          <w:sz w:val="20"/>
          <w:szCs w:val="20"/>
          <w:color w:val="auto"/>
        </w:rPr>
      </w:pPr>
      <w:r>
        <w:rPr>
          <w:rFonts w:ascii="Times New Roman" w:cs="Times New Roman" w:eastAsia="Times New Roman" w:hAnsi="Times New Roman"/>
          <w:sz w:val="16"/>
          <w:szCs w:val="16"/>
          <w:color w:val="auto"/>
        </w:rPr>
        <w:t>An acquisition of Ordinary Shares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by a resolution of our management board, with the approval of our supervisory board. No authorization of the general meeting of shareholders is required if fully paid Ordinary Shares are acquired by us with the intention of transferring such Ordinary Shares to our employees under an applicable employee stock purchase plan or if shares are acquired for no consideration.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Requirements for Amendments to our Articles of Association</w:t>
      </w:r>
    </w:p>
    <w:p>
      <w:pPr>
        <w:spacing w:after="0" w:line="203" w:lineRule="exact"/>
        <w:rPr>
          <w:sz w:val="20"/>
          <w:szCs w:val="20"/>
          <w:color w:val="auto"/>
        </w:rPr>
      </w:pPr>
    </w:p>
    <w:p>
      <w:pPr>
        <w:ind w:right="600" w:firstLine="289"/>
        <w:spacing w:after="0" w:line="283" w:lineRule="auto"/>
        <w:rPr>
          <w:sz w:val="20"/>
          <w:szCs w:val="20"/>
          <w:color w:val="auto"/>
        </w:rPr>
      </w:pPr>
      <w:r>
        <w:rPr>
          <w:rFonts w:ascii="Times New Roman" w:cs="Times New Roman" w:eastAsia="Times New Roman" w:hAnsi="Times New Roman"/>
          <w:sz w:val="16"/>
          <w:szCs w:val="16"/>
          <w:color w:val="auto"/>
        </w:rPr>
        <w:t>An amendment of our Articles of Association would require a resolution of the general meeting upon proposal by the management board with the approval of our supervisory board.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Limitations on the Right to Own Ordinary Shares</w:t>
      </w:r>
    </w:p>
    <w:p>
      <w:pPr>
        <w:spacing w:after="0" w:line="203" w:lineRule="exact"/>
        <w:rPr>
          <w:sz w:val="20"/>
          <w:szCs w:val="20"/>
          <w:color w:val="auto"/>
        </w:rPr>
      </w:pPr>
    </w:p>
    <w:p>
      <w:pPr>
        <w:ind w:firstLine="289"/>
        <w:spacing w:after="0" w:line="259" w:lineRule="auto"/>
        <w:rPr>
          <w:sz w:val="20"/>
          <w:szCs w:val="20"/>
          <w:color w:val="auto"/>
        </w:rPr>
      </w:pPr>
      <w:r>
        <w:rPr>
          <w:rFonts w:ascii="Times New Roman" w:cs="Times New Roman" w:eastAsia="Times New Roman" w:hAnsi="Times New Roman"/>
          <w:sz w:val="16"/>
          <w:szCs w:val="16"/>
          <w:color w:val="auto"/>
        </w:rPr>
        <w:t>Our Articles of Association contain no limitation on the rights to own our shares provided that we cannot hold more than fifty per cent of the nominal value of our own share capital. Pursuant to our Articles of Association, for as long as any of our Ordinary Shares are admitted to trading on any regulated stock exchange operating in the United States of America, the laws of the State of New York shall apply to the property law aspects of our Ordinary Shares reflected in the register administered by the relevant transfer agent. However, certain other aspects relating to our Ordinary Shares remain subject to Dutch law and Dutch law continues to determine, for example, how new shares are issued.</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Shareholders’ Meetings</w:t>
      </w:r>
    </w:p>
    <w:p>
      <w:pPr>
        <w:spacing w:after="0" w:line="203" w:lineRule="exact"/>
        <w:rPr>
          <w:sz w:val="20"/>
          <w:szCs w:val="20"/>
          <w:color w:val="auto"/>
        </w:rPr>
      </w:pPr>
    </w:p>
    <w:p>
      <w:pPr>
        <w:ind w:right="120" w:firstLine="289"/>
        <w:spacing w:after="0" w:line="259" w:lineRule="auto"/>
        <w:rPr>
          <w:sz w:val="20"/>
          <w:szCs w:val="20"/>
          <w:color w:val="auto"/>
        </w:rPr>
      </w:pPr>
      <w:r>
        <w:rPr>
          <w:rFonts w:ascii="Times New Roman" w:cs="Times New Roman" w:eastAsia="Times New Roman" w:hAnsi="Times New Roman"/>
          <w:sz w:val="16"/>
          <w:szCs w:val="16"/>
          <w:color w:val="auto"/>
        </w:rPr>
        <w:t>General meetings may be held in Amsterdam, Arnhem, Assen, The Hague, Haarlem, ‘s-Hertogenbosch, Groningen, Leeuwarden, Lelystad, Maastricht, Middelburg, Rotterdam, Schiphol (Haarlemmermeer), Utrecht or Zwolle, all in the Netherlands. The annual general meeting shall be held within six months of the end of each financial year. Additional extraordinary general meetings may also be held, whenever considered appropriate by the management board or the supervisory board and shall be held within three months after our management board has considered it to be likely that our equity has decreased to an amount equal to or lower than half of its paid-in and called-up share capital, in order to discuss the measures to be taken if so required.</w:t>
      </w:r>
    </w:p>
    <w:p>
      <w:pPr>
        <w:spacing w:after="0" w:line="162" w:lineRule="exact"/>
        <w:rPr>
          <w:sz w:val="20"/>
          <w:szCs w:val="20"/>
          <w:color w:val="auto"/>
        </w:rPr>
      </w:pPr>
    </w:p>
    <w:p>
      <w:pPr>
        <w:ind w:right="140" w:firstLine="289"/>
        <w:spacing w:after="0" w:line="257" w:lineRule="auto"/>
        <w:rPr>
          <w:sz w:val="20"/>
          <w:szCs w:val="20"/>
          <w:color w:val="auto"/>
        </w:rPr>
      </w:pPr>
      <w:r>
        <w:rPr>
          <w:rFonts w:ascii="Times New Roman" w:cs="Times New Roman" w:eastAsia="Times New Roman" w:hAnsi="Times New Roman"/>
          <w:sz w:val="16"/>
          <w:szCs w:val="16"/>
          <w:color w:val="auto"/>
        </w:rPr>
        <w:t>Pursuant to Dutch law, one or more shareholders or others with meeting rights under Dutch law that jointly represent at least one-tenth of the issued share capital may request us to convene a general meeting, setting out in detail the matters to be discussed. If we have not taken the steps necessary to ensure that such meeting can be held within six weeks after the request, the requesting party/parties may, on their application, be authorized by the competent Dutch court in preliminary relief proceedings to convene a general meeting. The court shall disallow the application if it does not appear that the applicants have previously requested our management board and our supervisory board to convene a general meeting and neither our management board nor our supervisory board has taken the necessary steps so that the general meeting could be held within six weeks after the request.</w:t>
      </w:r>
    </w:p>
    <w:p>
      <w:pPr>
        <w:spacing w:after="0" w:line="165" w:lineRule="exact"/>
        <w:rPr>
          <w:sz w:val="20"/>
          <w:szCs w:val="20"/>
          <w:color w:val="auto"/>
        </w:rPr>
      </w:pPr>
    </w:p>
    <w:p>
      <w:pPr>
        <w:ind w:right="20" w:firstLine="289"/>
        <w:spacing w:after="0" w:line="255" w:lineRule="auto"/>
        <w:rPr>
          <w:sz w:val="20"/>
          <w:szCs w:val="20"/>
          <w:color w:val="auto"/>
        </w:rPr>
      </w:pPr>
      <w:r>
        <w:rPr>
          <w:rFonts w:ascii="Times New Roman" w:cs="Times New Roman" w:eastAsia="Times New Roman" w:hAnsi="Times New Roman"/>
          <w:sz w:val="16"/>
          <w:szCs w:val="16"/>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days prior to the day of the meeting. The agenda for the annual general meeting shall include – if possible and applicable – among other things, the adoption of the annual accounts, appropriation of our profits and proposals relating to the composition of the management board and supervisory board, including the filling of any vacancies in such bodies. In addition, the agenda shall include such items as have been included therein by the management board or the supervisory board. The agenda shall also include such items requested by one or more shareholders, or others with meeting rights under Dutch law, representing at least 3% of the issued share capital. Requests must be made in writing or by electronic means and received by us at least 60 days before the day of the meeting. No resolutions shall be adopted on items other than those that have been included in the agenda.</w:t>
      </w:r>
    </w:p>
    <w:p>
      <w:pPr>
        <w:spacing w:after="0" w:line="166" w:lineRule="exact"/>
        <w:rPr>
          <w:sz w:val="20"/>
          <w:szCs w:val="20"/>
          <w:color w:val="auto"/>
        </w:rPr>
      </w:pPr>
    </w:p>
    <w:p>
      <w:pPr>
        <w:ind w:right="20" w:firstLine="289"/>
        <w:spacing w:after="0" w:line="254" w:lineRule="auto"/>
        <w:rPr>
          <w:sz w:val="20"/>
          <w:szCs w:val="20"/>
          <w:color w:val="auto"/>
        </w:rPr>
      </w:pPr>
      <w:r>
        <w:rPr>
          <w:rFonts w:ascii="Times New Roman" w:cs="Times New Roman" w:eastAsia="Times New Roman" w:hAnsi="Times New Roman"/>
          <w:sz w:val="16"/>
          <w:szCs w:val="16"/>
          <w:color w:val="auto"/>
        </w:rPr>
        <w:t>In accordance with the Dutch Corporate Governance Code (the “</w:t>
      </w:r>
      <w:r>
        <w:rPr>
          <w:rFonts w:ascii="Times New Roman" w:cs="Times New Roman" w:eastAsia="Times New Roman" w:hAnsi="Times New Roman"/>
          <w:sz w:val="16"/>
          <w:szCs w:val="16"/>
          <w:b w:val="1"/>
          <w:bCs w:val="1"/>
          <w:color w:val="auto"/>
        </w:rPr>
        <w:t>DCGC</w:t>
      </w:r>
      <w:r>
        <w:rPr>
          <w:rFonts w:ascii="Times New Roman" w:cs="Times New Roman" w:eastAsia="Times New Roman" w:hAnsi="Times New Roman"/>
          <w:sz w:val="16"/>
          <w:szCs w:val="16"/>
          <w:color w:val="auto"/>
        </w:rPr>
        <w:t>”) and our Articles of Association, shareholders having the right to put an item on the agenda under the rules described above shall exercise such right only after consulting the management board in that respect. If one or more shareholders intend to request that an item be put on the agenda that may result in a change in the company’s strategy (for example, the removal of management board members or supervisory board members), the management board must be given the opportunity to invoke a reasonable period to respond to such intention. Such period shall not exceed 180 days (or such other period as may be stipulated for such purpose by Dutch law and/or the DCGC from time to time). If invoked, the management board must use such response period for further deliberation and constructive consultation, in any event with the shareholders(s) concerned, and shall explore the alternatives. At the end of the response time, the management board shall report on this consultation and the exploration of alternatives to the general meeting. This shall be supervised by our supervisory board. The response period may be invoked only once for any given general meeting and shall not apply: (a) in respect of a matter for which a response period or a statutory cooling-off period (as discussed below)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71" w:lineRule="exact"/>
        <w:rPr>
          <w:sz w:val="20"/>
          <w:szCs w:val="20"/>
          <w:color w:val="auto"/>
        </w:rPr>
      </w:pPr>
    </w:p>
    <w:p>
      <w:pPr>
        <w:ind w:firstLine="289"/>
        <w:spacing w:after="0" w:line="253" w:lineRule="auto"/>
        <w:rPr>
          <w:sz w:val="20"/>
          <w:szCs w:val="20"/>
          <w:color w:val="auto"/>
        </w:rPr>
      </w:pPr>
      <w:r>
        <w:rPr>
          <w:rFonts w:ascii="Times New Roman" w:cs="Times New Roman" w:eastAsia="Times New Roman" w:hAnsi="Times New Roman"/>
          <w:sz w:val="16"/>
          <w:szCs w:val="16"/>
          <w:color w:val="auto"/>
        </w:rPr>
        <w:t>Moreover, our management board, with the approval of our supervisory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or the Enterprise Chamber (Ondernemingskamer), for early termination of the cooling-off period. The Enterprise Chamber must rule in favor of the request if the shareholders can demonstrate that:</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6" w:name="page17"/>
    <w:bookmarkEnd w:id="16"/>
    <w:p>
      <w:pPr>
        <w:ind w:left="580" w:hanging="295"/>
        <w:spacing w:after="0" w:line="282" w:lineRule="auto"/>
        <w:tabs>
          <w:tab w:leader="none" w:pos="580" w:val="left"/>
        </w:tabs>
        <w:numPr>
          <w:ilvl w:val="0"/>
          <w:numId w:val="4"/>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management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44" w:lineRule="exact"/>
        <w:rPr>
          <w:rFonts w:ascii="Arial" w:cs="Arial" w:eastAsia="Arial" w:hAnsi="Arial"/>
          <w:sz w:val="16"/>
          <w:szCs w:val="16"/>
          <w:b w:val="1"/>
          <w:bCs w:val="1"/>
          <w:color w:val="auto"/>
        </w:rPr>
      </w:pPr>
    </w:p>
    <w:p>
      <w:pPr>
        <w:ind w:left="580" w:hanging="295"/>
        <w:spacing w:after="0"/>
        <w:tabs>
          <w:tab w:leader="none" w:pos="580" w:val="left"/>
        </w:tabs>
        <w:numPr>
          <w:ilvl w:val="0"/>
          <w:numId w:val="4"/>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management board cannot reasonably believe that a continuation of the cooling-off period would contribute to careful policy-making; or</w:t>
      </w:r>
    </w:p>
    <w:p>
      <w:pPr>
        <w:spacing w:after="0" w:line="200" w:lineRule="exact"/>
        <w:rPr>
          <w:rFonts w:ascii="Arial" w:cs="Arial" w:eastAsia="Arial" w:hAnsi="Arial"/>
          <w:sz w:val="16"/>
          <w:szCs w:val="16"/>
          <w:b w:val="1"/>
          <w:bCs w:val="1"/>
          <w:color w:val="auto"/>
        </w:rPr>
      </w:pPr>
    </w:p>
    <w:p>
      <w:pPr>
        <w:ind w:left="580" w:right="140" w:hanging="295"/>
        <w:spacing w:after="0" w:line="282" w:lineRule="auto"/>
        <w:tabs>
          <w:tab w:leader="none" w:pos="580" w:val="left"/>
        </w:tabs>
        <w:numPr>
          <w:ilvl w:val="0"/>
          <w:numId w:val="4"/>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44" w:lineRule="exact"/>
        <w:rPr>
          <w:sz w:val="20"/>
          <w:szCs w:val="20"/>
          <w:color w:val="auto"/>
        </w:rPr>
      </w:pPr>
    </w:p>
    <w:p>
      <w:pPr>
        <w:ind w:right="40" w:firstLine="289"/>
        <w:spacing w:after="0" w:line="256" w:lineRule="auto"/>
        <w:rPr>
          <w:sz w:val="20"/>
          <w:szCs w:val="20"/>
          <w:color w:val="auto"/>
        </w:rPr>
      </w:pPr>
      <w:r>
        <w:rPr>
          <w:rFonts w:ascii="Times New Roman" w:cs="Times New Roman" w:eastAsia="Times New Roman" w:hAnsi="Times New Roman"/>
          <w:sz w:val="16"/>
          <w:szCs w:val="16"/>
          <w:color w:val="auto"/>
        </w:rPr>
        <w:t>The general meeting is presided over by the chairperson of the supervisory board. If no chairperson has been elected or if he or she is not present at the meeting, the general meeting shall be presided over by another supervisory board member present at the meeting. If no supervisory board member is present, the meeting shall be presided over by our CEO. If the CEO is not present at the meeting, the general meeting shall be presided over by another management board member present at the meeting. If no management board member is present at the meeting, the general meeting shall be presided over by any other person appointed by the general meeting. In each case, the person who should chair the general meeting pursuant to the rules described above may appoint another person to chair the general meeting instead. Management board members and supervisory board members may always attend a general meeting. In these meetings, they have an advisory vote. The chairman of the meeting may decide, at his or her discretion, to admit other persons to the meeting.</w:t>
      </w:r>
    </w:p>
    <w:p>
      <w:pPr>
        <w:spacing w:after="0" w:line="165" w:lineRule="exact"/>
        <w:rPr>
          <w:sz w:val="20"/>
          <w:szCs w:val="20"/>
          <w:color w:val="auto"/>
        </w:rPr>
      </w:pPr>
    </w:p>
    <w:p>
      <w:pPr>
        <w:ind w:right="60" w:firstLine="289"/>
        <w:spacing w:after="0" w:line="259" w:lineRule="auto"/>
        <w:rPr>
          <w:sz w:val="20"/>
          <w:szCs w:val="20"/>
          <w:color w:val="auto"/>
        </w:rPr>
      </w:pPr>
      <w:r>
        <w:rPr>
          <w:rFonts w:ascii="Times New Roman" w:cs="Times New Roman" w:eastAsia="Times New Roman" w:hAnsi="Times New Roman"/>
          <w:sz w:val="16"/>
          <w:szCs w:val="16"/>
          <w:color w:val="auto"/>
        </w:rPr>
        <w:t>All shareholders and others with meeting rights under Dutch law are authorized to attend the general meeting, to address the meeting and, insofar as they have such right, to vote pro rata to the total nominal value of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Each ordinary share confers the right on the holder to cast one vote at the general meeting and each high voting share confers the right on the holder to cast twenty-five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votes at the general meeting. Each preferred share confers the right to cast 30,000 votes at a general meeting. Shareholders may vote by proxy. No votes may be cast at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meeting on shares held by us or our subsidiaries or on shares for which we or our subsidiaries hold depository receipts. Nonetheless, the holders of a right of usufruct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vruchtgebruik</w:t>
      </w:r>
      <w:r>
        <w:rPr>
          <w:rFonts w:ascii="Times New Roman" w:cs="Times New Roman" w:eastAsia="Times New Roman" w:hAnsi="Times New Roman"/>
          <w:sz w:val="16"/>
          <w:szCs w:val="16"/>
          <w:color w:val="auto"/>
        </w:rPr>
        <w:t>) and the holders of a right of pledge (</w:t>
      </w:r>
      <w:r>
        <w:rPr>
          <w:rFonts w:ascii="Times New Roman" w:cs="Times New Roman" w:eastAsia="Times New Roman" w:hAnsi="Times New Roman"/>
          <w:sz w:val="16"/>
          <w:szCs w:val="16"/>
          <w:i w:val="1"/>
          <w:iCs w:val="1"/>
          <w:color w:val="auto"/>
        </w:rPr>
        <w:t>pandrecht</w:t>
      </w:r>
      <w:r>
        <w:rPr>
          <w:rFonts w:ascii="Times New Roman" w:cs="Times New Roman" w:eastAsia="Times New Roman" w:hAnsi="Times New Roman"/>
          <w:sz w:val="16"/>
          <w:szCs w:val="16"/>
          <w:color w:val="auto"/>
        </w:rPr>
        <w:t>) in respect of shares held by us or our subsidiaries in our share capital are not excluded from the right to vote 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shares, if the right of usufruct (</w:t>
      </w:r>
      <w:r>
        <w:rPr>
          <w:rFonts w:ascii="Times New Roman" w:cs="Times New Roman" w:eastAsia="Times New Roman" w:hAnsi="Times New Roman"/>
          <w:sz w:val="16"/>
          <w:szCs w:val="16"/>
          <w:i w:val="1"/>
          <w:iCs w:val="1"/>
          <w:color w:val="auto"/>
        </w:rPr>
        <w:t>vruchtgebruik</w:t>
      </w:r>
      <w:r>
        <w:rPr>
          <w:rFonts w:ascii="Times New Roman" w:cs="Times New Roman" w:eastAsia="Times New Roman" w:hAnsi="Times New Roman"/>
          <w:sz w:val="16"/>
          <w:szCs w:val="16"/>
          <w:color w:val="auto"/>
        </w:rPr>
        <w:t>) or the right of pledge (</w:t>
      </w:r>
      <w:r>
        <w:rPr>
          <w:rFonts w:ascii="Times New Roman" w:cs="Times New Roman" w:eastAsia="Times New Roman" w:hAnsi="Times New Roman"/>
          <w:sz w:val="16"/>
          <w:szCs w:val="16"/>
          <w:i w:val="1"/>
          <w:iCs w:val="1"/>
          <w:color w:val="auto"/>
        </w:rPr>
        <w:t>pandrecht</w:t>
      </w:r>
      <w:r>
        <w:rPr>
          <w:rFonts w:ascii="Times New Roman" w:cs="Times New Roman" w:eastAsia="Times New Roman" w:hAnsi="Times New Roman"/>
          <w:sz w:val="16"/>
          <w:szCs w:val="16"/>
          <w:color w:val="auto"/>
        </w:rPr>
        <w:t>) was granted prior to the time such shares were acquired by us or any of our subsidiaries.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Neither we nor any of our subsidiaries may cast votes in respect of a share on which we or such subsidiary holds a right of usufruct (</w:t>
      </w:r>
      <w:r>
        <w:rPr>
          <w:rFonts w:ascii="Times New Roman" w:cs="Times New Roman" w:eastAsia="Times New Roman" w:hAnsi="Times New Roman"/>
          <w:sz w:val="16"/>
          <w:szCs w:val="16"/>
          <w:i w:val="1"/>
          <w:iCs w:val="1"/>
          <w:color w:val="auto"/>
        </w:rPr>
        <w:t>vruchtgebruik</w:t>
      </w:r>
      <w:r>
        <w:rPr>
          <w:rFonts w:ascii="Times New Roman" w:cs="Times New Roman" w:eastAsia="Times New Roman" w:hAnsi="Times New Roman"/>
          <w:sz w:val="16"/>
          <w:szCs w:val="16"/>
          <w:color w:val="auto"/>
        </w:rPr>
        <w:t>) or a right of pledge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pandrecht</w:t>
      </w:r>
      <w:r>
        <w:rPr>
          <w:rFonts w:ascii="Times New Roman" w:cs="Times New Roman" w:eastAsia="Times New Roman" w:hAnsi="Times New Roman"/>
          <w:sz w:val="16"/>
          <w:szCs w:val="16"/>
          <w:color w:val="auto"/>
        </w:rPr>
        <w:t>). Shares which are not entitled to voting rights pursuant to the preceding sentences will not be taken into account for the purpose of determining the number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that vote and that are present or represented, or the amount of the share capital that is provided or that is represented at a general meeting.</w:t>
      </w:r>
    </w:p>
    <w:p>
      <w:pPr>
        <w:spacing w:after="0" w:line="184" w:lineRule="exact"/>
        <w:rPr>
          <w:sz w:val="20"/>
          <w:szCs w:val="20"/>
          <w:color w:val="auto"/>
        </w:rPr>
      </w:pPr>
    </w:p>
    <w:p>
      <w:pPr>
        <w:ind w:right="140" w:firstLine="289"/>
        <w:spacing w:after="0" w:line="283" w:lineRule="auto"/>
        <w:rPr>
          <w:sz w:val="20"/>
          <w:szCs w:val="20"/>
          <w:color w:val="auto"/>
        </w:rPr>
      </w:pPr>
      <w:r>
        <w:rPr>
          <w:rFonts w:ascii="Times New Roman" w:cs="Times New Roman" w:eastAsia="Times New Roman" w:hAnsi="Times New Roman"/>
          <w:sz w:val="16"/>
          <w:szCs w:val="16"/>
          <w:color w:val="auto"/>
        </w:rPr>
        <w:t>Decisions of the general meeting are taken by a simple majority of votes cast in a meeting where at least one third of the entire issued share capital is represented, except where Dutch law or our Articles of Association provide for a qualified majority or unanimity.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Dividends and Other Distributions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203" w:lineRule="exact"/>
        <w:rPr>
          <w:sz w:val="20"/>
          <w:szCs w:val="20"/>
          <w:color w:val="auto"/>
        </w:rPr>
      </w:pPr>
    </w:p>
    <w:p>
      <w:pPr>
        <w:ind w:right="200" w:firstLine="289"/>
        <w:spacing w:after="0" w:line="261" w:lineRule="auto"/>
        <w:rPr>
          <w:sz w:val="20"/>
          <w:szCs w:val="20"/>
          <w:color w:val="auto"/>
        </w:rPr>
      </w:pPr>
      <w:r>
        <w:rPr>
          <w:rFonts w:ascii="Times New Roman" w:cs="Times New Roman" w:eastAsia="Times New Roman" w:hAnsi="Times New Roman"/>
          <w:sz w:val="16"/>
          <w:szCs w:val="16"/>
          <w:color w:val="auto"/>
        </w:rPr>
        <w:t>We may only make distributions, whether a distribution of profits or of freely distributable reserves, to our shareholders to the extent our shareholders’ equity (eigen vermogen) exceeds the sum of the paid-in and called-up share capital plus any reserves required by Dutch law or by our Articles of Association. Under our Articles of Association, our management board may decide that all or part of the profits are carried to reserves. After reservation by the management board of any profit, any remaining profit will be at the disposal of the general meeting for distribution, subject to restrictions of Dutch law and approval by our supervisory board.</w:t>
      </w:r>
    </w:p>
    <w:p>
      <w:pPr>
        <w:spacing w:after="0" w:line="162" w:lineRule="exact"/>
        <w:rPr>
          <w:sz w:val="20"/>
          <w:szCs w:val="20"/>
          <w:color w:val="auto"/>
        </w:rPr>
      </w:pPr>
    </w:p>
    <w:p>
      <w:pPr>
        <w:ind w:right="180" w:firstLine="289"/>
        <w:spacing w:after="0" w:line="267" w:lineRule="auto"/>
        <w:rPr>
          <w:sz w:val="20"/>
          <w:szCs w:val="20"/>
          <w:color w:val="auto"/>
        </w:rPr>
      </w:pPr>
      <w:r>
        <w:rPr>
          <w:rFonts w:ascii="Times New Roman" w:cs="Times New Roman" w:eastAsia="Times New Roman" w:hAnsi="Times New Roman"/>
          <w:sz w:val="16"/>
          <w:szCs w:val="16"/>
          <w:color w:val="auto"/>
        </w:rPr>
        <w:t>We only make a distribution to our shareholders after the adoption of our annual accounts demonstrating that such distribution is legally permitted. The management board is permitted, subject to certain requirements, to declare interim distributions without the approval of the general meeting, but only with the approval of the supervisory board.</w:t>
      </w:r>
    </w:p>
    <w:p>
      <w:pPr>
        <w:spacing w:after="0" w:line="156"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(verjaring).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Exchange Controls</w:t>
      </w:r>
    </w:p>
    <w:p>
      <w:pPr>
        <w:spacing w:after="0" w:line="203" w:lineRule="exact"/>
        <w:rPr>
          <w:sz w:val="20"/>
          <w:szCs w:val="20"/>
          <w:color w:val="auto"/>
        </w:rPr>
      </w:pPr>
    </w:p>
    <w:p>
      <w:pPr>
        <w:ind w:right="180" w:firstLine="289"/>
        <w:spacing w:after="0" w:line="257" w:lineRule="auto"/>
        <w:rPr>
          <w:sz w:val="20"/>
          <w:szCs w:val="20"/>
          <w:color w:val="auto"/>
        </w:rPr>
      </w:pPr>
      <w:r>
        <w:rPr>
          <w:rFonts w:ascii="Times New Roman" w:cs="Times New Roman" w:eastAsia="Times New Roman" w:hAnsi="Times New Roman"/>
          <w:sz w:val="16"/>
          <w:szCs w:val="16"/>
          <w:color w:val="auto"/>
        </w:rPr>
        <w:t>Under Dutch law, there are no exchange controls applicable to the transfer to persons outside of the Netherlands of dividends or other distributions with respect to, or of the proceeds from the sale of, shares of a Dutch company, albeit those transfers being subject to applicable restrictions under trade and economic sanctions and measures, including those concerning export control, pursuant to European Union regulations, the Sanctions Act 1977 (Sanctiewet 1977) or other legislation, applicable anti-boycott regulations, applicable anti-money-laundering regulations and similar rules and provided that, under circumstances, such dividends or other distributions must be reported to the Dutch Central Bank for statistical purposes. There are no special restrictions in the Articles of Association or Dutch law that limit the right of shareholders who are not citizens or residents of the Netherlands to hold or vote shares.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Squeeze-Out Procedures</w:t>
      </w:r>
    </w:p>
    <w:p>
      <w:pPr>
        <w:spacing w:after="0" w:line="203" w:lineRule="exact"/>
        <w:rPr>
          <w:sz w:val="20"/>
          <w:szCs w:val="20"/>
          <w:color w:val="auto"/>
        </w:rPr>
      </w:pPr>
    </w:p>
    <w:p>
      <w:pPr>
        <w:ind w:right="20" w:firstLine="289"/>
        <w:spacing w:after="0" w:line="255" w:lineRule="auto"/>
        <w:rPr>
          <w:sz w:val="20"/>
          <w:szCs w:val="20"/>
          <w:color w:val="auto"/>
        </w:rPr>
      </w:pPr>
      <w:r>
        <w:rPr>
          <w:rFonts w:ascii="Times New Roman" w:cs="Times New Roman" w:eastAsia="Times New Roman" w:hAnsi="Times New Roman"/>
          <w:sz w:val="16"/>
          <w:szCs w:val="16"/>
          <w:color w:val="auto"/>
        </w:rPr>
        <w:t>A shareholder who holds at least 95% of our issued share capital for his or her own account, alone or together with group companies, may initiate proceedings against the other shareholders jointly for the transfer of their shares to such shareholder. The proceedings are held before the Enterprise Chamber and can be instituted by means of a writ of summons served upon each of the other shareholders in accordance with the provisions of the Dutch Code of Civil Procedure (Wetboek van Burgerlijke Rechtsvordering).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Dissolution and Liquidation</w:t>
      </w:r>
    </w:p>
    <w:p>
      <w:pPr>
        <w:spacing w:after="0" w:line="203" w:lineRule="exact"/>
        <w:rPr>
          <w:sz w:val="20"/>
          <w:szCs w:val="20"/>
          <w:color w:val="auto"/>
        </w:rPr>
      </w:pPr>
    </w:p>
    <w:p>
      <w:pPr>
        <w:ind w:right="220" w:firstLine="289"/>
        <w:spacing w:after="0" w:line="261" w:lineRule="auto"/>
        <w:rPr>
          <w:sz w:val="20"/>
          <w:szCs w:val="20"/>
          <w:color w:val="auto"/>
        </w:rPr>
      </w:pPr>
      <w:r>
        <w:rPr>
          <w:rFonts w:ascii="Times New Roman" w:cs="Times New Roman" w:eastAsia="Times New Roman" w:hAnsi="Times New Roman"/>
          <w:sz w:val="16"/>
          <w:szCs w:val="16"/>
          <w:color w:val="auto"/>
        </w:rPr>
        <w:t>Under our Articles of Association, we may be dissolved by a resolution of the general meeting, subject to a proposal of the management board approved by our supervisory board. In the event of a dissolution, the liquidation shall be effected by the management board, under supervision of our supervisory board, unless the general meeting decides otherwise. During liquidation, the provisions of our Articles of Association will remain in force as far as possible. To the extent that any assets remain after payment of all debts, those remaining assets shall be distributed to our shareholders in proportion to their number of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Provisions Impacting any Change of Control</w:t>
      </w:r>
    </w:p>
    <w:p>
      <w:pPr>
        <w:spacing w:after="0" w:line="203" w:lineRule="exact"/>
        <w:rPr>
          <w:sz w:val="20"/>
          <w:szCs w:val="20"/>
          <w:color w:val="auto"/>
        </w:rPr>
      </w:pPr>
    </w:p>
    <w:p>
      <w:pPr>
        <w:ind w:right="120" w:firstLine="289"/>
        <w:spacing w:after="0" w:line="267" w:lineRule="auto"/>
        <w:rPr>
          <w:sz w:val="20"/>
          <w:szCs w:val="20"/>
          <w:color w:val="auto"/>
        </w:rPr>
      </w:pPr>
      <w:r>
        <w:rPr>
          <w:rFonts w:ascii="Times New Roman" w:cs="Times New Roman" w:eastAsia="Times New Roman" w:hAnsi="Times New Roman"/>
          <w:sz w:val="16"/>
          <w:szCs w:val="16"/>
          <w:color w:val="auto"/>
        </w:rPr>
        <w:t>Under Dutch law, various protective measures are possible and permissible within the boundaries set by Dutch law and Dutch case law. In this respect, certain provisions of our Articles of Association may make it more difficult for a third party to acquire control of us or effect a change in our management board and supervisory board. These provisions include:</w:t>
      </w:r>
    </w:p>
    <w:p>
      <w:pPr>
        <w:spacing w:after="0" w:line="156" w:lineRule="exact"/>
        <w:rPr>
          <w:sz w:val="20"/>
          <w:szCs w:val="20"/>
          <w:color w:val="auto"/>
        </w:rPr>
      </w:pPr>
    </w:p>
    <w:p>
      <w:pPr>
        <w:ind w:left="580" w:right="280" w:hanging="295"/>
        <w:spacing w:after="0" w:line="282" w:lineRule="auto"/>
        <w:tabs>
          <w:tab w:leader="none" w:pos="580" w:val="left"/>
        </w:tabs>
        <w:numPr>
          <w:ilvl w:val="0"/>
          <w:numId w:val="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 multi-class share structure, which consists of Ordinary Shares, High Voting Shares and Preferred Shares, with Ordinary Shares carrying one vote per share, High Voting Shares carrying 25 votes per share and Preferred Shares carrying 30,000 votes;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0" w:right="319" w:bottom="1440" w:gutter="0" w:footer="0" w:header="0"/>
        </w:sectPr>
      </w:pPr>
    </w:p>
    <w:bookmarkStart w:id="18" w:name="page19"/>
    <w:bookmarkEnd w:id="18"/>
    <w:p>
      <w:pPr>
        <w:ind w:left="580" w:hanging="295"/>
        <w:spacing w:after="0"/>
        <w:tabs>
          <w:tab w:leader="none" w:pos="580" w:val="left"/>
        </w:tabs>
        <w:numPr>
          <w:ilvl w:val="0"/>
          <w:numId w:val="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High Voting Shares and the Preferred Shares are not being listed on a stock exchange;</w:t>
      </w:r>
    </w:p>
    <w:p>
      <w:pPr>
        <w:spacing w:after="0" w:line="200" w:lineRule="exact"/>
        <w:rPr>
          <w:rFonts w:ascii="Arial" w:cs="Arial" w:eastAsia="Arial" w:hAnsi="Arial"/>
          <w:sz w:val="16"/>
          <w:szCs w:val="16"/>
          <w:b w:val="1"/>
          <w:bCs w:val="1"/>
          <w:color w:val="auto"/>
        </w:rPr>
      </w:pPr>
    </w:p>
    <w:p>
      <w:pPr>
        <w:ind w:left="580" w:right="80" w:hanging="295"/>
        <w:spacing w:after="0" w:line="282" w:lineRule="auto"/>
        <w:tabs>
          <w:tab w:leader="none" w:pos="580" w:val="left"/>
        </w:tabs>
        <w:numPr>
          <w:ilvl w:val="0"/>
          <w:numId w:val="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 provision that our management board members and the supervisory board members are appointed on the basis of a binding nomination prepared by our supervisory board which can only be overruled by a two-thirds majority of votes cast representing more than half of our issued share capital;</w:t>
      </w:r>
    </w:p>
    <w:p>
      <w:pPr>
        <w:spacing w:after="0" w:line="144" w:lineRule="exact"/>
        <w:rPr>
          <w:rFonts w:ascii="Arial" w:cs="Arial" w:eastAsia="Arial" w:hAnsi="Arial"/>
          <w:sz w:val="16"/>
          <w:szCs w:val="16"/>
          <w:b w:val="1"/>
          <w:bCs w:val="1"/>
          <w:color w:val="auto"/>
        </w:rPr>
      </w:pPr>
    </w:p>
    <w:p>
      <w:pPr>
        <w:ind w:left="580" w:right="60" w:hanging="295"/>
        <w:spacing w:after="0" w:line="266" w:lineRule="auto"/>
        <w:tabs>
          <w:tab w:leader="none" w:pos="580" w:val="left"/>
        </w:tabs>
        <w:numPr>
          <w:ilvl w:val="0"/>
          <w:numId w:val="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 provision that our management board members and the supervisory board members may only be dismissed by the general meeting by a two-thirds majority of votes cast representing more than half of our issued share capital (unless the dismissal is proposed by the supervisory board in which case a simple majority of the votes cast would be sufficient);</w:t>
      </w:r>
    </w:p>
    <w:p>
      <w:pPr>
        <w:spacing w:after="0" w:line="157" w:lineRule="exact"/>
        <w:rPr>
          <w:rFonts w:ascii="Arial" w:cs="Arial" w:eastAsia="Arial" w:hAnsi="Arial"/>
          <w:sz w:val="16"/>
          <w:szCs w:val="16"/>
          <w:b w:val="1"/>
          <w:bCs w:val="1"/>
          <w:color w:val="auto"/>
        </w:rPr>
      </w:pPr>
    </w:p>
    <w:p>
      <w:pPr>
        <w:ind w:left="580" w:right="500" w:hanging="295"/>
        <w:spacing w:after="0" w:line="266" w:lineRule="auto"/>
        <w:tabs>
          <w:tab w:leader="none" w:pos="580" w:val="left"/>
        </w:tabs>
        <w:numPr>
          <w:ilvl w:val="0"/>
          <w:numId w:val="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 provision allowing, among other matters, the former chairperson of our supervisory board to manage our affairs if all of our supervisory board members are removed from office and to appoint others to be charged with the supervision of our affairs, until new supervisory board members are appointed by the general meeting on the basis of the binding nominations discussed above; and</w:t>
      </w:r>
    </w:p>
    <w:p>
      <w:pPr>
        <w:spacing w:after="0" w:line="157" w:lineRule="exact"/>
        <w:rPr>
          <w:rFonts w:ascii="Arial" w:cs="Arial" w:eastAsia="Arial" w:hAnsi="Arial"/>
          <w:sz w:val="16"/>
          <w:szCs w:val="16"/>
          <w:b w:val="1"/>
          <w:bCs w:val="1"/>
          <w:color w:val="auto"/>
        </w:rPr>
      </w:pPr>
    </w:p>
    <w:p>
      <w:pPr>
        <w:ind w:left="580" w:right="100" w:hanging="295"/>
        <w:spacing w:after="0" w:line="282" w:lineRule="auto"/>
        <w:tabs>
          <w:tab w:leader="none" w:pos="580" w:val="left"/>
        </w:tabs>
        <w:numPr>
          <w:ilvl w:val="0"/>
          <w:numId w:val="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 requirement that certain matters, including an amendment of our Articles of Association, may only be brought to our general meeting for a vote upon a proposal by our management board with the approval of our supervisory board.</w:t>
      </w:r>
    </w:p>
    <w:p>
      <w:pPr>
        <w:spacing w:after="0" w:line="144" w:lineRule="exact"/>
        <w:rPr>
          <w:sz w:val="20"/>
          <w:szCs w:val="20"/>
          <w:color w:val="auto"/>
        </w:rPr>
      </w:pPr>
    </w:p>
    <w:p>
      <w:pPr>
        <w:ind w:right="320" w:firstLine="289"/>
        <w:spacing w:after="0" w:line="283" w:lineRule="auto"/>
        <w:rPr>
          <w:sz w:val="20"/>
          <w:szCs w:val="20"/>
          <w:color w:val="auto"/>
        </w:rPr>
      </w:pPr>
      <w:r>
        <w:rPr>
          <w:rFonts w:ascii="Times New Roman" w:cs="Times New Roman" w:eastAsia="Times New Roman" w:hAnsi="Times New Roman"/>
          <w:sz w:val="16"/>
          <w:szCs w:val="16"/>
          <w:color w:val="auto"/>
        </w:rPr>
        <w:t>In addition, Dutch law allows for staggered multi-year terms of our management board members and supervisory board members, as a result of which only part of our management board members and supervisory board members may be subject to appointment or re-appointment in any one year.</w:t>
      </w:r>
    </w:p>
    <w:p>
      <w:pPr>
        <w:spacing w:after="0" w:line="143" w:lineRule="exact"/>
        <w:rPr>
          <w:sz w:val="20"/>
          <w:szCs w:val="20"/>
          <w:color w:val="auto"/>
        </w:rPr>
      </w:pPr>
    </w:p>
    <w:p>
      <w:pPr>
        <w:ind w:right="40" w:firstLine="289"/>
        <w:spacing w:after="0" w:line="254" w:lineRule="auto"/>
        <w:rPr>
          <w:sz w:val="20"/>
          <w:szCs w:val="20"/>
          <w:color w:val="auto"/>
        </w:rPr>
      </w:pPr>
      <w:r>
        <w:rPr>
          <w:rFonts w:ascii="Times New Roman" w:cs="Times New Roman" w:eastAsia="Times New Roman" w:hAnsi="Times New Roman"/>
          <w:sz w:val="16"/>
          <w:szCs w:val="16"/>
          <w:color w:val="auto"/>
        </w:rPr>
        <w:t>In accordance with the DCGC and our Articles of Association, shareholders having the right to put an item on the agenda under the rules described above shall exercise such right only after consulting the management board in that respect. If one or more shareholders intend to request that an item be put on the agenda that may result in a change in the company’s strategy (for example, the removal of management board members or supervisory board members), the management board must be given the opportunity to invoke a reasonable period to respond to such intention. Such period shall not exceed 180 days (or such other period as may be stipulated for such purpose by Dutch law and/or the DCGC from time to time). If invoked, the management board must use such response period for further deliberation and constructive consultation, in any event with the shareholders(s) concerned, and shall explore the alternatives. At the end of the response time, the management board shall report on this consultation and the exploration of alternatives to the general meeting. This shall be supervised by our supervisory board. The response period may be invoked only once for any given general meeting and shall not apply: (a) in respect of a matter for which a response period or a statutory cooling-off period (as discussed below)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69" w:lineRule="exact"/>
        <w:rPr>
          <w:sz w:val="20"/>
          <w:szCs w:val="20"/>
          <w:color w:val="auto"/>
        </w:rPr>
      </w:pPr>
    </w:p>
    <w:p>
      <w:pPr>
        <w:ind w:right="20" w:firstLine="289"/>
        <w:spacing w:after="0" w:line="253" w:lineRule="auto"/>
        <w:rPr>
          <w:sz w:val="20"/>
          <w:szCs w:val="20"/>
          <w:color w:val="auto"/>
        </w:rPr>
      </w:pPr>
      <w:r>
        <w:rPr>
          <w:rFonts w:ascii="Times New Roman" w:cs="Times New Roman" w:eastAsia="Times New Roman" w:hAnsi="Times New Roman"/>
          <w:sz w:val="16"/>
          <w:szCs w:val="16"/>
          <w:color w:val="auto"/>
        </w:rPr>
        <w:t>Moreover, our management board, with the approval of our supervisory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management board members or supervisory board members (or to amend any provision in our Articles of Association dealing with those matters) or when a public offer for our company is made or announced without our support, provided, in each case, that our management board believes that such proposal or offer materially conflicts with the interests of our company and its business. During a cooling-off period, our general meeting cannot dismiss, suspend or appoint management board members and supervisory board members (or amend the provisions in our Articles of Association dealing with those matters) except at the proposal of our management board. During a cooling-off period, our management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management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or the Enterprise Chamber (Ondernemingskamer), for early termination of the cooling-off period. The Enterprise Chamber must rule in favor of the request if the shareholders can demonstrate that:</w:t>
      </w:r>
    </w:p>
    <w:p>
      <w:pPr>
        <w:spacing w:after="0" w:line="171" w:lineRule="exact"/>
        <w:rPr>
          <w:sz w:val="20"/>
          <w:szCs w:val="20"/>
          <w:color w:val="auto"/>
        </w:rPr>
      </w:pPr>
    </w:p>
    <w:p>
      <w:pPr>
        <w:ind w:left="580" w:hanging="295"/>
        <w:spacing w:after="0" w:line="282" w:lineRule="auto"/>
        <w:tabs>
          <w:tab w:leader="none" w:pos="580" w:val="left"/>
        </w:tabs>
        <w:numPr>
          <w:ilvl w:val="0"/>
          <w:numId w:val="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management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19" w:name="page20"/>
    <w:bookmarkEnd w:id="19"/>
    <w:p>
      <w:pPr>
        <w:ind w:left="580" w:hanging="295"/>
        <w:spacing w:after="0"/>
        <w:tabs>
          <w:tab w:leader="none" w:pos="580" w:val="left"/>
        </w:tabs>
        <w:numPr>
          <w:ilvl w:val="0"/>
          <w:numId w:val="8"/>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management board cannot reasonably believe that a continuation of the cooling-off period would contribute to careful policy-making; or</w:t>
      </w:r>
    </w:p>
    <w:p>
      <w:pPr>
        <w:spacing w:after="0" w:line="200" w:lineRule="exact"/>
        <w:rPr>
          <w:rFonts w:ascii="Arial" w:cs="Arial" w:eastAsia="Arial" w:hAnsi="Arial"/>
          <w:sz w:val="16"/>
          <w:szCs w:val="16"/>
          <w:b w:val="1"/>
          <w:bCs w:val="1"/>
          <w:color w:val="auto"/>
        </w:rPr>
      </w:pPr>
    </w:p>
    <w:p>
      <w:pPr>
        <w:ind w:left="580" w:right="80" w:hanging="295"/>
        <w:spacing w:after="0" w:line="282" w:lineRule="auto"/>
        <w:tabs>
          <w:tab w:leader="none" w:pos="580" w:val="left"/>
        </w:tabs>
        <w:numPr>
          <w:ilvl w:val="0"/>
          <w:numId w:val="8"/>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Limitations on Liability and Indemnification of Officers and Directors</w:t>
      </w:r>
    </w:p>
    <w:p>
      <w:pPr>
        <w:spacing w:after="0" w:line="203" w:lineRule="exact"/>
        <w:rPr>
          <w:sz w:val="20"/>
          <w:szCs w:val="20"/>
          <w:color w:val="auto"/>
        </w:rPr>
      </w:pPr>
    </w:p>
    <w:p>
      <w:pPr>
        <w:ind w:firstLine="289"/>
        <w:spacing w:after="0" w:line="267" w:lineRule="auto"/>
        <w:rPr>
          <w:sz w:val="20"/>
          <w:szCs w:val="20"/>
          <w:color w:val="auto"/>
        </w:rPr>
      </w:pPr>
      <w:r>
        <w:rPr>
          <w:rFonts w:ascii="Times New Roman" w:cs="Times New Roman" w:eastAsia="Times New Roman" w:hAnsi="Times New Roman"/>
          <w:sz w:val="16"/>
          <w:szCs w:val="16"/>
          <w:color w:val="auto"/>
        </w:rPr>
        <w:t>Pursuant to the Articles of Association, Sono N.V. will indemnify its managing directors and supervisory directors from any financial losses or damages and any expenses reasonably paid or incurred by such managing director or supervisory director in connection with any legal proceedings in which such managing director or supervisory director becomes involved.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Dissenters’ Rights of Appraisal</w:t>
      </w:r>
    </w:p>
    <w:p>
      <w:pPr>
        <w:spacing w:after="0" w:line="203" w:lineRule="exact"/>
        <w:rPr>
          <w:sz w:val="20"/>
          <w:szCs w:val="20"/>
          <w:color w:val="auto"/>
        </w:rPr>
      </w:pPr>
    </w:p>
    <w:p>
      <w:pPr>
        <w:ind w:right="60" w:firstLine="289"/>
        <w:spacing w:after="0" w:line="283" w:lineRule="auto"/>
        <w:rPr>
          <w:sz w:val="20"/>
          <w:szCs w:val="20"/>
          <w:color w:val="auto"/>
        </w:rPr>
      </w:pPr>
      <w:r>
        <w:rPr>
          <w:rFonts w:ascii="Times New Roman" w:cs="Times New Roman" w:eastAsia="Times New Roman" w:hAnsi="Times New Roman"/>
          <w:sz w:val="16"/>
          <w:szCs w:val="16"/>
          <w:color w:val="auto"/>
        </w:rPr>
        <w:t>Under article 2:333h of the Dutch Civil Code, with certain exceptions, registered shareholders who vote against a cross-border merger will have statutory appraisal rights in connection with such transaction. However, Dutch law does not provide statutory appraisal or dissenters’ rights for shareholders in purely domestic mergers.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Shareholders’ Derivative Actions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Dutch law does not provide for derivative suits. As such, individual shareholders do not have a general right to bring an action on behalf of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Agent and Warrant Agent</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transfer agent and registrar for our capital stock is Equiniti Trust Company, LLC.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Listing of Ordinary Shares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Ordinary Shares trade on the Nasdaq-CM under the ticker symbol “SSM”.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00"/>
          </w:cols>
          <w:pgMar w:left="320" w:top="532" w:right="37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DESCRIPTION OF DEBT SECURITIES</w:t>
      </w:r>
    </w:p>
    <w:p>
      <w:pPr>
        <w:spacing w:after="0" w:line="203" w:lineRule="exact"/>
        <w:rPr>
          <w:sz w:val="20"/>
          <w:szCs w:val="20"/>
          <w:color w:val="auto"/>
        </w:rPr>
      </w:pPr>
    </w:p>
    <w:p>
      <w:pPr>
        <w:ind w:right="60" w:firstLine="289"/>
        <w:spacing w:after="0" w:line="259" w:lineRule="auto"/>
        <w:rPr>
          <w:sz w:val="20"/>
          <w:szCs w:val="20"/>
          <w:color w:val="auto"/>
        </w:rPr>
      </w:pPr>
      <w:r>
        <w:rPr>
          <w:rFonts w:ascii="Times New Roman" w:cs="Times New Roman" w:eastAsia="Times New Roman" w:hAnsi="Times New Roman"/>
          <w:sz w:val="16"/>
          <w:szCs w:val="16"/>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62" w:lineRule="exact"/>
        <w:rPr>
          <w:sz w:val="20"/>
          <w:szCs w:val="20"/>
          <w:color w:val="auto"/>
        </w:rPr>
      </w:pPr>
    </w:p>
    <w:p>
      <w:pPr>
        <w:ind w:right="120" w:firstLine="289"/>
        <w:spacing w:after="0" w:line="261" w:lineRule="auto"/>
        <w:rPr>
          <w:sz w:val="20"/>
          <w:szCs w:val="20"/>
          <w:color w:val="auto"/>
        </w:rPr>
      </w:pPr>
      <w:r>
        <w:rPr>
          <w:rFonts w:ascii="Times New Roman" w:cs="Times New Roman" w:eastAsia="Times New Roman" w:hAnsi="Times New Roman"/>
          <w:sz w:val="16"/>
          <w:szCs w:val="16"/>
          <w:color w:val="auto"/>
        </w:rPr>
        <w:t>We will issue the debt securities under the indenture that we will enter into with the trustee named in the indenture. The indenture will be qualified under the Trust Indenture Act of 1939, as amended (the “</w:t>
      </w:r>
      <w:r>
        <w:rPr>
          <w:rFonts w:ascii="Times New Roman" w:cs="Times New Roman" w:eastAsia="Times New Roman" w:hAnsi="Times New Roman"/>
          <w:sz w:val="16"/>
          <w:szCs w:val="16"/>
          <w:b w:val="1"/>
          <w:bCs w:val="1"/>
          <w:i w:val="1"/>
          <w:iCs w:val="1"/>
          <w:color w:val="auto"/>
        </w:rPr>
        <w:t>Trust Indenture Act</w:t>
      </w:r>
      <w:r>
        <w:rPr>
          <w:rFonts w:ascii="Times New Roman" w:cs="Times New Roman" w:eastAsia="Times New Roman" w:hAnsi="Times New Roman"/>
          <w:sz w:val="16"/>
          <w:szCs w:val="16"/>
          <w:color w:val="auto"/>
        </w:rPr>
        <w: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62" w:lineRule="exact"/>
        <w:rPr>
          <w:sz w:val="20"/>
          <w:szCs w:val="20"/>
          <w:color w:val="auto"/>
        </w:rPr>
      </w:pPr>
    </w:p>
    <w:p>
      <w:pPr>
        <w:jc w:val="both"/>
        <w:ind w:right="40" w:firstLine="289"/>
        <w:spacing w:after="0" w:line="267" w:lineRule="auto"/>
        <w:rPr>
          <w:sz w:val="20"/>
          <w:szCs w:val="20"/>
          <w:color w:val="auto"/>
        </w:rPr>
      </w:pPr>
      <w:r>
        <w:rPr>
          <w:rFonts w:ascii="Times New Roman" w:cs="Times New Roman" w:eastAsia="Times New Roman" w:hAnsi="Times New Roman"/>
          <w:sz w:val="16"/>
          <w:szCs w:val="16"/>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03" w:lineRule="exact"/>
        <w:rPr>
          <w:sz w:val="20"/>
          <w:szCs w:val="20"/>
          <w:color w:val="auto"/>
        </w:rPr>
      </w:pPr>
    </w:p>
    <w:p>
      <w:pPr>
        <w:ind w:right="80" w:firstLine="289"/>
        <w:spacing w:after="0" w:line="261" w:lineRule="auto"/>
        <w:rPr>
          <w:sz w:val="20"/>
          <w:szCs w:val="20"/>
          <w:color w:val="auto"/>
        </w:rPr>
      </w:pPr>
      <w:r>
        <w:rPr>
          <w:rFonts w:ascii="Times New Roman" w:cs="Times New Roman" w:eastAsia="Times New Roman" w:hAnsi="Times New Roman"/>
          <w:sz w:val="16"/>
          <w:szCs w:val="16"/>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62" w:lineRule="exact"/>
        <w:rPr>
          <w:sz w:val="20"/>
          <w:szCs w:val="20"/>
          <w:color w:val="auto"/>
        </w:rPr>
      </w:pPr>
    </w:p>
    <w:p>
      <w:pPr>
        <w:ind w:right="340" w:firstLine="289"/>
        <w:spacing w:after="0" w:line="261" w:lineRule="auto"/>
        <w:rPr>
          <w:sz w:val="20"/>
          <w:szCs w:val="20"/>
          <w:color w:val="auto"/>
        </w:rPr>
      </w:pPr>
      <w:r>
        <w:rPr>
          <w:rFonts w:ascii="Times New Roman" w:cs="Times New Roman" w:eastAsia="Times New Roman" w:hAnsi="Times New Roman"/>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w:t>
      </w:r>
      <w:r>
        <w:rPr>
          <w:rFonts w:ascii="Times New Roman" w:cs="Times New Roman" w:eastAsia="Times New Roman" w:hAnsi="Times New Roman"/>
          <w:sz w:val="16"/>
          <w:szCs w:val="16"/>
          <w:b w:val="1"/>
          <w:bCs w:val="1"/>
          <w:i w:val="1"/>
          <w:iCs w:val="1"/>
          <w:color w:val="auto"/>
        </w:rPr>
        <w:t>OID</w:t>
      </w:r>
      <w:r>
        <w:rPr>
          <w:rFonts w:ascii="Times New Roman" w:cs="Times New Roman" w:eastAsia="Times New Roman" w:hAnsi="Times New Roman"/>
          <w:sz w:val="16"/>
          <w:szCs w:val="16"/>
          <w:color w:val="auto"/>
        </w:rPr>
        <w:t>”)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will describe in the applicable prospectus supplement the terms of the series of debt securities being offered, including:</w:t>
      </w:r>
    </w:p>
    <w:p>
      <w:pPr>
        <w:spacing w:after="0" w:line="201" w:lineRule="exact"/>
        <w:rPr>
          <w:sz w:val="20"/>
          <w:szCs w:val="20"/>
          <w:color w:val="auto"/>
        </w:rPr>
      </w:pPr>
    </w:p>
    <w:p>
      <w:pPr>
        <w:ind w:left="580" w:hanging="295"/>
        <w:spacing w:after="0"/>
        <w:tabs>
          <w:tab w:leader="none" w:pos="580" w:val="left"/>
        </w:tabs>
        <w:numPr>
          <w:ilvl w:val="0"/>
          <w:numId w:val="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title of the series of debt securities;</w:t>
      </w:r>
    </w:p>
    <w:p>
      <w:pPr>
        <w:spacing w:after="0" w:line="200" w:lineRule="exact"/>
        <w:rPr>
          <w:rFonts w:ascii="Arial" w:cs="Arial" w:eastAsia="Arial" w:hAnsi="Arial"/>
          <w:sz w:val="16"/>
          <w:szCs w:val="16"/>
          <w:b w:val="1"/>
          <w:bCs w:val="1"/>
          <w:color w:val="auto"/>
        </w:rPr>
      </w:pPr>
    </w:p>
    <w:p>
      <w:pPr>
        <w:ind w:left="580" w:hanging="295"/>
        <w:spacing w:after="0"/>
        <w:tabs>
          <w:tab w:leader="none" w:pos="580" w:val="left"/>
        </w:tabs>
        <w:numPr>
          <w:ilvl w:val="0"/>
          <w:numId w:val="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any limit upon the aggregate principal amount that may be issued;</w:t>
      </w:r>
    </w:p>
    <w:p>
      <w:pPr>
        <w:spacing w:after="0" w:line="200" w:lineRule="exact"/>
        <w:rPr>
          <w:rFonts w:ascii="Arial" w:cs="Arial" w:eastAsia="Arial" w:hAnsi="Arial"/>
          <w:sz w:val="16"/>
          <w:szCs w:val="16"/>
          <w:b w:val="1"/>
          <w:bCs w:val="1"/>
          <w:color w:val="auto"/>
        </w:rPr>
      </w:pPr>
    </w:p>
    <w:p>
      <w:pPr>
        <w:ind w:left="580" w:hanging="295"/>
        <w:spacing w:after="0"/>
        <w:tabs>
          <w:tab w:leader="none" w:pos="580" w:val="left"/>
        </w:tabs>
        <w:numPr>
          <w:ilvl w:val="0"/>
          <w:numId w:val="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maturity date or dates;</w:t>
      </w:r>
    </w:p>
    <w:p>
      <w:pPr>
        <w:spacing w:after="0" w:line="200" w:lineRule="exact"/>
        <w:rPr>
          <w:rFonts w:ascii="Arial" w:cs="Arial" w:eastAsia="Arial" w:hAnsi="Arial"/>
          <w:sz w:val="16"/>
          <w:szCs w:val="16"/>
          <w:b w:val="1"/>
          <w:bCs w:val="1"/>
          <w:color w:val="auto"/>
        </w:rPr>
      </w:pPr>
    </w:p>
    <w:p>
      <w:pPr>
        <w:ind w:left="580" w:hanging="295"/>
        <w:spacing w:after="0"/>
        <w:tabs>
          <w:tab w:leader="none" w:pos="580" w:val="left"/>
        </w:tabs>
        <w:numPr>
          <w:ilvl w:val="0"/>
          <w:numId w:val="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form of the debt securities of the series;</w:t>
      </w:r>
    </w:p>
    <w:p>
      <w:pPr>
        <w:spacing w:after="0" w:line="200" w:lineRule="exact"/>
        <w:rPr>
          <w:rFonts w:ascii="Arial" w:cs="Arial" w:eastAsia="Arial" w:hAnsi="Arial"/>
          <w:sz w:val="16"/>
          <w:szCs w:val="16"/>
          <w:b w:val="1"/>
          <w:bCs w:val="1"/>
          <w:color w:val="auto"/>
        </w:rPr>
      </w:pPr>
    </w:p>
    <w:p>
      <w:pPr>
        <w:ind w:left="580" w:hanging="295"/>
        <w:spacing w:after="0"/>
        <w:tabs>
          <w:tab w:leader="none" w:pos="580" w:val="left"/>
        </w:tabs>
        <w:numPr>
          <w:ilvl w:val="0"/>
          <w:numId w:val="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applicability of any guarantees;</w:t>
      </w:r>
    </w:p>
    <w:p>
      <w:pPr>
        <w:spacing w:after="0" w:line="200" w:lineRule="exact"/>
        <w:rPr>
          <w:rFonts w:ascii="Arial" w:cs="Arial" w:eastAsia="Arial" w:hAnsi="Arial"/>
          <w:sz w:val="16"/>
          <w:szCs w:val="16"/>
          <w:b w:val="1"/>
          <w:bCs w:val="1"/>
          <w:color w:val="auto"/>
        </w:rPr>
      </w:pPr>
    </w:p>
    <w:p>
      <w:pPr>
        <w:ind w:left="580" w:hanging="295"/>
        <w:spacing w:after="0"/>
        <w:tabs>
          <w:tab w:leader="none" w:pos="580" w:val="left"/>
        </w:tabs>
        <w:numPr>
          <w:ilvl w:val="0"/>
          <w:numId w:val="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whether or not the debt securities will be secured or unsecured, and the terms of any secured debt;</w:t>
      </w:r>
    </w:p>
    <w:p>
      <w:pPr>
        <w:spacing w:after="0" w:line="200" w:lineRule="exact"/>
        <w:rPr>
          <w:rFonts w:ascii="Arial" w:cs="Arial" w:eastAsia="Arial" w:hAnsi="Arial"/>
          <w:sz w:val="16"/>
          <w:szCs w:val="16"/>
          <w:b w:val="1"/>
          <w:bCs w:val="1"/>
          <w:color w:val="auto"/>
        </w:rPr>
      </w:pPr>
    </w:p>
    <w:p>
      <w:pPr>
        <w:ind w:left="580" w:hanging="295"/>
        <w:spacing w:after="0"/>
        <w:tabs>
          <w:tab w:leader="none" w:pos="580" w:val="left"/>
        </w:tabs>
        <w:numPr>
          <w:ilvl w:val="0"/>
          <w:numId w:val="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whether the debt securities rank as senior debt, senior subordinated debt, subordinated debt or any combination thereof, and the terms of any subordination;</w:t>
      </w:r>
    </w:p>
    <w:p>
      <w:pPr>
        <w:spacing w:after="0" w:line="200" w:lineRule="exact"/>
        <w:rPr>
          <w:rFonts w:ascii="Arial" w:cs="Arial" w:eastAsia="Arial" w:hAnsi="Arial"/>
          <w:sz w:val="16"/>
          <w:szCs w:val="16"/>
          <w:b w:val="1"/>
          <w:bCs w:val="1"/>
          <w:color w:val="auto"/>
        </w:rPr>
      </w:pPr>
    </w:p>
    <w:p>
      <w:pPr>
        <w:ind w:left="580" w:hanging="295"/>
        <w:spacing w:after="0" w:line="266" w:lineRule="auto"/>
        <w:tabs>
          <w:tab w:leader="none" w:pos="580" w:val="left"/>
        </w:tabs>
        <w:numPr>
          <w:ilvl w:val="0"/>
          <w:numId w:val="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57" w:lineRule="exact"/>
        <w:rPr>
          <w:rFonts w:ascii="Arial" w:cs="Arial" w:eastAsia="Arial" w:hAnsi="Arial"/>
          <w:sz w:val="16"/>
          <w:szCs w:val="16"/>
          <w:b w:val="1"/>
          <w:bCs w:val="1"/>
          <w:color w:val="auto"/>
        </w:rPr>
      </w:pPr>
    </w:p>
    <w:p>
      <w:pPr>
        <w:ind w:left="580" w:right="280" w:hanging="295"/>
        <w:spacing w:after="0" w:line="282" w:lineRule="auto"/>
        <w:tabs>
          <w:tab w:leader="none" w:pos="580" w:val="left"/>
        </w:tabs>
        <w:numPr>
          <w:ilvl w:val="0"/>
          <w:numId w:val="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44" w:lineRule="exact"/>
        <w:rPr>
          <w:rFonts w:ascii="Arial" w:cs="Arial" w:eastAsia="Arial" w:hAnsi="Arial"/>
          <w:sz w:val="16"/>
          <w:szCs w:val="16"/>
          <w:b w:val="1"/>
          <w:bCs w:val="1"/>
          <w:color w:val="auto"/>
        </w:rPr>
      </w:pPr>
    </w:p>
    <w:p>
      <w:pPr>
        <w:ind w:left="580" w:hanging="295"/>
        <w:spacing w:after="0"/>
        <w:tabs>
          <w:tab w:leader="none" w:pos="580" w:val="left"/>
        </w:tabs>
        <w:numPr>
          <w:ilvl w:val="0"/>
          <w:numId w:val="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our right, if any, to defer payment of interest and the maximum length of any such deferral period;</w:t>
      </w:r>
    </w:p>
    <w:p>
      <w:pPr>
        <w:spacing w:after="0" w:line="200" w:lineRule="exact"/>
        <w:rPr>
          <w:rFonts w:ascii="Arial" w:cs="Arial" w:eastAsia="Arial" w:hAnsi="Arial"/>
          <w:sz w:val="16"/>
          <w:szCs w:val="16"/>
          <w:b w:val="1"/>
          <w:bCs w:val="1"/>
          <w:color w:val="auto"/>
        </w:rPr>
      </w:pPr>
    </w:p>
    <w:p>
      <w:pPr>
        <w:ind w:left="580" w:right="260" w:hanging="295"/>
        <w:spacing w:after="0" w:line="282" w:lineRule="auto"/>
        <w:tabs>
          <w:tab w:leader="none" w:pos="580" w:val="left"/>
        </w:tabs>
        <w:numPr>
          <w:ilvl w:val="0"/>
          <w:numId w:val="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44" w:lineRule="exact"/>
        <w:rPr>
          <w:rFonts w:ascii="Arial" w:cs="Arial" w:eastAsia="Arial" w:hAnsi="Arial"/>
          <w:sz w:val="16"/>
          <w:szCs w:val="16"/>
          <w:b w:val="1"/>
          <w:bCs w:val="1"/>
          <w:color w:val="auto"/>
        </w:rPr>
      </w:pPr>
    </w:p>
    <w:p>
      <w:pPr>
        <w:ind w:left="580" w:right="340" w:hanging="295"/>
        <w:spacing w:after="0" w:line="282" w:lineRule="auto"/>
        <w:tabs>
          <w:tab w:leader="none" w:pos="580" w:val="left"/>
        </w:tabs>
        <w:numPr>
          <w:ilvl w:val="0"/>
          <w:numId w:val="9"/>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1" w:name="page22"/>
    <w:bookmarkEnd w:id="21"/>
    <w:p>
      <w:pPr>
        <w:ind w:left="580" w:hanging="295"/>
        <w:spacing w:after="0"/>
        <w:tabs>
          <w:tab w:leader="none" w:pos="58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denominations in which we will issue the series of debt securities, if other than denominations of $1,000 and any integral multiple thereof;</w:t>
      </w:r>
    </w:p>
    <w:p>
      <w:pPr>
        <w:spacing w:after="0" w:line="200" w:lineRule="exact"/>
        <w:rPr>
          <w:rFonts w:ascii="Arial" w:cs="Arial" w:eastAsia="Arial" w:hAnsi="Arial"/>
          <w:sz w:val="16"/>
          <w:szCs w:val="16"/>
          <w:b w:val="1"/>
          <w:bCs w:val="1"/>
          <w:color w:val="auto"/>
        </w:rPr>
      </w:pPr>
    </w:p>
    <w:p>
      <w:pPr>
        <w:ind w:left="580" w:hanging="295"/>
        <w:spacing w:after="0" w:line="282" w:lineRule="auto"/>
        <w:tabs>
          <w:tab w:leader="none" w:pos="58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44" w:lineRule="exact"/>
        <w:rPr>
          <w:rFonts w:ascii="Arial" w:cs="Arial" w:eastAsia="Arial" w:hAnsi="Arial"/>
          <w:sz w:val="16"/>
          <w:szCs w:val="16"/>
          <w:b w:val="1"/>
          <w:bCs w:val="1"/>
          <w:color w:val="auto"/>
        </w:rPr>
      </w:pPr>
    </w:p>
    <w:p>
      <w:pPr>
        <w:ind w:left="580" w:right="160" w:hanging="295"/>
        <w:spacing w:after="0" w:line="282" w:lineRule="auto"/>
        <w:tabs>
          <w:tab w:leader="none" w:pos="58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44" w:lineRule="exact"/>
        <w:rPr>
          <w:rFonts w:ascii="Arial" w:cs="Arial" w:eastAsia="Arial" w:hAnsi="Arial"/>
          <w:sz w:val="16"/>
          <w:szCs w:val="16"/>
          <w:b w:val="1"/>
          <w:bCs w:val="1"/>
          <w:color w:val="auto"/>
        </w:rPr>
      </w:pPr>
    </w:p>
    <w:p>
      <w:pPr>
        <w:ind w:left="580" w:right="140" w:hanging="295"/>
        <w:spacing w:after="0" w:line="261" w:lineRule="auto"/>
        <w:tabs>
          <w:tab w:leader="none" w:pos="58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60" w:lineRule="exact"/>
        <w:rPr>
          <w:rFonts w:ascii="Arial" w:cs="Arial" w:eastAsia="Arial" w:hAnsi="Arial"/>
          <w:sz w:val="16"/>
          <w:szCs w:val="16"/>
          <w:b w:val="1"/>
          <w:bCs w:val="1"/>
          <w:color w:val="auto"/>
        </w:rPr>
      </w:pPr>
    </w:p>
    <w:p>
      <w:pPr>
        <w:ind w:left="580" w:right="700" w:hanging="295"/>
        <w:spacing w:after="0" w:line="282" w:lineRule="auto"/>
        <w:tabs>
          <w:tab w:leader="none" w:pos="58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if other than the full principal amount thereof, the portion of the principal amount of debt securities of the series which shall be payable upon declaration of acceleration of the maturity thereof;</w:t>
      </w:r>
    </w:p>
    <w:p>
      <w:pPr>
        <w:spacing w:after="0" w:line="144" w:lineRule="exact"/>
        <w:rPr>
          <w:rFonts w:ascii="Arial" w:cs="Arial" w:eastAsia="Arial" w:hAnsi="Arial"/>
          <w:sz w:val="16"/>
          <w:szCs w:val="16"/>
          <w:b w:val="1"/>
          <w:bCs w:val="1"/>
          <w:color w:val="auto"/>
        </w:rPr>
      </w:pPr>
    </w:p>
    <w:p>
      <w:pPr>
        <w:ind w:left="580" w:hanging="295"/>
        <w:spacing w:after="0"/>
        <w:tabs>
          <w:tab w:leader="none" w:pos="58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additions to or changes in the covenants applicable to the particular debt securities being issued, including, among others, the consolidation, merger or sale covenant;</w:t>
      </w:r>
    </w:p>
    <w:p>
      <w:pPr>
        <w:spacing w:after="0" w:line="200" w:lineRule="exact"/>
        <w:rPr>
          <w:rFonts w:ascii="Arial" w:cs="Arial" w:eastAsia="Arial" w:hAnsi="Arial"/>
          <w:sz w:val="16"/>
          <w:szCs w:val="16"/>
          <w:b w:val="1"/>
          <w:bCs w:val="1"/>
          <w:color w:val="auto"/>
        </w:rPr>
      </w:pPr>
    </w:p>
    <w:p>
      <w:pPr>
        <w:ind w:left="580" w:right="20" w:hanging="295"/>
        <w:spacing w:after="0" w:line="282" w:lineRule="auto"/>
        <w:tabs>
          <w:tab w:leader="none" w:pos="58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144" w:lineRule="exact"/>
        <w:rPr>
          <w:rFonts w:ascii="Arial" w:cs="Arial" w:eastAsia="Arial" w:hAnsi="Arial"/>
          <w:sz w:val="16"/>
          <w:szCs w:val="16"/>
          <w:b w:val="1"/>
          <w:bCs w:val="1"/>
          <w:color w:val="auto"/>
        </w:rPr>
      </w:pPr>
    </w:p>
    <w:p>
      <w:pPr>
        <w:ind w:left="580" w:hanging="295"/>
        <w:spacing w:after="0"/>
        <w:tabs>
          <w:tab w:leader="none" w:pos="58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additions to or changes in or deletions of the provisions relating to covenant defeasance and legal defeasance;</w:t>
      </w:r>
    </w:p>
    <w:p>
      <w:pPr>
        <w:spacing w:after="0" w:line="200" w:lineRule="exact"/>
        <w:rPr>
          <w:rFonts w:ascii="Arial" w:cs="Arial" w:eastAsia="Arial" w:hAnsi="Arial"/>
          <w:sz w:val="16"/>
          <w:szCs w:val="16"/>
          <w:b w:val="1"/>
          <w:bCs w:val="1"/>
          <w:color w:val="auto"/>
        </w:rPr>
      </w:pPr>
    </w:p>
    <w:p>
      <w:pPr>
        <w:ind w:left="580" w:hanging="295"/>
        <w:spacing w:after="0"/>
        <w:tabs>
          <w:tab w:leader="none" w:pos="58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additions to or changes in the provisions relating to satisfaction and discharge of the indenture;</w:t>
      </w:r>
    </w:p>
    <w:p>
      <w:pPr>
        <w:spacing w:after="0" w:line="200" w:lineRule="exact"/>
        <w:rPr>
          <w:rFonts w:ascii="Arial" w:cs="Arial" w:eastAsia="Arial" w:hAnsi="Arial"/>
          <w:sz w:val="16"/>
          <w:szCs w:val="16"/>
          <w:b w:val="1"/>
          <w:bCs w:val="1"/>
          <w:color w:val="auto"/>
        </w:rPr>
      </w:pPr>
    </w:p>
    <w:p>
      <w:pPr>
        <w:ind w:left="580" w:right="120" w:hanging="295"/>
        <w:spacing w:after="0" w:line="282" w:lineRule="auto"/>
        <w:tabs>
          <w:tab w:leader="none" w:pos="58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additions to or changes in the provisions relating to the modification of the indenture both with and without the consent of holders of debt securities issued under the indenture;</w:t>
      </w:r>
    </w:p>
    <w:p>
      <w:pPr>
        <w:spacing w:after="0" w:line="144" w:lineRule="exact"/>
        <w:rPr>
          <w:rFonts w:ascii="Arial" w:cs="Arial" w:eastAsia="Arial" w:hAnsi="Arial"/>
          <w:sz w:val="16"/>
          <w:szCs w:val="16"/>
          <w:b w:val="1"/>
          <w:bCs w:val="1"/>
          <w:color w:val="auto"/>
        </w:rPr>
      </w:pPr>
    </w:p>
    <w:p>
      <w:pPr>
        <w:ind w:left="580" w:hanging="295"/>
        <w:spacing w:after="0"/>
        <w:tabs>
          <w:tab w:leader="none" w:pos="58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currency of payment of debt securities if other than U.S. dollars and the manner of determining the equivalent amount in U.S. dollars;</w:t>
      </w:r>
    </w:p>
    <w:p>
      <w:pPr>
        <w:spacing w:after="0" w:line="200" w:lineRule="exact"/>
        <w:rPr>
          <w:rFonts w:ascii="Arial" w:cs="Arial" w:eastAsia="Arial" w:hAnsi="Arial"/>
          <w:sz w:val="16"/>
          <w:szCs w:val="16"/>
          <w:b w:val="1"/>
          <w:bCs w:val="1"/>
          <w:color w:val="auto"/>
        </w:rPr>
      </w:pPr>
    </w:p>
    <w:p>
      <w:pPr>
        <w:ind w:left="580" w:hanging="295"/>
        <w:spacing w:after="0"/>
        <w:tabs>
          <w:tab w:leader="none" w:pos="58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whether interest will be payable in cash or additional debt securities at our or the holders’ option and the terms and conditions upon which the election may be made;</w:t>
      </w:r>
    </w:p>
    <w:p>
      <w:pPr>
        <w:spacing w:after="0" w:line="200" w:lineRule="exact"/>
        <w:rPr>
          <w:rFonts w:ascii="Arial" w:cs="Arial" w:eastAsia="Arial" w:hAnsi="Arial"/>
          <w:sz w:val="16"/>
          <w:szCs w:val="16"/>
          <w:b w:val="1"/>
          <w:bCs w:val="1"/>
          <w:color w:val="auto"/>
        </w:rPr>
      </w:pPr>
    </w:p>
    <w:p>
      <w:pPr>
        <w:ind w:left="580" w:right="40" w:hanging="295"/>
        <w:spacing w:after="0" w:line="282" w:lineRule="auto"/>
        <w:tabs>
          <w:tab w:leader="none" w:pos="58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44" w:lineRule="exact"/>
        <w:rPr>
          <w:rFonts w:ascii="Arial" w:cs="Arial" w:eastAsia="Arial" w:hAnsi="Arial"/>
          <w:sz w:val="16"/>
          <w:szCs w:val="16"/>
          <w:b w:val="1"/>
          <w:bCs w:val="1"/>
          <w:color w:val="auto"/>
        </w:rPr>
      </w:pPr>
    </w:p>
    <w:p>
      <w:pPr>
        <w:ind w:left="580" w:hanging="295"/>
        <w:spacing w:after="0"/>
        <w:tabs>
          <w:tab w:leader="none" w:pos="58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any restrictions on transfer, sale or assignment of the debt securities of the series; and</w:t>
      </w:r>
    </w:p>
    <w:p>
      <w:pPr>
        <w:spacing w:after="0" w:line="200" w:lineRule="exact"/>
        <w:rPr>
          <w:rFonts w:ascii="Arial" w:cs="Arial" w:eastAsia="Arial" w:hAnsi="Arial"/>
          <w:sz w:val="16"/>
          <w:szCs w:val="16"/>
          <w:b w:val="1"/>
          <w:bCs w:val="1"/>
          <w:color w:val="auto"/>
        </w:rPr>
      </w:pPr>
    </w:p>
    <w:p>
      <w:pPr>
        <w:ind w:left="580" w:right="140" w:hanging="295"/>
        <w:spacing w:after="0" w:line="282" w:lineRule="auto"/>
        <w:tabs>
          <w:tab w:leader="none" w:pos="580" w:val="left"/>
        </w:tabs>
        <w:numPr>
          <w:ilvl w:val="0"/>
          <w:numId w:val="1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Conversion or Exchange Rights</w:t>
      </w:r>
    </w:p>
    <w:p>
      <w:pPr>
        <w:spacing w:after="0" w:line="203" w:lineRule="exact"/>
        <w:rPr>
          <w:sz w:val="20"/>
          <w:szCs w:val="20"/>
          <w:color w:val="auto"/>
        </w:rPr>
      </w:pPr>
    </w:p>
    <w:p>
      <w:pPr>
        <w:jc w:val="both"/>
        <w:ind w:right="40" w:firstLine="289"/>
        <w:spacing w:after="0" w:line="261" w:lineRule="auto"/>
        <w:rPr>
          <w:sz w:val="20"/>
          <w:szCs w:val="20"/>
          <w:color w:val="auto"/>
        </w:rPr>
      </w:pPr>
      <w:r>
        <w:rPr>
          <w:rFonts w:ascii="Times New Roman" w:cs="Times New Roman" w:eastAsia="Times New Roman" w:hAnsi="Times New Roman"/>
          <w:sz w:val="16"/>
          <w:szCs w:val="16"/>
          <w:color w:val="auto"/>
        </w:rPr>
        <w:t>We will set forth in the applicable prospectus supplement the terms on which a series of debt securities may be convertible into or exchangeable for our Ordinary Shares or our other securities. We will include provisions as to settlement upon conversion or exchange and whether conversion or exchange is mandatory, at the option of the holder or at our option. We may include provisions pursuant to which the number of our Ordinary Shares or our other securities that the holders of the series of debt securities receive would be subject to adjustment.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Consolidation, Merger or Sale</w:t>
      </w:r>
    </w:p>
    <w:p>
      <w:pPr>
        <w:spacing w:after="0" w:line="203" w:lineRule="exact"/>
        <w:rPr>
          <w:sz w:val="20"/>
          <w:szCs w:val="20"/>
          <w:color w:val="auto"/>
        </w:rPr>
      </w:pPr>
    </w:p>
    <w:p>
      <w:pPr>
        <w:ind w:firstLine="289"/>
        <w:spacing w:after="0" w:line="267" w:lineRule="auto"/>
        <w:rPr>
          <w:sz w:val="20"/>
          <w:szCs w:val="20"/>
          <w:color w:val="auto"/>
        </w:rPr>
      </w:pPr>
      <w:r>
        <w:rPr>
          <w:rFonts w:ascii="Times New Roman" w:cs="Times New Roman" w:eastAsia="Times New Roman" w:hAnsi="Times New Roman"/>
          <w:sz w:val="16"/>
          <w:szCs w:val="16"/>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any subsidiary of ours) must assume all of our obligations under the indenture or the debt securities, as appropriate.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Events of Default under the Indenture</w:t>
      </w:r>
    </w:p>
    <w:p>
      <w:pPr>
        <w:spacing w:after="0" w:line="203" w:lineRule="exact"/>
        <w:rPr>
          <w:sz w:val="20"/>
          <w:szCs w:val="20"/>
          <w:color w:val="auto"/>
        </w:rPr>
      </w:pPr>
    </w:p>
    <w:p>
      <w:pPr>
        <w:ind w:right="140" w:firstLine="289"/>
        <w:spacing w:after="0" w:line="283" w:lineRule="auto"/>
        <w:rPr>
          <w:sz w:val="20"/>
          <w:szCs w:val="20"/>
          <w:color w:val="auto"/>
        </w:rPr>
      </w:pPr>
      <w:r>
        <w:rPr>
          <w:rFonts w:ascii="Times New Roman" w:cs="Times New Roman" w:eastAsia="Times New Roman" w:hAnsi="Times New Roman"/>
          <w:sz w:val="16"/>
          <w:szCs w:val="16"/>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43" w:lineRule="exact"/>
        <w:rPr>
          <w:sz w:val="20"/>
          <w:szCs w:val="20"/>
          <w:color w:val="auto"/>
        </w:rPr>
      </w:pPr>
    </w:p>
    <w:p>
      <w:pPr>
        <w:ind w:left="860" w:right="80" w:hanging="287"/>
        <w:spacing w:after="0" w:line="266" w:lineRule="auto"/>
        <w:tabs>
          <w:tab w:leader="none" w:pos="860" w:val="left"/>
        </w:tabs>
        <w:numPr>
          <w:ilvl w:val="0"/>
          <w:numId w:val="11"/>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22" w:name="page23"/>
    <w:bookmarkEnd w:id="22"/>
    <w:p>
      <w:pPr>
        <w:ind w:left="860" w:right="200" w:hanging="287"/>
        <w:spacing w:after="0" w:line="261" w:lineRule="auto"/>
        <w:tabs>
          <w:tab w:leader="none" w:pos="860" w:val="left"/>
        </w:tabs>
        <w:numPr>
          <w:ilvl w:val="0"/>
          <w:numId w:val="12"/>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60" w:lineRule="exact"/>
        <w:rPr>
          <w:rFonts w:ascii="Arial" w:cs="Arial" w:eastAsia="Arial" w:hAnsi="Arial"/>
          <w:sz w:val="16"/>
          <w:szCs w:val="16"/>
          <w:b w:val="1"/>
          <w:bCs w:val="1"/>
          <w:color w:val="auto"/>
        </w:rPr>
      </w:pPr>
    </w:p>
    <w:p>
      <w:pPr>
        <w:ind w:left="860" w:right="180" w:hanging="287"/>
        <w:spacing w:after="0" w:line="261" w:lineRule="auto"/>
        <w:tabs>
          <w:tab w:leader="none" w:pos="860" w:val="left"/>
        </w:tabs>
        <w:numPr>
          <w:ilvl w:val="0"/>
          <w:numId w:val="12"/>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60" w:lineRule="exact"/>
        <w:rPr>
          <w:rFonts w:ascii="Arial" w:cs="Arial" w:eastAsia="Arial" w:hAnsi="Arial"/>
          <w:sz w:val="16"/>
          <w:szCs w:val="16"/>
          <w:b w:val="1"/>
          <w:bCs w:val="1"/>
          <w:color w:val="auto"/>
        </w:rPr>
      </w:pPr>
    </w:p>
    <w:p>
      <w:pPr>
        <w:ind w:left="860" w:hanging="287"/>
        <w:spacing w:after="0"/>
        <w:tabs>
          <w:tab w:leader="none" w:pos="860" w:val="left"/>
        </w:tabs>
        <w:numPr>
          <w:ilvl w:val="0"/>
          <w:numId w:val="12"/>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if specified events of bankruptcy, insolvency or reorganization occur.</w:t>
      </w:r>
    </w:p>
    <w:p>
      <w:pPr>
        <w:spacing w:after="0" w:line="200" w:lineRule="exact"/>
        <w:rPr>
          <w:sz w:val="20"/>
          <w:szCs w:val="20"/>
          <w:color w:val="auto"/>
        </w:rPr>
      </w:pPr>
    </w:p>
    <w:p>
      <w:pPr>
        <w:ind w:firstLine="289"/>
        <w:spacing w:after="0" w:line="259" w:lineRule="auto"/>
        <w:rPr>
          <w:sz w:val="20"/>
          <w:szCs w:val="20"/>
          <w:color w:val="auto"/>
        </w:rPr>
      </w:pPr>
      <w:r>
        <w:rPr>
          <w:rFonts w:ascii="Times New Roman" w:cs="Times New Roman" w:eastAsia="Times New Roman" w:hAnsi="Times New Roman"/>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62" w:lineRule="exact"/>
        <w:rPr>
          <w:sz w:val="20"/>
          <w:szCs w:val="20"/>
          <w:color w:val="auto"/>
        </w:rPr>
      </w:pPr>
    </w:p>
    <w:p>
      <w:pPr>
        <w:jc w:val="both"/>
        <w:ind w:right="140" w:firstLine="289"/>
        <w:spacing w:after="0" w:line="267" w:lineRule="auto"/>
        <w:rPr>
          <w:sz w:val="20"/>
          <w:szCs w:val="20"/>
          <w:color w:val="auto"/>
        </w:rPr>
      </w:pPr>
      <w:r>
        <w:rPr>
          <w:rFonts w:ascii="Times New Roman" w:cs="Times New Roman" w:eastAsia="Times New Roman" w:hAnsi="Times New Roman"/>
          <w:sz w:val="16"/>
          <w:szCs w:val="16"/>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56" w:lineRule="exact"/>
        <w:rPr>
          <w:sz w:val="20"/>
          <w:szCs w:val="20"/>
          <w:color w:val="auto"/>
        </w:rPr>
      </w:pPr>
    </w:p>
    <w:p>
      <w:pPr>
        <w:ind w:right="120" w:firstLine="289"/>
        <w:spacing w:after="0" w:line="259" w:lineRule="auto"/>
        <w:rPr>
          <w:sz w:val="20"/>
          <w:szCs w:val="20"/>
          <w:color w:val="auto"/>
        </w:rPr>
      </w:pPr>
      <w:r>
        <w:rPr>
          <w:rFonts w:ascii="Times New Roman" w:cs="Times New Roman" w:eastAsia="Times New Roman" w:hAnsi="Times New Roman"/>
          <w:sz w:val="16"/>
          <w:szCs w:val="16"/>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62" w:lineRule="exact"/>
        <w:rPr>
          <w:sz w:val="20"/>
          <w:szCs w:val="20"/>
          <w:color w:val="auto"/>
        </w:rPr>
      </w:pPr>
    </w:p>
    <w:p>
      <w:pPr>
        <w:ind w:left="860" w:hanging="287"/>
        <w:spacing w:after="0"/>
        <w:tabs>
          <w:tab w:leader="none" w:pos="860" w:val="left"/>
        </w:tabs>
        <w:numPr>
          <w:ilvl w:val="0"/>
          <w:numId w:val="1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direction so given by the holder is not in conflict with any law or the applicable indenture; and</w:t>
      </w:r>
    </w:p>
    <w:p>
      <w:pPr>
        <w:spacing w:after="0" w:line="200" w:lineRule="exact"/>
        <w:rPr>
          <w:rFonts w:ascii="Arial" w:cs="Arial" w:eastAsia="Arial" w:hAnsi="Arial"/>
          <w:sz w:val="16"/>
          <w:szCs w:val="16"/>
          <w:b w:val="1"/>
          <w:bCs w:val="1"/>
          <w:color w:val="auto"/>
        </w:rPr>
      </w:pPr>
    </w:p>
    <w:p>
      <w:pPr>
        <w:ind w:left="860" w:right="60" w:hanging="287"/>
        <w:spacing w:after="0" w:line="282" w:lineRule="auto"/>
        <w:tabs>
          <w:tab w:leader="none" w:pos="860" w:val="left"/>
        </w:tabs>
        <w:numPr>
          <w:ilvl w:val="0"/>
          <w:numId w:val="1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subject to its duties under the Trust Indenture Act, the trustee need not take any action that might involve it in personal liability or might be unduly prejudicial to the holders not involved in the proceeding.</w:t>
      </w:r>
    </w:p>
    <w:p>
      <w:pPr>
        <w:spacing w:after="0" w:line="144" w:lineRule="exact"/>
        <w:rPr>
          <w:rFonts w:ascii="Arial" w:cs="Arial" w:eastAsia="Arial" w:hAnsi="Arial"/>
          <w:sz w:val="16"/>
          <w:szCs w:val="16"/>
          <w:b w:val="1"/>
          <w:bCs w:val="1"/>
          <w:color w:val="auto"/>
        </w:rPr>
      </w:pPr>
    </w:p>
    <w:p>
      <w:pPr>
        <w:ind w:left="860" w:right="260" w:hanging="287"/>
        <w:spacing w:after="0" w:line="282" w:lineRule="auto"/>
        <w:tabs>
          <w:tab w:leader="none" w:pos="860" w:val="left"/>
        </w:tabs>
        <w:numPr>
          <w:ilvl w:val="0"/>
          <w:numId w:val="1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 holder of the debt securities of any series will have the right to institute a proceeding under the indenture or to appoint a receiver or trustee, or to seek other remedies only if:</w:t>
      </w:r>
    </w:p>
    <w:p>
      <w:pPr>
        <w:spacing w:after="0" w:line="144" w:lineRule="exact"/>
        <w:rPr>
          <w:rFonts w:ascii="Arial" w:cs="Arial" w:eastAsia="Arial" w:hAnsi="Arial"/>
          <w:sz w:val="16"/>
          <w:szCs w:val="16"/>
          <w:b w:val="1"/>
          <w:bCs w:val="1"/>
          <w:color w:val="auto"/>
        </w:rPr>
      </w:pPr>
    </w:p>
    <w:p>
      <w:pPr>
        <w:ind w:left="860" w:hanging="287"/>
        <w:spacing w:after="0"/>
        <w:tabs>
          <w:tab w:leader="none" w:pos="860" w:val="left"/>
        </w:tabs>
        <w:numPr>
          <w:ilvl w:val="0"/>
          <w:numId w:val="1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holder has given written notice to the trustee of a continuing event of default with respect to that series;</w:t>
      </w:r>
    </w:p>
    <w:p>
      <w:pPr>
        <w:spacing w:after="0" w:line="200" w:lineRule="exact"/>
        <w:rPr>
          <w:rFonts w:ascii="Arial" w:cs="Arial" w:eastAsia="Arial" w:hAnsi="Arial"/>
          <w:sz w:val="16"/>
          <w:szCs w:val="16"/>
          <w:b w:val="1"/>
          <w:bCs w:val="1"/>
          <w:color w:val="auto"/>
        </w:rPr>
      </w:pPr>
    </w:p>
    <w:p>
      <w:pPr>
        <w:ind w:left="860" w:hanging="287"/>
        <w:spacing w:after="0"/>
        <w:tabs>
          <w:tab w:leader="none" w:pos="860" w:val="left"/>
        </w:tabs>
        <w:numPr>
          <w:ilvl w:val="0"/>
          <w:numId w:val="1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holders of at least 25% in aggregate principal amount of the outstanding debt securities of that series have made written request,</w:t>
      </w:r>
    </w:p>
    <w:p>
      <w:pPr>
        <w:spacing w:after="0" w:line="200" w:lineRule="exact"/>
        <w:rPr>
          <w:rFonts w:ascii="Arial" w:cs="Arial" w:eastAsia="Arial" w:hAnsi="Arial"/>
          <w:sz w:val="16"/>
          <w:szCs w:val="16"/>
          <w:b w:val="1"/>
          <w:bCs w:val="1"/>
          <w:color w:val="auto"/>
        </w:rPr>
      </w:pPr>
    </w:p>
    <w:p>
      <w:pPr>
        <w:ind w:left="860" w:right="80" w:hanging="287"/>
        <w:spacing w:after="0" w:line="282" w:lineRule="auto"/>
        <w:tabs>
          <w:tab w:leader="none" w:pos="860" w:val="left"/>
        </w:tabs>
        <w:numPr>
          <w:ilvl w:val="0"/>
          <w:numId w:val="1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such holders have offered to the trustee indemnity satisfactory to it against the costs, expenses and liabilities to be incurred by the trustee in compliance with the request; and</w:t>
      </w:r>
    </w:p>
    <w:p>
      <w:pPr>
        <w:spacing w:after="0" w:line="144" w:lineRule="exact"/>
        <w:rPr>
          <w:rFonts w:ascii="Arial" w:cs="Arial" w:eastAsia="Arial" w:hAnsi="Arial"/>
          <w:sz w:val="16"/>
          <w:szCs w:val="16"/>
          <w:b w:val="1"/>
          <w:bCs w:val="1"/>
          <w:color w:val="auto"/>
        </w:rPr>
      </w:pPr>
    </w:p>
    <w:p>
      <w:pPr>
        <w:ind w:left="860" w:right="100" w:hanging="287"/>
        <w:spacing w:after="0" w:line="282" w:lineRule="auto"/>
        <w:tabs>
          <w:tab w:leader="none" w:pos="860" w:val="left"/>
        </w:tabs>
        <w:numPr>
          <w:ilvl w:val="0"/>
          <w:numId w:val="1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44" w:lineRule="exact"/>
        <w:rPr>
          <w:sz w:val="20"/>
          <w:szCs w:val="20"/>
          <w:color w:val="auto"/>
        </w:rPr>
      </w:pPr>
    </w:p>
    <w:p>
      <w:pPr>
        <w:ind w:right="420" w:firstLine="289"/>
        <w:spacing w:after="0" w:line="283" w:lineRule="auto"/>
        <w:rPr>
          <w:sz w:val="20"/>
          <w:szCs w:val="20"/>
          <w:color w:val="auto"/>
        </w:rPr>
      </w:pPr>
      <w:r>
        <w:rPr>
          <w:rFonts w:ascii="Times New Roman" w:cs="Times New Roman" w:eastAsia="Times New Roman" w:hAnsi="Times New Roman"/>
          <w:sz w:val="16"/>
          <w:szCs w:val="16"/>
          <w:color w:val="auto"/>
        </w:rPr>
        <w:t>These limitations do not apply to a suit instituted by a holder of debt securities if we default in the payment of the principal, premium, if any, or interest on, the debt securities.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will periodically file statements with the trustee regarding our compliance with specified covenants in the indenture.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Modification of Indenture; Waiver</w:t>
      </w:r>
    </w:p>
    <w:p>
      <w:pPr>
        <w:spacing w:after="0" w:line="203" w:lineRule="exact"/>
        <w:rPr>
          <w:sz w:val="20"/>
          <w:szCs w:val="20"/>
          <w:color w:val="auto"/>
        </w:rPr>
      </w:pPr>
    </w:p>
    <w:p>
      <w:pPr>
        <w:ind w:left="580" w:hanging="295"/>
        <w:spacing w:after="0"/>
        <w:tabs>
          <w:tab w:leader="none" w:pos="580" w:val="left"/>
        </w:tabs>
        <w:numPr>
          <w:ilvl w:val="0"/>
          <w:numId w:val="14"/>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We and the trustee may change an indenture without the consent of any holders with respect to specific matters:</w:t>
      </w:r>
    </w:p>
    <w:p>
      <w:pPr>
        <w:spacing w:after="0" w:line="200" w:lineRule="exact"/>
        <w:rPr>
          <w:rFonts w:ascii="Arial" w:cs="Arial" w:eastAsia="Arial" w:hAnsi="Arial"/>
          <w:sz w:val="16"/>
          <w:szCs w:val="16"/>
          <w:b w:val="1"/>
          <w:bCs w:val="1"/>
          <w:color w:val="auto"/>
        </w:rPr>
      </w:pPr>
    </w:p>
    <w:p>
      <w:pPr>
        <w:ind w:left="580" w:hanging="295"/>
        <w:spacing w:after="0"/>
        <w:tabs>
          <w:tab w:leader="none" w:pos="580" w:val="left"/>
        </w:tabs>
        <w:numPr>
          <w:ilvl w:val="0"/>
          <w:numId w:val="14"/>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to cure any ambiguity, defect or inconsistency in the indenture or in the debt securities of any series;</w:t>
      </w:r>
    </w:p>
    <w:p>
      <w:pPr>
        <w:spacing w:after="0" w:line="198" w:lineRule="exact"/>
        <w:rPr>
          <w:rFonts w:ascii="Arial" w:cs="Arial" w:eastAsia="Arial" w:hAnsi="Arial"/>
          <w:sz w:val="16"/>
          <w:szCs w:val="16"/>
          <w:b w:val="1"/>
          <w:bCs w:val="1"/>
          <w:color w:val="auto"/>
        </w:rPr>
      </w:pPr>
    </w:p>
    <w:p>
      <w:pPr>
        <w:ind w:left="580" w:hanging="295"/>
        <w:spacing w:after="0"/>
        <w:tabs>
          <w:tab w:leader="none" w:pos="580" w:val="left"/>
        </w:tabs>
        <w:numPr>
          <w:ilvl w:val="0"/>
          <w:numId w:val="14"/>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to comply with the provisions described above under “</w:t>
      </w:r>
      <w:r>
        <w:rPr>
          <w:rFonts w:ascii="Times New Roman" w:cs="Times New Roman" w:eastAsia="Times New Roman" w:hAnsi="Times New Roman"/>
          <w:sz w:val="16"/>
          <w:szCs w:val="16"/>
          <w:i w:val="1"/>
          <w:iCs w:val="1"/>
          <w:color w:val="auto"/>
        </w:rPr>
        <w:t>Description of Debt Securities - Consolidation, Merger or Sale</w:t>
      </w:r>
      <w:r>
        <w:rPr>
          <w:rFonts w:ascii="Times New Roman" w:cs="Times New Roman" w:eastAsia="Times New Roman" w:hAnsi="Times New Roman"/>
          <w:sz w:val="16"/>
          <w:szCs w:val="16"/>
          <w:color w:val="auto"/>
        </w:rPr>
        <w:t>”;</w:t>
      </w:r>
    </w:p>
    <w:p>
      <w:pPr>
        <w:spacing w:after="0" w:line="202" w:lineRule="exact"/>
        <w:rPr>
          <w:rFonts w:ascii="Arial" w:cs="Arial" w:eastAsia="Arial" w:hAnsi="Arial"/>
          <w:sz w:val="16"/>
          <w:szCs w:val="16"/>
          <w:b w:val="1"/>
          <w:bCs w:val="1"/>
          <w:color w:val="auto"/>
        </w:rPr>
      </w:pPr>
    </w:p>
    <w:p>
      <w:pPr>
        <w:ind w:left="580" w:hanging="295"/>
        <w:spacing w:after="0"/>
        <w:tabs>
          <w:tab w:leader="none" w:pos="580" w:val="left"/>
        </w:tabs>
        <w:numPr>
          <w:ilvl w:val="0"/>
          <w:numId w:val="14"/>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to provide for uncertificated debt securities in addition to or in place of certificated debt securities;</w:t>
      </w:r>
    </w:p>
    <w:p>
      <w:pPr>
        <w:spacing w:after="0" w:line="200" w:lineRule="exact"/>
        <w:rPr>
          <w:rFonts w:ascii="Arial" w:cs="Arial" w:eastAsia="Arial" w:hAnsi="Arial"/>
          <w:sz w:val="16"/>
          <w:szCs w:val="16"/>
          <w:b w:val="1"/>
          <w:bCs w:val="1"/>
          <w:color w:val="auto"/>
        </w:rPr>
      </w:pPr>
    </w:p>
    <w:p>
      <w:pPr>
        <w:ind w:left="580" w:right="300" w:hanging="295"/>
        <w:spacing w:after="0" w:line="266" w:lineRule="auto"/>
        <w:tabs>
          <w:tab w:leader="none" w:pos="580" w:val="left"/>
        </w:tabs>
        <w:numPr>
          <w:ilvl w:val="0"/>
          <w:numId w:val="14"/>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20"/>
          </w:cols>
          <w:pgMar w:left="320" w:top="532" w:right="359" w:bottom="1440" w:gutter="0" w:footer="0" w:header="0"/>
        </w:sectPr>
      </w:pPr>
    </w:p>
    <w:bookmarkStart w:id="23" w:name="page24"/>
    <w:bookmarkEnd w:id="23"/>
    <w:p>
      <w:pPr>
        <w:ind w:left="580" w:right="140" w:hanging="295"/>
        <w:spacing w:after="0" w:line="282" w:lineRule="auto"/>
        <w:tabs>
          <w:tab w:leader="none" w:pos="580" w:val="left"/>
        </w:tabs>
        <w:numPr>
          <w:ilvl w:val="0"/>
          <w:numId w:val="1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to add to, delete from or revise the conditions, limitations, and restrictions on the authorized amount, terms, or purposes of issue, authentication and delivery of debt securities, as set forth in the indenture;</w:t>
      </w:r>
    </w:p>
    <w:p>
      <w:pPr>
        <w:spacing w:after="0" w:line="144" w:lineRule="exact"/>
        <w:rPr>
          <w:rFonts w:ascii="Arial" w:cs="Arial" w:eastAsia="Arial" w:hAnsi="Arial"/>
          <w:sz w:val="16"/>
          <w:szCs w:val="16"/>
          <w:b w:val="1"/>
          <w:bCs w:val="1"/>
          <w:color w:val="auto"/>
        </w:rPr>
      </w:pPr>
    </w:p>
    <w:p>
      <w:pPr>
        <w:ind w:left="580" w:hanging="295"/>
        <w:spacing w:after="0"/>
        <w:tabs>
          <w:tab w:leader="none" w:pos="580" w:val="left"/>
        </w:tabs>
        <w:numPr>
          <w:ilvl w:val="0"/>
          <w:numId w:val="1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to make any change that does not adversely affect the interests of any holder of debt securities of any series in any material respect;</w:t>
      </w:r>
    </w:p>
    <w:p>
      <w:pPr>
        <w:spacing w:after="0" w:line="200" w:lineRule="exact"/>
        <w:rPr>
          <w:rFonts w:ascii="Arial" w:cs="Arial" w:eastAsia="Arial" w:hAnsi="Arial"/>
          <w:sz w:val="16"/>
          <w:szCs w:val="16"/>
          <w:b w:val="1"/>
          <w:bCs w:val="1"/>
          <w:color w:val="auto"/>
        </w:rPr>
      </w:pPr>
    </w:p>
    <w:p>
      <w:pPr>
        <w:ind w:left="580" w:hanging="295"/>
        <w:spacing w:after="0" w:line="266" w:lineRule="auto"/>
        <w:tabs>
          <w:tab w:leader="none" w:pos="580" w:val="left"/>
        </w:tabs>
        <w:numPr>
          <w:ilvl w:val="0"/>
          <w:numId w:val="1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to provide for the issuance of and establish the form and terms and conditions of the debt securities of any series as provided above under “Description of Debt Securities - General” to establish the form of any certifications required to be furnished pursuant to the terms of the indenture or any series of debt securities, or to add to the rights of the holders of any series of debt securities;</w:t>
      </w:r>
    </w:p>
    <w:p>
      <w:pPr>
        <w:spacing w:after="0" w:line="157" w:lineRule="exact"/>
        <w:rPr>
          <w:rFonts w:ascii="Arial" w:cs="Arial" w:eastAsia="Arial" w:hAnsi="Arial"/>
          <w:sz w:val="16"/>
          <w:szCs w:val="16"/>
          <w:b w:val="1"/>
          <w:bCs w:val="1"/>
          <w:color w:val="auto"/>
        </w:rPr>
      </w:pPr>
    </w:p>
    <w:p>
      <w:pPr>
        <w:ind w:left="580" w:hanging="295"/>
        <w:spacing w:after="0"/>
        <w:tabs>
          <w:tab w:leader="none" w:pos="580" w:val="left"/>
        </w:tabs>
        <w:numPr>
          <w:ilvl w:val="0"/>
          <w:numId w:val="1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to evidence and provide for the acceptance of appointment under any indenture by a successor trustee; or</w:t>
      </w:r>
    </w:p>
    <w:p>
      <w:pPr>
        <w:spacing w:after="0" w:line="200" w:lineRule="exact"/>
        <w:rPr>
          <w:rFonts w:ascii="Arial" w:cs="Arial" w:eastAsia="Arial" w:hAnsi="Arial"/>
          <w:sz w:val="16"/>
          <w:szCs w:val="16"/>
          <w:b w:val="1"/>
          <w:bCs w:val="1"/>
          <w:color w:val="auto"/>
        </w:rPr>
      </w:pPr>
    </w:p>
    <w:p>
      <w:pPr>
        <w:ind w:left="580" w:hanging="295"/>
        <w:spacing w:after="0"/>
        <w:tabs>
          <w:tab w:leader="none" w:pos="580" w:val="left"/>
        </w:tabs>
        <w:numPr>
          <w:ilvl w:val="0"/>
          <w:numId w:val="15"/>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to comply with any requirements of the SEC in connection with the qualification of any indenture under the Trust Indenture Act.</w:t>
      </w:r>
    </w:p>
    <w:p>
      <w:pPr>
        <w:spacing w:after="0" w:line="200" w:lineRule="exact"/>
        <w:rPr>
          <w:sz w:val="20"/>
          <w:szCs w:val="20"/>
          <w:color w:val="auto"/>
        </w:rPr>
      </w:pPr>
    </w:p>
    <w:p>
      <w:pPr>
        <w:ind w:right="20" w:firstLine="289"/>
        <w:spacing w:after="0" w:line="261" w:lineRule="auto"/>
        <w:rPr>
          <w:sz w:val="20"/>
          <w:szCs w:val="20"/>
          <w:color w:val="auto"/>
        </w:rPr>
      </w:pPr>
      <w:r>
        <w:rPr>
          <w:rFonts w:ascii="Times New Roman" w:cs="Times New Roman" w:eastAsia="Times New Roman" w:hAnsi="Times New Roman"/>
          <w:sz w:val="16"/>
          <w:szCs w:val="16"/>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62" w:lineRule="exact"/>
        <w:rPr>
          <w:sz w:val="20"/>
          <w:szCs w:val="20"/>
          <w:color w:val="auto"/>
        </w:rPr>
      </w:pPr>
    </w:p>
    <w:p>
      <w:pPr>
        <w:ind w:left="860" w:hanging="287"/>
        <w:spacing w:after="0"/>
        <w:tabs>
          <w:tab w:leader="none" w:pos="860" w:val="left"/>
        </w:tabs>
        <w:numPr>
          <w:ilvl w:val="0"/>
          <w:numId w:val="1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extending the fixed maturity of any debt securities of any series;</w:t>
      </w:r>
    </w:p>
    <w:p>
      <w:pPr>
        <w:spacing w:after="0" w:line="200" w:lineRule="exact"/>
        <w:rPr>
          <w:rFonts w:ascii="Arial" w:cs="Arial" w:eastAsia="Arial" w:hAnsi="Arial"/>
          <w:sz w:val="16"/>
          <w:szCs w:val="16"/>
          <w:b w:val="1"/>
          <w:bCs w:val="1"/>
          <w:color w:val="auto"/>
        </w:rPr>
      </w:pPr>
    </w:p>
    <w:p>
      <w:pPr>
        <w:ind w:left="860" w:right="200" w:hanging="287"/>
        <w:spacing w:after="0" w:line="282" w:lineRule="auto"/>
        <w:tabs>
          <w:tab w:leader="none" w:pos="860" w:val="left"/>
        </w:tabs>
        <w:numPr>
          <w:ilvl w:val="0"/>
          <w:numId w:val="1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reducing the principal amount, reducing the rate of or extending the time of payment of interest, or reducing any premium payable upon the redemption of any series of any debt securities; or</w:t>
      </w:r>
    </w:p>
    <w:p>
      <w:pPr>
        <w:spacing w:after="0" w:line="144" w:lineRule="exact"/>
        <w:rPr>
          <w:rFonts w:ascii="Arial" w:cs="Arial" w:eastAsia="Arial" w:hAnsi="Arial"/>
          <w:sz w:val="16"/>
          <w:szCs w:val="16"/>
          <w:b w:val="1"/>
          <w:bCs w:val="1"/>
          <w:color w:val="auto"/>
        </w:rPr>
      </w:pPr>
    </w:p>
    <w:p>
      <w:pPr>
        <w:ind w:left="860" w:hanging="287"/>
        <w:spacing w:after="0"/>
        <w:tabs>
          <w:tab w:leader="none" w:pos="860" w:val="left"/>
        </w:tabs>
        <w:numPr>
          <w:ilvl w:val="0"/>
          <w:numId w:val="1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reducing the percentage of debt securities, the holders of which are required to consent to any amendment, supplement, modification or waiver.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Discharge</w:t>
      </w:r>
    </w:p>
    <w:p>
      <w:pPr>
        <w:spacing w:after="0" w:line="203" w:lineRule="exact"/>
        <w:rPr>
          <w:sz w:val="20"/>
          <w:szCs w:val="20"/>
          <w:color w:val="auto"/>
        </w:rPr>
      </w:pPr>
    </w:p>
    <w:p>
      <w:pPr>
        <w:ind w:right="360" w:firstLine="289"/>
        <w:spacing w:after="0" w:line="283" w:lineRule="auto"/>
        <w:rPr>
          <w:sz w:val="20"/>
          <w:szCs w:val="20"/>
          <w:color w:val="auto"/>
        </w:rPr>
      </w:pPr>
      <w:r>
        <w:rPr>
          <w:rFonts w:ascii="Times New Roman" w:cs="Times New Roman" w:eastAsia="Times New Roman" w:hAnsi="Times New Roman"/>
          <w:sz w:val="16"/>
          <w:szCs w:val="16"/>
          <w:color w:val="auto"/>
        </w:rPr>
        <w:t>Each indenture provides that we can elect to be discharged from our obligations with respect to one or more series of debt securities, except for specified obligations, including obligations to:</w:t>
      </w:r>
    </w:p>
    <w:p>
      <w:pPr>
        <w:spacing w:after="0" w:line="143" w:lineRule="exact"/>
        <w:rPr>
          <w:sz w:val="20"/>
          <w:szCs w:val="20"/>
          <w:color w:val="auto"/>
        </w:rPr>
      </w:pPr>
    </w:p>
    <w:p>
      <w:pPr>
        <w:ind w:left="860" w:hanging="287"/>
        <w:spacing w:after="0"/>
        <w:tabs>
          <w:tab w:leader="none" w:pos="86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provide for payment;</w:t>
      </w:r>
    </w:p>
    <w:p>
      <w:pPr>
        <w:spacing w:after="0" w:line="200" w:lineRule="exact"/>
        <w:rPr>
          <w:rFonts w:ascii="Arial" w:cs="Arial" w:eastAsia="Arial" w:hAnsi="Arial"/>
          <w:sz w:val="16"/>
          <w:szCs w:val="16"/>
          <w:b w:val="1"/>
          <w:bCs w:val="1"/>
          <w:color w:val="auto"/>
        </w:rPr>
      </w:pPr>
    </w:p>
    <w:p>
      <w:pPr>
        <w:ind w:left="860" w:hanging="287"/>
        <w:spacing w:after="0"/>
        <w:tabs>
          <w:tab w:leader="none" w:pos="86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register the transfer or exchange of debt securities of the series;</w:t>
      </w:r>
    </w:p>
    <w:p>
      <w:pPr>
        <w:spacing w:after="0" w:line="200" w:lineRule="exact"/>
        <w:rPr>
          <w:rFonts w:ascii="Arial" w:cs="Arial" w:eastAsia="Arial" w:hAnsi="Arial"/>
          <w:sz w:val="16"/>
          <w:szCs w:val="16"/>
          <w:b w:val="1"/>
          <w:bCs w:val="1"/>
          <w:color w:val="auto"/>
        </w:rPr>
      </w:pPr>
    </w:p>
    <w:p>
      <w:pPr>
        <w:ind w:left="860" w:hanging="287"/>
        <w:spacing w:after="0"/>
        <w:tabs>
          <w:tab w:leader="none" w:pos="86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replace stolen, lost or mutilated debt securities of the series;</w:t>
      </w:r>
    </w:p>
    <w:p>
      <w:pPr>
        <w:spacing w:after="0" w:line="200" w:lineRule="exact"/>
        <w:rPr>
          <w:rFonts w:ascii="Arial" w:cs="Arial" w:eastAsia="Arial" w:hAnsi="Arial"/>
          <w:sz w:val="16"/>
          <w:szCs w:val="16"/>
          <w:b w:val="1"/>
          <w:bCs w:val="1"/>
          <w:color w:val="auto"/>
        </w:rPr>
      </w:pPr>
    </w:p>
    <w:p>
      <w:pPr>
        <w:ind w:left="860" w:hanging="287"/>
        <w:spacing w:after="0"/>
        <w:tabs>
          <w:tab w:leader="none" w:pos="86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pay principal of and premium and interest on any debt securities of the series;</w:t>
      </w:r>
    </w:p>
    <w:p>
      <w:pPr>
        <w:spacing w:after="0" w:line="200" w:lineRule="exact"/>
        <w:rPr>
          <w:rFonts w:ascii="Arial" w:cs="Arial" w:eastAsia="Arial" w:hAnsi="Arial"/>
          <w:sz w:val="16"/>
          <w:szCs w:val="16"/>
          <w:b w:val="1"/>
          <w:bCs w:val="1"/>
          <w:color w:val="auto"/>
        </w:rPr>
      </w:pPr>
    </w:p>
    <w:p>
      <w:pPr>
        <w:ind w:left="860" w:hanging="287"/>
        <w:spacing w:after="0"/>
        <w:tabs>
          <w:tab w:leader="none" w:pos="86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maintain paying agencies;</w:t>
      </w:r>
    </w:p>
    <w:p>
      <w:pPr>
        <w:spacing w:after="0" w:line="200" w:lineRule="exact"/>
        <w:rPr>
          <w:rFonts w:ascii="Arial" w:cs="Arial" w:eastAsia="Arial" w:hAnsi="Arial"/>
          <w:sz w:val="16"/>
          <w:szCs w:val="16"/>
          <w:b w:val="1"/>
          <w:bCs w:val="1"/>
          <w:color w:val="auto"/>
        </w:rPr>
      </w:pPr>
    </w:p>
    <w:p>
      <w:pPr>
        <w:ind w:left="860" w:hanging="287"/>
        <w:spacing w:after="0"/>
        <w:tabs>
          <w:tab w:leader="none" w:pos="86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hold monies for payment in trust;</w:t>
      </w:r>
    </w:p>
    <w:p>
      <w:pPr>
        <w:spacing w:after="0" w:line="200" w:lineRule="exact"/>
        <w:rPr>
          <w:rFonts w:ascii="Arial" w:cs="Arial" w:eastAsia="Arial" w:hAnsi="Arial"/>
          <w:sz w:val="16"/>
          <w:szCs w:val="16"/>
          <w:b w:val="1"/>
          <w:bCs w:val="1"/>
          <w:color w:val="auto"/>
        </w:rPr>
      </w:pPr>
    </w:p>
    <w:p>
      <w:pPr>
        <w:ind w:left="860" w:hanging="287"/>
        <w:spacing w:after="0"/>
        <w:tabs>
          <w:tab w:leader="none" w:pos="86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recover excess money held by the trustee;</w:t>
      </w:r>
    </w:p>
    <w:p>
      <w:pPr>
        <w:spacing w:after="0" w:line="200" w:lineRule="exact"/>
        <w:rPr>
          <w:rFonts w:ascii="Arial" w:cs="Arial" w:eastAsia="Arial" w:hAnsi="Arial"/>
          <w:sz w:val="16"/>
          <w:szCs w:val="16"/>
          <w:b w:val="1"/>
          <w:bCs w:val="1"/>
          <w:color w:val="auto"/>
        </w:rPr>
      </w:pPr>
    </w:p>
    <w:p>
      <w:pPr>
        <w:ind w:left="860" w:hanging="287"/>
        <w:spacing w:after="0"/>
        <w:tabs>
          <w:tab w:leader="none" w:pos="86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compensate and indemnify the trustee; and</w:t>
      </w:r>
    </w:p>
    <w:p>
      <w:pPr>
        <w:spacing w:after="0" w:line="200" w:lineRule="exact"/>
        <w:rPr>
          <w:rFonts w:ascii="Arial" w:cs="Arial" w:eastAsia="Arial" w:hAnsi="Arial"/>
          <w:sz w:val="16"/>
          <w:szCs w:val="16"/>
          <w:b w:val="1"/>
          <w:bCs w:val="1"/>
          <w:color w:val="auto"/>
        </w:rPr>
      </w:pPr>
    </w:p>
    <w:p>
      <w:pPr>
        <w:ind w:left="860" w:hanging="287"/>
        <w:spacing w:after="0"/>
        <w:tabs>
          <w:tab w:leader="none" w:pos="860" w:val="left"/>
        </w:tabs>
        <w:numPr>
          <w:ilvl w:val="0"/>
          <w:numId w:val="17"/>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appoint any successor trustee.</w:t>
      </w:r>
    </w:p>
    <w:p>
      <w:pPr>
        <w:spacing w:after="0" w:line="200" w:lineRule="exact"/>
        <w:rPr>
          <w:sz w:val="20"/>
          <w:szCs w:val="20"/>
          <w:color w:val="auto"/>
        </w:rPr>
      </w:pPr>
    </w:p>
    <w:p>
      <w:pPr>
        <w:ind w:right="200" w:firstLine="289"/>
        <w:spacing w:after="0" w:line="283" w:lineRule="auto"/>
        <w:rPr>
          <w:sz w:val="20"/>
          <w:szCs w:val="20"/>
          <w:color w:val="auto"/>
        </w:rPr>
      </w:pPr>
      <w:r>
        <w:rPr>
          <w:rFonts w:ascii="Times New Roman" w:cs="Times New Roman" w:eastAsia="Times New Roman" w:hAnsi="Times New Roman"/>
          <w:sz w:val="16"/>
          <w:szCs w:val="16"/>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Form, Exchange and Transfer</w:t>
      </w:r>
    </w:p>
    <w:p>
      <w:pPr>
        <w:spacing w:after="0" w:line="203" w:lineRule="exact"/>
        <w:rPr>
          <w:sz w:val="20"/>
          <w:szCs w:val="20"/>
          <w:color w:val="auto"/>
        </w:rPr>
      </w:pPr>
    </w:p>
    <w:p>
      <w:pPr>
        <w:jc w:val="both"/>
        <w:ind w:right="40" w:firstLine="289"/>
        <w:spacing w:after="0" w:line="259" w:lineRule="auto"/>
        <w:rPr>
          <w:sz w:val="20"/>
          <w:szCs w:val="20"/>
          <w:color w:val="auto"/>
        </w:rPr>
      </w:pPr>
      <w:r>
        <w:rPr>
          <w:rFonts w:ascii="Times New Roman" w:cs="Times New Roman" w:eastAsia="Times New Roman" w:hAnsi="Times New Roman"/>
          <w:sz w:val="16"/>
          <w:szCs w:val="16"/>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w:t>
      </w:r>
      <w:r>
        <w:rPr>
          <w:rFonts w:ascii="Times New Roman" w:cs="Times New Roman" w:eastAsia="Times New Roman" w:hAnsi="Times New Roman"/>
          <w:sz w:val="16"/>
          <w:szCs w:val="16"/>
          <w:b w:val="1"/>
          <w:bCs w:val="1"/>
          <w:i w:val="1"/>
          <w:iCs w:val="1"/>
          <w:color w:val="auto"/>
        </w:rPr>
        <w:t>DTC</w:t>
      </w:r>
      <w:r>
        <w:rPr>
          <w:rFonts w:ascii="Times New Roman" w:cs="Times New Roman" w:eastAsia="Times New Roman" w:hAnsi="Times New Roman"/>
          <w:sz w:val="16"/>
          <w:szCs w:val="16"/>
          <w:color w:val="auto"/>
        </w:rPr>
        <w:t>”)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62" w:lineRule="exact"/>
        <w:rPr>
          <w:sz w:val="20"/>
          <w:szCs w:val="20"/>
          <w:color w:val="auto"/>
        </w:rPr>
      </w:pPr>
    </w:p>
    <w:p>
      <w:pPr>
        <w:ind w:right="160" w:firstLine="289"/>
        <w:spacing w:after="0" w:line="267" w:lineRule="auto"/>
        <w:rPr>
          <w:sz w:val="20"/>
          <w:szCs w:val="20"/>
          <w:color w:val="auto"/>
        </w:rPr>
      </w:pPr>
      <w:r>
        <w:rPr>
          <w:rFonts w:ascii="Times New Roman" w:cs="Times New Roman" w:eastAsia="Times New Roman" w:hAnsi="Times New Roman"/>
          <w:sz w:val="16"/>
          <w:szCs w:val="16"/>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24" w:name="page25"/>
    <w:bookmarkEnd w:id="24"/>
    <w:p>
      <w:pPr>
        <w:ind w:right="20" w:firstLine="289"/>
        <w:spacing w:after="0" w:line="259" w:lineRule="auto"/>
        <w:rPr>
          <w:sz w:val="20"/>
          <w:szCs w:val="20"/>
          <w:color w:val="auto"/>
        </w:rPr>
      </w:pPr>
      <w:r>
        <w:rPr>
          <w:rFonts w:ascii="Times New Roman" w:cs="Times New Roman" w:eastAsia="Times New Roman" w:hAnsi="Times New Roman"/>
          <w:sz w:val="16"/>
          <w:szCs w:val="16"/>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62" w:lineRule="exact"/>
        <w:rPr>
          <w:sz w:val="20"/>
          <w:szCs w:val="20"/>
          <w:color w:val="auto"/>
        </w:rPr>
      </w:pPr>
    </w:p>
    <w:p>
      <w:pPr>
        <w:jc w:val="both"/>
        <w:ind w:right="140" w:firstLine="289"/>
        <w:spacing w:after="0" w:line="267" w:lineRule="auto"/>
        <w:rPr>
          <w:sz w:val="20"/>
          <w:szCs w:val="20"/>
          <w:color w:val="auto"/>
        </w:rPr>
      </w:pPr>
      <w:r>
        <w:rPr>
          <w:rFonts w:ascii="Times New Roman" w:cs="Times New Roman" w:eastAsia="Times New Roman" w:hAnsi="Times New Roman"/>
          <w:sz w:val="16"/>
          <w:szCs w:val="16"/>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If we elect to redeem the debt securities of any series, we will not be required to:</w:t>
      </w:r>
    </w:p>
    <w:p>
      <w:pPr>
        <w:spacing w:after="0" w:line="201" w:lineRule="exact"/>
        <w:rPr>
          <w:sz w:val="20"/>
          <w:szCs w:val="20"/>
          <w:color w:val="auto"/>
        </w:rPr>
      </w:pPr>
    </w:p>
    <w:p>
      <w:pPr>
        <w:ind w:left="860" w:hanging="287"/>
        <w:spacing w:after="0" w:line="282" w:lineRule="auto"/>
        <w:tabs>
          <w:tab w:leader="none" w:pos="860" w:val="left"/>
        </w:tabs>
        <w:numPr>
          <w:ilvl w:val="0"/>
          <w:numId w:val="18"/>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44" w:lineRule="exact"/>
        <w:rPr>
          <w:rFonts w:ascii="Arial" w:cs="Arial" w:eastAsia="Arial" w:hAnsi="Arial"/>
          <w:sz w:val="16"/>
          <w:szCs w:val="16"/>
          <w:b w:val="1"/>
          <w:bCs w:val="1"/>
          <w:color w:val="auto"/>
        </w:rPr>
      </w:pPr>
    </w:p>
    <w:p>
      <w:pPr>
        <w:ind w:left="860" w:right="220" w:hanging="287"/>
        <w:spacing w:after="0" w:line="282" w:lineRule="auto"/>
        <w:tabs>
          <w:tab w:leader="none" w:pos="860" w:val="left"/>
        </w:tabs>
        <w:numPr>
          <w:ilvl w:val="0"/>
          <w:numId w:val="18"/>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register the transfer of or exchange any debt securities so selected for redemption, in whole or in part, except the unredeemed portion of any debt securities we are redeeming in part.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Information Concerning the Trustee</w:t>
      </w:r>
    </w:p>
    <w:p>
      <w:pPr>
        <w:spacing w:after="0" w:line="203" w:lineRule="exact"/>
        <w:rPr>
          <w:sz w:val="20"/>
          <w:szCs w:val="20"/>
          <w:color w:val="auto"/>
        </w:rPr>
      </w:pPr>
    </w:p>
    <w:p>
      <w:pPr>
        <w:ind w:right="20" w:firstLine="289"/>
        <w:spacing w:after="0" w:line="261" w:lineRule="auto"/>
        <w:rPr>
          <w:sz w:val="20"/>
          <w:szCs w:val="20"/>
          <w:color w:val="auto"/>
        </w:rPr>
      </w:pPr>
      <w:r>
        <w:rPr>
          <w:rFonts w:ascii="Times New Roman" w:cs="Times New Roman" w:eastAsia="Times New Roman" w:hAnsi="Times New Roman"/>
          <w:sz w:val="16"/>
          <w:szCs w:val="16"/>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Payment and Paying Agents</w:t>
      </w:r>
    </w:p>
    <w:p>
      <w:pPr>
        <w:spacing w:after="0" w:line="203" w:lineRule="exact"/>
        <w:rPr>
          <w:sz w:val="20"/>
          <w:szCs w:val="20"/>
          <w:color w:val="auto"/>
        </w:rPr>
      </w:pPr>
    </w:p>
    <w:p>
      <w:pPr>
        <w:ind w:right="300" w:firstLine="289"/>
        <w:spacing w:after="0" w:line="283" w:lineRule="auto"/>
        <w:rPr>
          <w:sz w:val="20"/>
          <w:szCs w:val="20"/>
          <w:color w:val="auto"/>
        </w:rPr>
      </w:pPr>
      <w:r>
        <w:rPr>
          <w:rFonts w:ascii="Times New Roman" w:cs="Times New Roman" w:eastAsia="Times New Roman" w:hAnsi="Times New Roman"/>
          <w:sz w:val="16"/>
          <w:szCs w:val="16"/>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43" w:lineRule="exact"/>
        <w:rPr>
          <w:sz w:val="20"/>
          <w:szCs w:val="20"/>
          <w:color w:val="auto"/>
        </w:rPr>
      </w:pPr>
    </w:p>
    <w:p>
      <w:pPr>
        <w:ind w:right="20" w:firstLine="289"/>
        <w:spacing w:after="0" w:line="259" w:lineRule="auto"/>
        <w:rPr>
          <w:sz w:val="20"/>
          <w:szCs w:val="20"/>
          <w:color w:val="auto"/>
        </w:rPr>
      </w:pPr>
      <w:r>
        <w:rPr>
          <w:rFonts w:ascii="Times New Roman" w:cs="Times New Roman" w:eastAsia="Times New Roman" w:hAnsi="Times New Roman"/>
          <w:sz w:val="16"/>
          <w:szCs w:val="16"/>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62" w:lineRule="exact"/>
        <w:rPr>
          <w:sz w:val="20"/>
          <w:szCs w:val="20"/>
          <w:color w:val="auto"/>
        </w:rPr>
      </w:pPr>
    </w:p>
    <w:p>
      <w:pPr>
        <w:ind w:right="140" w:firstLine="289"/>
        <w:spacing w:after="0" w:line="267" w:lineRule="auto"/>
        <w:rPr>
          <w:sz w:val="20"/>
          <w:szCs w:val="20"/>
          <w:color w:val="auto"/>
        </w:rPr>
      </w:pPr>
      <w:r>
        <w:rPr>
          <w:rFonts w:ascii="Times New Roman" w:cs="Times New Roman" w:eastAsia="Times New Roman" w:hAnsi="Times New Roman"/>
          <w:sz w:val="16"/>
          <w:szCs w:val="16"/>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Governing Law</w:t>
      </w:r>
    </w:p>
    <w:p>
      <w:pPr>
        <w:spacing w:after="0" w:line="203" w:lineRule="exact"/>
        <w:rPr>
          <w:sz w:val="20"/>
          <w:szCs w:val="20"/>
          <w:color w:val="auto"/>
        </w:rPr>
      </w:pPr>
    </w:p>
    <w:p>
      <w:pPr>
        <w:ind w:firstLine="289"/>
        <w:spacing w:after="0" w:line="283" w:lineRule="auto"/>
        <w:rPr>
          <w:sz w:val="20"/>
          <w:szCs w:val="20"/>
          <w:color w:val="auto"/>
        </w:rPr>
      </w:pPr>
      <w:r>
        <w:rPr>
          <w:rFonts w:ascii="Times New Roman" w:cs="Times New Roman" w:eastAsia="Times New Roman" w:hAnsi="Times New Roman"/>
          <w:sz w:val="16"/>
          <w:szCs w:val="16"/>
          <w:color w:val="auto"/>
        </w:rPr>
        <w:t>The indenture and the debt securities will be governed by and construed in accordance with the laws of the State of New York, except to the extent that the Trust Indenture Act is applicable.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WARRANTS</w:t>
      </w:r>
    </w:p>
    <w:p>
      <w:pPr>
        <w:spacing w:after="0" w:line="203" w:lineRule="exact"/>
        <w:rPr>
          <w:sz w:val="20"/>
          <w:szCs w:val="20"/>
          <w:color w:val="auto"/>
        </w:rPr>
      </w:pPr>
    </w:p>
    <w:p>
      <w:pPr>
        <w:ind w:right="20" w:firstLine="289"/>
        <w:spacing w:after="0" w:line="256" w:lineRule="auto"/>
        <w:rPr>
          <w:sz w:val="20"/>
          <w:szCs w:val="20"/>
          <w:color w:val="auto"/>
        </w:rPr>
      </w:pPr>
      <w:r>
        <w:rPr>
          <w:rFonts w:ascii="Times New Roman" w:cs="Times New Roman" w:eastAsia="Times New Roman" w:hAnsi="Times New Roman"/>
          <w:sz w:val="16"/>
          <w:szCs w:val="16"/>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Following the description of the warrants that we may offer under this prospectus and the related warrant agreements and warrant certificates is a description of our outstanding warrants.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03" w:lineRule="exact"/>
        <w:rPr>
          <w:sz w:val="20"/>
          <w:szCs w:val="20"/>
          <w:color w:val="auto"/>
        </w:rPr>
      </w:pPr>
    </w:p>
    <w:p>
      <w:pPr>
        <w:ind w:right="540" w:firstLine="289"/>
        <w:spacing w:after="0" w:line="283" w:lineRule="auto"/>
        <w:rPr>
          <w:sz w:val="20"/>
          <w:szCs w:val="20"/>
          <w:color w:val="auto"/>
        </w:rPr>
      </w:pPr>
      <w:r>
        <w:rPr>
          <w:rFonts w:ascii="Times New Roman" w:cs="Times New Roman" w:eastAsia="Times New Roman" w:hAnsi="Times New Roman"/>
          <w:sz w:val="16"/>
          <w:szCs w:val="16"/>
          <w:color w:val="auto"/>
        </w:rPr>
        <w:t>We may issue warrants for the purchase of Ordinary Shares, Preferred Shares and/or debt securities in one or more series. We may issue warrants independently or together with Ordinary Shares, Preferred Shares and/or debt securities, and the warrants may be attached to or separate from these securities.</w:t>
      </w:r>
    </w:p>
    <w:p>
      <w:pPr>
        <w:spacing w:after="0" w:line="143" w:lineRule="exact"/>
        <w:rPr>
          <w:sz w:val="20"/>
          <w:szCs w:val="20"/>
          <w:color w:val="auto"/>
        </w:rPr>
      </w:pPr>
    </w:p>
    <w:p>
      <w:pPr>
        <w:ind w:right="280" w:firstLine="289"/>
        <w:spacing w:after="0" w:line="283" w:lineRule="auto"/>
        <w:rPr>
          <w:sz w:val="20"/>
          <w:szCs w:val="20"/>
          <w:color w:val="auto"/>
        </w:rPr>
      </w:pPr>
      <w:r>
        <w:rPr>
          <w:rFonts w:ascii="Times New Roman" w:cs="Times New Roman" w:eastAsia="Times New Roman" w:hAnsi="Times New Roman"/>
          <w:sz w:val="16"/>
          <w:szCs w:val="16"/>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will describe in the applicable prospectus supplement the terms of the series of warrants, including:</w:t>
      </w:r>
    </w:p>
    <w:p>
      <w:pPr>
        <w:spacing w:after="0" w:line="201" w:lineRule="exact"/>
        <w:rPr>
          <w:sz w:val="20"/>
          <w:szCs w:val="20"/>
          <w:color w:val="auto"/>
        </w:rPr>
      </w:pPr>
    </w:p>
    <w:p>
      <w:pPr>
        <w:ind w:left="620" w:hanging="311"/>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offering price and aggregate number of warrants offered;</w:t>
      </w:r>
    </w:p>
    <w:p>
      <w:pPr>
        <w:spacing w:after="0" w:line="24"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currency for which the warrants may be purchased;</w:t>
      </w:r>
    </w:p>
    <w:p>
      <w:pPr>
        <w:spacing w:after="0" w:line="8" w:lineRule="exact"/>
        <w:rPr>
          <w:rFonts w:ascii="Times New Roman" w:cs="Times New Roman" w:eastAsia="Times New Roman" w:hAnsi="Times New Roman"/>
          <w:sz w:val="16"/>
          <w:szCs w:val="16"/>
          <w:color w:val="auto"/>
        </w:rPr>
      </w:pPr>
    </w:p>
    <w:p>
      <w:pPr>
        <w:ind w:left="620" w:hanging="311"/>
        <w:spacing w:after="0" w:line="250" w:lineRule="auto"/>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the designation and terms of the securities with which the warrants are issued and the number of warrants issued with each such security or each principal amount of such security;</w:t>
      </w:r>
    </w:p>
    <w:p>
      <w:pPr>
        <w:spacing w:after="0" w:line="1"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the date on and after which the warrants and the related securities will be separately transferable;</w:t>
      </w:r>
    </w:p>
    <w:p>
      <w:pPr>
        <w:spacing w:after="0" w:line="8" w:lineRule="exact"/>
        <w:rPr>
          <w:rFonts w:ascii="Times New Roman" w:cs="Times New Roman" w:eastAsia="Times New Roman" w:hAnsi="Times New Roman"/>
          <w:sz w:val="16"/>
          <w:szCs w:val="16"/>
          <w:color w:val="auto"/>
        </w:rPr>
      </w:pPr>
    </w:p>
    <w:p>
      <w:pPr>
        <w:ind w:left="620" w:right="20" w:hanging="311"/>
        <w:spacing w:after="0" w:line="250" w:lineRule="auto"/>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 w:lineRule="exact"/>
        <w:rPr>
          <w:rFonts w:ascii="Times New Roman" w:cs="Times New Roman" w:eastAsia="Times New Roman" w:hAnsi="Times New Roman"/>
          <w:sz w:val="16"/>
          <w:szCs w:val="16"/>
          <w:color w:val="auto"/>
        </w:rPr>
      </w:pPr>
    </w:p>
    <w:p>
      <w:pPr>
        <w:ind w:left="620" w:hanging="311"/>
        <w:spacing w:after="0" w:line="250" w:lineRule="auto"/>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warrants to purchase Ordinary Shares or Preferred Shares, the number of shares of Ordinary Shares or Preferred Shares, as the case may be, purchasable upon the exercise of one warrant and the price at which these shares may be purchased upon such exercise;</w:t>
      </w:r>
    </w:p>
    <w:p>
      <w:pPr>
        <w:spacing w:after="0" w:line="1"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any merger, consolidation, sale or other disposition of our business on the warrant agreement and the warrants;</w:t>
      </w:r>
    </w:p>
    <w:p>
      <w:pPr>
        <w:spacing w:after="0" w:line="8"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any rights to redeem or call the warrants;</w:t>
      </w:r>
    </w:p>
    <w:p>
      <w:pPr>
        <w:spacing w:after="0" w:line="8"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provisions for changes to or adjustments in the exercise price or number of securities issuable upon exercise of the warrants;</w:t>
      </w:r>
    </w:p>
    <w:p>
      <w:pPr>
        <w:spacing w:after="0" w:line="8"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periods during which, and places at which, the warrants are exercisable;</w:t>
      </w:r>
    </w:p>
    <w:p>
      <w:pPr>
        <w:spacing w:after="0" w:line="8"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manner of exercise;</w:t>
      </w:r>
    </w:p>
    <w:p>
      <w:pPr>
        <w:spacing w:after="0" w:line="8"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dates on which the right to exercise the warrants will commence and expire;</w:t>
      </w:r>
    </w:p>
    <w:p>
      <w:pPr>
        <w:spacing w:after="0" w:line="8"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manner in which the warrant agreement and warrants may be modified;</w:t>
      </w:r>
    </w:p>
    <w:p>
      <w:pPr>
        <w:spacing w:after="0" w:line="8"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applicable material U.S. federal income tax consequences of holding or exercising the warrants;</w:t>
      </w:r>
    </w:p>
    <w:p>
      <w:pPr>
        <w:spacing w:after="0" w:line="8"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the securities issuable upon exercise of the warrants; and</w:t>
      </w:r>
    </w:p>
    <w:p>
      <w:pPr>
        <w:spacing w:after="0" w:line="8"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specific terms, preferences, rights or limitations of or restrictions on the warrants.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color w:val="auto"/>
        </w:rPr>
        <w:t>Outstanding Warrants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Pre-Funded Warrant Private Placement</w:t>
      </w:r>
    </w:p>
    <w:p>
      <w:pPr>
        <w:spacing w:after="0" w:line="199" w:lineRule="exact"/>
        <w:rPr>
          <w:sz w:val="20"/>
          <w:szCs w:val="20"/>
          <w:color w:val="auto"/>
        </w:rPr>
      </w:pPr>
    </w:p>
    <w:p>
      <w:pPr>
        <w:ind w:right="80" w:firstLine="289"/>
        <w:spacing w:after="0" w:line="257" w:lineRule="auto"/>
        <w:rPr>
          <w:sz w:val="20"/>
          <w:szCs w:val="20"/>
          <w:color w:val="auto"/>
        </w:rPr>
      </w:pPr>
      <w:r>
        <w:rPr>
          <w:rFonts w:ascii="Times New Roman" w:cs="Times New Roman" w:eastAsia="Times New Roman" w:hAnsi="Times New Roman"/>
          <w:sz w:val="16"/>
          <w:szCs w:val="16"/>
          <w:color w:val="auto"/>
        </w:rPr>
        <w:t>On March 10, 2026, the Company and Yorkville entered into a Pre-Funded Warrant Securities Purchase Agreement, dated March 10, 2026 (the “</w:t>
      </w:r>
      <w:r>
        <w:rPr>
          <w:rFonts w:ascii="Times New Roman" w:cs="Times New Roman" w:eastAsia="Times New Roman" w:hAnsi="Times New Roman"/>
          <w:sz w:val="16"/>
          <w:szCs w:val="16"/>
          <w:b w:val="1"/>
          <w:bCs w:val="1"/>
          <w:i w:val="1"/>
          <w:iCs w:val="1"/>
          <w:color w:val="auto"/>
        </w:rPr>
        <w:t>Warrant Purchase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pursuant to which, at the closing which occurred on March 10, 2026, the Company issued and sold to Yorkville a pre-funded warrant to purchase up to 283,367</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Ordinary Shares of the Company (the “</w:t>
      </w:r>
      <w:r>
        <w:rPr>
          <w:rFonts w:ascii="Times New Roman" w:cs="Times New Roman" w:eastAsia="Times New Roman" w:hAnsi="Times New Roman"/>
          <w:sz w:val="16"/>
          <w:szCs w:val="16"/>
          <w:b w:val="1"/>
          <w:bCs w:val="1"/>
          <w:i w:val="1"/>
          <w:iCs w:val="1"/>
          <w:color w:val="auto"/>
        </w:rPr>
        <w:t>Warrant Shares</w:t>
      </w:r>
      <w:r>
        <w:rPr>
          <w:rFonts w:ascii="Times New Roman" w:cs="Times New Roman" w:eastAsia="Times New Roman" w:hAnsi="Times New Roman"/>
          <w:sz w:val="16"/>
          <w:szCs w:val="16"/>
          <w:color w:val="auto"/>
        </w:rPr>
        <w:t>”), exercisable in whole or in part at any time after issuance (the “</w:t>
      </w:r>
      <w:r>
        <w:rPr>
          <w:rFonts w:ascii="Times New Roman" w:cs="Times New Roman" w:eastAsia="Times New Roman" w:hAnsi="Times New Roman"/>
          <w:sz w:val="16"/>
          <w:szCs w:val="16"/>
          <w:b w:val="1"/>
          <w:bCs w:val="1"/>
          <w:i w:val="1"/>
          <w:iCs w:val="1"/>
          <w:color w:val="auto"/>
        </w:rPr>
        <w:t>Pre-Funded Warrant</w:t>
      </w:r>
      <w:r>
        <w:rPr>
          <w:rFonts w:ascii="Times New Roman" w:cs="Times New Roman" w:eastAsia="Times New Roman" w:hAnsi="Times New Roman"/>
          <w:sz w:val="16"/>
          <w:szCs w:val="16"/>
          <w:color w:val="auto"/>
        </w:rPr>
        <w:t>”). The aggregate subscription amount for the Pre-Funded Warrant was $2,000,004.29. Such amount was paid by Yorkville at the closing of the Warrant Purchase Agreement. The aggregate gross proceeds to the Company from the private placement were approximately $2,000,004.29, before deducting the offering expenses payable by the Company, which expenses consist solely of legal fees. The Company intends to use the net proceeds from the offering for working capital purposes. In addition, the per share exercise price of the Pre-Funded Warrant is €0.01.</w:t>
      </w:r>
    </w:p>
    <w:p>
      <w:pPr>
        <w:spacing w:after="0" w:line="164" w:lineRule="exact"/>
        <w:rPr>
          <w:sz w:val="20"/>
          <w:szCs w:val="20"/>
          <w:color w:val="auto"/>
        </w:rPr>
      </w:pPr>
    </w:p>
    <w:p>
      <w:pPr>
        <w:ind w:firstLine="289"/>
        <w:spacing w:after="0" w:line="256" w:lineRule="auto"/>
        <w:rPr>
          <w:sz w:val="20"/>
          <w:szCs w:val="20"/>
          <w:color w:val="auto"/>
        </w:rPr>
      </w:pPr>
      <w:r>
        <w:rPr>
          <w:rFonts w:ascii="Times New Roman" w:cs="Times New Roman" w:eastAsia="Times New Roman" w:hAnsi="Times New Roman"/>
          <w:sz w:val="16"/>
          <w:szCs w:val="16"/>
          <w:color w:val="auto"/>
        </w:rPr>
        <w:t>The Pre-Funded Warrant is exercisable for up to 283,367 Ordinary Shares at an exercise price of €0.01 per share (subject to certain adjustments), is exercisable immediately upon issuance, and may be exercised, in whole or in part, at any time until exercised in full. Yorkville (together with its Attribution Parties (as defined in the Pre-Funded Warrant)) may not exercise any Pre-Funded Warrant to the extent that Yorkville would own more than 4.99% of the outstanding Ordinary Shares immediately after giving effect to the issuance of Ordinary Shares issuable upon exercise of such Pre-Funded Warrant, which percentage may be changed at Yorkville’s election to a lower or higher percentage not in excess of 9.99% upon 61 days’ notice to the Company, subject to the terms of the Pre-Funded Warrant. The Pre-Funded Warrant provides for standard anti-dilution adjustments to the exercise price and the number of Warrant Shares issuable upon exercise in connection with stock dividends, splits, combinations, reclassifications and similar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DESCRIPTION OF RIGHTS</w:t>
      </w:r>
    </w:p>
    <w:p>
      <w:pPr>
        <w:spacing w:after="0" w:line="203" w:lineRule="exact"/>
        <w:rPr>
          <w:sz w:val="20"/>
          <w:szCs w:val="20"/>
          <w:color w:val="auto"/>
        </w:rPr>
      </w:pPr>
    </w:p>
    <w:p>
      <w:pPr>
        <w:ind w:firstLine="289"/>
        <w:spacing w:after="0" w:line="256" w:lineRule="auto"/>
        <w:rPr>
          <w:sz w:val="20"/>
          <w:szCs w:val="20"/>
          <w:color w:val="auto"/>
        </w:rPr>
      </w:pPr>
      <w:r>
        <w:rPr>
          <w:rFonts w:ascii="Times New Roman" w:cs="Times New Roman" w:eastAsia="Times New Roman" w:hAnsi="Times New Roman"/>
          <w:sz w:val="16"/>
          <w:szCs w:val="16"/>
          <w:color w:val="auto"/>
        </w:rPr>
        <w:t>We may issue or distribute rights to our shareholders for the purchase of our Ordinary Shares, Preferred Shares or debt securities. We may issue rights independently or together with other securities, and the rights may be attached to or separate from any offered or distributed securities and may or may not be transferable by the shareholder receiving the rights. In connection with any offering of rights, we may enter into a standby underwriting, backstop or other arrangement with one or more underwriters or other persons pursuant to which the underwriters or other persons may agree to purchase any securities remaining unsubscribed for after such rights offering. Each series of rights will be issued under a separate rights agreement to be entered into between us and a bank or trust company, as rights agent, all as set forth in an accompanying prospectus supplement relating to the particular issue of rights. The rights agent will act solely as an agent of the Company in connection with the certificates relating to the rights of such series and will not assume any obligation or relationship of agency or trust for or with any holders of rights certificates or beneficial owners of rights.</w:t>
      </w:r>
    </w:p>
    <w:p>
      <w:pPr>
        <w:spacing w:after="0" w:line="165" w:lineRule="exact"/>
        <w:rPr>
          <w:sz w:val="20"/>
          <w:szCs w:val="20"/>
          <w:color w:val="auto"/>
        </w:rPr>
      </w:pPr>
    </w:p>
    <w:p>
      <w:pPr>
        <w:ind w:right="100" w:firstLine="289"/>
        <w:spacing w:after="0" w:line="261" w:lineRule="auto"/>
        <w:rPr>
          <w:sz w:val="20"/>
          <w:szCs w:val="20"/>
          <w:color w:val="auto"/>
        </w:rPr>
      </w:pPr>
      <w:r>
        <w:rPr>
          <w:rFonts w:ascii="Times New Roman" w:cs="Times New Roman" w:eastAsia="Times New Roman" w:hAnsi="Times New Roman"/>
          <w:sz w:val="16"/>
          <w:szCs w:val="16"/>
          <w:color w:val="auto"/>
        </w:rPr>
        <w:t>The following summary of material provisions of the rights are subject to, and qualified in their entirety by reference to, all the provisions of the certificates representing rights applicable to a particular series of rights. The terms of any rights offered or distributed under an accompanying prospectus supplement may differ from the terms described below. We urge you to read the accompanying prospectus supplement as well as the complete certificates representing the rights that contain the terms of the rights. The particular terms of any issue of rights will be described in an accompanying prospectus supplement relating to the issue, and may include:</w:t>
      </w:r>
    </w:p>
    <w:p>
      <w:pPr>
        <w:spacing w:after="0" w:line="162" w:lineRule="exact"/>
        <w:rPr>
          <w:sz w:val="20"/>
          <w:szCs w:val="20"/>
          <w:color w:val="auto"/>
        </w:rPr>
      </w:pPr>
    </w:p>
    <w:p>
      <w:pPr>
        <w:ind w:left="860" w:hanging="287"/>
        <w:spacing w:after="0"/>
        <w:tabs>
          <w:tab w:leader="none" w:pos="86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in the case of a distribution of rights to our shareholders, the date for determining the shareholders entitled to the rights distribution;</w:t>
      </w:r>
    </w:p>
    <w:p>
      <w:pPr>
        <w:spacing w:after="0" w:line="200" w:lineRule="exact"/>
        <w:rPr>
          <w:rFonts w:ascii="Arial" w:cs="Arial" w:eastAsia="Arial" w:hAnsi="Arial"/>
          <w:sz w:val="16"/>
          <w:szCs w:val="16"/>
          <w:b w:val="1"/>
          <w:bCs w:val="1"/>
          <w:color w:val="auto"/>
        </w:rPr>
      </w:pPr>
    </w:p>
    <w:p>
      <w:pPr>
        <w:ind w:left="860" w:hanging="287"/>
        <w:spacing w:after="0"/>
        <w:tabs>
          <w:tab w:leader="none" w:pos="86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in the case of a distribution of rights to our shareholders, the number of rights issued or to be issued to each shareholder;</w:t>
      </w:r>
    </w:p>
    <w:p>
      <w:pPr>
        <w:spacing w:after="0" w:line="200" w:lineRule="exact"/>
        <w:rPr>
          <w:rFonts w:ascii="Arial" w:cs="Arial" w:eastAsia="Arial" w:hAnsi="Arial"/>
          <w:sz w:val="16"/>
          <w:szCs w:val="16"/>
          <w:b w:val="1"/>
          <w:bCs w:val="1"/>
          <w:color w:val="auto"/>
        </w:rPr>
      </w:pPr>
    </w:p>
    <w:p>
      <w:pPr>
        <w:ind w:left="860" w:hanging="287"/>
        <w:spacing w:after="0"/>
        <w:tabs>
          <w:tab w:leader="none" w:pos="86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aggregate number of Ordinary Shares, Preferred Shares or debt securities purchasable upon exercise of such rights and the exercise price;</w:t>
      </w:r>
    </w:p>
    <w:p>
      <w:pPr>
        <w:spacing w:after="0" w:line="200" w:lineRule="exact"/>
        <w:rPr>
          <w:rFonts w:ascii="Arial" w:cs="Arial" w:eastAsia="Arial" w:hAnsi="Arial"/>
          <w:sz w:val="16"/>
          <w:szCs w:val="16"/>
          <w:b w:val="1"/>
          <w:bCs w:val="1"/>
          <w:color w:val="auto"/>
        </w:rPr>
      </w:pPr>
    </w:p>
    <w:p>
      <w:pPr>
        <w:ind w:left="860" w:hanging="287"/>
        <w:spacing w:after="0"/>
        <w:tabs>
          <w:tab w:leader="none" w:pos="86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aggregate number of rights being issued;</w:t>
      </w:r>
    </w:p>
    <w:p>
      <w:pPr>
        <w:spacing w:after="0" w:line="200" w:lineRule="exact"/>
        <w:rPr>
          <w:rFonts w:ascii="Arial" w:cs="Arial" w:eastAsia="Arial" w:hAnsi="Arial"/>
          <w:sz w:val="16"/>
          <w:szCs w:val="16"/>
          <w:b w:val="1"/>
          <w:bCs w:val="1"/>
          <w:color w:val="auto"/>
        </w:rPr>
      </w:pPr>
    </w:p>
    <w:p>
      <w:pPr>
        <w:ind w:left="860" w:hanging="287"/>
        <w:spacing w:after="0"/>
        <w:tabs>
          <w:tab w:leader="none" w:pos="86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extent to which the rights are transferable;</w:t>
      </w:r>
    </w:p>
    <w:p>
      <w:pPr>
        <w:spacing w:after="0" w:line="200" w:lineRule="exact"/>
        <w:rPr>
          <w:rFonts w:ascii="Arial" w:cs="Arial" w:eastAsia="Arial" w:hAnsi="Arial"/>
          <w:sz w:val="16"/>
          <w:szCs w:val="16"/>
          <w:b w:val="1"/>
          <w:bCs w:val="1"/>
          <w:color w:val="auto"/>
        </w:rPr>
      </w:pPr>
    </w:p>
    <w:p>
      <w:pPr>
        <w:ind w:left="860" w:hanging="287"/>
        <w:spacing w:after="0"/>
        <w:tabs>
          <w:tab w:leader="none" w:pos="86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date on which the holder’s ability to exercise such rights shall commence and the date on which such right shall expire;</w:t>
      </w:r>
    </w:p>
    <w:p>
      <w:pPr>
        <w:spacing w:after="0" w:line="200" w:lineRule="exact"/>
        <w:rPr>
          <w:rFonts w:ascii="Arial" w:cs="Arial" w:eastAsia="Arial" w:hAnsi="Arial"/>
          <w:sz w:val="16"/>
          <w:szCs w:val="16"/>
          <w:b w:val="1"/>
          <w:bCs w:val="1"/>
          <w:color w:val="auto"/>
        </w:rPr>
      </w:pPr>
    </w:p>
    <w:p>
      <w:pPr>
        <w:ind w:left="860" w:hanging="287"/>
        <w:spacing w:after="0"/>
        <w:tabs>
          <w:tab w:leader="none" w:pos="86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the extent to which the rights may include an over-subscription privilege with respect to unsubscribed securities;</w:t>
      </w:r>
    </w:p>
    <w:p>
      <w:pPr>
        <w:spacing w:after="0" w:line="200" w:lineRule="exact"/>
        <w:rPr>
          <w:rFonts w:ascii="Arial" w:cs="Arial" w:eastAsia="Arial" w:hAnsi="Arial"/>
          <w:sz w:val="16"/>
          <w:szCs w:val="16"/>
          <w:b w:val="1"/>
          <w:bCs w:val="1"/>
          <w:color w:val="auto"/>
        </w:rPr>
      </w:pPr>
    </w:p>
    <w:p>
      <w:pPr>
        <w:ind w:left="860" w:hanging="287"/>
        <w:spacing w:after="0"/>
        <w:tabs>
          <w:tab w:leader="none" w:pos="86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 discussion of applicable material U.S. federal income tax considerations;</w:t>
      </w:r>
    </w:p>
    <w:p>
      <w:pPr>
        <w:spacing w:after="0" w:line="200" w:lineRule="exact"/>
        <w:rPr>
          <w:rFonts w:ascii="Arial" w:cs="Arial" w:eastAsia="Arial" w:hAnsi="Arial"/>
          <w:sz w:val="16"/>
          <w:szCs w:val="16"/>
          <w:b w:val="1"/>
          <w:bCs w:val="1"/>
          <w:color w:val="auto"/>
        </w:rPr>
      </w:pPr>
    </w:p>
    <w:p>
      <w:pPr>
        <w:ind w:left="860" w:hanging="287"/>
        <w:spacing w:after="0"/>
        <w:tabs>
          <w:tab w:leader="none" w:pos="86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any other material terms of such rights, including terms, procedures and limitations relating to the distribution, exchange and exercise of such rights; and</w:t>
      </w:r>
    </w:p>
    <w:p>
      <w:pPr>
        <w:spacing w:after="0" w:line="200" w:lineRule="exact"/>
        <w:rPr>
          <w:rFonts w:ascii="Arial" w:cs="Arial" w:eastAsia="Arial" w:hAnsi="Arial"/>
          <w:sz w:val="16"/>
          <w:szCs w:val="16"/>
          <w:b w:val="1"/>
          <w:bCs w:val="1"/>
          <w:color w:val="auto"/>
        </w:rPr>
      </w:pPr>
    </w:p>
    <w:p>
      <w:pPr>
        <w:ind w:left="860" w:right="140" w:hanging="287"/>
        <w:spacing w:after="0" w:line="282" w:lineRule="auto"/>
        <w:tabs>
          <w:tab w:leader="none" w:pos="860" w:val="left"/>
        </w:tabs>
        <w:numPr>
          <w:ilvl w:val="0"/>
          <w:numId w:val="20"/>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if applicable, the material terms of any standby underwriting, backstop or purchase arrangement which may be entered into by the Company in connection with the offering, issuance or distribution of rights.</w:t>
      </w:r>
    </w:p>
    <w:p>
      <w:pPr>
        <w:spacing w:after="0" w:line="140" w:lineRule="exact"/>
        <w:rPr>
          <w:sz w:val="20"/>
          <w:szCs w:val="20"/>
          <w:color w:val="auto"/>
        </w:rPr>
      </w:pPr>
    </w:p>
    <w:p>
      <w:pPr>
        <w:ind w:right="120" w:firstLine="289"/>
        <w:spacing w:after="0" w:line="269" w:lineRule="auto"/>
        <w:rPr>
          <w:sz w:val="20"/>
          <w:szCs w:val="20"/>
          <w:color w:val="auto"/>
        </w:rPr>
      </w:pPr>
      <w:r>
        <w:rPr>
          <w:rFonts w:ascii="Times New Roman" w:cs="Times New Roman" w:eastAsia="Times New Roman" w:hAnsi="Times New Roman"/>
          <w:sz w:val="16"/>
          <w:szCs w:val="16"/>
          <w:color w:val="auto"/>
        </w:rPr>
        <w:t>Each right will entitle the holder of rights (“</w:t>
      </w:r>
      <w:r>
        <w:rPr>
          <w:rFonts w:ascii="Times New Roman" w:cs="Times New Roman" w:eastAsia="Times New Roman" w:hAnsi="Times New Roman"/>
          <w:sz w:val="16"/>
          <w:szCs w:val="16"/>
          <w:b w:val="1"/>
          <w:bCs w:val="1"/>
          <w:i w:val="1"/>
          <w:iCs w:val="1"/>
          <w:color w:val="auto"/>
        </w:rPr>
        <w:t>Holders</w:t>
      </w:r>
      <w:r>
        <w:rPr>
          <w:rFonts w:ascii="Times New Roman" w:cs="Times New Roman" w:eastAsia="Times New Roman" w:hAnsi="Times New Roman"/>
          <w:sz w:val="16"/>
          <w:szCs w:val="16"/>
          <w:color w:val="auto"/>
        </w:rPr>
        <w:t>”) to purchase for cash the number of Ordinary or Preferred Shares or the principal amount of debt securities at the exercise price provided in the accompanying prospectus supplement. Rights may be exercised at any time up to the close of business on the expiration date for the rights provided in the accompanying prospectus supplement. After the close of business on the expiration date, all unexercised rights will be void and of no further force and effect.</w:t>
      </w:r>
    </w:p>
    <w:p>
      <w:pPr>
        <w:spacing w:after="0" w:line="155" w:lineRule="exact"/>
        <w:rPr>
          <w:sz w:val="20"/>
          <w:szCs w:val="20"/>
          <w:color w:val="auto"/>
        </w:rPr>
      </w:pPr>
    </w:p>
    <w:p>
      <w:pPr>
        <w:ind w:right="160" w:firstLine="289"/>
        <w:spacing w:after="0" w:line="257" w:lineRule="auto"/>
        <w:rPr>
          <w:sz w:val="20"/>
          <w:szCs w:val="20"/>
          <w:color w:val="auto"/>
        </w:rPr>
      </w:pPr>
      <w:r>
        <w:rPr>
          <w:rFonts w:ascii="Times New Roman" w:cs="Times New Roman" w:eastAsia="Times New Roman" w:hAnsi="Times New Roman"/>
          <w:sz w:val="16"/>
          <w:szCs w:val="16"/>
          <w:color w:val="auto"/>
        </w:rPr>
        <w:t>Holders may exercise rights as described in the accompanying prospectus supplement. Upon receipt of payment and the rights certificate properly completed and duly executed at the corporate trust office of the rights agent or any other office indicated in an accompanying prospectus supplement, we will, as soon as practicable, forward the Ordinary Shares or Preferred Shares or principal amount of debt securities purchased upon exercise of the rights. If less than all of the rights issued in any rights offering are exercised, we may offer any unsubscribed Ordinary Shares or Preferred Shares or principal amount of debt securities directly to persons, which may be to or through agents, underwriters or dealers or through a combination of such methods, including pursuant to standby underwriting arrangements, as described in the accompanying prospectus supplement.</w:t>
      </w:r>
    </w:p>
    <w:p>
      <w:pPr>
        <w:spacing w:after="0" w:line="165" w:lineRule="exact"/>
        <w:rPr>
          <w:sz w:val="20"/>
          <w:szCs w:val="20"/>
          <w:color w:val="auto"/>
        </w:rPr>
      </w:pPr>
    </w:p>
    <w:p>
      <w:pPr>
        <w:ind w:right="80" w:firstLine="289"/>
        <w:spacing w:after="0" w:line="261" w:lineRule="auto"/>
        <w:rPr>
          <w:sz w:val="20"/>
          <w:szCs w:val="20"/>
          <w:color w:val="auto"/>
        </w:rPr>
      </w:pPr>
      <w:r>
        <w:rPr>
          <w:rFonts w:ascii="Times New Roman" w:cs="Times New Roman" w:eastAsia="Times New Roman" w:hAnsi="Times New Roman"/>
          <w:sz w:val="16"/>
          <w:szCs w:val="16"/>
          <w:color w:val="auto"/>
        </w:rPr>
        <w:t>Until any rights to purchase Ordinary Shares or Preferred Shares are exercised, the holders of any rights will not have any rights of holders of the underlying Ordinary Shares or Preferred Shares, including any rights to receive dividends or payments upon any liquidation, dissolution or winding up on the Ordinary Shares or Preferred Shares, if any. Until any rights to purchase debt securities are exercised, the holder of any rights will not have any rights of holders of the debt securities that can be purchased upon exercise, including any rights to receive payments of principal, premium or interest on the underlying debt securities or to enforce covenants in the applicable indenture.</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UNITS</w:t>
      </w:r>
    </w:p>
    <w:p>
      <w:pPr>
        <w:spacing w:after="0" w:line="203" w:lineRule="exact"/>
        <w:rPr>
          <w:sz w:val="20"/>
          <w:szCs w:val="20"/>
          <w:color w:val="auto"/>
        </w:rPr>
      </w:pPr>
    </w:p>
    <w:p>
      <w:pPr>
        <w:ind w:right="40" w:firstLine="289"/>
        <w:spacing w:after="0" w:line="255" w:lineRule="auto"/>
        <w:rPr>
          <w:sz w:val="20"/>
          <w:szCs w:val="20"/>
          <w:color w:val="auto"/>
        </w:rPr>
      </w:pPr>
      <w:r>
        <w:rPr>
          <w:rFonts w:ascii="Times New Roman" w:cs="Times New Roman" w:eastAsia="Times New Roman" w:hAnsi="Times New Roman"/>
          <w:sz w:val="16"/>
          <w:szCs w:val="16"/>
          <w:color w:val="auto"/>
        </w:rPr>
        <w:t>We may issue units comprised of shares of Ordinary Shares, Preferred Shares,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68" w:lineRule="exact"/>
        <w:rPr>
          <w:sz w:val="20"/>
          <w:szCs w:val="20"/>
          <w:color w:val="auto"/>
        </w:rPr>
      </w:pPr>
    </w:p>
    <w:p>
      <w:pPr>
        <w:jc w:val="both"/>
        <w:ind w:right="320" w:firstLine="289"/>
        <w:spacing w:after="0" w:line="267" w:lineRule="auto"/>
        <w:rPr>
          <w:sz w:val="20"/>
          <w:szCs w:val="20"/>
          <w:color w:val="auto"/>
        </w:rPr>
      </w:pPr>
      <w:r>
        <w:rPr>
          <w:rFonts w:ascii="Times New Roman" w:cs="Times New Roman" w:eastAsia="Times New Roman" w:hAnsi="Times New Roman"/>
          <w:sz w:val="16"/>
          <w:szCs w:val="16"/>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56" w:lineRule="exact"/>
        <w:rPr>
          <w:sz w:val="20"/>
          <w:szCs w:val="20"/>
          <w:color w:val="auto"/>
        </w:rPr>
      </w:pPr>
    </w:p>
    <w:p>
      <w:pPr>
        <w:ind w:left="620" w:hanging="311"/>
        <w:spacing w:after="0" w:line="261" w:lineRule="auto"/>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and terms of the units and of the securities comprising the units, including whether and under what circumstances those securities may be held or transferred separately;</w:t>
      </w:r>
    </w:p>
    <w:p>
      <w:pPr>
        <w:spacing w:after="0" w:line="1"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provisions of the governing unit agreement;</w:t>
      </w:r>
    </w:p>
    <w:p>
      <w:pPr>
        <w:spacing w:after="0" w:line="8"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or prices at which such units will be issued;</w:t>
      </w:r>
    </w:p>
    <w:p>
      <w:pPr>
        <w:spacing w:after="0" w:line="8"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applicable material U.S. federal income tax considerations relating to the units;</w:t>
      </w:r>
    </w:p>
    <w:p>
      <w:pPr>
        <w:spacing w:after="0" w:line="8"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provisions for the issuance, payment, settlement, transfer or exchange of the units or of the securities comprising the units; and</w:t>
      </w:r>
    </w:p>
    <w:p>
      <w:pPr>
        <w:spacing w:after="0" w:line="8"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the units and of the securities comprising the units.</w:t>
      </w:r>
    </w:p>
    <w:p>
      <w:pPr>
        <w:spacing w:after="0" w:line="182" w:lineRule="exact"/>
        <w:rPr>
          <w:sz w:val="20"/>
          <w:szCs w:val="20"/>
          <w:color w:val="auto"/>
        </w:rPr>
      </w:pPr>
    </w:p>
    <w:p>
      <w:pPr>
        <w:ind w:right="80" w:firstLine="289"/>
        <w:spacing w:after="0" w:line="285" w:lineRule="auto"/>
        <w:rPr>
          <w:sz w:val="20"/>
          <w:szCs w:val="20"/>
          <w:color w:val="auto"/>
        </w:rPr>
      </w:pPr>
      <w:r>
        <w:rPr>
          <w:rFonts w:ascii="Times New Roman" w:cs="Times New Roman" w:eastAsia="Times New Roman" w:hAnsi="Times New Roman"/>
          <w:sz w:val="16"/>
          <w:szCs w:val="16"/>
          <w:color w:val="auto"/>
        </w:rPr>
        <w:t>The provisions described in this section, as well as those described under “</w:t>
      </w:r>
      <w:r>
        <w:rPr>
          <w:rFonts w:ascii="Times New Roman" w:cs="Times New Roman" w:eastAsia="Times New Roman" w:hAnsi="Times New Roman"/>
          <w:sz w:val="16"/>
          <w:szCs w:val="16"/>
          <w:i w:val="1"/>
          <w:iCs w:val="1"/>
          <w:color w:val="auto"/>
        </w:rPr>
        <w:t>Description of Capital Stock,” “Description of Debt Securities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Description of Warrants</w:t>
      </w:r>
      <w:r>
        <w:rPr>
          <w:rFonts w:ascii="Times New Roman" w:cs="Times New Roman" w:eastAsia="Times New Roman" w:hAnsi="Times New Roman"/>
          <w:sz w:val="16"/>
          <w:szCs w:val="16"/>
          <w:color w:val="auto"/>
        </w:rPr>
        <w:t>” will apply to the securities included in each unit, to the extent relevant and as may be updated in any prospectus supplements.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Issuance in Series</w:t>
      </w:r>
    </w:p>
    <w:p>
      <w:pPr>
        <w:spacing w:after="0" w:line="203" w:lineRule="exact"/>
        <w:rPr>
          <w:sz w:val="20"/>
          <w:szCs w:val="20"/>
          <w:color w:val="auto"/>
        </w:rPr>
      </w:pPr>
    </w:p>
    <w:p>
      <w:pPr>
        <w:ind w:right="260" w:firstLine="289"/>
        <w:spacing w:after="0" w:line="283" w:lineRule="auto"/>
        <w:rPr>
          <w:sz w:val="20"/>
          <w:szCs w:val="20"/>
          <w:color w:val="auto"/>
        </w:rPr>
      </w:pPr>
      <w:r>
        <w:rPr>
          <w:rFonts w:ascii="Times New Roman" w:cs="Times New Roman" w:eastAsia="Times New Roman" w:hAnsi="Times New Roman"/>
          <w:sz w:val="16"/>
          <w:szCs w:val="16"/>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Unit Agreements</w:t>
      </w:r>
    </w:p>
    <w:p>
      <w:pPr>
        <w:spacing w:after="0" w:line="203" w:lineRule="exact"/>
        <w:rPr>
          <w:sz w:val="20"/>
          <w:szCs w:val="20"/>
          <w:color w:val="auto"/>
        </w:rPr>
      </w:pPr>
    </w:p>
    <w:p>
      <w:pPr>
        <w:ind w:right="280" w:firstLine="289"/>
        <w:spacing w:after="0" w:line="267" w:lineRule="auto"/>
        <w:rPr>
          <w:sz w:val="20"/>
          <w:szCs w:val="20"/>
          <w:color w:val="auto"/>
        </w:rPr>
      </w:pPr>
      <w:r>
        <w:rPr>
          <w:rFonts w:ascii="Times New Roman" w:cs="Times New Roman" w:eastAsia="Times New Roman" w:hAnsi="Times New Roman"/>
          <w:sz w:val="16"/>
          <w:szCs w:val="16"/>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provisions will generally apply to all unit agreements unless otherwise stated in the applicable prospectus supplement: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Modification without Consent</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and the applicable unit agent may amend any unit or unit agreement without the consent of any holder:</w:t>
      </w:r>
    </w:p>
    <w:p>
      <w:pPr>
        <w:spacing w:after="0" w:line="201" w:lineRule="exact"/>
        <w:rPr>
          <w:sz w:val="20"/>
          <w:szCs w:val="20"/>
          <w:color w:val="auto"/>
        </w:rPr>
      </w:pPr>
    </w:p>
    <w:p>
      <w:pPr>
        <w:ind w:left="620" w:hanging="311"/>
        <w:spacing w:after="0"/>
        <w:tabs>
          <w:tab w:leader="none" w:pos="6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cure any ambiguity, including modifying any provisions of the governing unit agreement that differ from those described below;</w:t>
      </w:r>
    </w:p>
    <w:p>
      <w:pPr>
        <w:spacing w:after="0" w:line="24"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correct or supplement any defective or inconsistent provision; or</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0" w:right="319" w:bottom="1440" w:gutter="0" w:footer="0" w:header="0"/>
        </w:sectPr>
      </w:pPr>
    </w:p>
    <w:bookmarkStart w:id="29" w:name="page30"/>
    <w:bookmarkEnd w:id="29"/>
    <w:p>
      <w:pPr>
        <w:ind w:left="620" w:hanging="311"/>
        <w:spacing w:after="0"/>
        <w:tabs>
          <w:tab w:leader="none" w:pos="6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any other change that we believe is necessary or desirable and will not adversely affect the interests of the affected holders in any material respect.</w:t>
      </w:r>
    </w:p>
    <w:p>
      <w:pPr>
        <w:spacing w:after="0" w:line="201" w:lineRule="exact"/>
        <w:rPr>
          <w:sz w:val="20"/>
          <w:szCs w:val="20"/>
          <w:color w:val="auto"/>
        </w:rPr>
      </w:pPr>
    </w:p>
    <w:p>
      <w:pPr>
        <w:ind w:right="180" w:firstLine="289"/>
        <w:spacing w:after="0" w:line="267" w:lineRule="auto"/>
        <w:rPr>
          <w:sz w:val="20"/>
          <w:szCs w:val="20"/>
          <w:color w:val="auto"/>
        </w:rPr>
      </w:pPr>
      <w:r>
        <w:rPr>
          <w:rFonts w:ascii="Times New Roman" w:cs="Times New Roman" w:eastAsia="Times New Roman" w:hAnsi="Times New Roman"/>
          <w:sz w:val="16"/>
          <w:szCs w:val="16"/>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Modification with Consent</w:t>
      </w:r>
    </w:p>
    <w:p>
      <w:pPr>
        <w:spacing w:after="0" w:line="203" w:lineRule="exact"/>
        <w:rPr>
          <w:sz w:val="20"/>
          <w:szCs w:val="20"/>
          <w:color w:val="auto"/>
        </w:rPr>
      </w:pPr>
    </w:p>
    <w:p>
      <w:pPr>
        <w:ind w:right="360" w:firstLine="289"/>
        <w:spacing w:after="0" w:line="283" w:lineRule="auto"/>
        <w:rPr>
          <w:sz w:val="20"/>
          <w:szCs w:val="20"/>
          <w:color w:val="auto"/>
        </w:rPr>
      </w:pPr>
      <w:r>
        <w:rPr>
          <w:rFonts w:ascii="Times New Roman" w:cs="Times New Roman" w:eastAsia="Times New Roman" w:hAnsi="Times New Roman"/>
          <w:sz w:val="16"/>
          <w:szCs w:val="16"/>
          <w:color w:val="auto"/>
        </w:rPr>
        <w:t>We may not amend any particular unit or a unit agreement with respect to any particular unit unless we obtain the consent of the holder of that unit, if the amendment would:</w:t>
      </w:r>
    </w:p>
    <w:p>
      <w:pPr>
        <w:spacing w:after="0" w:line="143" w:lineRule="exact"/>
        <w:rPr>
          <w:sz w:val="20"/>
          <w:szCs w:val="20"/>
          <w:color w:val="auto"/>
        </w:rPr>
      </w:pPr>
    </w:p>
    <w:p>
      <w:pPr>
        <w:ind w:left="620" w:right="20" w:hanging="311"/>
        <w:spacing w:after="0" w:line="261" w:lineRule="auto"/>
        <w:tabs>
          <w:tab w:leader="none" w:pos="6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1" w:lineRule="exact"/>
        <w:rPr>
          <w:rFonts w:ascii="Times New Roman" w:cs="Times New Roman" w:eastAsia="Times New Roman" w:hAnsi="Times New Roman"/>
          <w:sz w:val="16"/>
          <w:szCs w:val="16"/>
          <w:color w:val="auto"/>
        </w:rPr>
      </w:pPr>
    </w:p>
    <w:p>
      <w:pPr>
        <w:ind w:left="620" w:right="20" w:hanging="311"/>
        <w:spacing w:after="0" w:line="261" w:lineRule="auto"/>
        <w:tabs>
          <w:tab w:leader="none" w:pos="6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Any other change to a particular unit agreement and the units issued under that agreement would require the following approval:</w:t>
      </w:r>
    </w:p>
    <w:p>
      <w:pPr>
        <w:spacing w:after="0" w:line="201" w:lineRule="exact"/>
        <w:rPr>
          <w:sz w:val="20"/>
          <w:szCs w:val="20"/>
          <w:color w:val="auto"/>
        </w:rPr>
      </w:pPr>
    </w:p>
    <w:p>
      <w:pPr>
        <w:ind w:left="620" w:hanging="311"/>
        <w:spacing w:after="0" w:line="261" w:lineRule="auto"/>
        <w:tabs>
          <w:tab w:leader="none" w:pos="6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change affects only the units of a particular series issued under that agreement, the change must be approved by the holders of a majority of the outstanding units of that series; or</w:t>
      </w:r>
    </w:p>
    <w:p>
      <w:pPr>
        <w:spacing w:after="0" w:line="1" w:lineRule="exact"/>
        <w:rPr>
          <w:rFonts w:ascii="Times New Roman" w:cs="Times New Roman" w:eastAsia="Times New Roman" w:hAnsi="Times New Roman"/>
          <w:sz w:val="16"/>
          <w:szCs w:val="16"/>
          <w:color w:val="auto"/>
        </w:rPr>
      </w:pPr>
    </w:p>
    <w:p>
      <w:pPr>
        <w:ind w:left="620" w:right="20" w:hanging="311"/>
        <w:spacing w:after="0" w:line="261" w:lineRule="auto"/>
        <w:tabs>
          <w:tab w:leader="none" w:pos="6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These provisions regarding changes with majority approval also apply to changes affecting any securities issued under a unit agreement, as the governing document.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each case, the required approval must be given by written consent.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Unit Agreements Will Not Be Qualified under Trust Indenture Act</w:t>
      </w:r>
    </w:p>
    <w:p>
      <w:pPr>
        <w:spacing w:after="0" w:line="203" w:lineRule="exact"/>
        <w:rPr>
          <w:sz w:val="20"/>
          <w:szCs w:val="20"/>
          <w:color w:val="auto"/>
        </w:rPr>
      </w:pPr>
    </w:p>
    <w:p>
      <w:pPr>
        <w:ind w:right="260" w:firstLine="289"/>
        <w:spacing w:after="0" w:line="283" w:lineRule="auto"/>
        <w:rPr>
          <w:sz w:val="20"/>
          <w:szCs w:val="20"/>
          <w:color w:val="auto"/>
        </w:rPr>
      </w:pPr>
      <w:r>
        <w:rPr>
          <w:rFonts w:ascii="Times New Roman" w:cs="Times New Roman" w:eastAsia="Times New Roman" w:hAnsi="Times New Roman"/>
          <w:sz w:val="16"/>
          <w:szCs w:val="16"/>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Mergers and Similar Transactions Permitted; No Restrictive Covenants or Events of Default</w:t>
      </w:r>
    </w:p>
    <w:p>
      <w:pPr>
        <w:spacing w:after="0" w:line="203" w:lineRule="exact"/>
        <w:rPr>
          <w:sz w:val="20"/>
          <w:szCs w:val="20"/>
          <w:color w:val="auto"/>
        </w:rPr>
      </w:pPr>
    </w:p>
    <w:p>
      <w:pPr>
        <w:ind w:right="120" w:firstLine="289"/>
        <w:spacing w:after="0" w:line="267" w:lineRule="auto"/>
        <w:rPr>
          <w:sz w:val="20"/>
          <w:szCs w:val="20"/>
          <w:color w:val="auto"/>
        </w:rPr>
      </w:pPr>
      <w:r>
        <w:rPr>
          <w:rFonts w:ascii="Times New Roman" w:cs="Times New Roman" w:eastAsia="Times New Roman" w:hAnsi="Times New Roman"/>
          <w:sz w:val="16"/>
          <w:szCs w:val="16"/>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56" w:lineRule="exact"/>
        <w:rPr>
          <w:sz w:val="20"/>
          <w:szCs w:val="20"/>
          <w:color w:val="auto"/>
        </w:rPr>
      </w:pPr>
    </w:p>
    <w:p>
      <w:pPr>
        <w:ind w:right="200" w:firstLine="289"/>
        <w:spacing w:after="0" w:line="283" w:lineRule="auto"/>
        <w:rPr>
          <w:sz w:val="20"/>
          <w:szCs w:val="20"/>
          <w:color w:val="auto"/>
        </w:rPr>
      </w:pPr>
      <w:r>
        <w:rPr>
          <w:rFonts w:ascii="Times New Roman" w:cs="Times New Roman" w:eastAsia="Times New Roman" w:hAnsi="Times New Roman"/>
          <w:sz w:val="16"/>
          <w:szCs w:val="16"/>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Governing Law</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unit agreements and the units will be governed by Dutch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Form, Exchange and Transfer</w:t>
      </w:r>
    </w:p>
    <w:p>
      <w:pPr>
        <w:spacing w:after="0" w:line="203" w:lineRule="exact"/>
        <w:rPr>
          <w:sz w:val="20"/>
          <w:szCs w:val="20"/>
          <w:color w:val="auto"/>
        </w:rPr>
      </w:pPr>
    </w:p>
    <w:p>
      <w:pPr>
        <w:ind w:right="120" w:firstLine="289"/>
        <w:spacing w:after="0" w:line="261" w:lineRule="auto"/>
        <w:rPr>
          <w:sz w:val="20"/>
          <w:szCs w:val="20"/>
          <w:color w:val="auto"/>
        </w:rPr>
      </w:pPr>
      <w:r>
        <w:rPr>
          <w:rFonts w:ascii="Times New Roman" w:cs="Times New Roman" w:eastAsia="Times New Roman" w:hAnsi="Times New Roman"/>
          <w:sz w:val="16"/>
          <w:szCs w:val="16"/>
          <w:color w:val="auto"/>
        </w:rPr>
        <w:t>We will issue each unit in global  —  i.e., book-entry  —  form only. Units in book-entry form may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30" w:name="page31"/>
    <w:bookmarkEnd w:id="30"/>
    <w:p>
      <w:pPr>
        <w:ind w:left="280"/>
        <w:spacing w:after="0"/>
        <w:rPr>
          <w:sz w:val="20"/>
          <w:szCs w:val="20"/>
          <w:color w:val="auto"/>
        </w:rPr>
      </w:pPr>
      <w:r>
        <w:rPr>
          <w:rFonts w:ascii="Times New Roman" w:cs="Times New Roman" w:eastAsia="Times New Roman" w:hAnsi="Times New Roman"/>
          <w:sz w:val="16"/>
          <w:szCs w:val="16"/>
          <w:color w:val="auto"/>
        </w:rPr>
        <w:t>Each unit and all securities comprising the unit will be issued in the same form.</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If we issue any units in registered, non-global form, the following will apply to them.</w:t>
      </w:r>
    </w:p>
    <w:p>
      <w:pPr>
        <w:spacing w:after="0" w:line="201" w:lineRule="exact"/>
        <w:rPr>
          <w:sz w:val="20"/>
          <w:szCs w:val="20"/>
          <w:color w:val="auto"/>
        </w:rPr>
      </w:pPr>
    </w:p>
    <w:p>
      <w:pPr>
        <w:ind w:right="400" w:firstLine="289"/>
        <w:spacing w:after="0" w:line="283" w:lineRule="auto"/>
        <w:rPr>
          <w:sz w:val="20"/>
          <w:szCs w:val="20"/>
          <w:color w:val="auto"/>
        </w:rPr>
      </w:pPr>
      <w:r>
        <w:rPr>
          <w:rFonts w:ascii="Times New Roman" w:cs="Times New Roman" w:eastAsia="Times New Roman" w:hAnsi="Times New Roman"/>
          <w:sz w:val="16"/>
          <w:szCs w:val="16"/>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143" w:lineRule="exact"/>
        <w:rPr>
          <w:sz w:val="20"/>
          <w:szCs w:val="20"/>
          <w:color w:val="auto"/>
        </w:rPr>
      </w:pPr>
    </w:p>
    <w:p>
      <w:pPr>
        <w:ind w:left="620" w:right="20" w:hanging="311"/>
        <w:spacing w:after="0" w:line="261" w:lineRule="auto"/>
        <w:tabs>
          <w:tab w:leader="none" w:pos="6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1" w:lineRule="exact"/>
        <w:rPr>
          <w:rFonts w:ascii="Times New Roman" w:cs="Times New Roman" w:eastAsia="Times New Roman" w:hAnsi="Times New Roman"/>
          <w:sz w:val="16"/>
          <w:szCs w:val="16"/>
          <w:color w:val="auto"/>
        </w:rPr>
      </w:pPr>
    </w:p>
    <w:p>
      <w:pPr>
        <w:jc w:val="both"/>
        <w:ind w:left="620" w:hanging="311"/>
        <w:spacing w:after="0" w:line="250" w:lineRule="auto"/>
        <w:tabs>
          <w:tab w:leader="none" w:pos="6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2" w:lineRule="exact"/>
        <w:rPr>
          <w:rFonts w:ascii="Times New Roman" w:cs="Times New Roman" w:eastAsia="Times New Roman" w:hAnsi="Times New Roman"/>
          <w:sz w:val="16"/>
          <w:szCs w:val="16"/>
          <w:color w:val="auto"/>
        </w:rPr>
      </w:pPr>
    </w:p>
    <w:p>
      <w:pPr>
        <w:jc w:val="both"/>
        <w:ind w:left="620" w:right="20" w:hanging="311"/>
        <w:spacing w:after="0" w:line="253" w:lineRule="auto"/>
        <w:tabs>
          <w:tab w:leader="none" w:pos="6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Only the depositary will be entitled to transfer or exchange a unit in global form, since it will be the sole holder of the unit.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Payments and Notices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making payments and giving notices with respect to our units, we will follow the procedures as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31" w:name="page32"/>
    <w:bookmarkEnd w:id="31"/>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MATERIAL U.S. FEDERAL INCOME TAX CONSIDERATIONS</w:t>
      </w:r>
    </w:p>
    <w:p>
      <w:pPr>
        <w:spacing w:after="0" w:line="203" w:lineRule="exact"/>
        <w:rPr>
          <w:sz w:val="20"/>
          <w:szCs w:val="20"/>
          <w:color w:val="auto"/>
        </w:rPr>
      </w:pPr>
    </w:p>
    <w:p>
      <w:pPr>
        <w:ind w:firstLine="289"/>
        <w:spacing w:after="0" w:line="283" w:lineRule="auto"/>
        <w:rPr>
          <w:sz w:val="20"/>
          <w:szCs w:val="20"/>
          <w:color w:val="auto"/>
        </w:rPr>
      </w:pPr>
      <w:r>
        <w:rPr>
          <w:rFonts w:ascii="Times New Roman" w:cs="Times New Roman" w:eastAsia="Times New Roman" w:hAnsi="Times New Roman"/>
          <w:sz w:val="16"/>
          <w:szCs w:val="16"/>
          <w:color w:val="auto"/>
        </w:rPr>
        <w:t>Certain material U.S. federal income tax considerations relating to the purchase, ownership and disposition of the securities offered by this prospectus will be set forth in the prospectus supplement pertaining to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120"/>
          </w:cols>
          <w:pgMar w:left="320" w:top="530" w:right="4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203" w:lineRule="exact"/>
        <w:rPr>
          <w:sz w:val="20"/>
          <w:szCs w:val="20"/>
          <w:color w:val="auto"/>
        </w:rPr>
      </w:pPr>
    </w:p>
    <w:p>
      <w:pPr>
        <w:ind w:right="100" w:firstLine="289"/>
        <w:spacing w:after="0" w:line="261" w:lineRule="auto"/>
        <w:rPr>
          <w:sz w:val="20"/>
          <w:szCs w:val="20"/>
          <w:color w:val="auto"/>
        </w:rPr>
      </w:pPr>
      <w:r>
        <w:rPr>
          <w:rFonts w:ascii="Times New Roman" w:cs="Times New Roman" w:eastAsia="Times New Roman" w:hAnsi="Times New Roman"/>
          <w:sz w:val="16"/>
          <w:szCs w:val="16"/>
          <w:color w:val="auto"/>
        </w:rPr>
        <w:t>We may sell the securities offered through this prospectus and any accompanying prospectus supplement, if required, in any of the following ways: (i) to or through underwriters or dealers, (ii) directly to purchasers, including our affiliates, (iii) through agents, (iv) in an “at the market offering,” within the meaning of Rule 415(a)(4) of the Securities Act or (v) through a combination of any of these methods or any other method permitted by law. The securities may be distributed at a fixed price or prices, which may be changed, market prices prevailing at the time of sale, prices related to the prevailing market prices, or negotiated prices, either:</w:t>
      </w:r>
    </w:p>
    <w:p>
      <w:pPr>
        <w:spacing w:after="0" w:line="162" w:lineRule="exact"/>
        <w:rPr>
          <w:sz w:val="20"/>
          <w:szCs w:val="20"/>
          <w:color w:val="auto"/>
        </w:rPr>
      </w:pPr>
    </w:p>
    <w:p>
      <w:pPr>
        <w:ind w:left="620" w:hanging="311"/>
        <w:spacing w:after="0" w:line="261" w:lineRule="auto"/>
        <w:tabs>
          <w:tab w:leader="none" w:pos="6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through the facilities of the Nasdaq-CM or any other securities exchange or quotation or trading service on which such securities may be listed, quoted or traded at the time of sale; and/or</w:t>
      </w:r>
    </w:p>
    <w:p>
      <w:pPr>
        <w:spacing w:after="0" w:line="1"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or through a market maker otherwise than on the Nasdaq-CM or such other securities exchanges or quotation or trading service.</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addition, we may issue the securities as a dividend or distribution or in a subscription rights offering to our existing security holders.</w:t>
      </w:r>
    </w:p>
    <w:p>
      <w:pPr>
        <w:spacing w:after="0" w:line="201" w:lineRule="exact"/>
        <w:rPr>
          <w:sz w:val="20"/>
          <w:szCs w:val="20"/>
          <w:color w:val="auto"/>
        </w:rPr>
      </w:pPr>
    </w:p>
    <w:p>
      <w:pPr>
        <w:jc w:val="both"/>
        <w:ind w:right="260" w:firstLine="289"/>
        <w:spacing w:after="0" w:line="261" w:lineRule="auto"/>
        <w:rPr>
          <w:sz w:val="20"/>
          <w:szCs w:val="20"/>
          <w:color w:val="auto"/>
        </w:rPr>
      </w:pPr>
      <w:r>
        <w:rPr>
          <w:rFonts w:ascii="Times New Roman" w:cs="Times New Roman" w:eastAsia="Times New Roman" w:hAnsi="Times New Roman"/>
          <w:sz w:val="16"/>
          <w:szCs w:val="16"/>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Each prospectus supplement will describe the method of distribution of the securities and any applicable restrictions.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prospectus supplement with respect to the securities of a particular series will describe the terms of the offering of the securities, including the following:</w:t>
      </w:r>
    </w:p>
    <w:p>
      <w:pPr>
        <w:spacing w:after="0" w:line="201" w:lineRule="exact"/>
        <w:rPr>
          <w:sz w:val="20"/>
          <w:szCs w:val="20"/>
          <w:color w:val="auto"/>
        </w:rPr>
      </w:pPr>
    </w:p>
    <w:p>
      <w:pPr>
        <w:ind w:left="620" w:hanging="311"/>
        <w:spacing w:after="0"/>
        <w:tabs>
          <w:tab w:leader="none" w:pos="6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of the agent or any underwriters;</w:t>
      </w:r>
    </w:p>
    <w:p>
      <w:pPr>
        <w:spacing w:after="0" w:line="24"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 offering or purchase price;</w:t>
      </w:r>
    </w:p>
    <w:p>
      <w:pPr>
        <w:spacing w:after="0" w:line="8"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discounts and commissions to be allowed or paid to the agent or underwriters;</w:t>
      </w:r>
    </w:p>
    <w:p>
      <w:pPr>
        <w:spacing w:after="0" w:line="8"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items constituting underwriting compensation;</w:t>
      </w:r>
    </w:p>
    <w:p>
      <w:pPr>
        <w:spacing w:after="0" w:line="8"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discounts and commissions to be allowed or paid to dealers; and</w:t>
      </w:r>
    </w:p>
    <w:p>
      <w:pPr>
        <w:spacing w:after="0" w:line="8" w:lineRule="exact"/>
        <w:rPr>
          <w:rFonts w:ascii="Times New Roman" w:cs="Times New Roman" w:eastAsia="Times New Roman" w:hAnsi="Times New Roman"/>
          <w:sz w:val="16"/>
          <w:szCs w:val="16"/>
          <w:color w:val="auto"/>
        </w:rPr>
      </w:pPr>
    </w:p>
    <w:p>
      <w:pPr>
        <w:ind w:left="620" w:hanging="311"/>
        <w:spacing w:after="0"/>
        <w:tabs>
          <w:tab w:leader="none" w:pos="6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exchanges on which the securities will be listed.</w:t>
      </w:r>
    </w:p>
    <w:p>
      <w:pPr>
        <w:spacing w:after="0" w:line="184" w:lineRule="exact"/>
        <w:rPr>
          <w:sz w:val="20"/>
          <w:szCs w:val="20"/>
          <w:color w:val="auto"/>
        </w:rPr>
      </w:pPr>
    </w:p>
    <w:p>
      <w:pPr>
        <w:ind w:right="100" w:firstLine="289"/>
        <w:spacing w:after="0" w:line="267" w:lineRule="auto"/>
        <w:rPr>
          <w:sz w:val="20"/>
          <w:szCs w:val="20"/>
          <w:color w:val="auto"/>
        </w:rPr>
      </w:pPr>
      <w:r>
        <w:rPr>
          <w:rFonts w:ascii="Times New Roman" w:cs="Times New Roman" w:eastAsia="Times New Roman" w:hAnsi="Times New Roman"/>
          <w:sz w:val="16"/>
          <w:szCs w:val="16"/>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56" w:lineRule="exact"/>
        <w:rPr>
          <w:sz w:val="20"/>
          <w:szCs w:val="20"/>
          <w:color w:val="auto"/>
        </w:rPr>
      </w:pPr>
    </w:p>
    <w:p>
      <w:pPr>
        <w:ind w:right="100" w:firstLine="289"/>
        <w:spacing w:after="0" w:line="267" w:lineRule="auto"/>
        <w:rPr>
          <w:sz w:val="20"/>
          <w:szCs w:val="20"/>
          <w:color w:val="auto"/>
        </w:rPr>
      </w:pPr>
      <w:r>
        <w:rPr>
          <w:rFonts w:ascii="Times New Roman" w:cs="Times New Roman" w:eastAsia="Times New Roman" w:hAnsi="Times New Roman"/>
          <w:sz w:val="16"/>
          <w:szCs w:val="16"/>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56" w:lineRule="exact"/>
        <w:rPr>
          <w:sz w:val="20"/>
          <w:szCs w:val="20"/>
          <w:color w:val="auto"/>
        </w:rPr>
      </w:pPr>
    </w:p>
    <w:p>
      <w:pPr>
        <w:ind w:right="80" w:firstLine="289"/>
        <w:spacing w:after="0" w:line="267" w:lineRule="auto"/>
        <w:rPr>
          <w:sz w:val="20"/>
          <w:szCs w:val="20"/>
          <w:color w:val="auto"/>
        </w:rPr>
      </w:pPr>
      <w:r>
        <w:rPr>
          <w:rFonts w:ascii="Times New Roman" w:cs="Times New Roman" w:eastAsia="Times New Roman" w:hAnsi="Times New Roman"/>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33" w:name="page34"/>
    <w:bookmarkEnd w:id="33"/>
    <w:p>
      <w:pPr>
        <w:jc w:val="center"/>
        <w:ind w:right="300"/>
        <w:spacing w:after="0" w:line="283" w:lineRule="auto"/>
        <w:rPr>
          <w:sz w:val="20"/>
          <w:szCs w:val="20"/>
          <w:color w:val="auto"/>
        </w:rPr>
      </w:pPr>
      <w:r>
        <w:rPr>
          <w:rFonts w:ascii="Times New Roman" w:cs="Times New Roman" w:eastAsia="Times New Roman" w:hAnsi="Times New Roman"/>
          <w:sz w:val="16"/>
          <w:szCs w:val="16"/>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43" w:lineRule="exact"/>
        <w:rPr>
          <w:sz w:val="20"/>
          <w:szCs w:val="20"/>
          <w:color w:val="auto"/>
        </w:rPr>
      </w:pPr>
    </w:p>
    <w:p>
      <w:pPr>
        <w:ind w:right="200" w:firstLine="289"/>
        <w:spacing w:after="0" w:line="257" w:lineRule="auto"/>
        <w:rPr>
          <w:sz w:val="20"/>
          <w:szCs w:val="20"/>
          <w:color w:val="auto"/>
        </w:rPr>
      </w:pPr>
      <w:r>
        <w:rPr>
          <w:rFonts w:ascii="Times New Roman" w:cs="Times New Roman" w:eastAsia="Times New Roman" w:hAnsi="Times New Roman"/>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65" w:lineRule="exact"/>
        <w:rPr>
          <w:sz w:val="20"/>
          <w:szCs w:val="20"/>
          <w:color w:val="auto"/>
        </w:rPr>
      </w:pPr>
    </w:p>
    <w:p>
      <w:pPr>
        <w:ind w:left="620" w:hanging="311"/>
        <w:spacing w:after="0" w:line="261" w:lineRule="auto"/>
        <w:tabs>
          <w:tab w:leader="none" w:pos="6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by an institution of the securities covered under that contract shall not at the time of delivery be prohibited under the laws of the jurisdiction to which that institution is subject; and</w:t>
      </w:r>
    </w:p>
    <w:p>
      <w:pPr>
        <w:spacing w:after="0" w:line="1" w:lineRule="exact"/>
        <w:rPr>
          <w:rFonts w:ascii="Times New Roman" w:cs="Times New Roman" w:eastAsia="Times New Roman" w:hAnsi="Times New Roman"/>
          <w:sz w:val="16"/>
          <w:szCs w:val="16"/>
          <w:color w:val="auto"/>
        </w:rPr>
      </w:pPr>
    </w:p>
    <w:p>
      <w:pPr>
        <w:jc w:val="both"/>
        <w:ind w:left="620" w:hanging="311"/>
        <w:spacing w:after="0" w:line="256" w:lineRule="auto"/>
        <w:tabs>
          <w:tab w:leader="none" w:pos="6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64" w:lineRule="exact"/>
        <w:rPr>
          <w:sz w:val="20"/>
          <w:szCs w:val="20"/>
          <w:color w:val="auto"/>
        </w:rPr>
      </w:pPr>
    </w:p>
    <w:p>
      <w:pPr>
        <w:ind w:right="20" w:firstLine="289"/>
        <w:spacing w:after="0" w:line="261" w:lineRule="auto"/>
        <w:rPr>
          <w:sz w:val="20"/>
          <w:szCs w:val="20"/>
          <w:color w:val="auto"/>
        </w:rPr>
      </w:pPr>
      <w:r>
        <w:rPr>
          <w:rFonts w:ascii="Times New Roman" w:cs="Times New Roman" w:eastAsia="Times New Roman" w:hAnsi="Times New Roman"/>
          <w:sz w:val="16"/>
          <w:szCs w:val="16"/>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62" w:lineRule="exact"/>
        <w:rPr>
          <w:sz w:val="20"/>
          <w:szCs w:val="20"/>
          <w:color w:val="auto"/>
        </w:rPr>
      </w:pPr>
    </w:p>
    <w:p>
      <w:pPr>
        <w:ind w:right="80" w:firstLine="289"/>
        <w:spacing w:after="0" w:line="283" w:lineRule="auto"/>
        <w:rPr>
          <w:sz w:val="20"/>
          <w:szCs w:val="20"/>
          <w:color w:val="auto"/>
        </w:rPr>
      </w:pPr>
      <w:r>
        <w:rPr>
          <w:rFonts w:ascii="Times New Roman" w:cs="Times New Roman" w:eastAsia="Times New Roman" w:hAnsi="Times New Roman"/>
          <w:sz w:val="16"/>
          <w:szCs w:val="16"/>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43" w:lineRule="exact"/>
        <w:rPr>
          <w:sz w:val="20"/>
          <w:szCs w:val="20"/>
          <w:color w:val="auto"/>
        </w:rPr>
      </w:pPr>
    </w:p>
    <w:p>
      <w:pPr>
        <w:ind w:right="240" w:firstLine="289"/>
        <w:spacing w:after="0" w:line="261" w:lineRule="auto"/>
        <w:rPr>
          <w:sz w:val="20"/>
          <w:szCs w:val="20"/>
          <w:color w:val="auto"/>
        </w:rPr>
      </w:pPr>
      <w:r>
        <w:rPr>
          <w:rFonts w:ascii="Times New Roman" w:cs="Times New Roman" w:eastAsia="Times New Roman" w:hAnsi="Times New Roman"/>
          <w:sz w:val="16"/>
          <w:szCs w:val="16"/>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w:t>
      </w:r>
    </w:p>
    <w:p>
      <w:pPr>
        <w:spacing w:after="0" w:line="162" w:lineRule="exact"/>
        <w:rPr>
          <w:sz w:val="20"/>
          <w:szCs w:val="20"/>
          <w:color w:val="auto"/>
        </w:rPr>
      </w:pPr>
    </w:p>
    <w:p>
      <w:pPr>
        <w:ind w:right="60" w:firstLine="289"/>
        <w:spacing w:after="0" w:line="255" w:lineRule="auto"/>
        <w:rPr>
          <w:sz w:val="20"/>
          <w:szCs w:val="20"/>
          <w:color w:val="auto"/>
        </w:rPr>
      </w:pPr>
      <w:r>
        <w:rPr>
          <w:rFonts w:ascii="Times New Roman" w:cs="Times New Roman" w:eastAsia="Times New Roman" w:hAnsi="Times New Roman"/>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8" w:lineRule="exact"/>
        <w:rPr>
          <w:sz w:val="20"/>
          <w:szCs w:val="20"/>
          <w:color w:val="auto"/>
        </w:rPr>
      </w:pPr>
    </w:p>
    <w:p>
      <w:pPr>
        <w:ind w:firstLine="289"/>
        <w:spacing w:after="0" w:line="255" w:lineRule="auto"/>
        <w:rPr>
          <w:sz w:val="20"/>
          <w:szCs w:val="20"/>
          <w:color w:val="auto"/>
        </w:rPr>
      </w:pPr>
      <w:r>
        <w:rPr>
          <w:rFonts w:ascii="Times New Roman" w:cs="Times New Roman" w:eastAsia="Times New Roman" w:hAnsi="Times New Roman"/>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34" w:name="page35"/>
    <w:bookmarkEnd w:id="34"/>
    <w:p>
      <w:pPr>
        <w:ind w:firstLine="289"/>
        <w:spacing w:after="0" w:line="259" w:lineRule="auto"/>
        <w:rPr>
          <w:sz w:val="20"/>
          <w:szCs w:val="20"/>
          <w:color w:val="auto"/>
        </w:rPr>
      </w:pPr>
      <w:r>
        <w:rPr>
          <w:rFonts w:ascii="Times New Roman" w:cs="Times New Roman" w:eastAsia="Times New Roman" w:hAnsi="Times New Roman"/>
          <w:sz w:val="16"/>
          <w:szCs w:val="16"/>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62" w:lineRule="exact"/>
        <w:rPr>
          <w:sz w:val="20"/>
          <w:szCs w:val="20"/>
          <w:color w:val="auto"/>
        </w:rPr>
      </w:pPr>
    </w:p>
    <w:p>
      <w:pPr>
        <w:ind w:right="100" w:firstLine="289"/>
        <w:spacing w:after="0" w:line="283" w:lineRule="auto"/>
        <w:rPr>
          <w:sz w:val="20"/>
          <w:szCs w:val="20"/>
          <w:color w:val="auto"/>
        </w:rPr>
      </w:pPr>
      <w:r>
        <w:rPr>
          <w:rFonts w:ascii="Times New Roman" w:cs="Times New Roman" w:eastAsia="Times New Roman" w:hAnsi="Times New Roman"/>
          <w:sz w:val="16"/>
          <w:szCs w:val="16"/>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specific terms of any lock-up provisions in respect of any given offering will be described in the applicable prospectus supplement.</w:t>
      </w:r>
    </w:p>
    <w:p>
      <w:pPr>
        <w:spacing w:after="0" w:line="201" w:lineRule="exact"/>
        <w:rPr>
          <w:sz w:val="20"/>
          <w:szCs w:val="20"/>
          <w:color w:val="auto"/>
        </w:rPr>
      </w:pPr>
    </w:p>
    <w:p>
      <w:pPr>
        <w:ind w:right="840" w:firstLine="289"/>
        <w:spacing w:after="0" w:line="283" w:lineRule="auto"/>
        <w:rPr>
          <w:sz w:val="20"/>
          <w:szCs w:val="20"/>
          <w:color w:val="auto"/>
        </w:rPr>
      </w:pPr>
      <w:r>
        <w:rPr>
          <w:rFonts w:ascii="Times New Roman" w:cs="Times New Roman" w:eastAsia="Times New Roman" w:hAnsi="Times New Roman"/>
          <w:sz w:val="16"/>
          <w:szCs w:val="16"/>
          <w:color w:val="auto"/>
        </w:rPr>
        <w:t>Any underwriters, dealers and agents may engage in transactions with us, or perform services for us, in the ordinary course of business for which they receive compensation.</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anticipated date of delivery of offered securities will be set forth in the applicable prospectus supplement relating to each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203" w:lineRule="exact"/>
        <w:rPr>
          <w:sz w:val="20"/>
          <w:szCs w:val="20"/>
          <w:color w:val="auto"/>
        </w:rPr>
      </w:pPr>
    </w:p>
    <w:p>
      <w:pPr>
        <w:ind w:right="40" w:firstLine="289"/>
        <w:spacing w:after="0" w:line="267" w:lineRule="auto"/>
        <w:rPr>
          <w:sz w:val="20"/>
          <w:szCs w:val="20"/>
          <w:color w:val="auto"/>
        </w:rPr>
      </w:pPr>
      <w:r>
        <w:rPr>
          <w:rFonts w:ascii="Times New Roman" w:cs="Times New Roman" w:eastAsia="Times New Roman" w:hAnsi="Times New Roman"/>
          <w:sz w:val="16"/>
          <w:szCs w:val="16"/>
          <w:color w:val="auto"/>
        </w:rPr>
        <w:t>Unless otherwise indicated in the applicable prospectus supplement, the validity of any Ordinary Shares offered under this prospectus and any supplement hereto will be passed upon for us by DLA Piper LLP (US). Any underwriters will also be advised about the validity of the securities and other legal matters by their own counsel, which will be named in the prospectus supplement.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203" w:lineRule="exact"/>
        <w:rPr>
          <w:sz w:val="20"/>
          <w:szCs w:val="20"/>
          <w:color w:val="auto"/>
        </w:rPr>
      </w:pPr>
    </w:p>
    <w:p>
      <w:pPr>
        <w:ind w:right="20" w:firstLine="289"/>
        <w:spacing w:after="0" w:line="259" w:lineRule="auto"/>
        <w:rPr>
          <w:sz w:val="20"/>
          <w:szCs w:val="20"/>
          <w:color w:val="auto"/>
        </w:rPr>
      </w:pPr>
      <w:r>
        <w:rPr>
          <w:rFonts w:ascii="Times New Roman" w:cs="Times New Roman" w:eastAsia="Times New Roman" w:hAnsi="Times New Roman"/>
          <w:sz w:val="16"/>
          <w:szCs w:val="16"/>
          <w:color w:val="auto"/>
        </w:rPr>
        <w:t>The consolidated financial statements of Sono N.V. as of December 31, 2025 and 2024 and for each of the two years in the period ended December 31, 2025, and management’s assessment of the effectiveness of Sono N.V.’s internal control over financial reporting as of December 31, 2025, incorporated by reference in this prospectus have been so incorporated in reliance on the report (which contains an explanatory paragraph relating to Sono N.V.’s ability to continue as a going concern as described in Note 3 to the consolidated financial statements) of Grassi &amp; Co., CPAs, P.C., an independent registered public accounting firm, given on the authority of said firm as experts in auditing and accounting.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203" w:lineRule="exact"/>
        <w:rPr>
          <w:sz w:val="20"/>
          <w:szCs w:val="20"/>
          <w:color w:val="auto"/>
        </w:rPr>
      </w:pPr>
    </w:p>
    <w:p>
      <w:pPr>
        <w:ind w:firstLine="289"/>
        <w:spacing w:after="0" w:line="259" w:lineRule="auto"/>
        <w:rPr>
          <w:sz w:val="20"/>
          <w:szCs w:val="20"/>
          <w:color w:val="auto"/>
        </w:rPr>
      </w:pPr>
      <w:r>
        <w:rPr>
          <w:rFonts w:ascii="Times New Roman" w:cs="Times New Roman" w:eastAsia="Times New Roman" w:hAnsi="Times New Roman"/>
          <w:sz w:val="16"/>
          <w:szCs w:val="16"/>
          <w:color w:val="auto"/>
        </w:rPr>
        <w:t>We have filed with the SEC this registration statement on Form S-3, including exhibits, with respect to the shares of Ordinary Shares offered hereby. This prospectus does not contain all of the information set forth in the registration statement and the exhibits and schedules thereto. For further information with respect to the Company and its Ordinary Shares,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w:t>
      </w:r>
    </w:p>
    <w:p>
      <w:pPr>
        <w:spacing w:after="0" w:line="162" w:lineRule="exact"/>
        <w:rPr>
          <w:sz w:val="20"/>
          <w:szCs w:val="20"/>
          <w:color w:val="auto"/>
        </w:rPr>
      </w:pPr>
    </w:p>
    <w:p>
      <w:pPr>
        <w:ind w:firstLine="289"/>
        <w:spacing w:after="0" w:line="283" w:lineRule="auto"/>
        <w:rPr>
          <w:sz w:val="20"/>
          <w:szCs w:val="20"/>
          <w:color w:val="auto"/>
        </w:rPr>
      </w:pPr>
      <w:r>
        <w:rPr>
          <w:rFonts w:ascii="Times New Roman" w:cs="Times New Roman" w:eastAsia="Times New Roman" w:hAnsi="Times New Roman"/>
          <w:sz w:val="16"/>
          <w:szCs w:val="16"/>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ind w:right="140" w:firstLine="289"/>
        <w:spacing w:after="0" w:line="261" w:lineRule="auto"/>
        <w:rPr>
          <w:sz w:val="20"/>
          <w:szCs w:val="20"/>
          <w:color w:val="auto"/>
        </w:rPr>
      </w:pPr>
      <w:r>
        <w:rPr>
          <w:rFonts w:ascii="Times New Roman" w:cs="Times New Roman" w:eastAsia="Times New Roman" w:hAnsi="Times New Roman"/>
          <w:sz w:val="16"/>
          <w:szCs w:val="16"/>
          <w:color w:val="auto"/>
        </w:rPr>
        <w:t>Our website address is https://ir.sonomotors.com/. Through our website, we make available, free of charge, the following documents as soon as reasonably practicable after they are electronically filed with, or furnished to, the SEC, including our Annual Reports on Form 10-K (and previously on Form 20-F), our Quarterly Reports on Form 10-Q, and our Current Reports on Form 8-K (and previously on Form 6-K), and amendments to those reports filed or furnished pursuant to Section 13(a) or 15(d) of the Exchange Act. The information contained on, or that may be accessed through, our website is not a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6"/>
          <w:szCs w:val="16"/>
          <w:b w:val="1"/>
          <w:bCs w:val="1"/>
          <w:color w:val="auto"/>
        </w:rPr>
        <w:t>INFORMATION INCORPORATED BY REFERENCE</w:t>
      </w:r>
    </w:p>
    <w:p>
      <w:pPr>
        <w:spacing w:after="0" w:line="203" w:lineRule="exact"/>
        <w:rPr>
          <w:sz w:val="20"/>
          <w:szCs w:val="20"/>
          <w:color w:val="auto"/>
        </w:rPr>
      </w:pPr>
    </w:p>
    <w:p>
      <w:pPr>
        <w:ind w:right="300" w:firstLine="289"/>
        <w:spacing w:after="0" w:line="267" w:lineRule="auto"/>
        <w:rPr>
          <w:sz w:val="20"/>
          <w:szCs w:val="20"/>
          <w:color w:val="auto"/>
        </w:rPr>
      </w:pPr>
      <w:r>
        <w:rPr>
          <w:rFonts w:ascii="Times New Roman" w:cs="Times New Roman" w:eastAsia="Times New Roman" w:hAnsi="Times New Roman"/>
          <w:sz w:val="16"/>
          <w:szCs w:val="16"/>
          <w:color w:val="auto"/>
        </w:rPr>
        <w:t>The SEC allows us to “incorporate by reference” into this prospectus information we file with the SEC in other documents. This means that we can disclose important information to you by referring to another document we filed with the SEC. The information relating to us contained in this prospectus should be read together with the information in the documents incorporated by reference.</w:t>
      </w:r>
    </w:p>
    <w:p>
      <w:pPr>
        <w:spacing w:after="0" w:line="156" w:lineRule="exact"/>
        <w:rPr>
          <w:sz w:val="20"/>
          <w:szCs w:val="20"/>
          <w:color w:val="auto"/>
        </w:rPr>
      </w:pPr>
    </w:p>
    <w:p>
      <w:pPr>
        <w:ind w:firstLine="289"/>
        <w:spacing w:after="0" w:line="283" w:lineRule="auto"/>
        <w:rPr>
          <w:sz w:val="20"/>
          <w:szCs w:val="20"/>
          <w:color w:val="auto"/>
        </w:rPr>
      </w:pPr>
      <w:r>
        <w:rPr>
          <w:rFonts w:ascii="Times New Roman" w:cs="Times New Roman" w:eastAsia="Times New Roman" w:hAnsi="Times New Roman"/>
          <w:sz w:val="16"/>
          <w:szCs w:val="16"/>
          <w:color w:val="auto"/>
        </w:rPr>
        <w:t>We incorporate by reference the documents listed below that Sono N.V. has previously filed with the SEC (other than any document or portion of any document furnished or deemed furnished and not filed in accordance with SEC rules, including Items 2.02 and 7.01 of Form 8-K and Item 9.01 related thereto):</w:t>
      </w:r>
    </w:p>
    <w:p>
      <w:pPr>
        <w:spacing w:after="0" w:line="143" w:lineRule="exact"/>
        <w:rPr>
          <w:sz w:val="20"/>
          <w:szCs w:val="20"/>
          <w:color w:val="auto"/>
        </w:rPr>
      </w:pPr>
    </w:p>
    <w:p>
      <w:pPr>
        <w:ind w:left="580" w:hanging="295"/>
        <w:spacing w:after="0"/>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Annual Report on Form 10-K for the fiscal year ended December 31, 2025, filed with the SEC on </w:t>
      </w:r>
      <w:hyperlink r:id="rId52">
        <w:r>
          <w:rPr>
            <w:rFonts w:ascii="Times New Roman" w:cs="Times New Roman" w:eastAsia="Times New Roman" w:hAnsi="Times New Roman"/>
            <w:sz w:val="16"/>
            <w:szCs w:val="16"/>
            <w:u w:val="single" w:color="auto"/>
            <w:color w:val="0000EE"/>
          </w:rPr>
          <w:t>April 1, 2026</w:t>
        </w:r>
      </w:hyperlink>
      <w:r>
        <w:rPr>
          <w:rFonts w:ascii="Times New Roman" w:cs="Times New Roman" w:eastAsia="Times New Roman" w:hAnsi="Times New Roman"/>
          <w:sz w:val="16"/>
          <w:szCs w:val="16"/>
          <w:color w:val="auto"/>
        </w:rPr>
        <w:t>; and</w:t>
      </w:r>
    </w:p>
    <w:p>
      <w:pPr>
        <w:spacing w:after="0" w:line="224" w:lineRule="exact"/>
        <w:rPr>
          <w:rFonts w:ascii="Times New Roman" w:cs="Times New Roman" w:eastAsia="Times New Roman" w:hAnsi="Times New Roman"/>
          <w:sz w:val="16"/>
          <w:szCs w:val="16"/>
          <w:color w:val="auto"/>
        </w:rPr>
      </w:pPr>
    </w:p>
    <w:p>
      <w:pPr>
        <w:ind w:left="580" w:right="20" w:hanging="295"/>
        <w:spacing w:after="0" w:line="282" w:lineRule="auto"/>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Current Reports on Form 8-K, filed with the SEC on </w:t>
      </w:r>
      <w:hyperlink r:id="rId53">
        <w:r>
          <w:rPr>
            <w:rFonts w:ascii="Times New Roman" w:cs="Times New Roman" w:eastAsia="Times New Roman" w:hAnsi="Times New Roman"/>
            <w:sz w:val="16"/>
            <w:szCs w:val="16"/>
            <w:u w:val="single" w:color="auto"/>
            <w:color w:val="0000EE"/>
          </w:rPr>
          <w:t>January 29, 2026</w:t>
        </w:r>
      </w:hyperlink>
      <w:r>
        <w:rPr>
          <w:rFonts w:ascii="Times New Roman" w:cs="Times New Roman" w:eastAsia="Times New Roman" w:hAnsi="Times New Roman"/>
          <w:sz w:val="16"/>
          <w:szCs w:val="16"/>
          <w:color w:val="auto"/>
        </w:rPr>
        <w:t xml:space="preserve">, </w:t>
      </w:r>
      <w:hyperlink r:id="rId54">
        <w:r>
          <w:rPr>
            <w:rFonts w:ascii="Times New Roman" w:cs="Times New Roman" w:eastAsia="Times New Roman" w:hAnsi="Times New Roman"/>
            <w:sz w:val="16"/>
            <w:szCs w:val="16"/>
            <w:u w:val="single" w:color="auto"/>
            <w:color w:val="0000EE"/>
          </w:rPr>
          <w:t>February 24, 2026</w:t>
        </w:r>
      </w:hyperlink>
      <w:r>
        <w:rPr>
          <w:rFonts w:ascii="Times New Roman" w:cs="Times New Roman" w:eastAsia="Times New Roman" w:hAnsi="Times New Roman"/>
          <w:sz w:val="16"/>
          <w:szCs w:val="16"/>
          <w:color w:val="auto"/>
        </w:rPr>
        <w:t xml:space="preserve">, </w:t>
      </w:r>
      <w:hyperlink r:id="rId55">
        <w:r>
          <w:rPr>
            <w:rFonts w:ascii="Times New Roman" w:cs="Times New Roman" w:eastAsia="Times New Roman" w:hAnsi="Times New Roman"/>
            <w:sz w:val="16"/>
            <w:szCs w:val="16"/>
            <w:u w:val="single" w:color="auto"/>
            <w:color w:val="0000EE"/>
          </w:rPr>
          <w:t>March 10, 2026</w:t>
        </w:r>
      </w:hyperlink>
      <w:r>
        <w:rPr>
          <w:rFonts w:ascii="Times New Roman" w:cs="Times New Roman" w:eastAsia="Times New Roman" w:hAnsi="Times New Roman"/>
          <w:sz w:val="16"/>
          <w:szCs w:val="16"/>
          <w:color w:val="auto"/>
        </w:rPr>
        <w:t xml:space="preserve">, </w:t>
      </w:r>
      <w:hyperlink r:id="rId56">
        <w:r>
          <w:rPr>
            <w:rFonts w:ascii="Times New Roman" w:cs="Times New Roman" w:eastAsia="Times New Roman" w:hAnsi="Times New Roman"/>
            <w:sz w:val="16"/>
            <w:szCs w:val="16"/>
            <w:u w:val="single" w:color="auto"/>
            <w:color w:val="0000EE"/>
          </w:rPr>
          <w:t>March 16, 2026</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w:t>
      </w:r>
      <w:hyperlink r:id="rId57">
        <w:r>
          <w:rPr>
            <w:rFonts w:ascii="Times New Roman" w:cs="Times New Roman" w:eastAsia="Times New Roman" w:hAnsi="Times New Roman"/>
            <w:sz w:val="16"/>
            <w:szCs w:val="16"/>
            <w:u w:val="single" w:color="auto"/>
            <w:color w:val="0000EE"/>
          </w:rPr>
          <w:t>March 19, 2026</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(as amended by the Form 8-K/A filed with the SEC on </w:t>
      </w:r>
      <w:hyperlink r:id="rId58">
        <w:r>
          <w:rPr>
            <w:rFonts w:ascii="Times New Roman" w:cs="Times New Roman" w:eastAsia="Times New Roman" w:hAnsi="Times New Roman"/>
            <w:sz w:val="16"/>
            <w:szCs w:val="16"/>
            <w:u w:val="single" w:color="auto"/>
            <w:color w:val="0000EE"/>
          </w:rPr>
          <w:t>May 8, 2026</w:t>
        </w:r>
      </w:hyperlink>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We are also incorporating by reference all documents subsequently filed by the registrant pursuant to Sections 13(a), 13(c), 14 or 15(d) of the Exchange Act, other than any document or portion of any document furnished or deemed furnished and not filed in accordance with SEC rules, including Items 2.02 and 7.01 on Form 8-K and Item 9.01 related thereto.</w:t>
      </w:r>
    </w:p>
    <w:p>
      <w:pPr>
        <w:spacing w:after="0" w:line="156" w:lineRule="exact"/>
        <w:rPr>
          <w:rFonts w:ascii="Times New Roman" w:cs="Times New Roman" w:eastAsia="Times New Roman" w:hAnsi="Times New Roman"/>
          <w:sz w:val="16"/>
          <w:szCs w:val="16"/>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The information incorporated by reference is considered to be part of this prospectus, and information that we file later with the SEC and incorporate by reference in this prospectus will automatically update and supersede this previously filed information, as applicable, including information in previously filed documents or reports that have been incorporated by reference into this prospectus. Any statement so modified or superseded will not be deemed, except as so modified or superseded, to constitute a part of this prospectus.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36"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0" w:right="31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SONO GROUP N.V.</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$100,000,000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Ordinary Shares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Preferred Shares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Debt Securities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Rights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264795</wp:posOffset>
            </wp:positionV>
            <wp:extent cx="71475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71475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CC062A"/>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433705</wp:posOffset>
            </wp:positionV>
            <wp:extent cx="714756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Other expenses of issuance and distribution</w:t>
      </w:r>
    </w:p>
    <w:p>
      <w:pPr>
        <w:spacing w:after="0" w:line="203" w:lineRule="exact"/>
        <w:rPr>
          <w:sz w:val="20"/>
          <w:szCs w:val="20"/>
          <w:color w:val="auto"/>
        </w:rPr>
      </w:pPr>
    </w:p>
    <w:p>
      <w:pPr>
        <w:ind w:right="640" w:firstLine="289"/>
        <w:spacing w:after="0" w:line="283" w:lineRule="auto"/>
        <w:rPr>
          <w:sz w:val="20"/>
          <w:szCs w:val="20"/>
          <w:color w:val="auto"/>
        </w:rPr>
      </w:pPr>
      <w:r>
        <w:rPr>
          <w:rFonts w:ascii="Times New Roman" w:cs="Times New Roman" w:eastAsia="Times New Roman" w:hAnsi="Times New Roman"/>
          <w:sz w:val="16"/>
          <w:szCs w:val="16"/>
          <w:color w:val="auto"/>
        </w:rPr>
        <w:t>The following table sets forth the estimated fees and expenses payable by the registrant in connection with the offering and sale of our Ordinary Shares and other securities: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 registration fee</w:t>
            </w:r>
          </w:p>
        </w:tc>
        <w:tc>
          <w:tcPr>
            <w:tcW w:w="442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13,810</w:t>
            </w: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Printing expenses*</w:t>
            </w:r>
          </w:p>
        </w:tc>
        <w:tc>
          <w:tcPr>
            <w:tcW w:w="442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4"/>
        </w:trPr>
        <w:tc>
          <w:tcPr>
            <w:tcW w:w="5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1"/>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Legal fees and expenses*</w:t>
            </w:r>
          </w:p>
        </w:tc>
        <w:tc>
          <w:tcPr>
            <w:tcW w:w="4420" w:type="dxa"/>
            <w:vAlign w:val="bottom"/>
            <w:tcBorders>
              <w:bottom w:val="single" w:sz="8" w:color="CCEEFF"/>
            </w:tcBorders>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Accounting fees and expenses*</w:t>
            </w:r>
          </w:p>
        </w:tc>
        <w:tc>
          <w:tcPr>
            <w:tcW w:w="442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4"/>
        </w:trPr>
        <w:tc>
          <w:tcPr>
            <w:tcW w:w="5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1"/>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Miscellaneous*</w:t>
            </w:r>
          </w:p>
        </w:tc>
        <w:tc>
          <w:tcPr>
            <w:tcW w:w="4420" w:type="dxa"/>
            <w:vAlign w:val="bottom"/>
            <w:tcBorders>
              <w:bottom w:val="single" w:sz="8" w:color="CCEEFF"/>
            </w:tcBorders>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420" w:type="dxa"/>
            <w:vAlign w:val="bottom"/>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56,310</w:t>
            </w:r>
          </w:p>
        </w:tc>
      </w:tr>
    </w:tbl>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w:t>
      </w:r>
    </w:p>
    <w:p>
      <w:pPr>
        <w:spacing w:after="0" w:line="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6"/>
          <w:szCs w:val="16"/>
          <w:color w:val="auto"/>
        </w:rPr>
        <w:t>*Estimated expenses are not presently known. The applicable prospectus supplement or one or more Current Reports on Form 8-K, which will be incorporated by reference, will set forth the estimated amount of such expenses payable in respect of any offering of the securities.</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will bear all costs, expenses and fees in connection with the registration of the securities, including with regard to compliance with state securities or “blue sky” laws.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amounts are estimates except the SEC registration fee and the FINRA filing fee.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Indemnification of Directors and Officers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Indemnification of Directors and Officers Under Dutch Law</w:t>
      </w:r>
    </w:p>
    <w:p>
      <w:pPr>
        <w:spacing w:after="0" w:line="203" w:lineRule="exact"/>
        <w:rPr>
          <w:sz w:val="20"/>
          <w:szCs w:val="20"/>
          <w:color w:val="auto"/>
        </w:rPr>
      </w:pPr>
    </w:p>
    <w:p>
      <w:pPr>
        <w:ind w:right="580" w:firstLine="289"/>
        <w:spacing w:after="0" w:line="283" w:lineRule="auto"/>
        <w:rPr>
          <w:sz w:val="20"/>
          <w:szCs w:val="20"/>
          <w:color w:val="auto"/>
        </w:rPr>
      </w:pPr>
      <w:r>
        <w:rPr>
          <w:rFonts w:ascii="Times New Roman" w:cs="Times New Roman" w:eastAsia="Times New Roman" w:hAnsi="Times New Roman"/>
          <w:sz w:val="16"/>
          <w:szCs w:val="16"/>
          <w:color w:val="auto"/>
        </w:rPr>
        <w:t>Sono N.V. has entered into indemnification agreements with the members of the Supervisory Board and the Management Board. Such members, including former members, will have the benefit of the following indemnification provisions in the Articles of Association:</w:t>
      </w:r>
    </w:p>
    <w:p>
      <w:pPr>
        <w:spacing w:after="0" w:line="143" w:lineRule="exact"/>
        <w:rPr>
          <w:sz w:val="20"/>
          <w:szCs w:val="20"/>
          <w:color w:val="auto"/>
        </w:rPr>
      </w:pPr>
    </w:p>
    <w:p>
      <w:pPr>
        <w:ind w:right="60" w:firstLine="289"/>
        <w:spacing w:after="0" w:line="257" w:lineRule="auto"/>
        <w:rPr>
          <w:sz w:val="20"/>
          <w:szCs w:val="20"/>
          <w:color w:val="auto"/>
        </w:rPr>
      </w:pPr>
      <w:r>
        <w:rPr>
          <w:rFonts w:ascii="Times New Roman" w:cs="Times New Roman" w:eastAsia="Times New Roman" w:hAnsi="Times New Roman"/>
          <w:sz w:val="16"/>
          <w:szCs w:val="16"/>
          <w:color w:val="auto"/>
        </w:rPr>
        <w:t>Current and former members of the Supervisory Board and the Management Board shall be reimbursed for all expenses (including reasonably incurred and substantiated attorneys’ fees), financial effects of judgments, fines and amounts paid in settlement actually and reasonably incurred by him or her in connection with such action, suit or proceeding, provided he or she acted in good faith and in a manner he or she reasonably believed to be in or not opposed to our best interests or out of his mandate, and, with respect to any criminal action or proceeding, had no reasonable cause to believe his or her conduct was unlawful. Any indemnification shall be made only (unless ordered by a court) upon a determination that indemnification of a director or former director is proper under the circumstances because he or she had met the applicable standard of conduct set.</w:t>
      </w:r>
    </w:p>
    <w:p>
      <w:pPr>
        <w:spacing w:after="0" w:line="165" w:lineRule="exact"/>
        <w:rPr>
          <w:sz w:val="20"/>
          <w:szCs w:val="20"/>
          <w:color w:val="auto"/>
        </w:rPr>
      </w:pPr>
    </w:p>
    <w:p>
      <w:pPr>
        <w:ind w:right="100" w:firstLine="289"/>
        <w:spacing w:after="0" w:line="267" w:lineRule="auto"/>
        <w:rPr>
          <w:sz w:val="20"/>
          <w:szCs w:val="20"/>
          <w:color w:val="auto"/>
        </w:rPr>
      </w:pPr>
      <w:r>
        <w:rPr>
          <w:rFonts w:ascii="Times New Roman" w:cs="Times New Roman" w:eastAsia="Times New Roman" w:hAnsi="Times New Roman"/>
          <w:sz w:val="16"/>
          <w:szCs w:val="16"/>
          <w:color w:val="auto"/>
        </w:rPr>
        <w:t>Expenses that a director or former director has incurred in defending a civil or criminal action, suit or proceeding may be paid by the registrant in advance of the final disposition of such action, suit or proceeding, upon a resolution of the board of directors with respect to the specific case upon receipt of an undertaking by or on behalf of the director to repay such amount, unless it is ultimately determined that such director is entitled to be indemnified by 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director or former director of the registrant shall not be entitled to any indemnification, if and to the extent:</w:t>
      </w:r>
    </w:p>
    <w:p>
      <w:pPr>
        <w:spacing w:after="0" w:line="201" w:lineRule="exact"/>
        <w:rPr>
          <w:sz w:val="20"/>
          <w:szCs w:val="20"/>
          <w:color w:val="auto"/>
        </w:rPr>
      </w:pPr>
    </w:p>
    <w:p>
      <w:pPr>
        <w:ind w:left="480" w:hanging="243"/>
        <w:spacing w:after="0"/>
        <w:tabs>
          <w:tab w:leader="none" w:pos="4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Dutch law would not permit such indemnification;</w:t>
      </w:r>
    </w:p>
    <w:p>
      <w:pPr>
        <w:spacing w:after="0" w:line="24" w:lineRule="exact"/>
        <w:rPr>
          <w:rFonts w:ascii="Times New Roman" w:cs="Times New Roman" w:eastAsia="Times New Roman" w:hAnsi="Times New Roman"/>
          <w:sz w:val="16"/>
          <w:szCs w:val="16"/>
          <w:color w:val="auto"/>
        </w:rPr>
      </w:pPr>
    </w:p>
    <w:p>
      <w:pPr>
        <w:ind w:left="480" w:right="340" w:hanging="243"/>
        <w:spacing w:after="0" w:line="250" w:lineRule="auto"/>
        <w:tabs>
          <w:tab w:leader="none" w:pos="4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Dutch court, a judicial tribunal or, in case of an arbitration, an arbitrator has established by final judgment that is not open to challenge or appeal, that the acts or omissions of the director can be considered intentional, fraudulent, grossly negligent, willfully reckless, seriously culpable, or willful misconduct on the part of the director, unless this would in the given circumstances be unacceptable according to the standards of reasonableness and fairness;</w:t>
      </w:r>
    </w:p>
    <w:p>
      <w:pPr>
        <w:spacing w:after="0" w:line="2" w:lineRule="exact"/>
        <w:rPr>
          <w:rFonts w:ascii="Times New Roman" w:cs="Times New Roman" w:eastAsia="Times New Roman" w:hAnsi="Times New Roman"/>
          <w:sz w:val="16"/>
          <w:szCs w:val="16"/>
          <w:color w:val="auto"/>
        </w:rPr>
      </w:pPr>
    </w:p>
    <w:p>
      <w:pPr>
        <w:ind w:left="480" w:hanging="243"/>
        <w:spacing w:after="0"/>
        <w:tabs>
          <w:tab w:leader="none" w:pos="4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or the decrease in assets of the director are covered by an insurance and the insurer started payment of the costs or the decrease in assets; or</w:t>
      </w:r>
    </w:p>
    <w:p>
      <w:pPr>
        <w:spacing w:after="0" w:line="8" w:lineRule="exact"/>
        <w:rPr>
          <w:rFonts w:ascii="Times New Roman" w:cs="Times New Roman" w:eastAsia="Times New Roman" w:hAnsi="Times New Roman"/>
          <w:sz w:val="16"/>
          <w:szCs w:val="16"/>
          <w:color w:val="auto"/>
        </w:rPr>
      </w:pPr>
    </w:p>
    <w:p>
      <w:pPr>
        <w:ind w:left="480" w:hanging="243"/>
        <w:spacing w:after="0"/>
        <w:tabs>
          <w:tab w:leader="none" w:pos="4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 brought up the procedure in question before a court.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color w:val="auto"/>
        </w:rPr>
        <w:t>Item 16. Exhibits and Financial Statement Schedules.</w:t>
      </w:r>
    </w:p>
    <w:p>
      <w:pPr>
        <w:spacing w:after="0" w:line="203" w:lineRule="exact"/>
        <w:rPr>
          <w:sz w:val="20"/>
          <w:szCs w:val="20"/>
          <w:color w:val="auto"/>
        </w:rPr>
      </w:pPr>
    </w:p>
    <w:p>
      <w:pPr>
        <w:ind w:firstLine="289"/>
        <w:spacing w:after="0" w:line="283" w:lineRule="auto"/>
        <w:rPr>
          <w:sz w:val="20"/>
          <w:szCs w:val="20"/>
          <w:color w:val="auto"/>
        </w:rPr>
      </w:pPr>
      <w:r>
        <w:rPr>
          <w:rFonts w:ascii="Times New Roman" w:cs="Times New Roman" w:eastAsia="Times New Roman" w:hAnsi="Times New Roman"/>
          <w:sz w:val="16"/>
          <w:szCs w:val="16"/>
          <w:color w:val="auto"/>
        </w:rPr>
        <w:t>See the Exhibit Index immediately preceding the signature page for a list of exhibits filed as part of this registration statement, which Exhibit Index is incorporated herein by reference.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17. Undertakings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registrant hereby undertakes:</w:t>
      </w:r>
    </w:p>
    <w:p>
      <w:pPr>
        <w:spacing w:after="0" w:line="201" w:lineRule="exact"/>
        <w:rPr>
          <w:sz w:val="20"/>
          <w:szCs w:val="20"/>
          <w:color w:val="auto"/>
        </w:rPr>
      </w:pPr>
    </w:p>
    <w:p>
      <w:pPr>
        <w:ind w:left="980" w:hanging="897"/>
        <w:spacing w:after="0"/>
        <w:tabs>
          <w:tab w:leader="none" w:pos="9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200" w:lineRule="exact"/>
        <w:rPr>
          <w:rFonts w:ascii="Times New Roman" w:cs="Times New Roman" w:eastAsia="Times New Roman" w:hAnsi="Times New Roman"/>
          <w:sz w:val="16"/>
          <w:szCs w:val="16"/>
          <w:color w:val="auto"/>
        </w:rPr>
      </w:pPr>
    </w:p>
    <w:p>
      <w:pPr>
        <w:ind w:left="980" w:hanging="609"/>
        <w:spacing w:after="0"/>
        <w:tabs>
          <w:tab w:leader="none" w:pos="98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w:t>
      </w:r>
    </w:p>
    <w:p>
      <w:pPr>
        <w:spacing w:after="0" w:line="201" w:lineRule="exact"/>
        <w:rPr>
          <w:sz w:val="20"/>
          <w:szCs w:val="20"/>
          <w:color w:val="auto"/>
        </w:rPr>
      </w:pPr>
    </w:p>
    <w:p>
      <w:pPr>
        <w:jc w:val="both"/>
        <w:ind w:left="980" w:right="20" w:hanging="631"/>
        <w:spacing w:after="0" w:line="257" w:lineRule="auto"/>
        <w:tabs>
          <w:tab w:leader="none" w:pos="9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65" w:lineRule="exact"/>
        <w:rPr>
          <w:sz w:val="20"/>
          <w:szCs w:val="20"/>
          <w:color w:val="auto"/>
        </w:rPr>
      </w:pPr>
    </w:p>
    <w:p>
      <w:pPr>
        <w:ind w:left="980" w:right="20" w:hanging="653"/>
        <w:spacing w:after="0" w:line="261" w:lineRule="auto"/>
        <w:tabs>
          <w:tab w:leader="none" w:pos="98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 w:lineRule="exact"/>
        <w:rPr>
          <w:rFonts w:ascii="Times New Roman" w:cs="Times New Roman" w:eastAsia="Times New Roman" w:hAnsi="Times New Roman"/>
          <w:sz w:val="16"/>
          <w:szCs w:val="16"/>
          <w:color w:val="auto"/>
        </w:rPr>
      </w:pPr>
    </w:p>
    <w:p>
      <w:pPr>
        <w:jc w:val="both"/>
        <w:ind w:left="980" w:right="2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however, that paragraphs (a)(1)(i), (ii), and (iii)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66" w:lineRule="exact"/>
        <w:rPr>
          <w:rFonts w:ascii="Times New Roman" w:cs="Times New Roman" w:eastAsia="Times New Roman" w:hAnsi="Times New Roman"/>
          <w:sz w:val="16"/>
          <w:szCs w:val="16"/>
          <w:color w:val="auto"/>
        </w:rPr>
      </w:pPr>
    </w:p>
    <w:p>
      <w:pPr>
        <w:ind w:left="980" w:right="20" w:hanging="897"/>
        <w:spacing w:after="0" w:line="283" w:lineRule="auto"/>
        <w:tabs>
          <w:tab w:leader="none" w:pos="9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3" w:lineRule="exact"/>
        <w:rPr>
          <w:rFonts w:ascii="Times New Roman" w:cs="Times New Roman" w:eastAsia="Times New Roman" w:hAnsi="Times New Roman"/>
          <w:sz w:val="16"/>
          <w:szCs w:val="16"/>
          <w:color w:val="auto"/>
        </w:rPr>
      </w:pPr>
    </w:p>
    <w:p>
      <w:pPr>
        <w:ind w:left="980" w:right="20" w:hanging="897"/>
        <w:spacing w:after="0" w:line="283" w:lineRule="auto"/>
        <w:tabs>
          <w:tab w:leader="none" w:pos="9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registrant hereby undertakes:</w:t>
      </w:r>
    </w:p>
    <w:p>
      <w:pPr>
        <w:spacing w:after="0" w:line="201" w:lineRule="exact"/>
        <w:rPr>
          <w:sz w:val="20"/>
          <w:szCs w:val="20"/>
          <w:color w:val="auto"/>
        </w:rPr>
      </w:pPr>
    </w:p>
    <w:p>
      <w:pPr>
        <w:ind w:left="980" w:hanging="897"/>
        <w:spacing w:after="0"/>
        <w:tabs>
          <w:tab w:leader="none" w:pos="9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200" w:lineRule="exact"/>
        <w:rPr>
          <w:rFonts w:ascii="Times New Roman" w:cs="Times New Roman" w:eastAsia="Times New Roman" w:hAnsi="Times New Roman"/>
          <w:sz w:val="16"/>
          <w:szCs w:val="16"/>
          <w:color w:val="auto"/>
        </w:rPr>
      </w:pPr>
    </w:p>
    <w:p>
      <w:pPr>
        <w:ind w:left="980" w:hanging="609"/>
        <w:spacing w:after="0"/>
        <w:tabs>
          <w:tab w:leader="none" w:pos="98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w:t>
      </w:r>
    </w:p>
    <w:p>
      <w:pPr>
        <w:spacing w:after="0" w:line="201" w:lineRule="exact"/>
        <w:rPr>
          <w:sz w:val="20"/>
          <w:szCs w:val="20"/>
          <w:color w:val="auto"/>
        </w:rPr>
      </w:pPr>
    </w:p>
    <w:p>
      <w:pPr>
        <w:jc w:val="both"/>
        <w:ind w:left="980" w:right="20" w:hanging="631"/>
        <w:spacing w:after="0" w:line="257" w:lineRule="auto"/>
        <w:tabs>
          <w:tab w:leader="none" w:pos="9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65" w:lineRule="exact"/>
        <w:rPr>
          <w:sz w:val="20"/>
          <w:szCs w:val="20"/>
          <w:color w:val="auto"/>
        </w:rPr>
      </w:pPr>
    </w:p>
    <w:p>
      <w:pPr>
        <w:ind w:left="980" w:right="20" w:hanging="653"/>
        <w:spacing w:after="0" w:line="261" w:lineRule="auto"/>
        <w:tabs>
          <w:tab w:leader="none" w:pos="9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 w:lineRule="exact"/>
        <w:rPr>
          <w:rFonts w:ascii="Times New Roman" w:cs="Times New Roman" w:eastAsia="Times New Roman" w:hAnsi="Times New Roman"/>
          <w:sz w:val="16"/>
          <w:szCs w:val="16"/>
          <w:color w:val="auto"/>
        </w:rPr>
      </w:pPr>
    </w:p>
    <w:p>
      <w:pPr>
        <w:jc w:val="both"/>
        <w:ind w:left="980" w:right="2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however, that paragraphs (a)(1)(i), (ii), and (iii)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180"/>
          </w:cols>
          <w:pgMar w:left="320" w:top="530" w:right="399" w:bottom="1440" w:gutter="0" w:footer="0" w:header="0"/>
        </w:sectPr>
      </w:pPr>
    </w:p>
    <w:bookmarkStart w:id="40" w:name="page41"/>
    <w:bookmarkEnd w:id="40"/>
    <w:p>
      <w:pPr>
        <w:ind w:left="897" w:hanging="897"/>
        <w:spacing w:after="0" w:line="283" w:lineRule="auto"/>
        <w:tabs>
          <w:tab w:leader="none" w:pos="897"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3" w:lineRule="exact"/>
        <w:rPr>
          <w:rFonts w:ascii="Times New Roman" w:cs="Times New Roman" w:eastAsia="Times New Roman" w:hAnsi="Times New Roman"/>
          <w:sz w:val="16"/>
          <w:szCs w:val="16"/>
          <w:color w:val="auto"/>
        </w:rPr>
      </w:pPr>
    </w:p>
    <w:p>
      <w:pPr>
        <w:ind w:left="897" w:hanging="897"/>
        <w:spacing w:after="0" w:line="283" w:lineRule="auto"/>
        <w:tabs>
          <w:tab w:leader="none" w:pos="897"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143" w:lineRule="exact"/>
        <w:rPr>
          <w:rFonts w:ascii="Times New Roman" w:cs="Times New Roman" w:eastAsia="Times New Roman" w:hAnsi="Times New Roman"/>
          <w:sz w:val="16"/>
          <w:szCs w:val="16"/>
          <w:color w:val="auto"/>
        </w:rPr>
      </w:pPr>
    </w:p>
    <w:p>
      <w:pPr>
        <w:jc w:val="both"/>
        <w:ind w:left="897" w:hanging="897"/>
        <w:spacing w:after="0" w:line="261" w:lineRule="auto"/>
        <w:tabs>
          <w:tab w:leader="none" w:pos="897"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1" w:lineRule="exact"/>
        <w:rPr>
          <w:rFonts w:ascii="Times New Roman" w:cs="Times New Roman" w:eastAsia="Times New Roman" w:hAnsi="Times New Roman"/>
          <w:sz w:val="16"/>
          <w:szCs w:val="16"/>
          <w:color w:val="auto"/>
        </w:rPr>
      </w:pPr>
    </w:p>
    <w:p>
      <w:pPr>
        <w:ind w:left="897" w:hanging="609"/>
        <w:spacing w:after="0"/>
        <w:tabs>
          <w:tab w:leader="none" w:pos="897"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preliminary prospectus or prospectus of the undersigned registrant relating to the offering required to be filed pursuant to Rule 424;</w:t>
      </w:r>
    </w:p>
    <w:p>
      <w:pPr>
        <w:spacing w:after="0" w:line="201" w:lineRule="exact"/>
        <w:rPr>
          <w:sz w:val="20"/>
          <w:szCs w:val="20"/>
          <w:color w:val="auto"/>
        </w:rPr>
      </w:pPr>
    </w:p>
    <w:p>
      <w:pPr>
        <w:ind w:left="897" w:hanging="631"/>
        <w:spacing w:after="0"/>
        <w:tabs>
          <w:tab w:leader="none" w:pos="897"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free writing prospectus relating to the offering prepared by or on behalf of the undersigned registrant or used or referred to by the undersigned registrant;</w:t>
      </w:r>
    </w:p>
    <w:p>
      <w:pPr>
        <w:spacing w:after="0" w:line="201" w:lineRule="exact"/>
        <w:rPr>
          <w:sz w:val="20"/>
          <w:szCs w:val="20"/>
          <w:color w:val="auto"/>
        </w:rPr>
      </w:pPr>
    </w:p>
    <w:p>
      <w:pPr>
        <w:ind w:left="897" w:hanging="653"/>
        <w:spacing w:after="0" w:line="283" w:lineRule="auto"/>
        <w:tabs>
          <w:tab w:leader="none" w:pos="897"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3" w:lineRule="exact"/>
        <w:rPr>
          <w:rFonts w:ascii="Times New Roman" w:cs="Times New Roman" w:eastAsia="Times New Roman" w:hAnsi="Times New Roman"/>
          <w:sz w:val="16"/>
          <w:szCs w:val="16"/>
          <w:color w:val="auto"/>
        </w:rPr>
      </w:pPr>
    </w:p>
    <w:p>
      <w:pPr>
        <w:ind w:left="897" w:hanging="649"/>
        <w:spacing w:after="0"/>
        <w:tabs>
          <w:tab w:leader="none" w:pos="897"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communication that is an offer in the offering made by the undersigned registrant to the purchaser.</w:t>
      </w:r>
    </w:p>
    <w:p>
      <w:pPr>
        <w:spacing w:after="0" w:line="200" w:lineRule="exact"/>
        <w:rPr>
          <w:rFonts w:ascii="Times New Roman" w:cs="Times New Roman" w:eastAsia="Times New Roman" w:hAnsi="Times New Roman"/>
          <w:sz w:val="16"/>
          <w:szCs w:val="16"/>
          <w:color w:val="auto"/>
        </w:rPr>
      </w:pPr>
    </w:p>
    <w:p>
      <w:pPr>
        <w:jc w:val="both"/>
        <w:ind w:left="897" w:hanging="897"/>
        <w:spacing w:after="0" w:line="261" w:lineRule="auto"/>
        <w:tabs>
          <w:tab w:leader="none" w:pos="89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1" w:lineRule="exact"/>
        <w:rPr>
          <w:rFonts w:ascii="Times New Roman" w:cs="Times New Roman" w:eastAsia="Times New Roman" w:hAnsi="Times New Roman"/>
          <w:sz w:val="16"/>
          <w:szCs w:val="16"/>
          <w:color w:val="auto"/>
        </w:rPr>
      </w:pPr>
    </w:p>
    <w:p>
      <w:pPr>
        <w:jc w:val="both"/>
        <w:ind w:left="897" w:hanging="897"/>
        <w:spacing w:after="0" w:line="256" w:lineRule="auto"/>
        <w:tabs>
          <w:tab w:leader="none" w:pos="89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15875</wp:posOffset>
            </wp:positionV>
            <wp:extent cx="714756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077"/>
          </w:cols>
          <w:pgMar w:left="403" w:top="532" w:right="419" w:bottom="1440" w:gutter="0" w:footer="0" w:header="0"/>
        </w:sectPr>
      </w:pPr>
    </w:p>
    <w:bookmarkStart w:id="41" w:name="page42"/>
    <w:bookmarkEnd w:id="41"/>
    <w:tbl>
      <w:tblPr>
        <w:tblLayout w:type="fixed"/>
        <w:tblInd w:w="4"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10"/>
          </w:tcPr>
          <w:p>
            <w:pPr>
              <w:ind w:left="150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433"/>
        </w:trPr>
        <w:tc>
          <w:tcPr>
            <w:tcW w:w="20" w:type="dxa"/>
            <w:vAlign w:val="bottom"/>
          </w:tcPr>
          <w:p>
            <w:pPr>
              <w:spacing w:after="0"/>
              <w:rPr>
                <w:sz w:val="24"/>
                <w:szCs w:val="24"/>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4"/>
        </w:trPr>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401"/>
        </w:trPr>
        <w:tc>
          <w:tcPr>
            <w:tcW w:w="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w w:val="81"/>
              </w:rPr>
              <w:t>1.1***</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Form of Underwriting Agreement</w:t>
            </w:r>
          </w:p>
        </w:tc>
      </w:tr>
      <w:tr>
        <w:trPr>
          <w:trHeight w:val="397"/>
        </w:trPr>
        <w:tc>
          <w:tcPr>
            <w:tcW w:w="340" w:type="dxa"/>
            <w:vAlign w:val="bottom"/>
            <w:gridSpan w:val="3"/>
          </w:tcPr>
          <w:p>
            <w:pPr>
              <w:ind w:left="20"/>
              <w:spacing w:after="0"/>
              <w:rPr>
                <w:rFonts w:ascii="Times New Roman" w:cs="Times New Roman" w:eastAsia="Times New Roman" w:hAnsi="Times New Roman"/>
                <w:sz w:val="16"/>
                <w:szCs w:val="16"/>
                <w:color w:val="0000EE"/>
                <w:w w:val="99"/>
              </w:rPr>
            </w:pPr>
            <w:hyperlink r:id="rId66">
              <w:r>
                <w:rPr>
                  <w:rFonts w:ascii="Times New Roman" w:cs="Times New Roman" w:eastAsia="Times New Roman" w:hAnsi="Times New Roman"/>
                  <w:sz w:val="16"/>
                  <w:szCs w:val="16"/>
                  <w:color w:val="0000EE"/>
                  <w:w w:val="99"/>
                </w:rPr>
                <w:t>3.</w:t>
              </w:r>
              <w:r>
                <w:rPr>
                  <w:rFonts w:ascii="Times New Roman" w:cs="Times New Roman" w:eastAsia="Times New Roman" w:hAnsi="Times New Roman"/>
                  <w:sz w:val="16"/>
                  <w:szCs w:val="16"/>
                  <w:u w:val="single" w:color="auto"/>
                  <w:color w:val="0000EE"/>
                  <w:w w:val="99"/>
                </w:rPr>
                <w:t>1*</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rFonts w:ascii="Times New Roman" w:cs="Times New Roman" w:eastAsia="Times New Roman" w:hAnsi="Times New Roman"/>
                <w:sz w:val="16"/>
                <w:szCs w:val="16"/>
                <w:color w:val="0000EE"/>
              </w:rPr>
            </w:pPr>
            <w:hyperlink r:id="rId66">
              <w:r>
                <w:rPr>
                  <w:rFonts w:ascii="Times New Roman" w:cs="Times New Roman" w:eastAsia="Times New Roman" w:hAnsi="Times New Roman"/>
                  <w:sz w:val="16"/>
                  <w:szCs w:val="16"/>
                  <w:color w:val="0000EE"/>
                </w:rPr>
                <w:t>Articles of Association of Sono Group N.V., as amended effective September 9, 2025 (Dutch and English translations) (incorporated herein by reference</w:t>
              </w:r>
            </w:hyperlink>
          </w:p>
        </w:tc>
      </w:tr>
      <w:tr>
        <w:trPr>
          <w:trHeight w:val="172"/>
        </w:trPr>
        <w:tc>
          <w:tcPr>
            <w:tcW w:w="20" w:type="dxa"/>
            <w:vAlign w:val="bottom"/>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tcBorders>
              <w:top w:val="single" w:sz="8" w:color="0000EE"/>
            </w:tcBorders>
            <w:gridSpan w:val="10"/>
          </w:tcPr>
          <w:p>
            <w:pPr>
              <w:spacing w:after="0" w:line="172" w:lineRule="exact"/>
              <w:rPr>
                <w:rFonts w:ascii="Times New Roman" w:cs="Times New Roman" w:eastAsia="Times New Roman" w:hAnsi="Times New Roman"/>
                <w:sz w:val="16"/>
                <w:szCs w:val="16"/>
                <w:color w:val="0000EE"/>
              </w:rPr>
            </w:pPr>
            <w:hyperlink r:id="rId66">
              <w:r>
                <w:rPr>
                  <w:rFonts w:ascii="Times New Roman" w:cs="Times New Roman" w:eastAsia="Times New Roman" w:hAnsi="Times New Roman"/>
                  <w:sz w:val="16"/>
                  <w:szCs w:val="16"/>
                  <w:color w:val="0000EE"/>
                </w:rPr>
                <w:t>to Exhibit 3.1 of Sono N.V.’s Quarterly Report on Form 10-Q filed with the SEC on November 20, 2025)</w:t>
              </w:r>
            </w:hyperlink>
          </w:p>
        </w:tc>
        <w:tc>
          <w:tcPr>
            <w:tcW w:w="100" w:type="dxa"/>
            <w:vAlign w:val="bottom"/>
            <w:gridSpan w:val="2"/>
          </w:tcPr>
          <w:p>
            <w:pPr>
              <w:spacing w:after="0"/>
              <w:rPr>
                <w:sz w:val="14"/>
                <w:szCs w:val="14"/>
                <w:color w:val="auto"/>
              </w:rPr>
            </w:pPr>
          </w:p>
        </w:tc>
      </w:tr>
      <w:tr>
        <w:trPr>
          <w:trHeight w:val="20"/>
        </w:trPr>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40" w:type="dxa"/>
            <w:vAlign w:val="bottom"/>
            <w:gridSpan w:val="3"/>
          </w:tcPr>
          <w:p>
            <w:pPr>
              <w:ind w:left="20"/>
              <w:spacing w:after="0"/>
              <w:rPr>
                <w:rFonts w:ascii="Times New Roman" w:cs="Times New Roman" w:eastAsia="Times New Roman" w:hAnsi="Times New Roman"/>
                <w:sz w:val="16"/>
                <w:szCs w:val="16"/>
                <w:color w:val="0000EE"/>
                <w:w w:val="99"/>
              </w:rPr>
            </w:pPr>
            <w:hyperlink r:id="rId67">
              <w:r>
                <w:rPr>
                  <w:rFonts w:ascii="Times New Roman" w:cs="Times New Roman" w:eastAsia="Times New Roman" w:hAnsi="Times New Roman"/>
                  <w:sz w:val="16"/>
                  <w:szCs w:val="16"/>
                  <w:color w:val="0000EE"/>
                  <w:w w:val="99"/>
                </w:rPr>
                <w:t>4.</w:t>
              </w:r>
              <w:r>
                <w:rPr>
                  <w:rFonts w:ascii="Times New Roman" w:cs="Times New Roman" w:eastAsia="Times New Roman" w:hAnsi="Times New Roman"/>
                  <w:sz w:val="16"/>
                  <w:szCs w:val="16"/>
                  <w:u w:val="single" w:color="auto"/>
                  <w:color w:val="0000EE"/>
                  <w:w w:val="99"/>
                </w:rPr>
                <w:t>1*</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rFonts w:ascii="Times New Roman" w:cs="Times New Roman" w:eastAsia="Times New Roman" w:hAnsi="Times New Roman"/>
                <w:sz w:val="16"/>
                <w:szCs w:val="16"/>
                <w:color w:val="0000EE"/>
              </w:rPr>
            </w:pPr>
            <w:hyperlink r:id="rId67">
              <w:r>
                <w:rPr>
                  <w:rFonts w:ascii="Times New Roman" w:cs="Times New Roman" w:eastAsia="Times New Roman" w:hAnsi="Times New Roman"/>
                  <w:sz w:val="16"/>
                  <w:szCs w:val="16"/>
                  <w:color w:val="0000EE"/>
                </w:rPr>
                <w:t>Description of the rights of each class of Sono N.V. securities registered under Section 12 of the Securities Exchange Act of 1934 (incorporated herein by</w:t>
              </w:r>
            </w:hyperlink>
          </w:p>
        </w:tc>
      </w:tr>
      <w:tr>
        <w:trPr>
          <w:trHeight w:val="172"/>
        </w:trPr>
        <w:tc>
          <w:tcPr>
            <w:tcW w:w="20" w:type="dxa"/>
            <w:vAlign w:val="bottom"/>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00" w:type="dxa"/>
            <w:vAlign w:val="bottom"/>
            <w:tcBorders>
              <w:top w:val="single" w:sz="8" w:color="0000EE"/>
              <w:bottom w:val="single" w:sz="8" w:color="0000EE"/>
            </w:tcBorders>
            <w:gridSpan w:val="8"/>
          </w:tcPr>
          <w:p>
            <w:pPr>
              <w:spacing w:after="0" w:line="172" w:lineRule="exact"/>
              <w:rPr>
                <w:rFonts w:ascii="Times New Roman" w:cs="Times New Roman" w:eastAsia="Times New Roman" w:hAnsi="Times New Roman"/>
                <w:sz w:val="16"/>
                <w:szCs w:val="16"/>
                <w:color w:val="0000EE"/>
                <w:w w:val="99"/>
              </w:rPr>
            </w:pPr>
            <w:hyperlink r:id="rId67">
              <w:r>
                <w:rPr>
                  <w:rFonts w:ascii="Times New Roman" w:cs="Times New Roman" w:eastAsia="Times New Roman" w:hAnsi="Times New Roman"/>
                  <w:sz w:val="16"/>
                  <w:szCs w:val="16"/>
                  <w:color w:val="0000EE"/>
                  <w:w w:val="99"/>
                </w:rPr>
                <w:t>reference to Exhibit 4.1 of Sono N.V.’s Annual Report on Form 10-K filed with the SEC on April 17, 2025)</w:t>
              </w:r>
            </w:hyperlink>
          </w:p>
        </w:tc>
        <w:tc>
          <w:tcPr>
            <w:tcW w:w="2940" w:type="dxa"/>
            <w:vAlign w:val="bottom"/>
            <w:tcBorders>
              <w:top w:val="single" w:sz="8" w:color="0000EE"/>
            </w:tcBorders>
            <w:gridSpan w:val="3"/>
          </w:tcPr>
          <w:p>
            <w:pPr>
              <w:spacing w:after="0"/>
              <w:rPr>
                <w:sz w:val="14"/>
                <w:szCs w:val="14"/>
                <w:color w:val="auto"/>
              </w:rPr>
            </w:pPr>
          </w:p>
        </w:tc>
        <w:tc>
          <w:tcPr>
            <w:tcW w:w="40" w:type="dxa"/>
            <w:vAlign w:val="bottom"/>
          </w:tcPr>
          <w:p>
            <w:pPr>
              <w:spacing w:after="0"/>
              <w:rPr>
                <w:sz w:val="14"/>
                <w:szCs w:val="14"/>
                <w:color w:val="auto"/>
              </w:rPr>
            </w:pPr>
          </w:p>
        </w:tc>
      </w:tr>
      <w:tr>
        <w:trPr>
          <w:trHeight w:val="413"/>
        </w:trPr>
        <w:tc>
          <w:tcPr>
            <w:tcW w:w="340" w:type="dxa"/>
            <w:vAlign w:val="bottom"/>
            <w:gridSpan w:val="3"/>
          </w:tcPr>
          <w:p>
            <w:pPr>
              <w:ind w:left="20"/>
              <w:spacing w:after="0"/>
              <w:rPr>
                <w:rFonts w:ascii="Times New Roman" w:cs="Times New Roman" w:eastAsia="Times New Roman" w:hAnsi="Times New Roman"/>
                <w:sz w:val="16"/>
                <w:szCs w:val="16"/>
                <w:color w:val="0000EE"/>
                <w:w w:val="99"/>
              </w:rPr>
            </w:pPr>
            <w:hyperlink r:id="rId68">
              <w:r>
                <w:rPr>
                  <w:rFonts w:ascii="Times New Roman" w:cs="Times New Roman" w:eastAsia="Times New Roman" w:hAnsi="Times New Roman"/>
                  <w:sz w:val="16"/>
                  <w:szCs w:val="16"/>
                  <w:color w:val="0000EE"/>
                  <w:w w:val="99"/>
                </w:rPr>
                <w:t>4.</w:t>
              </w:r>
              <w:r>
                <w:rPr>
                  <w:rFonts w:ascii="Times New Roman" w:cs="Times New Roman" w:eastAsia="Times New Roman" w:hAnsi="Times New Roman"/>
                  <w:sz w:val="16"/>
                  <w:szCs w:val="16"/>
                  <w:u w:val="single" w:color="auto"/>
                  <w:color w:val="0000EE"/>
                  <w:w w:val="99"/>
                </w:rPr>
                <w:t>2*</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rFonts w:ascii="Times New Roman" w:cs="Times New Roman" w:eastAsia="Times New Roman" w:hAnsi="Times New Roman"/>
                <w:sz w:val="16"/>
                <w:szCs w:val="16"/>
                <w:color w:val="0000EE"/>
              </w:rPr>
            </w:pPr>
            <w:hyperlink r:id="rId68">
              <w:r>
                <w:rPr>
                  <w:rFonts w:ascii="Times New Roman" w:cs="Times New Roman" w:eastAsia="Times New Roman" w:hAnsi="Times New Roman"/>
                  <w:sz w:val="16"/>
                  <w:szCs w:val="16"/>
                  <w:color w:val="0000EE"/>
                </w:rPr>
                <w:t>Pre-Funded Warrant, dated March 10, 2026, issued by Sono N.V. to YA II PN, Ltd. (incorporated herein by reference to Exhibit 4.1 of Sono N.V.’s</w:t>
              </w:r>
            </w:hyperlink>
          </w:p>
        </w:tc>
      </w:tr>
      <w:tr>
        <w:trPr>
          <w:trHeight w:val="172"/>
        </w:trPr>
        <w:tc>
          <w:tcPr>
            <w:tcW w:w="20" w:type="dxa"/>
            <w:vAlign w:val="bottom"/>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tcBorders>
              <w:top w:val="single" w:sz="8" w:color="0000EE"/>
              <w:bottom w:val="single" w:sz="8" w:color="0000EE"/>
            </w:tcBorders>
            <w:gridSpan w:val="4"/>
          </w:tcPr>
          <w:p>
            <w:pPr>
              <w:spacing w:after="0" w:line="172" w:lineRule="exact"/>
              <w:rPr>
                <w:rFonts w:ascii="Times New Roman" w:cs="Times New Roman" w:eastAsia="Times New Roman" w:hAnsi="Times New Roman"/>
                <w:sz w:val="16"/>
                <w:szCs w:val="16"/>
                <w:color w:val="0000EE"/>
                <w:w w:val="99"/>
              </w:rPr>
            </w:pPr>
            <w:hyperlink r:id="rId68">
              <w:r>
                <w:rPr>
                  <w:rFonts w:ascii="Times New Roman" w:cs="Times New Roman" w:eastAsia="Times New Roman" w:hAnsi="Times New Roman"/>
                  <w:sz w:val="16"/>
                  <w:szCs w:val="16"/>
                  <w:color w:val="0000EE"/>
                  <w:w w:val="99"/>
                </w:rPr>
                <w:t>Current Report on Form 8-K filed with the SEC on March 10, 2026)</w:t>
              </w:r>
            </w:hyperlink>
          </w:p>
        </w:tc>
        <w:tc>
          <w:tcPr>
            <w:tcW w:w="5020" w:type="dxa"/>
            <w:vAlign w:val="bottom"/>
            <w:tcBorders>
              <w:top w:val="single" w:sz="8" w:color="0000EE"/>
            </w:tcBorders>
            <w:gridSpan w:val="5"/>
          </w:tcPr>
          <w:p>
            <w:pPr>
              <w:spacing w:after="0"/>
              <w:rPr>
                <w:sz w:val="14"/>
                <w:szCs w:val="14"/>
                <w:color w:val="auto"/>
              </w:rPr>
            </w:pPr>
          </w:p>
        </w:tc>
        <w:tc>
          <w:tcPr>
            <w:tcW w:w="480" w:type="dxa"/>
            <w:vAlign w:val="bottom"/>
            <w:gridSpan w:val="3"/>
          </w:tcPr>
          <w:p>
            <w:pPr>
              <w:spacing w:after="0"/>
              <w:rPr>
                <w:sz w:val="14"/>
                <w:szCs w:val="14"/>
                <w:color w:val="auto"/>
              </w:rPr>
            </w:pPr>
          </w:p>
        </w:tc>
      </w:tr>
      <w:tr>
        <w:trPr>
          <w:trHeight w:val="449"/>
        </w:trPr>
        <w:tc>
          <w:tcPr>
            <w:tcW w:w="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w w:val="81"/>
              </w:rPr>
              <w:t>4.3***</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Form of Specimen Ordinary Shares Certificate</w:t>
            </w:r>
          </w:p>
        </w:tc>
      </w:tr>
      <w:tr>
        <w:trPr>
          <w:trHeight w:val="481"/>
        </w:trPr>
        <w:tc>
          <w:tcPr>
            <w:tcW w:w="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w w:val="81"/>
              </w:rPr>
              <w:t>4.4***</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Form of Specimen Preferred Shares Certificate</w:t>
            </w:r>
          </w:p>
        </w:tc>
      </w:tr>
      <w:tr>
        <w:trPr>
          <w:trHeight w:val="481"/>
        </w:trPr>
        <w:tc>
          <w:tcPr>
            <w:tcW w:w="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w w:val="81"/>
              </w:rPr>
              <w:t>4.5***</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Form of Indenture</w:t>
            </w:r>
          </w:p>
        </w:tc>
      </w:tr>
      <w:tr>
        <w:trPr>
          <w:trHeight w:val="481"/>
        </w:trPr>
        <w:tc>
          <w:tcPr>
            <w:tcW w:w="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w w:val="81"/>
              </w:rPr>
              <w:t>4.6***</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Form of Debt Security with respect to Senior Debt Securities</w:t>
            </w:r>
          </w:p>
        </w:tc>
      </w:tr>
      <w:tr>
        <w:trPr>
          <w:trHeight w:val="481"/>
        </w:trPr>
        <w:tc>
          <w:tcPr>
            <w:tcW w:w="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w w:val="81"/>
              </w:rPr>
              <w:t>4.7***</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Form of Debt Security with respect to Subordinated Debt Securities</w:t>
            </w:r>
          </w:p>
        </w:tc>
      </w:tr>
      <w:tr>
        <w:trPr>
          <w:trHeight w:val="481"/>
        </w:trPr>
        <w:tc>
          <w:tcPr>
            <w:tcW w:w="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w w:val="81"/>
              </w:rPr>
              <w:t>4.8***</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Form of Warrant Agreement</w:t>
            </w:r>
          </w:p>
        </w:tc>
      </w:tr>
      <w:tr>
        <w:trPr>
          <w:trHeight w:val="481"/>
        </w:trPr>
        <w:tc>
          <w:tcPr>
            <w:tcW w:w="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w w:val="81"/>
              </w:rPr>
              <w:t>4.9***</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Form of Rights Agreement</w:t>
            </w:r>
          </w:p>
        </w:tc>
      </w:tr>
      <w:tr>
        <w:trPr>
          <w:trHeight w:val="433"/>
        </w:trPr>
        <w:tc>
          <w:tcPr>
            <w:tcW w:w="11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4.10***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Form of Unit Agreement</w:t>
            </w:r>
          </w:p>
        </w:tc>
      </w:tr>
      <w:tr>
        <w:trPr>
          <w:trHeight w:val="397"/>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EE"/>
                <w:w w:val="77"/>
              </w:rPr>
              <w:t>5.</w:t>
            </w:r>
            <w:r>
              <w:rPr>
                <w:rFonts w:ascii="Times New Roman" w:cs="Times New Roman" w:eastAsia="Times New Roman" w:hAnsi="Times New Roman"/>
                <w:sz w:val="16"/>
                <w:szCs w:val="16"/>
                <w:u w:val="single" w:color="auto"/>
                <w:color w:val="0000EE"/>
                <w:w w:val="77"/>
              </w:rPr>
              <w:t>1**</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6"/>
                <w:szCs w:val="16"/>
                <w:color w:val="0000EE"/>
              </w:rPr>
              <w:t>Opinion of DLA Piper LLP (US)</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r>
      <w:tr>
        <w:trPr>
          <w:trHeight w:val="413"/>
        </w:trPr>
        <w:tc>
          <w:tcPr>
            <w:tcW w:w="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EE"/>
                <w:w w:val="81"/>
              </w:rPr>
              <w:t>23.</w:t>
            </w:r>
            <w:r>
              <w:rPr>
                <w:rFonts w:ascii="Times New Roman" w:cs="Times New Roman" w:eastAsia="Times New Roman" w:hAnsi="Times New Roman"/>
                <w:sz w:val="16"/>
                <w:szCs w:val="16"/>
                <w:u w:val="single" w:color="auto"/>
                <w:color w:val="0000EE"/>
                <w:w w:val="81"/>
              </w:rPr>
              <w:t>1**</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6"/>
                <w:szCs w:val="16"/>
                <w:color w:val="0000EE"/>
              </w:rPr>
              <w:t>Consent of Grassi &amp; Co., CPAs, Independent Registered Public Accounting Firm for Sono Group N.V.</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r>
      <w:tr>
        <w:trPr>
          <w:trHeight w:val="413"/>
        </w:trPr>
        <w:tc>
          <w:tcPr>
            <w:tcW w:w="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EE"/>
                <w:w w:val="81"/>
              </w:rPr>
              <w:t>23.</w:t>
            </w:r>
            <w:r>
              <w:rPr>
                <w:rFonts w:ascii="Times New Roman" w:cs="Times New Roman" w:eastAsia="Times New Roman" w:hAnsi="Times New Roman"/>
                <w:sz w:val="16"/>
                <w:szCs w:val="16"/>
                <w:u w:val="single" w:color="auto"/>
                <w:color w:val="0000EE"/>
                <w:w w:val="81"/>
              </w:rPr>
              <w:t>2**</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6"/>
                <w:szCs w:val="16"/>
                <w:color w:val="0000EE"/>
              </w:rPr>
              <w:t>Consent of DLA Piper LLP (US) (included in Exhibit 5.1)</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900" w:type="dxa"/>
            <w:vAlign w:val="bottom"/>
            <w:gridSpan w:val="7"/>
          </w:tcPr>
          <w:p>
            <w:pPr>
              <w:spacing w:after="0" w:line="20" w:lineRule="exact"/>
              <w:rPr>
                <w:sz w:val="1"/>
                <w:szCs w:val="1"/>
                <w:color w:val="auto"/>
              </w:rPr>
            </w:pPr>
          </w:p>
        </w:tc>
      </w:tr>
      <w:tr>
        <w:trPr>
          <w:trHeight w:val="413"/>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EE"/>
                <w:w w:val="87"/>
              </w:rPr>
              <w:t>24**</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6"/>
                <w:szCs w:val="16"/>
                <w:color w:val="0000EE"/>
              </w:rPr>
              <w:t>Power of Attorney (included on signature page to initial filing of this Registration Statement)</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940" w:type="dxa"/>
            <w:vAlign w:val="bottom"/>
            <w:gridSpan w:val="4"/>
            <w:shd w:val="clear" w:color="auto" w:fill="0000EE"/>
          </w:tcPr>
          <w:p>
            <w:pPr>
              <w:spacing w:after="0" w:line="20" w:lineRule="exact"/>
              <w:rPr>
                <w:sz w:val="1"/>
                <w:szCs w:val="1"/>
                <w:color w:val="auto"/>
              </w:rPr>
            </w:pPr>
          </w:p>
        </w:tc>
        <w:tc>
          <w:tcPr>
            <w:tcW w:w="3900" w:type="dxa"/>
            <w:vAlign w:val="bottom"/>
            <w:gridSpan w:val="7"/>
          </w:tcPr>
          <w:p>
            <w:pPr>
              <w:spacing w:after="0" w:line="20" w:lineRule="exact"/>
              <w:rPr>
                <w:sz w:val="1"/>
                <w:szCs w:val="1"/>
                <w:color w:val="auto"/>
              </w:rPr>
            </w:pPr>
          </w:p>
        </w:tc>
      </w:tr>
      <w:tr>
        <w:trPr>
          <w:trHeight w:val="449"/>
        </w:trPr>
        <w:tc>
          <w:tcPr>
            <w:tcW w:w="11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25.1****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Form T-1 Statement of Eligibility of Trustee for Indenture under the Trust Indenture Act of 1939, as amended.</w:t>
            </w:r>
          </w:p>
        </w:tc>
      </w:tr>
      <w:tr>
        <w:trPr>
          <w:trHeight w:val="421"/>
        </w:trPr>
        <w:tc>
          <w:tcPr>
            <w:tcW w:w="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EE"/>
                <w:w w:val="89"/>
              </w:rPr>
              <w:t>107**</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6"/>
                <w:szCs w:val="16"/>
                <w:color w:val="0000EE"/>
              </w:rPr>
              <w:t>Filing Fee Table</w:t>
            </w: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5" w:lineRule="exact"/>
        <w:rPr>
          <w:sz w:val="20"/>
          <w:szCs w:val="20"/>
          <w:color w:val="auto"/>
        </w:rPr>
      </w:pPr>
    </w:p>
    <w:p>
      <w:pPr>
        <w:ind w:left="644" w:hanging="644"/>
        <w:spacing w:after="0"/>
        <w:tabs>
          <w:tab w:leader="none" w:pos="644"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and incorporated herein by reference.</w:t>
      </w:r>
    </w:p>
    <w:p>
      <w:pPr>
        <w:spacing w:after="0" w:line="8"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Filed Herewith.</w:t>
      </w:r>
    </w:p>
    <w:p>
      <w:pPr>
        <w:spacing w:after="0" w:line="8" w:lineRule="exact"/>
        <w:rPr>
          <w:rFonts w:ascii="Times New Roman" w:cs="Times New Roman" w:eastAsia="Times New Roman" w:hAnsi="Times New Roman"/>
          <w:sz w:val="16"/>
          <w:szCs w:val="16"/>
          <w:color w:val="auto"/>
        </w:rPr>
      </w:pPr>
    </w:p>
    <w:p>
      <w:pPr>
        <w:ind w:left="644" w:right="20" w:hanging="637"/>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if necessary, by amendment or as an exhibit to a document to be incorporated or deemed to be incorporated by reference in this registration statement, including a Current Report on Form 8-K.</w:t>
      </w:r>
    </w:p>
    <w:p>
      <w:pPr>
        <w:spacing w:after="0" w:line="1"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To be filed pursuant to Section 305(b)(2) of the Trust Indenture Act of 1939, as amended, as applicable.</w:t>
      </w:r>
    </w:p>
    <w:p>
      <w:pPr>
        <w:spacing w:after="0" w:line="28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4"/>
          </w:cols>
          <w:pgMar w:left="316" w:top="746"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3" w:lineRule="exact"/>
        <w:rPr>
          <w:sz w:val="20"/>
          <w:szCs w:val="20"/>
          <w:color w:val="auto"/>
        </w:rPr>
      </w:pPr>
    </w:p>
    <w:p>
      <w:pPr>
        <w:ind w:right="60" w:firstLine="289"/>
        <w:spacing w:after="0" w:line="283"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the undersigned has duly caused this registration statement on Form S-3 to be signed on its behalf by the undersigned, thereunto duly authorized, in the City of Westfield, State of New Jersey on May 12, 2026.</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SONO GROUP N.V.</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0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Kevin McGurn</w:t>
            </w:r>
          </w:p>
        </w:tc>
      </w:tr>
      <w:tr>
        <w:trPr>
          <w:trHeight w:val="24"/>
        </w:trPr>
        <w:tc>
          <w:tcPr>
            <w:tcW w:w="1100" w:type="dxa"/>
            <w:vAlign w:val="bottom"/>
          </w:tcPr>
          <w:p>
            <w:pPr>
              <w:spacing w:after="0"/>
              <w:rPr>
                <w:sz w:val="2"/>
                <w:szCs w:val="2"/>
                <w:color w:val="auto"/>
              </w:rPr>
            </w:pPr>
          </w:p>
        </w:tc>
        <w:tc>
          <w:tcPr>
            <w:tcW w:w="10140" w:type="dxa"/>
            <w:vAlign w:val="bottom"/>
            <w:tcBorders>
              <w:bottom w:val="single" w:sz="8" w:color="auto"/>
            </w:tcBorders>
          </w:tcPr>
          <w:p>
            <w:pPr>
              <w:spacing w:after="0"/>
              <w:rPr>
                <w:sz w:val="2"/>
                <w:szCs w:val="2"/>
                <w:color w:val="auto"/>
              </w:rPr>
            </w:pPr>
          </w:p>
        </w:tc>
      </w:tr>
      <w:tr>
        <w:trPr>
          <w:trHeight w:val="208"/>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10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Kevin McGurn</w:t>
            </w:r>
          </w:p>
        </w:tc>
      </w:tr>
      <w:tr>
        <w:trPr>
          <w:trHeight w:val="24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10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and Managing Director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3" w:lineRule="exact"/>
        <w:rPr>
          <w:sz w:val="20"/>
          <w:szCs w:val="20"/>
          <w:color w:val="auto"/>
        </w:rPr>
      </w:pPr>
    </w:p>
    <w:p>
      <w:pPr>
        <w:ind w:right="20" w:firstLine="289"/>
        <w:spacing w:after="0" w:line="256" w:lineRule="auto"/>
        <w:rPr>
          <w:sz w:val="20"/>
          <w:szCs w:val="20"/>
          <w:color w:val="auto"/>
        </w:rPr>
      </w:pPr>
      <w:r>
        <w:rPr>
          <w:rFonts w:ascii="Times New Roman" w:cs="Times New Roman" w:eastAsia="Times New Roman" w:hAnsi="Times New Roman"/>
          <w:sz w:val="16"/>
          <w:szCs w:val="16"/>
          <w:color w:val="auto"/>
        </w:rPr>
        <w:t>KNOW ALL PERSONS BY THESE PRESENTS, that each of the undersigned constitutes and appoints Kevin McGurn, acting alone, his or her true and lawful attorney-in-fact and agents, with full power of substitution and resubstitution, for such person and in his or her name, place and stead, in any and all capacities, to sign this Registration Statement on Form S-3 (including all pre-effective and post-effective amendments and registration statements filed under the Securities Act of 1933),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that such attorney-in-fact and agent, or his or her substitute or substitutes, may lawfully do or cause to be done by virtue hereof.</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Pursuant to the requirements of the Securities Act of 1933, this registration statement has been signed by the following persons in the capacities and on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40" w:type="dxa"/>
            <w:vAlign w:val="bottom"/>
          </w:tcPr>
          <w:p>
            <w:pPr>
              <w:ind w:left="124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60" w:type="dxa"/>
            <w:vAlign w:val="bottom"/>
          </w:tcPr>
          <w:p>
            <w:pPr>
              <w:spacing w:after="0"/>
              <w:rPr>
                <w:sz w:val="18"/>
                <w:szCs w:val="18"/>
                <w:color w:val="auto"/>
              </w:rPr>
            </w:pPr>
          </w:p>
        </w:tc>
        <w:tc>
          <w:tcPr>
            <w:tcW w:w="6140" w:type="dxa"/>
            <w:vAlign w:val="bottom"/>
            <w:gridSpan w:val="2"/>
          </w:tcPr>
          <w:p>
            <w:pPr>
              <w:ind w:left="272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24"/>
        </w:trPr>
        <w:tc>
          <w:tcPr>
            <w:tcW w:w="3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425"/>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Kevin McGurn</w:t>
            </w:r>
          </w:p>
        </w:tc>
        <w:tc>
          <w:tcPr>
            <w:tcW w:w="160" w:type="dxa"/>
            <w:vAlign w:val="bottom"/>
          </w:tcPr>
          <w:p>
            <w:pPr>
              <w:spacing w:after="0"/>
              <w:rPr>
                <w:sz w:val="24"/>
                <w:szCs w:val="24"/>
                <w:color w:val="auto"/>
              </w:rPr>
            </w:pPr>
          </w:p>
        </w:tc>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Executive Officer and Managing Director</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12, 2026</w:t>
            </w:r>
          </w:p>
        </w:tc>
      </w:tr>
      <w:tr>
        <w:trPr>
          <w:trHeight w:val="208"/>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Kevin McGurn</w:t>
            </w:r>
          </w:p>
        </w:tc>
        <w:tc>
          <w:tcPr>
            <w:tcW w:w="160" w:type="dxa"/>
            <w:vAlign w:val="bottom"/>
          </w:tcPr>
          <w:p>
            <w:pPr>
              <w:spacing w:after="0"/>
              <w:rPr>
                <w:sz w:val="18"/>
                <w:szCs w:val="18"/>
                <w:color w:val="auto"/>
              </w:rPr>
            </w:pPr>
          </w:p>
        </w:tc>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820" w:type="dxa"/>
            <w:vAlign w:val="bottom"/>
          </w:tcPr>
          <w:p>
            <w:pPr>
              <w:spacing w:after="0"/>
              <w:rPr>
                <w:sz w:val="18"/>
                <w:szCs w:val="18"/>
                <w:color w:val="auto"/>
              </w:rPr>
            </w:pPr>
          </w:p>
        </w:tc>
      </w:tr>
      <w:tr>
        <w:trPr>
          <w:trHeight w:val="457"/>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 Scott Calhoun</w:t>
            </w:r>
          </w:p>
        </w:tc>
        <w:tc>
          <w:tcPr>
            <w:tcW w:w="160" w:type="dxa"/>
            <w:vAlign w:val="bottom"/>
          </w:tcPr>
          <w:p>
            <w:pPr>
              <w:spacing w:after="0"/>
              <w:rPr>
                <w:sz w:val="24"/>
                <w:szCs w:val="24"/>
                <w:color w:val="auto"/>
              </w:rPr>
            </w:pPr>
          </w:p>
        </w:tc>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12, 2026</w:t>
            </w:r>
          </w:p>
        </w:tc>
      </w:tr>
      <w:tr>
        <w:trPr>
          <w:trHeight w:val="208"/>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 Scott Calhoun</w:t>
            </w:r>
          </w:p>
        </w:tc>
        <w:tc>
          <w:tcPr>
            <w:tcW w:w="160" w:type="dxa"/>
            <w:vAlign w:val="bottom"/>
          </w:tcPr>
          <w:p>
            <w:pPr>
              <w:spacing w:after="0"/>
              <w:rPr>
                <w:sz w:val="18"/>
                <w:szCs w:val="18"/>
                <w:color w:val="auto"/>
              </w:rPr>
            </w:pPr>
          </w:p>
        </w:tc>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c>
          <w:tcPr>
            <w:tcW w:w="1820" w:type="dxa"/>
            <w:vAlign w:val="bottom"/>
          </w:tcPr>
          <w:p>
            <w:pPr>
              <w:spacing w:after="0"/>
              <w:rPr>
                <w:sz w:val="18"/>
                <w:szCs w:val="18"/>
                <w:color w:val="auto"/>
              </w:rPr>
            </w:pPr>
          </w:p>
        </w:tc>
      </w:tr>
      <w:tr>
        <w:trPr>
          <w:trHeight w:val="43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David Dodge</w:t>
            </w:r>
          </w:p>
        </w:tc>
        <w:tc>
          <w:tcPr>
            <w:tcW w:w="160" w:type="dxa"/>
            <w:vAlign w:val="bottom"/>
          </w:tcPr>
          <w:p>
            <w:pPr>
              <w:spacing w:after="0"/>
              <w:rPr>
                <w:sz w:val="24"/>
                <w:szCs w:val="24"/>
                <w:color w:val="auto"/>
              </w:rPr>
            </w:pPr>
          </w:p>
        </w:tc>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Chairperson of the Supervisory Board</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12, 2026</w:t>
            </w:r>
          </w:p>
        </w:tc>
      </w:tr>
      <w:tr>
        <w:trPr>
          <w:trHeight w:val="24"/>
        </w:trPr>
        <w:tc>
          <w:tcPr>
            <w:tcW w:w="3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8"/>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Dodge</w:t>
            </w:r>
          </w:p>
        </w:tc>
        <w:tc>
          <w:tcPr>
            <w:tcW w:w="1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Christopher Schreiber</w:t>
            </w:r>
          </w:p>
        </w:tc>
        <w:tc>
          <w:tcPr>
            <w:tcW w:w="160" w:type="dxa"/>
            <w:vAlign w:val="bottom"/>
          </w:tcPr>
          <w:p>
            <w:pPr>
              <w:spacing w:after="0"/>
              <w:rPr>
                <w:sz w:val="24"/>
                <w:szCs w:val="24"/>
                <w:color w:val="auto"/>
              </w:rPr>
            </w:pPr>
          </w:p>
        </w:tc>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Member of the Supervisory Board</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12, 2026</w:t>
            </w:r>
          </w:p>
        </w:tc>
      </w:tr>
      <w:tr>
        <w:trPr>
          <w:trHeight w:val="24"/>
        </w:trPr>
        <w:tc>
          <w:tcPr>
            <w:tcW w:w="3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8"/>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Christopher Schreiber</w:t>
            </w:r>
          </w:p>
        </w:tc>
        <w:tc>
          <w:tcPr>
            <w:tcW w:w="1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Owen May</w:t>
            </w:r>
          </w:p>
        </w:tc>
        <w:tc>
          <w:tcPr>
            <w:tcW w:w="160" w:type="dxa"/>
            <w:vAlign w:val="bottom"/>
          </w:tcPr>
          <w:p>
            <w:pPr>
              <w:spacing w:after="0"/>
              <w:rPr>
                <w:sz w:val="24"/>
                <w:szCs w:val="24"/>
                <w:color w:val="auto"/>
              </w:rPr>
            </w:pPr>
          </w:p>
        </w:tc>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Member of the Supervisory Board</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12, 2026</w:t>
            </w:r>
          </w:p>
        </w:tc>
      </w:tr>
      <w:tr>
        <w:trPr>
          <w:trHeight w:val="24"/>
        </w:trPr>
        <w:tc>
          <w:tcPr>
            <w:tcW w:w="3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8"/>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Owen May</w:t>
            </w:r>
          </w:p>
        </w:tc>
        <w:tc>
          <w:tcPr>
            <w:tcW w:w="1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714756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530" w:right="3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201"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1259840" cy="8096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59840" cy="809625"/>
                    </a:xfrm>
                    <a:prstGeom prst="rect">
                      <a:avLst/>
                    </a:prstGeom>
                    <a:noFill/>
                  </pic:spPr>
                </pic:pic>
              </a:graphicData>
            </a:graphic>
          </wp:anchor>
        </w:drawing>
      </w:r>
    </w:p>
    <w:p>
      <w:pPr>
        <w:spacing w:after="0" w:line="7"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color w:val="auto"/>
        </w:rPr>
        <w:t>555 Mission St. #2400</w:t>
      </w:r>
    </w:p>
    <w:p>
      <w:pPr>
        <w:spacing w:after="0" w:line="8"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color w:val="auto"/>
        </w:rPr>
        <w:t>San Francisco, California 94105</w:t>
      </w:r>
    </w:p>
    <w:p>
      <w:pPr>
        <w:spacing w:after="0" w:line="8"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color w:val="auto"/>
        </w:rPr>
        <w:t>www.dlapiper.com</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12, 2026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Sono Group N.V.</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4965 Trinidad Drive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Land O’Lakes, FL 34639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 of America</w:t>
      </w:r>
    </w:p>
    <w:p>
      <w:pPr>
        <w:sectPr>
          <w:pgSz w:w="11900" w:h="16838" w:orient="portrait"/>
          <w:cols w:equalWidth="0" w:num="1">
            <w:col w:w="11260"/>
          </w:cols>
          <w:pgMar w:left="320" w:top="121" w:right="319" w:bottom="1440" w:gutter="0" w:footer="0" w:header="0"/>
        </w:sect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Sono Group N.V.</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Registration Statement on Form S-3 (File No. 333-[______])</w:t>
      </w:r>
    </w:p>
    <w:p>
      <w:pPr>
        <w:spacing w:after="0" w:line="184" w:lineRule="exact"/>
        <w:rPr>
          <w:sz w:val="20"/>
          <w:szCs w:val="20"/>
          <w:color w:val="auto"/>
        </w:rPr>
      </w:pPr>
    </w:p>
    <w:p>
      <w:pPr>
        <w:sectPr>
          <w:pgSz w:w="11900" w:h="16838" w:orient="portrait"/>
          <w:cols w:equalWidth="0" w:num="2">
            <w:col w:w="220" w:space="420"/>
            <w:col w:w="10620"/>
          </w:cols>
          <w:pgMar w:left="320" w:top="121"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have acted as special United States counsel to Sono Group N.V., a public company with limited liability organized under the laws of the Netherlands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in connection with the Registration Statement (as defined below) filed by the Company relating to the offering of up to $100,000,000 in total value of: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ordinary shares, (b) preferred shares, (c) debt securities of the Company (the “</w:t>
      </w:r>
      <w:r>
        <w:rPr>
          <w:rFonts w:ascii="Times New Roman" w:cs="Times New Roman" w:eastAsia="Times New Roman" w:hAnsi="Times New Roman"/>
          <w:sz w:val="16"/>
          <w:szCs w:val="16"/>
          <w:b w:val="1"/>
          <w:bCs w:val="1"/>
          <w:color w:val="auto"/>
        </w:rPr>
        <w:t>Debt Securities</w:t>
      </w:r>
      <w:r>
        <w:rPr>
          <w:rFonts w:ascii="Times New Roman" w:cs="Times New Roman" w:eastAsia="Times New Roman" w:hAnsi="Times New Roman"/>
          <w:sz w:val="16"/>
          <w:szCs w:val="16"/>
          <w:color w:val="auto"/>
        </w:rPr>
        <w:t>”), which may be issued in one or more series, as either senior or subordinated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 securities, (d) warrants to purchase ordinary shares, preferred shares and/or Debt Securities of the Company (the “</w:t>
      </w:r>
      <w:r>
        <w:rPr>
          <w:rFonts w:ascii="Times New Roman" w:cs="Times New Roman" w:eastAsia="Times New Roman" w:hAnsi="Times New Roman"/>
          <w:sz w:val="16"/>
          <w:szCs w:val="16"/>
          <w:b w:val="1"/>
          <w:bCs w:val="1"/>
          <w:color w:val="auto"/>
        </w:rPr>
        <w:t>Warrants</w:t>
      </w:r>
      <w:r>
        <w:rPr>
          <w:rFonts w:ascii="Times New Roman" w:cs="Times New Roman" w:eastAsia="Times New Roman" w:hAnsi="Times New Roman"/>
          <w:sz w:val="16"/>
          <w:szCs w:val="16"/>
          <w:color w:val="auto"/>
        </w:rPr>
        <w:t>”), (e) rights to purchase ordinary shares,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preferred shares and/or Debt Securities of the Company (the “</w:t>
      </w:r>
      <w:r>
        <w:rPr>
          <w:rFonts w:ascii="Times New Roman" w:cs="Times New Roman" w:eastAsia="Times New Roman" w:hAnsi="Times New Roman"/>
          <w:sz w:val="16"/>
          <w:szCs w:val="16"/>
          <w:b w:val="1"/>
          <w:bCs w:val="1"/>
          <w:color w:val="auto"/>
        </w:rPr>
        <w:t>Rights</w:t>
      </w:r>
      <w:r>
        <w:rPr>
          <w:rFonts w:ascii="Times New Roman" w:cs="Times New Roman" w:eastAsia="Times New Roman" w:hAnsi="Times New Roman"/>
          <w:sz w:val="16"/>
          <w:szCs w:val="16"/>
          <w:color w:val="auto"/>
        </w:rPr>
        <w:t>”), and (f) units comprised of any combination of ordinary shares, preferred shares, Debt Securities and/or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Warrants of the Company (the “</w:t>
      </w:r>
      <w:r>
        <w:rPr>
          <w:rFonts w:ascii="Times New Roman" w:cs="Times New Roman" w:eastAsia="Times New Roman" w:hAnsi="Times New Roman"/>
          <w:sz w:val="16"/>
          <w:szCs w:val="16"/>
          <w:b w:val="1"/>
          <w:bCs w:val="1"/>
          <w:color w:val="auto"/>
        </w:rPr>
        <w:t>Units</w:t>
      </w:r>
      <w:r>
        <w:rPr>
          <w:rFonts w:ascii="Times New Roman" w:cs="Times New Roman" w:eastAsia="Times New Roman" w:hAnsi="Times New Roman"/>
          <w:sz w:val="16"/>
          <w:szCs w:val="16"/>
          <w:color w:val="auto"/>
        </w:rPr>
        <w:t>”). The Debt Securities, Warrants, Rights, and Units are collectively referred to herein as the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The Registration Statement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provides that the Securities may be offered separately or together, in separate series, in amounts, at prices and on terms to be set forth in one or more supplements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Prospectus (each, a “</w:t>
      </w:r>
      <w:r>
        <w:rPr>
          <w:rFonts w:ascii="Times New Roman" w:cs="Times New Roman" w:eastAsia="Times New Roman" w:hAnsi="Times New Roman"/>
          <w:sz w:val="16"/>
          <w:szCs w:val="16"/>
          <w:b w:val="1"/>
          <w:bCs w:val="1"/>
          <w:color w:val="auto"/>
        </w:rPr>
        <w:t>Prospectus Supplement</w:t>
      </w:r>
      <w:r>
        <w:rPr>
          <w:rFonts w:ascii="Times New Roman" w:cs="Times New Roman" w:eastAsia="Times New Roman" w:hAnsi="Times New Roman"/>
          <w:sz w:val="16"/>
          <w:szCs w:val="16"/>
          <w:color w:val="auto"/>
        </w:rPr>
        <w:t>”) or any related free writing prospectus (each, a “</w:t>
      </w:r>
      <w:r>
        <w:rPr>
          <w:rFonts w:ascii="Times New Roman" w:cs="Times New Roman" w:eastAsia="Times New Roman" w:hAnsi="Times New Roman"/>
          <w:sz w:val="16"/>
          <w:szCs w:val="16"/>
          <w:b w:val="1"/>
          <w:bCs w:val="1"/>
          <w:color w:val="auto"/>
        </w:rPr>
        <w:t>Free Writing Prospectus</w:t>
      </w:r>
      <w:r>
        <w:rPr>
          <w:rFonts w:ascii="Times New Roman" w:cs="Times New Roman" w:eastAsia="Times New Roman" w:hAnsi="Times New Roman"/>
          <w:sz w:val="16"/>
          <w:szCs w:val="16"/>
          <w:color w:val="auto"/>
        </w:rPr>
        <w:t>”).</w:t>
      </w:r>
    </w:p>
    <w:p>
      <w:pPr>
        <w:spacing w:after="0" w:line="88" w:lineRule="exact"/>
        <w:rPr>
          <w:sz w:val="20"/>
          <w:szCs w:val="20"/>
          <w:color w:val="auto"/>
        </w:rPr>
      </w:pPr>
    </w:p>
    <w:p>
      <w:pPr>
        <w:ind w:right="120" w:firstLine="577"/>
        <w:spacing w:after="0" w:line="261" w:lineRule="auto"/>
        <w:rPr>
          <w:sz w:val="20"/>
          <w:szCs w:val="20"/>
          <w:color w:val="auto"/>
        </w:rPr>
      </w:pPr>
      <w:r>
        <w:rPr>
          <w:rFonts w:ascii="Times New Roman" w:cs="Times New Roman" w:eastAsia="Times New Roman" w:hAnsi="Times New Roman"/>
          <w:sz w:val="16"/>
          <w:szCs w:val="16"/>
          <w:color w:val="auto"/>
        </w:rPr>
        <w:t>This opinion is being furnished in accordance with the requirements of Item 601(b)(5) of Regulation S-K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and no opinion is expressed herein as to any matter pertaining to the contents of the Registration Statement or related prospectus, or any prospectus supplement or amendment filed with respect thereto, other than as expressly stated herein with respect to the issuance of the Debt Securities, the Warrants, the Rights, and the Units.</w:t>
      </w:r>
    </w:p>
    <w:p>
      <w:pPr>
        <w:spacing w:after="0" w:line="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rendering the opinions stated herein, we have examined and relied upon the registration statement on Form S-3 (File No. 333-[______]) of the Company relating to</w:t>
      </w:r>
    </w:p>
    <w:p>
      <w:pPr>
        <w:spacing w:after="0" w:line="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6"/>
          <w:szCs w:val="16"/>
          <w:color w:val="auto"/>
        </w:rPr>
        <w:t>the Securities, filed on May 12, 2026 with the Securities and Exchange Commission (the “</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under the Securities Act (the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 and the exhibits thereto.</w:t>
      </w:r>
    </w:p>
    <w:p>
      <w:pPr>
        <w:spacing w:after="0" w:line="64" w:lineRule="exact"/>
        <w:rPr>
          <w:sz w:val="20"/>
          <w:szCs w:val="20"/>
          <w:color w:val="auto"/>
        </w:rPr>
      </w:pPr>
    </w:p>
    <w:p>
      <w:pPr>
        <w:jc w:val="both"/>
        <w:ind w:right="100" w:firstLine="577"/>
        <w:spacing w:after="0" w:line="267" w:lineRule="auto"/>
        <w:rPr>
          <w:sz w:val="20"/>
          <w:szCs w:val="20"/>
          <w:color w:val="auto"/>
        </w:rPr>
      </w:pPr>
      <w:r>
        <w:rPr>
          <w:rFonts w:ascii="Times New Roman" w:cs="Times New Roman" w:eastAsia="Times New Roman" w:hAnsi="Times New Roman"/>
          <w:sz w:val="16"/>
          <w:szCs w:val="16"/>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and matters as we have deemed necessary or appropriate as a basis for the opinions stated below.</w:t>
      </w:r>
    </w:p>
    <w:p>
      <w:pPr>
        <w:spacing w:after="0" w:line="59" w:lineRule="exact"/>
        <w:rPr>
          <w:sz w:val="20"/>
          <w:szCs w:val="20"/>
          <w:color w:val="auto"/>
        </w:rPr>
      </w:pPr>
    </w:p>
    <w:p>
      <w:pPr>
        <w:ind w:right="80" w:firstLine="577"/>
        <w:spacing w:after="0" w:line="257" w:lineRule="auto"/>
        <w:rPr>
          <w:sz w:val="20"/>
          <w:szCs w:val="20"/>
          <w:color w:val="auto"/>
        </w:rPr>
      </w:pPr>
      <w:r>
        <w:rPr>
          <w:rFonts w:ascii="Times New Roman" w:cs="Times New Roman" w:eastAsia="Times New Roman" w:hAnsi="Times New Roman"/>
          <w:sz w:val="16"/>
          <w:szCs w:val="16"/>
          <w:color w:val="auto"/>
        </w:rPr>
        <w:t>In our examination, we have assumed the genuineness of all signatures on all documents, including electronic signatures, the legal capacity and competency of all natural persons executing any documents, the authenticity and completeness of all documents submitted to us as originals, the completeness and conformity to original documents of all documents submitted to us as facsimile, electronic, certified or photocopied copies or which we obtained from the Commission’s Electronic Data Gathering, Analysis and Retrieval system (“</w:t>
      </w:r>
      <w:r>
        <w:rPr>
          <w:rFonts w:ascii="Times New Roman" w:cs="Times New Roman" w:eastAsia="Times New Roman" w:hAnsi="Times New Roman"/>
          <w:sz w:val="16"/>
          <w:szCs w:val="16"/>
          <w:b w:val="1"/>
          <w:bCs w:val="1"/>
          <w:color w:val="auto"/>
        </w:rPr>
        <w:t>EDGAR</w:t>
      </w:r>
      <w:r>
        <w:rPr>
          <w:rFonts w:ascii="Times New Roman" w:cs="Times New Roman" w:eastAsia="Times New Roman" w:hAnsi="Times New Roman"/>
          <w:sz w:val="16"/>
          <w:szCs w:val="16"/>
          <w:color w:val="auto"/>
        </w:rPr>
        <w:t>”) or other sites on the internet, and the authenticity of the originals thereof. As to any facts and the consequences thereof relevant to the opinions stated herein that we did not independently establish or verify, we have, to the extent deemed appropriate, relied without independent investigation or verification upon, and assumed the accuracy and completeness of, statements and representations of officers and other representatives of the Company and others and of public officials.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191135</wp:posOffset>
            </wp:positionV>
            <wp:extent cx="714756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6"/>
          <w:szCs w:val="16"/>
          <w:color w:val="auto"/>
        </w:rPr>
        <w:t>Sono Group N.V.</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12, 2026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2</w:t>
      </w:r>
    </w:p>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We further assume that:</w:t>
      </w:r>
    </w:p>
    <w:p>
      <w:pPr>
        <w:spacing w:after="0" w:line="105" w:lineRule="exact"/>
        <w:rPr>
          <w:sz w:val="20"/>
          <w:szCs w:val="20"/>
          <w:color w:val="auto"/>
        </w:rPr>
      </w:pPr>
    </w:p>
    <w:p>
      <w:pPr>
        <w:ind w:right="40" w:firstLine="573"/>
        <w:spacing w:after="0" w:line="259" w:lineRule="auto"/>
        <w:tabs>
          <w:tab w:leader="none" w:pos="120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sale, amount and terms of the Securities to be offered from time to time by the Company will be authorized and determined by proper action of the Management Board of the Company, and with the approval of the Supervisory Board of the Company (as appropriate) (each, a “</w:t>
      </w:r>
      <w:r>
        <w:rPr>
          <w:rFonts w:ascii="Times New Roman" w:cs="Times New Roman" w:eastAsia="Times New Roman" w:hAnsi="Times New Roman"/>
          <w:sz w:val="16"/>
          <w:szCs w:val="16"/>
          <w:b w:val="1"/>
          <w:bCs w:val="1"/>
          <w:color w:val="auto"/>
        </w:rPr>
        <w:t>Board Action</w:t>
      </w:r>
      <w:r>
        <w:rPr>
          <w:rFonts w:ascii="Times New Roman" w:cs="Times New Roman" w:eastAsia="Times New Roman" w:hAnsi="Times New Roman"/>
          <w:sz w:val="16"/>
          <w:szCs w:val="16"/>
          <w:color w:val="auto"/>
        </w:rPr>
        <w:t>”) in accordance with the articles of association of the Company (the “</w:t>
      </w:r>
      <w:r>
        <w:rPr>
          <w:rFonts w:ascii="Times New Roman" w:cs="Times New Roman" w:eastAsia="Times New Roman" w:hAnsi="Times New Roman"/>
          <w:sz w:val="16"/>
          <w:szCs w:val="16"/>
          <w:b w:val="1"/>
          <w:bCs w:val="1"/>
          <w:color w:val="auto"/>
        </w:rPr>
        <w:t>Articles of Association</w:t>
      </w:r>
      <w:r>
        <w:rPr>
          <w:rFonts w:ascii="Times New Roman" w:cs="Times New Roman" w:eastAsia="Times New Roman" w:hAnsi="Times New Roman"/>
          <w:sz w:val="16"/>
          <w:szCs w:val="16"/>
          <w:color w:val="auto"/>
        </w:rPr>
        <w:t>”) and Netherlands law (and any other applicable laws), in each case so as not to result in a default under or breach of any instrument, document or agreement binding upon the Company, and so as to comply with any requirement or restriction imposed by any court or governmental or regulatory body having jurisdiction over the Company.</w:t>
      </w:r>
    </w:p>
    <w:p>
      <w:pPr>
        <w:spacing w:after="0" w:line="65" w:lineRule="exact"/>
        <w:rPr>
          <w:rFonts w:ascii="Times New Roman" w:cs="Times New Roman" w:eastAsia="Times New Roman" w:hAnsi="Times New Roman"/>
          <w:sz w:val="16"/>
          <w:szCs w:val="16"/>
          <w:color w:val="auto"/>
        </w:rPr>
      </w:pPr>
    </w:p>
    <w:p>
      <w:pPr>
        <w:ind w:left="1200" w:hanging="627"/>
        <w:spacing w:after="0"/>
        <w:tabs>
          <w:tab w:leader="none" w:pos="12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not issue any Securities in excess of the number or amount authorized by a Board Action.</w:t>
      </w:r>
    </w:p>
    <w:p>
      <w:pPr>
        <w:spacing w:after="0" w:line="102" w:lineRule="exact"/>
        <w:rPr>
          <w:rFonts w:ascii="Times New Roman" w:cs="Times New Roman" w:eastAsia="Times New Roman" w:hAnsi="Times New Roman"/>
          <w:sz w:val="16"/>
          <w:szCs w:val="16"/>
          <w:color w:val="auto"/>
        </w:rPr>
      </w:pPr>
    </w:p>
    <w:p>
      <w:pPr>
        <w:ind w:firstLine="573"/>
        <w:spacing w:after="0" w:line="262" w:lineRule="auto"/>
        <w:tabs>
          <w:tab w:leader="none" w:pos="119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Debt Securities will be issued under a valid and legally binding indenture (an “</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as required, as it may be supplemented by a valid and legally binding supplemental indenture (each a “</w:t>
      </w:r>
      <w:r>
        <w:rPr>
          <w:rFonts w:ascii="Times New Roman" w:cs="Times New Roman" w:eastAsia="Times New Roman" w:hAnsi="Times New Roman"/>
          <w:sz w:val="16"/>
          <w:szCs w:val="16"/>
          <w:b w:val="1"/>
          <w:bCs w:val="1"/>
          <w:color w:val="auto"/>
        </w:rPr>
        <w:t>Supplemental Indenture</w:t>
      </w:r>
      <w:r>
        <w:rPr>
          <w:rFonts w:ascii="Times New Roman" w:cs="Times New Roman" w:eastAsia="Times New Roman" w:hAnsi="Times New Roman"/>
          <w:sz w:val="16"/>
          <w:szCs w:val="16"/>
          <w:color w:val="auto"/>
        </w:rPr>
        <w:t>”), and in each case duly authorized, executed and delivered by the Company, and, if required by the Indenture, accompanied by an officer’s certificate, that conforms to the description thereof set forth in the Prospectus, the applicable Prospectus Supplement and any related Free Writing Prospectus.</w:t>
      </w:r>
    </w:p>
    <w:p>
      <w:pPr>
        <w:spacing w:after="0" w:line="64" w:lineRule="exact"/>
        <w:rPr>
          <w:rFonts w:ascii="Times New Roman" w:cs="Times New Roman" w:eastAsia="Times New Roman" w:hAnsi="Times New Roman"/>
          <w:sz w:val="16"/>
          <w:szCs w:val="16"/>
          <w:color w:val="auto"/>
        </w:rPr>
      </w:pPr>
    </w:p>
    <w:p>
      <w:pPr>
        <w:ind w:right="60" w:firstLine="573"/>
        <w:spacing w:after="0" w:line="256" w:lineRule="auto"/>
        <w:tabs>
          <w:tab w:leader="none" w:pos="120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the obligations of the Company under any Indenture or Supplemental Indenture may be dependent upon such matters, the financial institution to be identified in such Indenture or Supplemental Indenture as trustee or in any other specified capacity (the “</w:t>
      </w:r>
      <w:r>
        <w:rPr>
          <w:rFonts w:ascii="Times New Roman" w:cs="Times New Roman" w:eastAsia="Times New Roman" w:hAnsi="Times New Roman"/>
          <w:sz w:val="16"/>
          <w:szCs w:val="16"/>
          <w:b w:val="1"/>
          <w:bCs w:val="1"/>
          <w:color w:val="auto"/>
        </w:rPr>
        <w:t>Financial Institution</w:t>
      </w:r>
      <w:r>
        <w:rPr>
          <w:rFonts w:ascii="Times New Roman" w:cs="Times New Roman" w:eastAsia="Times New Roman" w:hAnsi="Times New Roman"/>
          <w:sz w:val="16"/>
          <w:szCs w:val="16"/>
          <w:color w:val="auto"/>
        </w:rPr>
        <w:t>”) will be duly organized, validly existing, and in good standing under the laws of its jurisdiction of organization; the Financial Institution will be duly qualified to engage in the activities contemplated by such agreement; such agreement will have been duly authorized, executed, and delivered by the Financial Institution and will constitute the legally, valid and binding obligation of the Financial Institution enforceable against the Financial Institution in accordance with its terms; the Financial Institution will be in compliance, generally, with respect to acting under such agreement, with applicable laws and regulations; and the Financial Institution will have the requisite organizational and legal power and authority to perform its obligations under such agreement.</w:t>
      </w:r>
    </w:p>
    <w:p>
      <w:pPr>
        <w:spacing w:after="0" w:line="69" w:lineRule="exact"/>
        <w:rPr>
          <w:rFonts w:ascii="Times New Roman" w:cs="Times New Roman" w:eastAsia="Times New Roman" w:hAnsi="Times New Roman"/>
          <w:sz w:val="16"/>
          <w:szCs w:val="16"/>
          <w:color w:val="auto"/>
        </w:rPr>
      </w:pPr>
    </w:p>
    <w:p>
      <w:pPr>
        <w:ind w:right="60" w:firstLine="573"/>
        <w:spacing w:after="0" w:line="261" w:lineRule="auto"/>
        <w:tabs>
          <w:tab w:leader="none" w:pos="119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Appropriate debentures, notes and/or other evidences of indebtedness evidencing the Debt Securities will be executed and authenticated in accordance with the Indenture, as it may be supplemented by a Supplemental Indenture, and, if required by the Indenture, accompanied by an officer’s certificate, will be delivered upon the issuance and sale of the Debt Securities and will comply with the Indenture, any Supplemental Indenture and any accompanying officer’s certificate, the Articles of Association and applicable law.</w:t>
      </w:r>
    </w:p>
    <w:p>
      <w:pPr>
        <w:spacing w:after="0" w:line="63" w:lineRule="exact"/>
        <w:rPr>
          <w:rFonts w:ascii="Times New Roman" w:cs="Times New Roman" w:eastAsia="Times New Roman" w:hAnsi="Times New Roman"/>
          <w:sz w:val="16"/>
          <w:szCs w:val="16"/>
          <w:color w:val="auto"/>
        </w:rPr>
      </w:pPr>
    </w:p>
    <w:p>
      <w:pPr>
        <w:jc w:val="both"/>
        <w:ind w:right="180" w:firstLine="613"/>
        <w:spacing w:after="0" w:line="321" w:lineRule="auto"/>
        <w:tabs>
          <w:tab w:leader="none" w:pos="1236"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Warrants will be issued under a valid and legally binding warrant agreement (a “</w:t>
      </w:r>
      <w:r>
        <w:rPr>
          <w:rFonts w:ascii="Times New Roman" w:cs="Times New Roman" w:eastAsia="Times New Roman" w:hAnsi="Times New Roman"/>
          <w:sz w:val="15"/>
          <w:szCs w:val="15"/>
          <w:b w:val="1"/>
          <w:bCs w:val="1"/>
          <w:color w:val="auto"/>
        </w:rPr>
        <w:t>Warrant Agreement</w:t>
      </w:r>
      <w:r>
        <w:rPr>
          <w:rFonts w:ascii="Times New Roman" w:cs="Times New Roman" w:eastAsia="Times New Roman" w:hAnsi="Times New Roman"/>
          <w:sz w:val="15"/>
          <w:szCs w:val="15"/>
          <w:color w:val="auto"/>
        </w:rPr>
        <w:t>”) that conforms to the description thereof set forth in the Prospectus, the applicable Prospectus Supplement and any related Free Writing Prospectus, and will comply with the Articles of Association and applicable law.</w:t>
      </w:r>
    </w:p>
    <w:p>
      <w:pPr>
        <w:spacing w:after="0" w:line="22" w:lineRule="exact"/>
        <w:rPr>
          <w:sz w:val="20"/>
          <w:szCs w:val="20"/>
          <w:color w:val="auto"/>
        </w:rPr>
      </w:pPr>
    </w:p>
    <w:p>
      <w:pPr>
        <w:jc w:val="both"/>
        <w:ind w:right="160" w:firstLine="573"/>
        <w:spacing w:after="0" w:line="267" w:lineRule="auto"/>
        <w:tabs>
          <w:tab w:leader="none" w:pos="120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issuance of any Rights, there will exist, under the Articles of Association, the requisite number of authorized but unissued ordinary shares and preferred shares (and securities of any class into which any of the preferred shares may be convertible), as the case may be, and that all actions necessary to the creation and issuance of any such Rights will have been taken.</w:t>
      </w:r>
    </w:p>
    <w:p>
      <w:pPr>
        <w:spacing w:after="0" w:line="57" w:lineRule="exact"/>
        <w:rPr>
          <w:rFonts w:ascii="Times New Roman" w:cs="Times New Roman" w:eastAsia="Times New Roman" w:hAnsi="Times New Roman"/>
          <w:sz w:val="16"/>
          <w:szCs w:val="16"/>
          <w:color w:val="auto"/>
        </w:rPr>
      </w:pPr>
    </w:p>
    <w:p>
      <w:pPr>
        <w:ind w:right="160" w:firstLine="573"/>
        <w:spacing w:after="0" w:line="285" w:lineRule="auto"/>
        <w:tabs>
          <w:tab w:leader="none" w:pos="119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Rights will be issued under a valid and legally binding rights agreement (a “</w:t>
      </w:r>
      <w:r>
        <w:rPr>
          <w:rFonts w:ascii="Times New Roman" w:cs="Times New Roman" w:eastAsia="Times New Roman" w:hAnsi="Times New Roman"/>
          <w:sz w:val="16"/>
          <w:szCs w:val="16"/>
          <w:b w:val="1"/>
          <w:bCs w:val="1"/>
          <w:color w:val="auto"/>
        </w:rPr>
        <w:t>Rights Agreement</w:t>
      </w:r>
      <w:r>
        <w:rPr>
          <w:rFonts w:ascii="Times New Roman" w:cs="Times New Roman" w:eastAsia="Times New Roman" w:hAnsi="Times New Roman"/>
          <w:sz w:val="16"/>
          <w:szCs w:val="16"/>
          <w:color w:val="auto"/>
        </w:rPr>
        <w:t>”) that conforms to the description thereof set forth in the Prospectus, the applicable Prospectus Supplement and any related Free Writing Prospectus, and will comply with the Articles of Association and applicable law.</w:t>
      </w:r>
    </w:p>
    <w:p>
      <w:pPr>
        <w:spacing w:after="0" w:line="46" w:lineRule="exact"/>
        <w:rPr>
          <w:rFonts w:ascii="Times New Roman" w:cs="Times New Roman" w:eastAsia="Times New Roman" w:hAnsi="Times New Roman"/>
          <w:sz w:val="16"/>
          <w:szCs w:val="16"/>
          <w:color w:val="auto"/>
        </w:rPr>
      </w:pPr>
    </w:p>
    <w:p>
      <w:pPr>
        <w:ind w:right="20" w:firstLine="573"/>
        <w:spacing w:after="0" w:line="267" w:lineRule="auto"/>
        <w:tabs>
          <w:tab w:leader="none" w:pos="120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issuance of any Units, there will exist, under the Articles of Association, the requisite number of authorized but unissued ordinary shares and preferred shares (and securities of any class into which any of the preferred shares may be convertible), as the case may be, and that all actions necessary to the creation of any such Units, will have been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185420</wp:posOffset>
            </wp:positionV>
            <wp:extent cx="714756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20"/>
          </w:cols>
          <w:pgMar w:left="320" w:top="532"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color w:val="auto"/>
        </w:rPr>
        <w:t>Sono Group N.V.</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12, 2026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3</w:t>
      </w:r>
    </w:p>
    <w:p>
      <w:pPr>
        <w:spacing w:after="0" w:line="279" w:lineRule="exact"/>
        <w:rPr>
          <w:sz w:val="20"/>
          <w:szCs w:val="20"/>
          <w:color w:val="auto"/>
        </w:rPr>
      </w:pPr>
    </w:p>
    <w:p>
      <w:pPr>
        <w:jc w:val="both"/>
        <w:ind w:right="200" w:firstLine="573"/>
        <w:spacing w:after="0" w:line="285" w:lineRule="auto"/>
        <w:tabs>
          <w:tab w:leader="none" w:pos="127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Units will be issued under a valid and legally binding unit agreement (a “</w:t>
      </w:r>
      <w:r>
        <w:rPr>
          <w:rFonts w:ascii="Times New Roman" w:cs="Times New Roman" w:eastAsia="Times New Roman" w:hAnsi="Times New Roman"/>
          <w:sz w:val="16"/>
          <w:szCs w:val="16"/>
          <w:b w:val="1"/>
          <w:bCs w:val="1"/>
          <w:color w:val="auto"/>
        </w:rPr>
        <w:t>Unit Agreement</w:t>
      </w:r>
      <w:r>
        <w:rPr>
          <w:rFonts w:ascii="Times New Roman" w:cs="Times New Roman" w:eastAsia="Times New Roman" w:hAnsi="Times New Roman"/>
          <w:sz w:val="16"/>
          <w:szCs w:val="16"/>
          <w:color w:val="auto"/>
        </w:rPr>
        <w:t>”) that conforms to the description thereof set forth in the Prospectus, the applicable Prospectus Supplement and any related Free Writing Prospectus and will comply with the Company’s Articles of Association and applicable law.</w:t>
      </w:r>
    </w:p>
    <w:p>
      <w:pPr>
        <w:spacing w:after="0" w:line="44" w:lineRule="exact"/>
        <w:rPr>
          <w:rFonts w:ascii="Times New Roman" w:cs="Times New Roman" w:eastAsia="Times New Roman" w:hAnsi="Times New Roman"/>
          <w:sz w:val="16"/>
          <w:szCs w:val="16"/>
          <w:color w:val="auto"/>
        </w:rPr>
      </w:pPr>
    </w:p>
    <w:p>
      <w:pPr>
        <w:ind w:right="20" w:firstLine="573"/>
        <w:spacing w:after="0" w:line="285" w:lineRule="auto"/>
        <w:tabs>
          <w:tab w:leader="none" w:pos="127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underwriting or other agreements for offerings of the Securities (each, an “</w:t>
      </w:r>
      <w:r>
        <w:rPr>
          <w:rFonts w:ascii="Times New Roman" w:cs="Times New Roman" w:eastAsia="Times New Roman" w:hAnsi="Times New Roman"/>
          <w:sz w:val="16"/>
          <w:szCs w:val="16"/>
          <w:b w:val="1"/>
          <w:bCs w:val="1"/>
          <w:color w:val="auto"/>
        </w:rPr>
        <w:t>Underwriting Agreement</w:t>
      </w:r>
      <w:r>
        <w:rPr>
          <w:rFonts w:ascii="Times New Roman" w:cs="Times New Roman" w:eastAsia="Times New Roman" w:hAnsi="Times New Roman"/>
          <w:sz w:val="16"/>
          <w:szCs w:val="16"/>
          <w:color w:val="auto"/>
        </w:rPr>
        <w:t>”) will be valid and legally binding contracts that conform to the description thereof set forth in the Prospectus, the applicable Prospectus Supplement and any related Free Writing Prospectus.</w:t>
      </w:r>
    </w:p>
    <w:p>
      <w:pPr>
        <w:spacing w:after="0" w:line="46" w:lineRule="exact"/>
        <w:rPr>
          <w:rFonts w:ascii="Times New Roman" w:cs="Times New Roman" w:eastAsia="Times New Roman" w:hAnsi="Times New Roman"/>
          <w:sz w:val="16"/>
          <w:szCs w:val="16"/>
          <w:color w:val="auto"/>
        </w:rPr>
      </w:pPr>
    </w:p>
    <w:p>
      <w:pPr>
        <w:ind w:left="1280" w:hanging="707"/>
        <w:spacing w:after="0"/>
        <w:tabs>
          <w:tab w:leader="none" w:pos="12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Statement will have been declared effective and will remain effective under the Securities Act.</w:t>
      </w:r>
    </w:p>
    <w:p>
      <w:pPr>
        <w:spacing w:after="0" w:line="105" w:lineRule="exact"/>
        <w:rPr>
          <w:sz w:val="20"/>
          <w:szCs w:val="20"/>
          <w:color w:val="auto"/>
        </w:rPr>
      </w:pPr>
    </w:p>
    <w:p>
      <w:pPr>
        <w:ind w:firstLine="577"/>
        <w:spacing w:after="0" w:line="256" w:lineRule="auto"/>
        <w:rPr>
          <w:sz w:val="20"/>
          <w:szCs w:val="20"/>
          <w:color w:val="auto"/>
        </w:rPr>
      </w:pPr>
      <w:r>
        <w:rPr>
          <w:rFonts w:ascii="Times New Roman" w:cs="Times New Roman" w:eastAsia="Times New Roman" w:hAnsi="Times New Roman"/>
          <w:sz w:val="16"/>
          <w:szCs w:val="16"/>
          <w:color w:val="auto"/>
        </w:rPr>
        <w:t>We do not express any opinion with respect to the laws of any jurisdiction other than the substantive, internal laws of the State of New York, except that we express no opinion and make no statement as to the municipal laws or the laws, rules or regulations of any local agencies or governmental authorities of or within the State of New York or, in each case, as to any matters arising thereunder or relating thereto (the “</w:t>
      </w:r>
      <w:r>
        <w:rPr>
          <w:rFonts w:ascii="Times New Roman" w:cs="Times New Roman" w:eastAsia="Times New Roman" w:hAnsi="Times New Roman"/>
          <w:sz w:val="16"/>
          <w:szCs w:val="16"/>
          <w:b w:val="1"/>
          <w:bCs w:val="1"/>
          <w:color w:val="auto"/>
        </w:rPr>
        <w:t>Opined-on Law</w:t>
      </w:r>
      <w:r>
        <w:rPr>
          <w:rFonts w:ascii="Times New Roman" w:cs="Times New Roman" w:eastAsia="Times New Roman" w:hAnsi="Times New Roman"/>
          <w:sz w:val="16"/>
          <w:szCs w:val="16"/>
          <w:color w:val="auto"/>
        </w:rPr>
        <w:t>”). We do not express any opinion as to the laws of any other jurisdiction, domestic or foreign. We understand that various matters concerning the laws of the Netherlands with respect to the Debt Securities, the Warrants, the Rights, and the Units (and also the ordinary shares and preferred shares of the Company) are addressed in the opinion of DLA Piper Nederland N.V., which has been separately provided to you. We express no opinion with respect to those matters herein, and, to the extent such matters are necessary to the conclusions expressed herein, we have, with your consent, assumed all such matters.</w:t>
      </w:r>
    </w:p>
    <w:p>
      <w:pPr>
        <w:spacing w:after="0" w:line="67" w:lineRule="exact"/>
        <w:rPr>
          <w:sz w:val="20"/>
          <w:szCs w:val="20"/>
          <w:color w:val="auto"/>
        </w:rPr>
      </w:pPr>
    </w:p>
    <w:p>
      <w:pPr>
        <w:ind w:right="80" w:firstLine="577"/>
        <w:spacing w:after="0" w:line="268" w:lineRule="auto"/>
        <w:rPr>
          <w:sz w:val="20"/>
          <w:szCs w:val="20"/>
          <w:color w:val="auto"/>
        </w:rPr>
      </w:pPr>
      <w:r>
        <w:rPr>
          <w:rFonts w:ascii="Times New Roman" w:cs="Times New Roman" w:eastAsia="Times New Roman" w:hAnsi="Times New Roman"/>
          <w:sz w:val="16"/>
          <w:szCs w:val="16"/>
          <w:color w:val="auto"/>
        </w:rPr>
        <w:t>As used herein, “</w:t>
      </w:r>
      <w:r>
        <w:rPr>
          <w:rFonts w:ascii="Times New Roman" w:cs="Times New Roman" w:eastAsia="Times New Roman" w:hAnsi="Times New Roman"/>
          <w:sz w:val="16"/>
          <w:szCs w:val="16"/>
          <w:b w:val="1"/>
          <w:bCs w:val="1"/>
          <w:color w:val="auto"/>
        </w:rPr>
        <w:t>Transaction Documents</w:t>
      </w:r>
      <w:r>
        <w:rPr>
          <w:rFonts w:ascii="Times New Roman" w:cs="Times New Roman" w:eastAsia="Times New Roman" w:hAnsi="Times New Roman"/>
          <w:sz w:val="16"/>
          <w:szCs w:val="16"/>
          <w:color w:val="auto"/>
        </w:rPr>
        <w:t>” means, as applicable, the Indenture, any Supplemental Indenture, any certificates for Debt Securities, the Warrants and Warrant Agreement, the Rights Agreement, the Unit Agreement, and any Underwriting Agreement. We have assumed that all Transaction Documents will be governed by the Opined-on Law.</w:t>
      </w:r>
    </w:p>
    <w:p>
      <w:pPr>
        <w:spacing w:after="0" w:line="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Based upon the foregoing and subject to the qualifications and assumptions stated herein, we are of the opinion that:</w:t>
      </w:r>
    </w:p>
    <w:p>
      <w:pPr>
        <w:spacing w:after="0" w:line="105" w:lineRule="exact"/>
        <w:rPr>
          <w:sz w:val="20"/>
          <w:szCs w:val="20"/>
          <w:color w:val="auto"/>
        </w:rPr>
      </w:pPr>
    </w:p>
    <w:p>
      <w:pPr>
        <w:ind w:left="1000" w:hanging="427"/>
        <w:spacing w:after="0" w:line="256"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issuance and delivery of certificates for such Debt Securities against payment therefor in accordance with the terms and provisions of the applicable Board Action, the Debt Securities and the applicable Indenture, Supplemental Indenture together with an officer’s certificate, if any, the Registration Statement, the Prospectus, the applicable Prospectus Supplement and any related Free Writing Prospectus, and, if applicable, an Underwriting Agreement, or upon issuance and delivery of certificates for such Debt Securities pursuant to the conversion terms of one or more series of Securities convertible into or exercisable for Debt Securities, the Debt Securities represented by such certificates will be duly authorized and, when duly authenticated in accordance with the terms of the applicable Indenture, will be valid and binding obligations of the Company, enforceable against the Company in accordance with their terms under the laws of the State of New York.</w:t>
      </w:r>
    </w:p>
    <w:p>
      <w:pPr>
        <w:spacing w:after="0" w:line="69" w:lineRule="exact"/>
        <w:rPr>
          <w:rFonts w:ascii="Times New Roman" w:cs="Times New Roman" w:eastAsia="Times New Roman" w:hAnsi="Times New Roman"/>
          <w:sz w:val="16"/>
          <w:szCs w:val="16"/>
          <w:color w:val="auto"/>
        </w:rPr>
      </w:pPr>
    </w:p>
    <w:p>
      <w:pPr>
        <w:ind w:left="1000" w:right="40" w:hanging="427"/>
        <w:spacing w:after="0" w:line="284" w:lineRule="auto"/>
        <w:tabs>
          <w:tab w:leader="none" w:pos="10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execution, issuance, and delivery of the Warrants against payment therefor in accordance with the terms and provisions of the applicable Board Action, the Company charter documents and applicable law, the Warrant Agreement, the Registration Statement, the Prospectus, the applicable Prospectus Supplement and any related Free Writing Prospectus, and, if applicable, an Underwriting Agreement, the Warrants will be duly authorized and will constitute valid and legally binding obligations of the Company, enforceable against the Company in accordance with their terms under the laws of the State of New York.</w:t>
      </w:r>
    </w:p>
    <w:p>
      <w:pPr>
        <w:spacing w:after="0" w:line="49" w:lineRule="exact"/>
        <w:rPr>
          <w:rFonts w:ascii="Times New Roman" w:cs="Times New Roman" w:eastAsia="Times New Roman" w:hAnsi="Times New Roman"/>
          <w:sz w:val="15"/>
          <w:szCs w:val="15"/>
          <w:color w:val="auto"/>
        </w:rPr>
      </w:pPr>
    </w:p>
    <w:p>
      <w:pPr>
        <w:ind w:left="1000" w:right="60" w:hanging="427"/>
        <w:spacing w:after="0" w:line="261"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execution, issuance, and delivery of the Rights against payment therefor in accordance with the terms and provisions of the applicable Board Action, the Company charter documents and applicable law, the Rights Agreement, the Registration Statement, the Prospectus, the applicable Prospectus Supplement, and any related Free Writing Prospectus, and, if applicable, an Underwriting Agreement, the Rights will be duly authorized and will constitute valid and legally binding obligations of the Company, enforceable against the Company in accordance with their terms under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4756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color w:val="auto"/>
        </w:rPr>
        <w:t>Sono Group N.V.</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12, 2026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4</w:t>
      </w:r>
    </w:p>
    <w:p>
      <w:pPr>
        <w:spacing w:after="0" w:line="281" w:lineRule="exact"/>
        <w:rPr>
          <w:sz w:val="20"/>
          <w:szCs w:val="20"/>
          <w:color w:val="auto"/>
        </w:rPr>
      </w:pPr>
    </w:p>
    <w:p>
      <w:pPr>
        <w:ind w:left="1000" w:right="100" w:hanging="427"/>
        <w:spacing w:after="0" w:line="261" w:lineRule="auto"/>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execution, issuance, and delivery of the Units against payment therefor in accordance with the terms and provisions of the applicable Board Action, the Company charter documents and applicable law, the Unit Agreement, the Registration Statement, the Prospectus, the applicable Prospectus Supplement, and any related Free Writing Prospectus, and, if applicable, an Underwriting Agreement, the Units will be duly authorized and will constitute valid and legally binding obligations of the Company, enforceable against the Company in accordance with their terms under the laws of the State of New York.</w:t>
      </w:r>
    </w:p>
    <w:p>
      <w:pPr>
        <w:spacing w:after="0" w:line="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opinions stated herein are subject to the following qualifications:</w:t>
      </w:r>
    </w:p>
    <w:p>
      <w:pPr>
        <w:spacing w:after="0" w:line="105" w:lineRule="exact"/>
        <w:rPr>
          <w:sz w:val="20"/>
          <w:szCs w:val="20"/>
          <w:color w:val="auto"/>
        </w:rPr>
      </w:pPr>
    </w:p>
    <w:p>
      <w:pPr>
        <w:ind w:right="100" w:firstLine="573"/>
        <w:spacing w:after="0" w:line="267" w:lineRule="auto"/>
        <w:tabs>
          <w:tab w:leader="none" w:pos="127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express any opinion with respect to the effect on the opinions stated herein of any bankruptcy, insolvency, reorganization, moratorium, fraudulent transfer, preference and other similar laws affecting creditors’ rights generally, and the opinions stated herein are limited by such laws and by general principles of equity (regardless of whether enforcement is sought in equity or at law);</w:t>
      </w:r>
    </w:p>
    <w:p>
      <w:pPr>
        <w:spacing w:after="0" w:line="59" w:lineRule="exact"/>
        <w:rPr>
          <w:rFonts w:ascii="Times New Roman" w:cs="Times New Roman" w:eastAsia="Times New Roman" w:hAnsi="Times New Roman"/>
          <w:sz w:val="16"/>
          <w:szCs w:val="16"/>
          <w:color w:val="auto"/>
        </w:rPr>
      </w:pPr>
    </w:p>
    <w:p>
      <w:pPr>
        <w:ind w:right="20" w:firstLine="573"/>
        <w:spacing w:after="0" w:line="267" w:lineRule="auto"/>
        <w:tabs>
          <w:tab w:leader="none" w:pos="128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express any opinion with respect to any law, rule or regulation that is applicable to any party to any of the Transaction Documents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59" w:lineRule="exact"/>
        <w:rPr>
          <w:rFonts w:ascii="Times New Roman" w:cs="Times New Roman" w:eastAsia="Times New Roman" w:hAnsi="Times New Roman"/>
          <w:sz w:val="16"/>
          <w:szCs w:val="16"/>
          <w:color w:val="auto"/>
        </w:rPr>
      </w:pPr>
    </w:p>
    <w:p>
      <w:pPr>
        <w:ind w:right="80" w:firstLine="573"/>
        <w:spacing w:after="0" w:line="261" w:lineRule="auto"/>
        <w:tabs>
          <w:tab w:leader="none" w:pos="127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w:t>
      </w:r>
    </w:p>
    <w:p>
      <w:pPr>
        <w:spacing w:after="0" w:line="65" w:lineRule="exact"/>
        <w:rPr>
          <w:rFonts w:ascii="Times New Roman" w:cs="Times New Roman" w:eastAsia="Times New Roman" w:hAnsi="Times New Roman"/>
          <w:sz w:val="16"/>
          <w:szCs w:val="16"/>
          <w:color w:val="auto"/>
        </w:rPr>
      </w:pPr>
    </w:p>
    <w:p>
      <w:pPr>
        <w:ind w:firstLine="573"/>
        <w:spacing w:after="0" w:line="261" w:lineRule="auto"/>
        <w:tabs>
          <w:tab w:leader="none" w:pos="128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w:t>
      </w:r>
    </w:p>
    <w:p>
      <w:pPr>
        <w:spacing w:after="0" w:line="65" w:lineRule="exact"/>
        <w:rPr>
          <w:rFonts w:ascii="Times New Roman" w:cs="Times New Roman" w:eastAsia="Times New Roman" w:hAnsi="Times New Roman"/>
          <w:sz w:val="16"/>
          <w:szCs w:val="16"/>
          <w:color w:val="auto"/>
        </w:rPr>
      </w:pPr>
    </w:p>
    <w:p>
      <w:pPr>
        <w:jc w:val="both"/>
        <w:ind w:right="100" w:firstLine="573"/>
        <w:spacing w:after="0" w:line="261" w:lineRule="auto"/>
        <w:tabs>
          <w:tab w:leader="none" w:pos="127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assumed that any Financial Institution, Warrant Agent, Rights Agent, and/or Unit Agent each has the power, corporate or other, to enter into and perform all obligations under the applicable Transaction Document to which it is a party, and we have also assumed the due authorization by all requisite action, corporate or other, and the execution and delivery by such party of the applicable Transaction Document, and that each such Transaction Document constitutes the valid and binding obligation of such party, enforceable against such party in accordance with its terms; and</w:t>
      </w:r>
    </w:p>
    <w:p>
      <w:pPr>
        <w:spacing w:after="0" w:line="65" w:lineRule="exact"/>
        <w:rPr>
          <w:rFonts w:ascii="Times New Roman" w:cs="Times New Roman" w:eastAsia="Times New Roman" w:hAnsi="Times New Roman"/>
          <w:sz w:val="16"/>
          <w:szCs w:val="16"/>
          <w:color w:val="auto"/>
        </w:rPr>
      </w:pPr>
    </w:p>
    <w:p>
      <w:pPr>
        <w:jc w:val="both"/>
        <w:ind w:right="20" w:firstLine="573"/>
        <w:spacing w:after="0" w:line="267" w:lineRule="auto"/>
        <w:tabs>
          <w:tab w:leader="none" w:pos="125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any opinion relates to the enforceability of the choice of New York law and choice of New York forum provisions contained in any of the Transaction Documents, the opinions stated herein are subject to the qualification that such enforceability may be subject to, in each case, (i) the exceptions and limitations in New York General Obligations Law sections 5-1401 and 5-1402 and (ii) principles of comity and constitutionality.</w:t>
      </w:r>
    </w:p>
    <w:p>
      <w:pPr>
        <w:spacing w:after="0" w:line="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addition, in rendering the foregoing opinions we have assumed that:</w:t>
      </w:r>
    </w:p>
    <w:p>
      <w:pPr>
        <w:spacing w:after="0" w:line="105" w:lineRule="exact"/>
        <w:rPr>
          <w:sz w:val="20"/>
          <w:szCs w:val="20"/>
          <w:color w:val="auto"/>
        </w:rPr>
      </w:pPr>
    </w:p>
    <w:p>
      <w:pPr>
        <w:ind w:firstLine="573"/>
        <w:spacing w:after="0" w:line="259" w:lineRule="auto"/>
        <w:tabs>
          <w:tab w:leader="none" w:pos="127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 is and at all relevant times will continue to be duly incorporated and is validly existing and in good standing, (ii) has and at all relevant times will continue to have requisite legal status and legal capacity under the laws of the Netherlands and (iii) has complied and will continue to comply with all aspects of the laws of the Netherlands in connection with the transactions contemplated by, and the performance of its obligations under, the Transaction Documents. We have also assumed that the laws of the Netherlands would not impose any requirements or have any consequences relevant to our understanding of such matters that would impact our conclusions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4756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00"/>
          </w:cols>
          <w:pgMar w:left="320" w:top="532"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color w:val="auto"/>
        </w:rPr>
        <w:t>Sono Group N.V.</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12, 2026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5</w:t>
      </w:r>
    </w:p>
    <w:p>
      <w:pPr>
        <w:spacing w:after="0" w:line="281" w:lineRule="exact"/>
        <w:rPr>
          <w:sz w:val="20"/>
          <w:szCs w:val="20"/>
          <w:color w:val="auto"/>
        </w:rPr>
      </w:pPr>
    </w:p>
    <w:p>
      <w:pPr>
        <w:ind w:right="60" w:firstLine="573"/>
        <w:spacing w:after="0" w:line="283" w:lineRule="auto"/>
        <w:tabs>
          <w:tab w:leader="none" w:pos="128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and at all relevant times will continue to have the corporate power and authority to execute, deliver and perform all its obligations under the Transaction Documents;</w:t>
      </w:r>
    </w:p>
    <w:p>
      <w:pPr>
        <w:spacing w:after="0" w:line="47" w:lineRule="exact"/>
        <w:rPr>
          <w:rFonts w:ascii="Times New Roman" w:cs="Times New Roman" w:eastAsia="Times New Roman" w:hAnsi="Times New Roman"/>
          <w:sz w:val="16"/>
          <w:szCs w:val="16"/>
          <w:color w:val="auto"/>
        </w:rPr>
      </w:pPr>
    </w:p>
    <w:p>
      <w:pPr>
        <w:ind w:left="1280" w:hanging="707"/>
        <w:spacing w:after="0"/>
        <w:tabs>
          <w:tab w:leader="none" w:pos="12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Transaction Documents will have been duly authorized, executed and delivered by all requisite Board Action and other corporate action on part</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Company;</w:t>
      </w:r>
    </w:p>
    <w:p>
      <w:pPr>
        <w:spacing w:after="0" w:line="88" w:lineRule="exact"/>
        <w:rPr>
          <w:rFonts w:ascii="Times New Roman" w:cs="Times New Roman" w:eastAsia="Times New Roman" w:hAnsi="Times New Roman"/>
          <w:sz w:val="16"/>
          <w:szCs w:val="16"/>
          <w:color w:val="auto"/>
        </w:rPr>
      </w:pPr>
    </w:p>
    <w:p>
      <w:pPr>
        <w:ind w:right="20" w:firstLine="573"/>
        <w:spacing w:after="0" w:line="259" w:lineRule="auto"/>
        <w:tabs>
          <w:tab w:leader="none" w:pos="128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execution and delivery by the Company of the Transaction Documents nor the performance by the Company of its obligations thereunder, including the issuance and sale of the Securities, (i) conflicts or will conflict with the articles of association of the Company, (ii) constitutes or will constitute a violation of, or a default under, any lease, indenture, instrument or other agreement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Opined-on Law); and</w:t>
      </w:r>
    </w:p>
    <w:p>
      <w:pPr>
        <w:spacing w:after="0" w:line="65" w:lineRule="exact"/>
        <w:rPr>
          <w:rFonts w:ascii="Times New Roman" w:cs="Times New Roman" w:eastAsia="Times New Roman" w:hAnsi="Times New Roman"/>
          <w:sz w:val="16"/>
          <w:szCs w:val="16"/>
          <w:color w:val="auto"/>
        </w:rPr>
      </w:pPr>
    </w:p>
    <w:p>
      <w:pPr>
        <w:ind w:right="160" w:firstLine="573"/>
        <w:spacing w:after="0" w:line="267" w:lineRule="auto"/>
        <w:tabs>
          <w:tab w:leader="none" w:pos="127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execution and delivery by the Company of the Transaction Documents nor the performance by the Company of its obligations thereunder, including the issuance and sale of the Securities, requires or will require the consent, approval, licensing or authorization of, or any filing, recording or registration with, any governmental authority under any law, rule or regulation of any jurisdiction.</w:t>
      </w:r>
    </w:p>
    <w:p>
      <w:pPr>
        <w:spacing w:after="0" w:line="59" w:lineRule="exact"/>
        <w:rPr>
          <w:sz w:val="20"/>
          <w:szCs w:val="20"/>
          <w:color w:val="auto"/>
        </w:rPr>
      </w:pPr>
    </w:p>
    <w:p>
      <w:pPr>
        <w:ind w:right="260" w:firstLine="577"/>
        <w:spacing w:after="0" w:line="267" w:lineRule="auto"/>
        <w:rPr>
          <w:sz w:val="20"/>
          <w:szCs w:val="20"/>
          <w:color w:val="auto"/>
        </w:rPr>
      </w:pPr>
      <w:r>
        <w:rPr>
          <w:rFonts w:ascii="Times New Roman" w:cs="Times New Roman" w:eastAsia="Times New Roman" w:hAnsi="Times New Roman"/>
          <w:sz w:val="16"/>
          <w:szCs w:val="16"/>
          <w:color w:val="auto"/>
        </w:rPr>
        <w:t>The opinions expressed herein are limited to the matters set forth in this letter, and no other opinion should be inferred beyond the matters expressly stated. This opinion is rendered as of the date first written above, and we disclaim any obligation to advise you of facts, circumstances, events or developments which hereafter may be brought to our attention and that may alter, affect or modify the opinions expressed herein or of any subsequent changes in applicable laws.</w:t>
      </w:r>
    </w:p>
    <w:p>
      <w:pPr>
        <w:spacing w:after="0" w:line="59" w:lineRule="exact"/>
        <w:rPr>
          <w:sz w:val="20"/>
          <w:szCs w:val="20"/>
          <w:color w:val="auto"/>
        </w:rPr>
      </w:pPr>
    </w:p>
    <w:p>
      <w:pPr>
        <w:ind w:right="60" w:firstLine="577"/>
        <w:spacing w:after="0" w:line="261" w:lineRule="auto"/>
        <w:rPr>
          <w:sz w:val="20"/>
          <w:szCs w:val="20"/>
          <w:color w:val="auto"/>
        </w:rPr>
      </w:pPr>
      <w:r>
        <w:rPr>
          <w:rFonts w:ascii="Times New Roman" w:cs="Times New Roman" w:eastAsia="Times New Roman" w:hAnsi="Times New Roman"/>
          <w:sz w:val="16"/>
          <w:szCs w:val="16"/>
          <w:color w:val="auto"/>
        </w:rPr>
        <w:t>We hereby consent to the reference to our firm under the heading “Legal Matters” in the prospectus forming part of the Registration Statement. We also hereby consent to the filing of this opinion with the Commission as Exhibit 5.1 to the Registration Statement. In giving this consent, we do not thereby admit that we are within the category of persons whose consent is required under Section 7 of the Securities Act, the General Rules and Regulations under the Securities Act, or Item 509 of Regulation S-K.</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DLA Piper LLP (US)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307340</wp:posOffset>
            </wp:positionV>
            <wp:extent cx="714756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47560" cy="38100"/>
                    </a:xfrm>
                    <a:prstGeom prst="rect">
                      <a:avLst/>
                    </a:prstGeom>
                    <a:noFill/>
                  </pic:spPr>
                </pic:pic>
              </a:graphicData>
            </a:graphic>
          </wp:anchor>
        </w:drawing>
      </w:r>
    </w:p>
    <w:p>
      <w:pPr>
        <w:sectPr>
          <w:pgSz w:w="11900" w:h="16838" w:orient="portrait"/>
          <w:cols w:equalWidth="0" w:num="1">
            <w:col w:w="11220"/>
          </w:cols>
          <w:pgMar w:left="320" w:top="532" w:right="359" w:bottom="1440" w:gutter="0" w:footer="0" w:header="0"/>
        </w:sectPr>
      </w:pPr>
    </w:p>
    <w:bookmarkStart w:id="48" w:name="page49"/>
    <w:bookmarkEnd w:id="48"/>
    <w:p>
      <w:pPr>
        <w:ind w:left="10364"/>
        <w:spacing w:after="0"/>
        <w:rPr>
          <w:sz w:val="20"/>
          <w:szCs w:val="20"/>
          <w:color w:val="auto"/>
        </w:rPr>
      </w:pPr>
      <w:r>
        <w:rPr>
          <w:rFonts w:ascii="Times New Roman" w:cs="Times New Roman" w:eastAsia="Times New Roman" w:hAnsi="Times New Roman"/>
          <w:sz w:val="19"/>
          <w:szCs w:val="19"/>
          <w:b w:val="1"/>
          <w:bCs w:val="1"/>
          <w:color w:val="auto"/>
        </w:rPr>
        <w:t>Exhibit 5.2</w:t>
      </w:r>
    </w:p>
    <w:p>
      <w:pPr>
        <w:spacing w:after="0" w:line="226" w:lineRule="exact"/>
        <w:rPr>
          <w:sz w:val="20"/>
          <w:szCs w:val="20"/>
          <w:color w:val="auto"/>
        </w:rPr>
      </w:pPr>
    </w:p>
    <w:p>
      <w:pPr>
        <w:ind w:left="9124"/>
        <w:spacing w:after="0"/>
        <w:rPr>
          <w:sz w:val="20"/>
          <w:szCs w:val="20"/>
          <w:color w:val="auto"/>
        </w:rPr>
      </w:pPr>
      <w:r>
        <w:rPr>
          <w:rFonts w:ascii="Times New Roman" w:cs="Times New Roman" w:eastAsia="Times New Roman" w:hAnsi="Times New Roman"/>
          <w:sz w:val="16"/>
          <w:szCs w:val="16"/>
          <w:color w:val="auto"/>
        </w:rPr>
        <w:t>DLA Piper Nederland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1145540" cy="7327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145540" cy="732790"/>
                    </a:xfrm>
                    <a:prstGeom prst="rect">
                      <a:avLst/>
                    </a:prstGeom>
                    <a:noFill/>
                  </pic:spPr>
                </pic:pic>
              </a:graphicData>
            </a:graphic>
          </wp:anchor>
        </w:drawing>
      </w:r>
    </w:p>
    <w:p>
      <w:pPr>
        <w:spacing w:after="0" w:line="5" w:lineRule="exact"/>
        <w:rPr>
          <w:sz w:val="20"/>
          <w:szCs w:val="20"/>
          <w:color w:val="auto"/>
        </w:rPr>
      </w:pPr>
    </w:p>
    <w:p>
      <w:pPr>
        <w:ind w:left="9124"/>
        <w:spacing w:after="0"/>
        <w:rPr>
          <w:sz w:val="20"/>
          <w:szCs w:val="20"/>
          <w:color w:val="auto"/>
        </w:rPr>
      </w:pPr>
      <w:r>
        <w:rPr>
          <w:rFonts w:ascii="Times New Roman" w:cs="Times New Roman" w:eastAsia="Times New Roman" w:hAnsi="Times New Roman"/>
          <w:sz w:val="16"/>
          <w:szCs w:val="16"/>
          <w:color w:val="auto"/>
        </w:rPr>
        <w:t>Prinses Amaliaplein 3</w:t>
      </w:r>
    </w:p>
    <w:p>
      <w:pPr>
        <w:spacing w:after="0" w:line="8" w:lineRule="exact"/>
        <w:rPr>
          <w:sz w:val="20"/>
          <w:szCs w:val="20"/>
          <w:color w:val="auto"/>
        </w:rPr>
      </w:pPr>
    </w:p>
    <w:p>
      <w:pPr>
        <w:ind w:left="9124"/>
        <w:spacing w:after="0"/>
        <w:rPr>
          <w:sz w:val="20"/>
          <w:szCs w:val="20"/>
          <w:color w:val="auto"/>
        </w:rPr>
      </w:pPr>
      <w:r>
        <w:rPr>
          <w:rFonts w:ascii="Times New Roman" w:cs="Times New Roman" w:eastAsia="Times New Roman" w:hAnsi="Times New Roman"/>
          <w:sz w:val="16"/>
          <w:szCs w:val="16"/>
          <w:color w:val="auto"/>
        </w:rPr>
        <w:t>1077 XS Amsterdam</w:t>
      </w:r>
    </w:p>
    <w:p>
      <w:pPr>
        <w:spacing w:after="0" w:line="8" w:lineRule="exact"/>
        <w:rPr>
          <w:sz w:val="20"/>
          <w:szCs w:val="20"/>
          <w:color w:val="auto"/>
        </w:rPr>
      </w:pPr>
    </w:p>
    <w:p>
      <w:pPr>
        <w:ind w:left="9124"/>
        <w:spacing w:after="0"/>
        <w:rPr>
          <w:sz w:val="20"/>
          <w:szCs w:val="20"/>
          <w:color w:val="auto"/>
        </w:rPr>
      </w:pPr>
      <w:r>
        <w:rPr>
          <w:rFonts w:ascii="Times New Roman" w:cs="Times New Roman" w:eastAsia="Times New Roman" w:hAnsi="Times New Roman"/>
          <w:sz w:val="16"/>
          <w:szCs w:val="16"/>
          <w:color w:val="auto"/>
        </w:rPr>
        <w:t>P.O. Box 75258</w:t>
      </w:r>
    </w:p>
    <w:p>
      <w:pPr>
        <w:spacing w:after="0" w:line="8" w:lineRule="exact"/>
        <w:rPr>
          <w:sz w:val="20"/>
          <w:szCs w:val="20"/>
          <w:color w:val="auto"/>
        </w:rPr>
      </w:pPr>
    </w:p>
    <w:p>
      <w:pPr>
        <w:ind w:left="9124"/>
        <w:spacing w:after="0"/>
        <w:rPr>
          <w:sz w:val="20"/>
          <w:szCs w:val="20"/>
          <w:color w:val="auto"/>
        </w:rPr>
      </w:pPr>
      <w:r>
        <w:rPr>
          <w:rFonts w:ascii="Times New Roman" w:cs="Times New Roman" w:eastAsia="Times New Roman" w:hAnsi="Times New Roman"/>
          <w:sz w:val="16"/>
          <w:szCs w:val="16"/>
          <w:color w:val="auto"/>
        </w:rPr>
        <w:t>1070 AG Amsterdam</w:t>
      </w:r>
    </w:p>
    <w:p>
      <w:pPr>
        <w:spacing w:after="0" w:line="8" w:lineRule="exact"/>
        <w:rPr>
          <w:sz w:val="20"/>
          <w:szCs w:val="20"/>
          <w:color w:val="auto"/>
        </w:rPr>
      </w:pPr>
    </w:p>
    <w:p>
      <w:pPr>
        <w:ind w:left="9124"/>
        <w:spacing w:after="0"/>
        <w:rPr>
          <w:sz w:val="20"/>
          <w:szCs w:val="20"/>
          <w:color w:val="auto"/>
        </w:rPr>
      </w:pPr>
      <w:r>
        <w:rPr>
          <w:rFonts w:ascii="Times New Roman" w:cs="Times New Roman" w:eastAsia="Times New Roman" w:hAnsi="Times New Roman"/>
          <w:sz w:val="16"/>
          <w:szCs w:val="16"/>
          <w:color w:val="auto"/>
        </w:rPr>
        <w:t>The Netherlands</w:t>
      </w:r>
    </w:p>
    <w:p>
      <w:pPr>
        <w:spacing w:after="0" w:line="8" w:lineRule="exact"/>
        <w:rPr>
          <w:sz w:val="20"/>
          <w:szCs w:val="20"/>
          <w:color w:val="auto"/>
        </w:rPr>
      </w:pPr>
    </w:p>
    <w:p>
      <w:pPr>
        <w:ind w:left="9124"/>
        <w:spacing w:after="0"/>
        <w:rPr>
          <w:sz w:val="20"/>
          <w:szCs w:val="20"/>
          <w:color w:val="auto"/>
        </w:rPr>
      </w:pPr>
      <w:r>
        <w:rPr>
          <w:rFonts w:ascii="Times New Roman" w:cs="Times New Roman" w:eastAsia="Times New Roman" w:hAnsi="Times New Roman"/>
          <w:sz w:val="16"/>
          <w:szCs w:val="16"/>
          <w:b w:val="1"/>
          <w:bCs w:val="1"/>
          <w:color w:val="auto"/>
        </w:rPr>
        <w:t>T</w:t>
      </w:r>
      <w:r>
        <w:rPr>
          <w:rFonts w:ascii="Times New Roman" w:cs="Times New Roman" w:eastAsia="Times New Roman" w:hAnsi="Times New Roman"/>
          <w:sz w:val="16"/>
          <w:szCs w:val="16"/>
          <w:color w:val="auto"/>
        </w:rPr>
        <w:t>+31 20 541 9888</w:t>
      </w:r>
    </w:p>
    <w:p>
      <w:pPr>
        <w:spacing w:after="0" w:line="8" w:lineRule="exact"/>
        <w:rPr>
          <w:sz w:val="20"/>
          <w:szCs w:val="20"/>
          <w:color w:val="auto"/>
        </w:rPr>
      </w:pPr>
    </w:p>
    <w:p>
      <w:pPr>
        <w:ind w:left="9124"/>
        <w:spacing w:after="0"/>
        <w:rPr>
          <w:sz w:val="20"/>
          <w:szCs w:val="20"/>
          <w:color w:val="auto"/>
        </w:rPr>
      </w:pP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6"/>
          <w:szCs w:val="16"/>
          <w:color w:val="auto"/>
        </w:rPr>
        <w:t>+31 20 541 9999</w:t>
      </w:r>
    </w:p>
    <w:p>
      <w:pPr>
        <w:spacing w:after="0" w:line="8" w:lineRule="exact"/>
        <w:rPr>
          <w:sz w:val="20"/>
          <w:szCs w:val="20"/>
          <w:color w:val="auto"/>
        </w:rPr>
      </w:pPr>
    </w:p>
    <w:p>
      <w:pPr>
        <w:ind w:left="9124"/>
        <w:spacing w:after="0"/>
        <w:rPr>
          <w:sz w:val="20"/>
          <w:szCs w:val="20"/>
          <w:color w:val="auto"/>
        </w:rPr>
      </w:pPr>
      <w:r>
        <w:rPr>
          <w:rFonts w:ascii="Times New Roman" w:cs="Times New Roman" w:eastAsia="Times New Roman" w:hAnsi="Times New Roman"/>
          <w:sz w:val="16"/>
          <w:szCs w:val="16"/>
          <w:b w:val="1"/>
          <w:bCs w:val="1"/>
          <w:color w:val="auto"/>
        </w:rPr>
        <w:t xml:space="preserve">W </w:t>
      </w:r>
      <w:r>
        <w:rPr>
          <w:rFonts w:ascii="Times New Roman" w:cs="Times New Roman" w:eastAsia="Times New Roman" w:hAnsi="Times New Roman"/>
          <w:sz w:val="16"/>
          <w:szCs w:val="16"/>
          <w:color w:val="auto"/>
        </w:rPr>
        <w:t>dlapiper.nl</w:t>
      </w:r>
    </w:p>
    <w:p>
      <w:pPr>
        <w:spacing w:after="0" w:line="206" w:lineRule="exact"/>
        <w:rPr>
          <w:sz w:val="20"/>
          <w:szCs w:val="20"/>
          <w:color w:val="auto"/>
        </w:rPr>
      </w:pPr>
    </w:p>
    <w:p>
      <w:pPr>
        <w:ind w:left="7104"/>
        <w:spacing w:after="0"/>
        <w:rPr>
          <w:sz w:val="20"/>
          <w:szCs w:val="20"/>
          <w:color w:val="auto"/>
        </w:rPr>
      </w:pPr>
      <w:r>
        <w:rPr>
          <w:rFonts w:ascii="Times New Roman" w:cs="Times New Roman" w:eastAsia="Times New Roman" w:hAnsi="Times New Roman"/>
          <w:sz w:val="16"/>
          <w:szCs w:val="16"/>
          <w:b w:val="1"/>
          <w:bCs w:val="1"/>
          <w:color w:val="auto"/>
        </w:rPr>
        <w:t>Your Ref:</w:t>
      </w:r>
    </w:p>
    <w:p>
      <w:pPr>
        <w:spacing w:after="0" w:line="201" w:lineRule="exact"/>
        <w:rPr>
          <w:sz w:val="20"/>
          <w:szCs w:val="20"/>
          <w:color w:val="auto"/>
        </w:rPr>
      </w:pPr>
    </w:p>
    <w:p>
      <w:pPr>
        <w:ind w:left="4"/>
        <w:spacing w:after="0"/>
        <w:tabs>
          <w:tab w:leader="none" w:pos="7083" w:val="left"/>
        </w:tabs>
        <w:rPr>
          <w:sz w:val="20"/>
          <w:szCs w:val="20"/>
          <w:color w:val="auto"/>
        </w:rPr>
      </w:pPr>
      <w:r>
        <w:rPr>
          <w:rFonts w:ascii="Times New Roman" w:cs="Times New Roman" w:eastAsia="Times New Roman" w:hAnsi="Times New Roman"/>
          <w:sz w:val="16"/>
          <w:szCs w:val="16"/>
          <w:color w:val="auto"/>
        </w:rPr>
        <w:t>To:</w:t>
      </w:r>
      <w:r>
        <w:rPr>
          <w:sz w:val="20"/>
          <w:szCs w:val="20"/>
          <w:color w:val="auto"/>
        </w:rPr>
        <w:tab/>
      </w:r>
      <w:r>
        <w:rPr>
          <w:rFonts w:ascii="Times New Roman" w:cs="Times New Roman" w:eastAsia="Times New Roman" w:hAnsi="Times New Roman"/>
          <w:sz w:val="16"/>
          <w:szCs w:val="16"/>
          <w:b w:val="1"/>
          <w:bCs w:val="1"/>
          <w:color w:val="auto"/>
        </w:rPr>
        <w:t>Our Ref:</w:t>
      </w:r>
    </w:p>
    <w:p>
      <w:pPr>
        <w:spacing w:after="0" w:line="395" w:lineRule="exact"/>
        <w:rPr>
          <w:sz w:val="20"/>
          <w:szCs w:val="20"/>
          <w:color w:val="auto"/>
        </w:rPr>
      </w:pPr>
    </w:p>
    <w:p>
      <w:pPr>
        <w:ind w:left="8764"/>
        <w:spacing w:after="0"/>
        <w:rPr>
          <w:sz w:val="20"/>
          <w:szCs w:val="20"/>
          <w:color w:val="auto"/>
        </w:rPr>
      </w:pPr>
      <w:r>
        <w:rPr>
          <w:rFonts w:ascii="Times New Roman" w:cs="Times New Roman" w:eastAsia="Times New Roman" w:hAnsi="Times New Roman"/>
          <w:sz w:val="16"/>
          <w:szCs w:val="16"/>
          <w:color w:val="auto"/>
        </w:rPr>
        <w:t>12 May 2026</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Sono Group N.V.</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4965 Trinidad Drive</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Land O’ Lakes, FL 34639</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United States of America</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
        <w:spacing w:after="0"/>
        <w:tabs>
          <w:tab w:leader="none" w:pos="1903" w:val="left"/>
        </w:tabs>
        <w:rPr>
          <w:sz w:val="20"/>
          <w:szCs w:val="20"/>
          <w:color w:val="auto"/>
        </w:rPr>
      </w:pPr>
      <w:r>
        <w:rPr>
          <w:rFonts w:ascii="Times New Roman" w:cs="Times New Roman" w:eastAsia="Times New Roman" w:hAnsi="Times New Roman"/>
          <w:sz w:val="16"/>
          <w:szCs w:val="16"/>
          <w:b w:val="1"/>
          <w:bCs w:val="1"/>
          <w:color w:val="auto"/>
        </w:rPr>
        <w:t>RE:</w:t>
      </w:r>
      <w:r>
        <w:rPr>
          <w:sz w:val="20"/>
          <w:szCs w:val="20"/>
          <w:color w:val="auto"/>
        </w:rPr>
        <w:tab/>
      </w:r>
      <w:r>
        <w:rPr>
          <w:rFonts w:ascii="Times New Roman" w:cs="Times New Roman" w:eastAsia="Times New Roman" w:hAnsi="Times New Roman"/>
          <w:sz w:val="16"/>
          <w:szCs w:val="16"/>
          <w:b w:val="1"/>
          <w:bCs w:val="1"/>
          <w:color w:val="auto"/>
        </w:rPr>
        <w:t>LEGALITY OPINION – FORM S-3</w:t>
      </w:r>
    </w:p>
    <w:p>
      <w:pPr>
        <w:spacing w:after="0" w:line="225" w:lineRule="exact"/>
        <w:rPr>
          <w:sz w:val="20"/>
          <w:szCs w:val="20"/>
          <w:color w:val="auto"/>
        </w:rPr>
      </w:pPr>
    </w:p>
    <w:p>
      <w:pPr>
        <w:ind w:left="584" w:hanging="584"/>
        <w:spacing w:after="0"/>
        <w:tabs>
          <w:tab w:leader="none" w:pos="584"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01" w:lineRule="exact"/>
        <w:rPr>
          <w:sz w:val="20"/>
          <w:szCs w:val="20"/>
          <w:color w:val="auto"/>
        </w:rPr>
      </w:pPr>
    </w:p>
    <w:p>
      <w:pPr>
        <w:jc w:val="both"/>
        <w:ind w:left="584" w:right="20" w:hanging="576"/>
        <w:spacing w:after="0" w:line="262" w:lineRule="auto"/>
        <w:tabs>
          <w:tab w:leader="none" w:pos="563"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We act as legal adviser (</w:t>
      </w:r>
      <w:r>
        <w:rPr>
          <w:rFonts w:ascii="Times New Roman" w:cs="Times New Roman" w:eastAsia="Times New Roman" w:hAnsi="Times New Roman"/>
          <w:sz w:val="16"/>
          <w:szCs w:val="16"/>
          <w:i w:val="1"/>
          <w:iCs w:val="1"/>
          <w:color w:val="auto"/>
        </w:rPr>
        <w:t>advocaat</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notaris</w:t>
      </w:r>
      <w:r>
        <w:rPr>
          <w:rFonts w:ascii="Times New Roman" w:cs="Times New Roman" w:eastAsia="Times New Roman" w:hAnsi="Times New Roman"/>
          <w:sz w:val="16"/>
          <w:szCs w:val="16"/>
          <w:color w:val="auto"/>
        </w:rPr>
        <w:t>) respectively under Netherlands Law to the Company in connection with the filing of the Registration Statement, which contains, amongst others, a prospectus, which covers the offering, issuance and sale by the Company, from time to time of, among others, an indeterminate number of the Company's Ordinary Shares. This legal opinion is furnished to you in order to be filed with the U.S.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as an exhibit to the Registration Statement.</w:t>
      </w:r>
    </w:p>
    <w:p>
      <w:pPr>
        <w:spacing w:after="0" w:line="161" w:lineRule="exact"/>
        <w:rPr>
          <w:sz w:val="20"/>
          <w:szCs w:val="20"/>
          <w:color w:val="auto"/>
        </w:rPr>
      </w:pPr>
    </w:p>
    <w:p>
      <w:pPr>
        <w:jc w:val="both"/>
        <w:ind w:left="584" w:right="20" w:hanging="576"/>
        <w:spacing w:after="0" w:line="283" w:lineRule="auto"/>
        <w:tabs>
          <w:tab w:leader="none" w:pos="563"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Capitalised terms used in this legal opinion have the meanings ascribed to such terms in the Annex to this legal opinion or in this legal opinion. In addition, any capitalised terms not specifically defined in this legal opinion have the meaning ascribed to such terms in the Registration Statement.</w:t>
      </w:r>
    </w:p>
    <w:p>
      <w:pPr>
        <w:spacing w:after="0" w:line="141" w:lineRule="exact"/>
        <w:rPr>
          <w:sz w:val="20"/>
          <w:szCs w:val="20"/>
          <w:color w:val="auto"/>
        </w:rPr>
      </w:pPr>
    </w:p>
    <w:p>
      <w:pPr>
        <w:ind w:left="584" w:hanging="584"/>
        <w:spacing w:after="0"/>
        <w:tabs>
          <w:tab w:leader="none" w:pos="584"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APPLICABLE LAW</w:t>
      </w:r>
    </w:p>
    <w:p>
      <w:pPr>
        <w:spacing w:after="0" w:line="202" w:lineRule="exact"/>
        <w:rPr>
          <w:rFonts w:ascii="Times New Roman" w:cs="Times New Roman" w:eastAsia="Times New Roman" w:hAnsi="Times New Roman"/>
          <w:sz w:val="16"/>
          <w:szCs w:val="16"/>
          <w:b w:val="1"/>
          <w:bCs w:val="1"/>
          <w:color w:val="auto"/>
        </w:rPr>
      </w:pPr>
    </w:p>
    <w:p>
      <w:pPr>
        <w:ind w:left="584" w:right="20"/>
        <w:spacing w:after="0" w:line="28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This legal opinion is limited to Netherlands Law in effect as at the date of this legal opinion and is, together with all terms used in it, to be construed in accordance with Netherlands Law. We do not express any opinions (factual or legal) on any matters not expressly set out in this legal opinion.</w:t>
      </w:r>
    </w:p>
    <w:p>
      <w:pPr>
        <w:spacing w:after="0" w:line="141" w:lineRule="exact"/>
        <w:rPr>
          <w:rFonts w:ascii="Times New Roman" w:cs="Times New Roman" w:eastAsia="Times New Roman" w:hAnsi="Times New Roman"/>
          <w:sz w:val="16"/>
          <w:szCs w:val="16"/>
          <w:b w:val="1"/>
          <w:bCs w:val="1"/>
          <w:color w:val="auto"/>
        </w:rPr>
      </w:pPr>
    </w:p>
    <w:p>
      <w:pPr>
        <w:ind w:left="584" w:hanging="584"/>
        <w:spacing w:after="0"/>
        <w:tabs>
          <w:tab w:leader="none" w:pos="584"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DOCUMENTS AND CONFIRMATIONS FORMING THE BASIS OF THE LEGAL OPINION</w:t>
      </w:r>
    </w:p>
    <w:p>
      <w:pPr>
        <w:spacing w:after="0" w:line="203"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5"/>
          <w:szCs w:val="15"/>
          <w:color w:val="auto"/>
        </w:rPr>
        <w:t>We have examined (prints of electronic) copies of the following Documents for purposes of the issue of this legal opinion:</w:t>
      </w:r>
    </w:p>
    <w:p>
      <w:pPr>
        <w:spacing w:after="0" w:line="201" w:lineRule="exact"/>
        <w:rPr>
          <w:sz w:val="20"/>
          <w:szCs w:val="20"/>
          <w:color w:val="auto"/>
        </w:rPr>
      </w:pPr>
    </w:p>
    <w:p>
      <w:pPr>
        <w:ind w:left="584"/>
        <w:spacing w:after="0"/>
        <w:tabs>
          <w:tab w:leader="none" w:pos="1423" w:val="left"/>
        </w:tabs>
        <w:rPr>
          <w:sz w:val="20"/>
          <w:szCs w:val="20"/>
          <w:color w:val="auto"/>
        </w:rPr>
      </w:pPr>
      <w:r>
        <w:rPr>
          <w:rFonts w:ascii="Times New Roman" w:cs="Times New Roman" w:eastAsia="Times New Roman" w:hAnsi="Times New Roman"/>
          <w:sz w:val="16"/>
          <w:szCs w:val="16"/>
          <w:color w:val="auto"/>
        </w:rPr>
        <w:t>3.1.1</w:t>
      </w:r>
      <w:r>
        <w:rPr>
          <w:sz w:val="20"/>
          <w:szCs w:val="20"/>
          <w:color w:val="auto"/>
        </w:rPr>
        <w:tab/>
      </w:r>
      <w:r>
        <w:rPr>
          <w:rFonts w:ascii="Times New Roman" w:cs="Times New Roman" w:eastAsia="Times New Roman" w:hAnsi="Times New Roman"/>
          <w:sz w:val="15"/>
          <w:szCs w:val="15"/>
          <w:color w:val="auto"/>
        </w:rPr>
        <w:t>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336550</wp:posOffset>
            </wp:positionV>
            <wp:extent cx="7147560"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47560" cy="30480"/>
                    </a:xfrm>
                    <a:prstGeom prst="rect">
                      <a:avLst/>
                    </a:prstGeom>
                    <a:noFill/>
                  </pic:spPr>
                </pic:pic>
              </a:graphicData>
            </a:graphic>
          </wp:anchor>
        </w:drawing>
      </w:r>
    </w:p>
    <w:p>
      <w:pPr>
        <w:sectPr>
          <w:pgSz w:w="11900" w:h="16838" w:orient="portrait"/>
          <w:cols w:equalWidth="0" w:num="1">
            <w:col w:w="11264"/>
          </w:cols>
          <w:pgMar w:left="316" w:top="112" w:right="3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6"/>
          <w:szCs w:val="16"/>
          <w:color w:val="auto"/>
        </w:rPr>
        <w:t>Continuation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-106045</wp:posOffset>
            </wp:positionV>
            <wp:extent cx="1145540" cy="7327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145540" cy="73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444" w:right="20" w:hanging="865"/>
        <w:spacing w:after="0" w:line="283" w:lineRule="auto"/>
        <w:tabs>
          <w:tab w:leader="none" w:pos="1423" w:val="left"/>
        </w:tabs>
        <w:rPr>
          <w:sz w:val="20"/>
          <w:szCs w:val="20"/>
          <w:color w:val="auto"/>
        </w:rPr>
      </w:pPr>
      <w:r>
        <w:rPr>
          <w:rFonts w:ascii="Times New Roman" w:cs="Times New Roman" w:eastAsia="Times New Roman" w:hAnsi="Times New Roman"/>
          <w:sz w:val="16"/>
          <w:szCs w:val="16"/>
          <w:color w:val="auto"/>
        </w:rPr>
        <w:t>3.1.2</w:t>
      </w:r>
      <w:r>
        <w:rPr>
          <w:sz w:val="20"/>
          <w:szCs w:val="20"/>
          <w:color w:val="auto"/>
        </w:rPr>
        <w:tab/>
      </w:r>
      <w:r>
        <w:rPr>
          <w:rFonts w:ascii="Times New Roman" w:cs="Times New Roman" w:eastAsia="Times New Roman" w:hAnsi="Times New Roman"/>
          <w:sz w:val="16"/>
          <w:szCs w:val="16"/>
          <w:color w:val="auto"/>
        </w:rPr>
        <w:t>the Company’s deed of incorporation as well as its articles of association, dated or amended, as the case may be on the dates specified in the Excerpt; and</w:t>
      </w:r>
    </w:p>
    <w:p>
      <w:pPr>
        <w:spacing w:after="0" w:line="143" w:lineRule="exact"/>
        <w:rPr>
          <w:sz w:val="20"/>
          <w:szCs w:val="20"/>
          <w:color w:val="auto"/>
        </w:rPr>
      </w:pPr>
    </w:p>
    <w:p>
      <w:pPr>
        <w:ind w:left="584"/>
        <w:spacing w:after="0"/>
        <w:tabs>
          <w:tab w:leader="none" w:pos="1423" w:val="left"/>
        </w:tabs>
        <w:rPr>
          <w:sz w:val="20"/>
          <w:szCs w:val="20"/>
          <w:color w:val="auto"/>
        </w:rPr>
      </w:pPr>
      <w:r>
        <w:rPr>
          <w:rFonts w:ascii="Times New Roman" w:cs="Times New Roman" w:eastAsia="Times New Roman" w:hAnsi="Times New Roman"/>
          <w:sz w:val="16"/>
          <w:szCs w:val="16"/>
          <w:color w:val="auto"/>
        </w:rPr>
        <w:t>3.1.3</w:t>
      </w:r>
      <w:r>
        <w:rPr>
          <w:sz w:val="20"/>
          <w:szCs w:val="20"/>
          <w:color w:val="auto"/>
        </w:rPr>
        <w:tab/>
      </w:r>
      <w:r>
        <w:rPr>
          <w:rFonts w:ascii="Times New Roman" w:cs="Times New Roman" w:eastAsia="Times New Roman" w:hAnsi="Times New Roman"/>
          <w:sz w:val="16"/>
          <w:szCs w:val="16"/>
          <w:color w:val="auto"/>
        </w:rPr>
        <w:t>the Excerpt.</w:t>
      </w:r>
    </w:p>
    <w:p>
      <w:pPr>
        <w:spacing w:after="0" w:line="201"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5"/>
          <w:szCs w:val="15"/>
          <w:color w:val="auto"/>
        </w:rPr>
        <w:t>In addition, we have received the Confirmations.</w:t>
      </w:r>
    </w:p>
    <w:p>
      <w:pPr>
        <w:spacing w:after="0" w:line="201" w:lineRule="exact"/>
        <w:rPr>
          <w:sz w:val="20"/>
          <w:szCs w:val="20"/>
          <w:color w:val="auto"/>
        </w:rPr>
      </w:pPr>
    </w:p>
    <w:p>
      <w:pPr>
        <w:ind w:left="584" w:right="20" w:hanging="576"/>
        <w:spacing w:after="0" w:line="283" w:lineRule="auto"/>
        <w:tabs>
          <w:tab w:leader="none" w:pos="563"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6"/>
          <w:szCs w:val="16"/>
          <w:color w:val="auto"/>
        </w:rPr>
        <w:t>Our examination has been limited to the literal text of the Documents and we have not had regard to any matters not expressly set out in the Documents. We have not performed any factual or legal investigation other than the review of the Documents and consideration of the Confirmations referred to above.</w:t>
      </w:r>
    </w:p>
    <w:p>
      <w:pPr>
        <w:spacing w:after="0" w:line="141" w:lineRule="exact"/>
        <w:rPr>
          <w:sz w:val="20"/>
          <w:szCs w:val="20"/>
          <w:color w:val="auto"/>
        </w:rPr>
      </w:pPr>
    </w:p>
    <w:p>
      <w:pPr>
        <w:ind w:left="584" w:hanging="584"/>
        <w:spacing w:after="0"/>
        <w:tabs>
          <w:tab w:leader="none" w:pos="584"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ASSUMPTIONS</w:t>
      </w:r>
    </w:p>
    <w:p>
      <w:pPr>
        <w:spacing w:after="0" w:line="203"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For the purpose of the legal opinions expressed herein, we have assumed:</w:t>
      </w:r>
    </w:p>
    <w:p>
      <w:pPr>
        <w:spacing w:after="0" w:line="201"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that all copy Documents received by us are (and their content is) correct and complete and conform to the original Documents in all respects;</w:t>
      </w:r>
    </w:p>
    <w:p>
      <w:pPr>
        <w:spacing w:after="0" w:line="201" w:lineRule="exact"/>
        <w:rPr>
          <w:sz w:val="20"/>
          <w:szCs w:val="20"/>
          <w:color w:val="auto"/>
        </w:rPr>
      </w:pPr>
    </w:p>
    <w:p>
      <w:pPr>
        <w:jc w:val="both"/>
        <w:ind w:left="584" w:hanging="576"/>
        <w:spacing w:after="0" w:line="261" w:lineRule="auto"/>
        <w:tabs>
          <w:tab w:leader="none" w:pos="563" w:val="left"/>
        </w:tabs>
        <w:rPr>
          <w:sz w:val="20"/>
          <w:szCs w:val="20"/>
          <w:color w:val="auto"/>
        </w:rPr>
      </w:pP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the genuineness and completeness of all signatures on the Documents received by us, such signatures being the signatures of the relevant individuals concerned whereby in respect of any electronic signatures (i) such electronic signatures meet the requirements of a qualified electronic signature within the meaning of Regulation (EU) No 910/2014 (eIDAS Regulation) or, where such requirements are assumed to be not met, (ii) such electronic signatures are otherwise sufficiently reliable as required under Section 3:15a DCC;</w:t>
      </w:r>
    </w:p>
    <w:p>
      <w:pPr>
        <w:spacing w:after="0" w:line="162" w:lineRule="exact"/>
        <w:rPr>
          <w:sz w:val="20"/>
          <w:szCs w:val="20"/>
          <w:color w:val="auto"/>
        </w:rPr>
      </w:pPr>
    </w:p>
    <w:p>
      <w:pPr>
        <w:jc w:val="both"/>
        <w:ind w:left="584" w:right="20" w:hanging="576"/>
        <w:spacing w:after="0" w:line="283" w:lineRule="auto"/>
        <w:tabs>
          <w:tab w:leader="none" w:pos="563"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that the Registration Statement has been or will have been filed with the SEC in the form reviewed by us and has been or will be declared effective by the SEC in the form reviewed by us;</w:t>
      </w:r>
    </w:p>
    <w:p>
      <w:pPr>
        <w:spacing w:after="0" w:line="143" w:lineRule="exact"/>
        <w:rPr>
          <w:sz w:val="20"/>
          <w:szCs w:val="20"/>
          <w:color w:val="auto"/>
        </w:rPr>
      </w:pPr>
    </w:p>
    <w:p>
      <w:pPr>
        <w:jc w:val="both"/>
        <w:ind w:left="584" w:hanging="576"/>
        <w:spacing w:after="0" w:line="259" w:lineRule="auto"/>
        <w:tabs>
          <w:tab w:leader="none" w:pos="563" w:val="left"/>
        </w:tabs>
        <w:rPr>
          <w:sz w:val="20"/>
          <w:szCs w:val="20"/>
          <w:color w:val="auto"/>
        </w:rPr>
      </w:pPr>
      <w:r>
        <w:rPr>
          <w:rFonts w:ascii="Times New Roman" w:cs="Times New Roman" w:eastAsia="Times New Roman" w:hAnsi="Times New Roman"/>
          <w:sz w:val="16"/>
          <w:szCs w:val="16"/>
          <w:color w:val="auto"/>
        </w:rPr>
        <w:t>4.4</w:t>
      </w:r>
      <w:r>
        <w:rPr>
          <w:sz w:val="20"/>
          <w:szCs w:val="20"/>
          <w:color w:val="auto"/>
        </w:rPr>
        <w:tab/>
      </w:r>
      <w:r>
        <w:rPr>
          <w:rFonts w:ascii="Times New Roman" w:cs="Times New Roman" w:eastAsia="Times New Roman" w:hAnsi="Times New Roman"/>
          <w:sz w:val="16"/>
          <w:szCs w:val="16"/>
          <w:color w:val="auto"/>
        </w:rPr>
        <w:t>that at each Relevant Moment, the Ordinary Shares shall have been admitted for trading on a trading system outside the European Economic Area comparable to a regulated market or a multilateral trading facility as referred to in Section 2:86c(1) DCC and (ii) no financial instruments issued by the Company (or depository receipts for or otherwise representing such financial instruments) have been admitted to trading on a regulated market, multilateral trading facility or organised trading facility operating in the European Economic Area (and no request for admission of any such financial instruments to trading on any such trading venue has been made);</w:t>
      </w:r>
    </w:p>
    <w:p>
      <w:pPr>
        <w:spacing w:after="0" w:line="160" w:lineRule="exact"/>
        <w:rPr>
          <w:sz w:val="20"/>
          <w:szCs w:val="20"/>
          <w:color w:val="auto"/>
        </w:rPr>
      </w:pPr>
    </w:p>
    <w:p>
      <w:pPr>
        <w:jc w:val="both"/>
        <w:ind w:left="584" w:hanging="576"/>
        <w:spacing w:after="0" w:line="285" w:lineRule="auto"/>
        <w:tabs>
          <w:tab w:leader="none" w:pos="563" w:val="left"/>
        </w:tabs>
        <w:rPr>
          <w:sz w:val="20"/>
          <w:szCs w:val="20"/>
          <w:color w:val="auto"/>
        </w:rPr>
      </w:pPr>
      <w:r>
        <w:rPr>
          <w:rFonts w:ascii="Times New Roman" w:cs="Times New Roman" w:eastAsia="Times New Roman" w:hAnsi="Times New Roman"/>
          <w:sz w:val="16"/>
          <w:szCs w:val="16"/>
          <w:color w:val="auto"/>
        </w:rPr>
        <w:t>4.5</w:t>
      </w:r>
      <w:r>
        <w:rPr>
          <w:sz w:val="20"/>
          <w:szCs w:val="20"/>
          <w:color w:val="auto"/>
        </w:rPr>
        <w:tab/>
      </w:r>
      <w:r>
        <w:rPr>
          <w:rFonts w:ascii="Times New Roman" w:cs="Times New Roman" w:eastAsia="Times New Roman" w:hAnsi="Times New Roman"/>
          <w:sz w:val="16"/>
          <w:szCs w:val="16"/>
          <w:color w:val="auto"/>
        </w:rPr>
        <w:t>that at each Relevant Moment, the Company's authorised share capital (</w:t>
      </w:r>
      <w:r>
        <w:rPr>
          <w:rFonts w:ascii="Times New Roman" w:cs="Times New Roman" w:eastAsia="Times New Roman" w:hAnsi="Times New Roman"/>
          <w:sz w:val="16"/>
          <w:szCs w:val="16"/>
          <w:i w:val="1"/>
          <w:iCs w:val="1"/>
          <w:color w:val="auto"/>
        </w:rPr>
        <w:t>maatschappelijk kapitaal</w:t>
      </w:r>
      <w:r>
        <w:rPr>
          <w:rFonts w:ascii="Times New Roman" w:cs="Times New Roman" w:eastAsia="Times New Roman" w:hAnsi="Times New Roman"/>
          <w:sz w:val="16"/>
          <w:szCs w:val="16"/>
          <w:color w:val="auto"/>
        </w:rPr>
        <w:t>) was or will be sufficient to allow for the issuance of the Registration Shares;</w:t>
      </w:r>
    </w:p>
    <w:p>
      <w:pPr>
        <w:spacing w:after="0" w:line="142"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16"/>
          <w:szCs w:val="16"/>
          <w:color w:val="auto"/>
        </w:rPr>
        <w:t>4.6</w:t>
      </w:r>
      <w:r>
        <w:rPr>
          <w:sz w:val="20"/>
          <w:szCs w:val="20"/>
          <w:color w:val="auto"/>
        </w:rPr>
        <w:tab/>
      </w:r>
      <w:r>
        <w:rPr>
          <w:rFonts w:ascii="Times New Roman" w:cs="Times New Roman" w:eastAsia="Times New Roman" w:hAnsi="Times New Roman"/>
          <w:sz w:val="16"/>
          <w:szCs w:val="16"/>
          <w:color w:val="auto"/>
        </w:rPr>
        <w:t>that the articles of association as in force at the date of this legal opinion will be in force at each Relevant Moment;</w:t>
      </w:r>
    </w:p>
    <w:p>
      <w:pPr>
        <w:spacing w:after="0" w:line="201" w:lineRule="exact"/>
        <w:rPr>
          <w:sz w:val="20"/>
          <w:szCs w:val="20"/>
          <w:color w:val="auto"/>
        </w:rPr>
      </w:pPr>
    </w:p>
    <w:p>
      <w:pPr>
        <w:jc w:val="both"/>
        <w:ind w:left="584" w:hanging="576"/>
        <w:spacing w:after="0" w:line="283" w:lineRule="auto"/>
        <w:tabs>
          <w:tab w:leader="none" w:pos="563" w:val="left"/>
        </w:tabs>
        <w:rPr>
          <w:sz w:val="20"/>
          <w:szCs w:val="20"/>
          <w:color w:val="auto"/>
        </w:rPr>
      </w:pPr>
      <w:r>
        <w:rPr>
          <w:rFonts w:ascii="Times New Roman" w:cs="Times New Roman" w:eastAsia="Times New Roman" w:hAnsi="Times New Roman"/>
          <w:sz w:val="16"/>
          <w:szCs w:val="16"/>
          <w:color w:val="auto"/>
        </w:rPr>
        <w:t>4.7</w:t>
      </w:r>
      <w:r>
        <w:rPr>
          <w:sz w:val="20"/>
          <w:szCs w:val="20"/>
          <w:color w:val="auto"/>
        </w:rPr>
        <w:tab/>
      </w:r>
      <w:r>
        <w:rPr>
          <w:rFonts w:ascii="Times New Roman" w:cs="Times New Roman" w:eastAsia="Times New Roman" w:hAnsi="Times New Roman"/>
          <w:sz w:val="16"/>
          <w:szCs w:val="16"/>
          <w:color w:val="auto"/>
        </w:rPr>
        <w:t>any Registration Shares shall be issued, and any pre-emption rights in connection therewith shall have been excluded, pursuant to resolutions validly passed by the corporate body (</w:t>
      </w:r>
      <w:r>
        <w:rPr>
          <w:rFonts w:ascii="Times New Roman" w:cs="Times New Roman" w:eastAsia="Times New Roman" w:hAnsi="Times New Roman"/>
          <w:sz w:val="16"/>
          <w:szCs w:val="16"/>
          <w:i w:val="1"/>
          <w:iCs w:val="1"/>
          <w:color w:val="auto"/>
        </w:rPr>
        <w:t>orgaan</w:t>
      </w:r>
      <w:r>
        <w:rPr>
          <w:rFonts w:ascii="Times New Roman" w:cs="Times New Roman" w:eastAsia="Times New Roman" w:hAnsi="Times New Roman"/>
          <w:sz w:val="16"/>
          <w:szCs w:val="16"/>
          <w:color w:val="auto"/>
        </w:rPr>
        <w:t>) of the Company duly authorised to do so;</w:t>
      </w:r>
    </w:p>
    <w:p>
      <w:pPr>
        <w:spacing w:after="0" w:line="2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Legal opinion – 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47560" cy="30480"/>
                    </a:xfrm>
                    <a:prstGeom prst="rect">
                      <a:avLst/>
                    </a:prstGeom>
                    <a:noFill/>
                  </pic:spPr>
                </pic:pic>
              </a:graphicData>
            </a:graphic>
          </wp:anchor>
        </w:drawing>
      </w:r>
    </w:p>
    <w:p>
      <w:pPr>
        <w:sectPr>
          <w:pgSz w:w="11900" w:h="16838" w:orient="portrait"/>
          <w:cols w:equalWidth="0" w:num="1">
            <w:col w:w="11264"/>
          </w:cols>
          <w:pgMar w:left="316" w:top="219" w:right="3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color w:val="auto"/>
        </w:rPr>
        <w:t>Continuation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-105410</wp:posOffset>
            </wp:positionV>
            <wp:extent cx="1145540" cy="7327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145540" cy="73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584" w:right="20" w:hanging="576"/>
        <w:spacing w:after="0" w:line="259" w:lineRule="auto"/>
        <w:tabs>
          <w:tab w:leader="none" w:pos="563" w:val="left"/>
        </w:tabs>
        <w:rPr>
          <w:sz w:val="20"/>
          <w:szCs w:val="20"/>
          <w:color w:val="auto"/>
        </w:rPr>
      </w:pPr>
      <w:r>
        <w:rPr>
          <w:rFonts w:ascii="Times New Roman" w:cs="Times New Roman" w:eastAsia="Times New Roman" w:hAnsi="Times New Roman"/>
          <w:sz w:val="16"/>
          <w:szCs w:val="16"/>
          <w:color w:val="auto"/>
        </w:rPr>
        <w:t>4.8</w:t>
      </w:r>
      <w:r>
        <w:rPr>
          <w:sz w:val="20"/>
          <w:szCs w:val="20"/>
          <w:color w:val="auto"/>
        </w:rPr>
        <w:tab/>
      </w:r>
      <w:r>
        <w:rPr>
          <w:rFonts w:ascii="Times New Roman" w:cs="Times New Roman" w:eastAsia="Times New Roman" w:hAnsi="Times New Roman"/>
          <w:sz w:val="16"/>
          <w:szCs w:val="16"/>
          <w:color w:val="auto"/>
        </w:rPr>
        <w:t>that at each Relevant Moment, the Company will not have (i) been dissolved (</w:t>
      </w:r>
      <w:r>
        <w:rPr>
          <w:rFonts w:ascii="Times New Roman" w:cs="Times New Roman" w:eastAsia="Times New Roman" w:hAnsi="Times New Roman"/>
          <w:sz w:val="16"/>
          <w:szCs w:val="16"/>
          <w:i w:val="1"/>
          <w:iCs w:val="1"/>
          <w:color w:val="auto"/>
        </w:rPr>
        <w:t>ontbonden</w:t>
      </w:r>
      <w:r>
        <w:rPr>
          <w:rFonts w:ascii="Times New Roman" w:cs="Times New Roman" w:eastAsia="Times New Roman" w:hAnsi="Times New Roman"/>
          <w:sz w:val="16"/>
          <w:szCs w:val="16"/>
          <w:color w:val="auto"/>
        </w:rPr>
        <w:t>), (ii) ceased to exist pursuant to a legal merger (</w:t>
      </w:r>
      <w:r>
        <w:rPr>
          <w:rFonts w:ascii="Times New Roman" w:cs="Times New Roman" w:eastAsia="Times New Roman" w:hAnsi="Times New Roman"/>
          <w:sz w:val="16"/>
          <w:szCs w:val="16"/>
          <w:i w:val="1"/>
          <w:iCs w:val="1"/>
          <w:color w:val="auto"/>
        </w:rPr>
        <w:t>fusie</w:t>
      </w:r>
      <w:r>
        <w:rPr>
          <w:rFonts w:ascii="Times New Roman" w:cs="Times New Roman" w:eastAsia="Times New Roman" w:hAnsi="Times New Roman"/>
          <w:sz w:val="16"/>
          <w:szCs w:val="16"/>
          <w:color w:val="auto"/>
        </w:rPr>
        <w:t>) or a legal demerger (</w:t>
      </w:r>
      <w:r>
        <w:rPr>
          <w:rFonts w:ascii="Times New Roman" w:cs="Times New Roman" w:eastAsia="Times New Roman" w:hAnsi="Times New Roman"/>
          <w:sz w:val="16"/>
          <w:szCs w:val="16"/>
          <w:i w:val="1"/>
          <w:iCs w:val="1"/>
          <w:color w:val="auto"/>
        </w:rPr>
        <w:t>splitsing</w:t>
      </w:r>
      <w:r>
        <w:rPr>
          <w:rFonts w:ascii="Times New Roman" w:cs="Times New Roman" w:eastAsia="Times New Roman" w:hAnsi="Times New Roman"/>
          <w:sz w:val="16"/>
          <w:szCs w:val="16"/>
          <w:color w:val="auto"/>
        </w:rPr>
        <w:t>), (iii) been converted (</w:t>
      </w:r>
      <w:r>
        <w:rPr>
          <w:rFonts w:ascii="Times New Roman" w:cs="Times New Roman" w:eastAsia="Times New Roman" w:hAnsi="Times New Roman"/>
          <w:sz w:val="16"/>
          <w:szCs w:val="16"/>
          <w:i w:val="1"/>
          <w:iCs w:val="1"/>
          <w:color w:val="auto"/>
        </w:rPr>
        <w:t>omgezet</w:t>
      </w:r>
      <w:r>
        <w:rPr>
          <w:rFonts w:ascii="Times New Roman" w:cs="Times New Roman" w:eastAsia="Times New Roman" w:hAnsi="Times New Roman"/>
          <w:sz w:val="16"/>
          <w:szCs w:val="16"/>
          <w:color w:val="auto"/>
        </w:rPr>
        <w:t>) into another legal form, either national or foreign, (iv) had its assets placed under administration (</w:t>
      </w:r>
      <w:r>
        <w:rPr>
          <w:rFonts w:ascii="Times New Roman" w:cs="Times New Roman" w:eastAsia="Times New Roman" w:hAnsi="Times New Roman"/>
          <w:sz w:val="16"/>
          <w:szCs w:val="16"/>
          <w:i w:val="1"/>
          <w:iCs w:val="1"/>
          <w:color w:val="auto"/>
        </w:rPr>
        <w:t>onder bewind gesteld</w:t>
      </w:r>
      <w:r>
        <w:rPr>
          <w:rFonts w:ascii="Times New Roman" w:cs="Times New Roman" w:eastAsia="Times New Roman" w:hAnsi="Times New Roman"/>
          <w:sz w:val="16"/>
          <w:szCs w:val="16"/>
          <w:color w:val="auto"/>
        </w:rPr>
        <w:t>), (v) been declared bankrupt (</w:t>
      </w:r>
      <w:r>
        <w:rPr>
          <w:rFonts w:ascii="Times New Roman" w:cs="Times New Roman" w:eastAsia="Times New Roman" w:hAnsi="Times New Roman"/>
          <w:sz w:val="16"/>
          <w:szCs w:val="16"/>
          <w:i w:val="1"/>
          <w:iCs w:val="1"/>
          <w:color w:val="auto"/>
        </w:rPr>
        <w:t>failliet verklaard</w:t>
      </w:r>
      <w:r>
        <w:rPr>
          <w:rFonts w:ascii="Times New Roman" w:cs="Times New Roman" w:eastAsia="Times New Roman" w:hAnsi="Times New Roman"/>
          <w:sz w:val="16"/>
          <w:szCs w:val="16"/>
          <w:color w:val="auto"/>
        </w:rPr>
        <w:t>), (vi) been granted a suspension of payments (</w:t>
      </w:r>
      <w:r>
        <w:rPr>
          <w:rFonts w:ascii="Times New Roman" w:cs="Times New Roman" w:eastAsia="Times New Roman" w:hAnsi="Times New Roman"/>
          <w:sz w:val="16"/>
          <w:szCs w:val="16"/>
          <w:i w:val="1"/>
          <w:iCs w:val="1"/>
          <w:color w:val="auto"/>
        </w:rPr>
        <w:t>surseance van betaling verleend</w:t>
      </w:r>
      <w:r>
        <w:rPr>
          <w:rFonts w:ascii="Times New Roman" w:cs="Times New Roman" w:eastAsia="Times New Roman" w:hAnsi="Times New Roman"/>
          <w:sz w:val="16"/>
          <w:szCs w:val="16"/>
          <w:color w:val="auto"/>
        </w:rPr>
        <w:t>), (vii) started or become subject to statutory proceedings for the restructuring of its debts (</w:t>
      </w:r>
      <w:r>
        <w:rPr>
          <w:rFonts w:ascii="Times New Roman" w:cs="Times New Roman" w:eastAsia="Times New Roman" w:hAnsi="Times New Roman"/>
          <w:sz w:val="16"/>
          <w:szCs w:val="16"/>
          <w:i w:val="1"/>
          <w:iCs w:val="1"/>
          <w:color w:val="auto"/>
        </w:rPr>
        <w:t>akkoordprocedure</w:t>
      </w:r>
      <w:r>
        <w:rPr>
          <w:rFonts w:ascii="Times New Roman" w:cs="Times New Roman" w:eastAsia="Times New Roman" w:hAnsi="Times New Roman"/>
          <w:sz w:val="16"/>
          <w:szCs w:val="16"/>
          <w:color w:val="auto"/>
        </w:rPr>
        <w:t>) or (viii) been made subject to similar proceedings in any jurisdiction or otherwise been limited in its power to dispose of its assets;</w:t>
      </w:r>
    </w:p>
    <w:p>
      <w:pPr>
        <w:spacing w:after="0" w:line="164" w:lineRule="exact"/>
        <w:rPr>
          <w:sz w:val="20"/>
          <w:szCs w:val="20"/>
          <w:color w:val="auto"/>
        </w:rPr>
      </w:pPr>
    </w:p>
    <w:p>
      <w:pPr>
        <w:jc w:val="both"/>
        <w:ind w:left="584" w:hanging="576"/>
        <w:spacing w:after="0" w:line="261" w:lineRule="auto"/>
        <w:tabs>
          <w:tab w:leader="none" w:pos="563" w:val="left"/>
        </w:tabs>
        <w:rPr>
          <w:sz w:val="20"/>
          <w:szCs w:val="20"/>
          <w:color w:val="auto"/>
        </w:rPr>
      </w:pPr>
      <w:r>
        <w:rPr>
          <w:rFonts w:ascii="Times New Roman" w:cs="Times New Roman" w:eastAsia="Times New Roman" w:hAnsi="Times New Roman"/>
          <w:sz w:val="16"/>
          <w:szCs w:val="16"/>
          <w:color w:val="auto"/>
        </w:rPr>
        <w:t>4.9</w:t>
      </w:r>
      <w:r>
        <w:rPr>
          <w:sz w:val="20"/>
          <w:szCs w:val="20"/>
          <w:color w:val="auto"/>
        </w:rPr>
        <w:tab/>
      </w:r>
      <w:r>
        <w:rPr>
          <w:rFonts w:ascii="Times New Roman" w:cs="Times New Roman" w:eastAsia="Times New Roman" w:hAnsi="Times New Roman"/>
          <w:sz w:val="16"/>
          <w:szCs w:val="16"/>
          <w:color w:val="auto"/>
        </w:rPr>
        <w:t>that at each Relevant Moment, the issue price for any Registration Shares shall at least equal the aggregate nominal value thereof, any conversion, exchange or exercise price of other Registered Securities shall at least equal the aggregate nominal value of the underlying Registration Shares, any such issue, conversion, exchange or exercise price shall have been satisfied in cash and shall have been received and accepted by the Company ultimately upon the issuance of the relevant Registration Shares and, where relevant, the Company shall have consented to payment in a currency other than Euro;</w:t>
      </w:r>
    </w:p>
    <w:p>
      <w:pPr>
        <w:spacing w:after="0" w:line="162"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16"/>
          <w:szCs w:val="16"/>
          <w:color w:val="auto"/>
        </w:rPr>
        <w:t>4.10</w:t>
      </w:r>
      <w:r>
        <w:rPr>
          <w:sz w:val="20"/>
          <w:szCs w:val="20"/>
          <w:color w:val="auto"/>
        </w:rPr>
        <w:tab/>
      </w:r>
      <w:r>
        <w:rPr>
          <w:rFonts w:ascii="Times New Roman" w:cs="Times New Roman" w:eastAsia="Times New Roman" w:hAnsi="Times New Roman"/>
          <w:sz w:val="16"/>
          <w:szCs w:val="16"/>
          <w:color w:val="auto"/>
        </w:rPr>
        <w:t>that at each Relevant Moment, each party other than the Company has validly entered into or will validly enter into any relevant deed of issue;</w:t>
      </w:r>
    </w:p>
    <w:p>
      <w:pPr>
        <w:spacing w:after="0" w:line="201" w:lineRule="exact"/>
        <w:rPr>
          <w:sz w:val="20"/>
          <w:szCs w:val="20"/>
          <w:color w:val="auto"/>
        </w:rPr>
      </w:pPr>
    </w:p>
    <w:p>
      <w:pPr>
        <w:jc w:val="both"/>
        <w:ind w:left="584" w:right="20" w:hanging="576"/>
        <w:spacing w:after="0" w:line="283" w:lineRule="auto"/>
        <w:tabs>
          <w:tab w:leader="none" w:pos="563" w:val="left"/>
        </w:tabs>
        <w:rPr>
          <w:sz w:val="20"/>
          <w:szCs w:val="20"/>
          <w:color w:val="auto"/>
        </w:rPr>
      </w:pPr>
      <w:r>
        <w:rPr>
          <w:rFonts w:ascii="Times New Roman" w:cs="Times New Roman" w:eastAsia="Times New Roman" w:hAnsi="Times New Roman"/>
          <w:sz w:val="16"/>
          <w:szCs w:val="16"/>
          <w:color w:val="auto"/>
        </w:rPr>
        <w:t>4.11</w:t>
      </w:r>
      <w:r>
        <w:rPr>
          <w:sz w:val="20"/>
          <w:szCs w:val="20"/>
          <w:color w:val="auto"/>
        </w:rPr>
        <w:tab/>
      </w:r>
      <w:r>
        <w:rPr>
          <w:rFonts w:ascii="Times New Roman" w:cs="Times New Roman" w:eastAsia="Times New Roman" w:hAnsi="Times New Roman"/>
          <w:sz w:val="16"/>
          <w:szCs w:val="16"/>
          <w:color w:val="auto"/>
        </w:rPr>
        <w:t>any Registration Shares issued in connection with the conversion, exchange or exercise of other Registered Securities shall be issued pursuant to a valid conversion, exchange or exercise of such Registered Securities in accordance with their respective terms;</w:t>
      </w:r>
    </w:p>
    <w:p>
      <w:pPr>
        <w:spacing w:after="0" w:line="141" w:lineRule="exact"/>
        <w:rPr>
          <w:sz w:val="20"/>
          <w:szCs w:val="20"/>
          <w:color w:val="auto"/>
        </w:rPr>
      </w:pPr>
    </w:p>
    <w:p>
      <w:pPr>
        <w:jc w:val="both"/>
        <w:ind w:left="584" w:hanging="576"/>
        <w:spacing w:after="0" w:line="285" w:lineRule="auto"/>
        <w:tabs>
          <w:tab w:leader="none" w:pos="563" w:val="left"/>
        </w:tabs>
        <w:rPr>
          <w:sz w:val="20"/>
          <w:szCs w:val="20"/>
          <w:color w:val="auto"/>
        </w:rPr>
      </w:pPr>
      <w:r>
        <w:rPr>
          <w:rFonts w:ascii="Times New Roman" w:cs="Times New Roman" w:eastAsia="Times New Roman" w:hAnsi="Times New Roman"/>
          <w:sz w:val="16"/>
          <w:szCs w:val="16"/>
          <w:color w:val="auto"/>
        </w:rPr>
        <w:t>4.12</w:t>
      </w:r>
      <w:r>
        <w:rPr>
          <w:sz w:val="20"/>
          <w:szCs w:val="20"/>
          <w:color w:val="auto"/>
        </w:rPr>
        <w:tab/>
      </w:r>
      <w:r>
        <w:rPr>
          <w:rFonts w:ascii="Times New Roman" w:cs="Times New Roman" w:eastAsia="Times New Roman" w:hAnsi="Times New Roman"/>
          <w:sz w:val="16"/>
          <w:szCs w:val="16"/>
          <w:color w:val="auto"/>
        </w:rPr>
        <w:t>no Registered Securities shall be offered to the public (</w:t>
      </w:r>
      <w:r>
        <w:rPr>
          <w:rFonts w:ascii="Times New Roman" w:cs="Times New Roman" w:eastAsia="Times New Roman" w:hAnsi="Times New Roman"/>
          <w:sz w:val="16"/>
          <w:szCs w:val="16"/>
          <w:i w:val="1"/>
          <w:iCs w:val="1"/>
          <w:color w:val="auto"/>
        </w:rPr>
        <w:t>aanbieden aan het publiek</w:t>
      </w:r>
      <w:r>
        <w:rPr>
          <w:rFonts w:ascii="Times New Roman" w:cs="Times New Roman" w:eastAsia="Times New Roman" w:hAnsi="Times New Roman"/>
          <w:sz w:val="16"/>
          <w:szCs w:val="16"/>
          <w:color w:val="auto"/>
        </w:rPr>
        <w:t>) in the Netherlands or any other member state of the European Economic Area other than in conformity with the Prospectus Regulation, the PRIIPs Regulation and the rules promulgated thereunder;</w:t>
      </w:r>
    </w:p>
    <w:p>
      <w:pPr>
        <w:spacing w:after="0" w:line="142" w:lineRule="exact"/>
        <w:rPr>
          <w:sz w:val="20"/>
          <w:szCs w:val="20"/>
          <w:color w:val="auto"/>
        </w:rPr>
      </w:pPr>
    </w:p>
    <w:p>
      <w:pPr>
        <w:jc w:val="both"/>
        <w:ind w:left="584" w:right="20" w:hanging="576"/>
        <w:spacing w:after="0" w:line="267" w:lineRule="auto"/>
        <w:tabs>
          <w:tab w:leader="none" w:pos="563" w:val="left"/>
        </w:tabs>
        <w:rPr>
          <w:sz w:val="20"/>
          <w:szCs w:val="20"/>
          <w:color w:val="auto"/>
        </w:rPr>
      </w:pPr>
      <w:r>
        <w:rPr>
          <w:rFonts w:ascii="Times New Roman" w:cs="Times New Roman" w:eastAsia="Times New Roman" w:hAnsi="Times New Roman"/>
          <w:sz w:val="16"/>
          <w:szCs w:val="16"/>
          <w:color w:val="auto"/>
        </w:rPr>
        <w:t>4.13</w:t>
      </w:r>
      <w:r>
        <w:rPr>
          <w:sz w:val="20"/>
          <w:szCs w:val="20"/>
          <w:color w:val="auto"/>
        </w:rPr>
        <w:tab/>
      </w:r>
      <w:r>
        <w:rPr>
          <w:rFonts w:ascii="Times New Roman" w:cs="Times New Roman" w:eastAsia="Times New Roman" w:hAnsi="Times New Roman"/>
          <w:sz w:val="16"/>
          <w:szCs w:val="16"/>
          <w:color w:val="auto"/>
        </w:rPr>
        <w:t>that no acquiror of any Registration Shares is subject to, controlled by or otherwise connected with a person, organisation or country which is subject to United Nations, European Union or Dutch sanctions implemented or effective in The Netherlands under or pursuant to the Sanction Act 1977 (</w:t>
      </w:r>
      <w:r>
        <w:rPr>
          <w:rFonts w:ascii="Times New Roman" w:cs="Times New Roman" w:eastAsia="Times New Roman" w:hAnsi="Times New Roman"/>
          <w:sz w:val="16"/>
          <w:szCs w:val="16"/>
          <w:i w:val="1"/>
          <w:iCs w:val="1"/>
          <w:color w:val="auto"/>
        </w:rPr>
        <w:t>Sanctiewet 1977</w:t>
      </w:r>
      <w:r>
        <w:rPr>
          <w:rFonts w:ascii="Times New Roman" w:cs="Times New Roman" w:eastAsia="Times New Roman" w:hAnsi="Times New Roman"/>
          <w:sz w:val="16"/>
          <w:szCs w:val="16"/>
          <w:color w:val="auto"/>
        </w:rPr>
        <w:t>), the Economic Offences Act (</w:t>
      </w:r>
      <w:r>
        <w:rPr>
          <w:rFonts w:ascii="Times New Roman" w:cs="Times New Roman" w:eastAsia="Times New Roman" w:hAnsi="Times New Roman"/>
          <w:sz w:val="16"/>
          <w:szCs w:val="16"/>
          <w:i w:val="1"/>
          <w:iCs w:val="1"/>
          <w:color w:val="auto"/>
        </w:rPr>
        <w:t>Wet economische delicten</w:t>
      </w:r>
      <w:r>
        <w:rPr>
          <w:rFonts w:ascii="Times New Roman" w:cs="Times New Roman" w:eastAsia="Times New Roman" w:hAnsi="Times New Roman"/>
          <w:sz w:val="16"/>
          <w:szCs w:val="16"/>
          <w:color w:val="auto"/>
        </w:rPr>
        <w:t>), the General Customs Act (</w:t>
      </w:r>
      <w:r>
        <w:rPr>
          <w:rFonts w:ascii="Times New Roman" w:cs="Times New Roman" w:eastAsia="Times New Roman" w:hAnsi="Times New Roman"/>
          <w:sz w:val="16"/>
          <w:szCs w:val="16"/>
          <w:i w:val="1"/>
          <w:iCs w:val="1"/>
          <w:color w:val="auto"/>
        </w:rPr>
        <w:t>Algemene Douanewet</w:t>
      </w:r>
      <w:r>
        <w:rPr>
          <w:rFonts w:ascii="Times New Roman" w:cs="Times New Roman" w:eastAsia="Times New Roman" w:hAnsi="Times New Roman"/>
          <w:sz w:val="16"/>
          <w:szCs w:val="16"/>
          <w:color w:val="auto"/>
        </w:rPr>
        <w:t>) or Regulations of the European Union;</w:t>
      </w:r>
    </w:p>
    <w:p>
      <w:pPr>
        <w:spacing w:after="0" w:line="156"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16"/>
          <w:szCs w:val="16"/>
          <w:color w:val="auto"/>
        </w:rPr>
        <w:t>4.14</w:t>
      </w:r>
      <w:r>
        <w:rPr>
          <w:sz w:val="20"/>
          <w:szCs w:val="20"/>
          <w:color w:val="auto"/>
        </w:rPr>
        <w:tab/>
      </w:r>
      <w:r>
        <w:rPr>
          <w:rFonts w:ascii="Times New Roman" w:cs="Times New Roman" w:eastAsia="Times New Roman" w:hAnsi="Times New Roman"/>
          <w:sz w:val="15"/>
          <w:szCs w:val="15"/>
          <w:color w:val="auto"/>
        </w:rPr>
        <w:t>any issuance of Registered Securities by the Company will be effected for bona fide commercial reasons in the ordinary course of the Company’s business;</w:t>
      </w:r>
    </w:p>
    <w:p>
      <w:pPr>
        <w:spacing w:after="0" w:line="201"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16"/>
          <w:szCs w:val="16"/>
          <w:color w:val="auto"/>
        </w:rPr>
        <w:t>4.15</w:t>
      </w:r>
      <w:r>
        <w:rPr>
          <w:sz w:val="20"/>
          <w:szCs w:val="20"/>
          <w:color w:val="auto"/>
        </w:rPr>
        <w:tab/>
      </w:r>
      <w:r>
        <w:rPr>
          <w:rFonts w:ascii="Times New Roman" w:cs="Times New Roman" w:eastAsia="Times New Roman" w:hAnsi="Times New Roman"/>
          <w:sz w:val="16"/>
          <w:szCs w:val="16"/>
          <w:color w:val="auto"/>
        </w:rPr>
        <w:t>that any foreign law which may apply with respect to the issue of the Registration Shares does not affect this legal opinion; and</w:t>
      </w:r>
    </w:p>
    <w:p>
      <w:pPr>
        <w:spacing w:after="0" w:line="201"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16"/>
          <w:szCs w:val="16"/>
          <w:color w:val="auto"/>
        </w:rPr>
        <w:t>4.16</w:t>
      </w:r>
      <w:r>
        <w:rPr>
          <w:sz w:val="20"/>
          <w:szCs w:val="20"/>
          <w:color w:val="auto"/>
        </w:rPr>
        <w:tab/>
      </w:r>
      <w:r>
        <w:rPr>
          <w:rFonts w:ascii="Times New Roman" w:cs="Times New Roman" w:eastAsia="Times New Roman" w:hAnsi="Times New Roman"/>
          <w:sz w:val="15"/>
          <w:szCs w:val="15"/>
          <w:color w:val="auto"/>
        </w:rPr>
        <w:t>that all Confirmations are true, complete, and correct.</w:t>
      </w:r>
    </w:p>
    <w:p>
      <w:pPr>
        <w:spacing w:after="0" w:line="199" w:lineRule="exact"/>
        <w:rPr>
          <w:sz w:val="20"/>
          <w:szCs w:val="20"/>
          <w:color w:val="auto"/>
        </w:rPr>
      </w:pPr>
    </w:p>
    <w:p>
      <w:pPr>
        <w:ind w:left="584" w:hanging="584"/>
        <w:spacing w:after="0"/>
        <w:tabs>
          <w:tab w:leader="none" w:pos="584"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LEGAL OPINIONS</w:t>
      </w:r>
    </w:p>
    <w:p>
      <w:pPr>
        <w:spacing w:after="0" w:line="2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Legal opinion – 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47560" cy="30480"/>
                    </a:xfrm>
                    <a:prstGeom prst="rect">
                      <a:avLst/>
                    </a:prstGeom>
                    <a:noFill/>
                  </pic:spPr>
                </pic:pic>
              </a:graphicData>
            </a:graphic>
          </wp:anchor>
        </w:drawing>
      </w:r>
    </w:p>
    <w:p>
      <w:pPr>
        <w:sectPr>
          <w:pgSz w:w="11900" w:h="16838" w:orient="portrait"/>
          <w:cols w:equalWidth="0" w:num="1">
            <w:col w:w="11264"/>
          </w:cols>
          <w:pgMar w:left="316" w:top="219" w:right="3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6"/>
          <w:szCs w:val="16"/>
          <w:color w:val="auto"/>
        </w:rPr>
        <w:t>Continuation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-105410</wp:posOffset>
            </wp:positionV>
            <wp:extent cx="1145540" cy="7327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145540" cy="73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584" w:right="20"/>
        <w:spacing w:after="0" w:line="283" w:lineRule="auto"/>
        <w:rPr>
          <w:sz w:val="20"/>
          <w:szCs w:val="20"/>
          <w:color w:val="auto"/>
        </w:rPr>
      </w:pPr>
      <w:r>
        <w:rPr>
          <w:rFonts w:ascii="Times New Roman" w:cs="Times New Roman" w:eastAsia="Times New Roman" w:hAnsi="Times New Roman"/>
          <w:sz w:val="16"/>
          <w:szCs w:val="16"/>
          <w:color w:val="auto"/>
        </w:rPr>
        <w:t>Based upon a review of the Documents and a consideration of the Confirmations, and subject to the assumptions and qualifications referred to in paragraphs 4 and 6 respectively and any matters not disclosed to us, we are of the following legal opinion:</w:t>
      </w:r>
    </w:p>
    <w:p>
      <w:pPr>
        <w:spacing w:after="0" w:line="141" w:lineRule="exact"/>
        <w:rPr>
          <w:sz w:val="20"/>
          <w:szCs w:val="20"/>
          <w:color w:val="auto"/>
        </w:rPr>
      </w:pPr>
    </w:p>
    <w:p>
      <w:pPr>
        <w:ind w:left="584" w:right="20" w:hanging="576"/>
        <w:spacing w:after="0" w:line="285" w:lineRule="auto"/>
        <w:tabs>
          <w:tab w:leader="none" w:pos="563"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color w:val="auto"/>
        </w:rPr>
        <w:t xml:space="preserve">The Company has been incorporated as a </w:t>
      </w:r>
      <w:r>
        <w:rPr>
          <w:rFonts w:ascii="Times New Roman" w:cs="Times New Roman" w:eastAsia="Times New Roman" w:hAnsi="Times New Roman"/>
          <w:sz w:val="16"/>
          <w:szCs w:val="16"/>
          <w:i w:val="1"/>
          <w:iCs w:val="1"/>
          <w:color w:val="auto"/>
        </w:rPr>
        <w:t>besloten vennootschap met beperkte aansprakelijkheid</w:t>
      </w:r>
      <w:r>
        <w:rPr>
          <w:rFonts w:ascii="Times New Roman" w:cs="Times New Roman" w:eastAsia="Times New Roman" w:hAnsi="Times New Roman"/>
          <w:sz w:val="16"/>
          <w:szCs w:val="16"/>
          <w:color w:val="auto"/>
        </w:rPr>
        <w:t xml:space="preserve"> and exists as a legal entity in the form of a public limited liability company (</w:t>
      </w:r>
      <w:r>
        <w:rPr>
          <w:rFonts w:ascii="Times New Roman" w:cs="Times New Roman" w:eastAsia="Times New Roman" w:hAnsi="Times New Roman"/>
          <w:sz w:val="16"/>
          <w:szCs w:val="16"/>
          <w:i w:val="1"/>
          <w:iCs w:val="1"/>
          <w:color w:val="auto"/>
        </w:rPr>
        <w:t>naamloze vennootschap</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584" w:right="20" w:hanging="576"/>
        <w:spacing w:after="0" w:line="283" w:lineRule="auto"/>
        <w:tabs>
          <w:tab w:leader="none" w:pos="563"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6"/>
          <w:szCs w:val="16"/>
          <w:color w:val="auto"/>
        </w:rPr>
        <w:t>Subject to receipt by the Company of payment in full for, or other satisfaction of the issue, conversion, exchange or exercise price for, the Registration Shares, when issued by the Company and accepted by the acquiror(s), shall be validly issued, fully paid and non-assessable.</w:t>
      </w:r>
    </w:p>
    <w:p>
      <w:pPr>
        <w:spacing w:after="0" w:line="143" w:lineRule="exact"/>
        <w:rPr>
          <w:sz w:val="20"/>
          <w:szCs w:val="20"/>
          <w:color w:val="auto"/>
        </w:rPr>
      </w:pPr>
    </w:p>
    <w:p>
      <w:pPr>
        <w:jc w:val="both"/>
        <w:ind w:left="584" w:right="20"/>
        <w:spacing w:after="0" w:line="267" w:lineRule="auto"/>
        <w:rPr>
          <w:sz w:val="20"/>
          <w:szCs w:val="20"/>
          <w:color w:val="auto"/>
        </w:rPr>
      </w:pPr>
      <w:r>
        <w:rPr>
          <w:rFonts w:ascii="Times New Roman" w:cs="Times New Roman" w:eastAsia="Times New Roman" w:hAnsi="Times New Roman"/>
          <w:sz w:val="16"/>
          <w:szCs w:val="16"/>
          <w:color w:val="auto"/>
        </w:rPr>
        <w:t>Without detracting from the generality of paragraph 2 and save as expressly otherwise provided herein, we do not give any legal opinion on tax, (including, for the avoidance of doubt and without detracting from the generality of the aforementioned any real estate transfer tax (</w:t>
      </w:r>
      <w:r>
        <w:rPr>
          <w:rFonts w:ascii="Times New Roman" w:cs="Times New Roman" w:eastAsia="Times New Roman" w:hAnsi="Times New Roman"/>
          <w:sz w:val="16"/>
          <w:szCs w:val="16"/>
          <w:i w:val="1"/>
          <w:iCs w:val="1"/>
          <w:color w:val="auto"/>
        </w:rPr>
        <w:t>overdrachtsbelasting</w:t>
      </w:r>
      <w:r>
        <w:rPr>
          <w:rFonts w:ascii="Times New Roman" w:cs="Times New Roman" w:eastAsia="Times New Roman" w:hAnsi="Times New Roman"/>
          <w:sz w:val="16"/>
          <w:szCs w:val="16"/>
          <w:color w:val="auto"/>
        </w:rPr>
        <w:t xml:space="preserve">) on which we do not give any opinions) competition or anti-trust, works council, ranking and subordination or </w:t>
      </w:r>
      <w:r>
        <w:rPr>
          <w:rFonts w:ascii="Times New Roman" w:cs="Times New Roman" w:eastAsia="Times New Roman" w:hAnsi="Times New Roman"/>
          <w:sz w:val="16"/>
          <w:szCs w:val="16"/>
          <w:i w:val="1"/>
          <w:iCs w:val="1"/>
          <w:color w:val="auto"/>
        </w:rPr>
        <w:t>in rem</w:t>
      </w:r>
      <w:r>
        <w:rPr>
          <w:rFonts w:ascii="Times New Roman" w:cs="Times New Roman" w:eastAsia="Times New Roman" w:hAnsi="Times New Roman"/>
          <w:sz w:val="16"/>
          <w:szCs w:val="16"/>
          <w:color w:val="auto"/>
        </w:rPr>
        <w:t xml:space="preserve"> matters.</w:t>
      </w:r>
    </w:p>
    <w:p>
      <w:pPr>
        <w:spacing w:after="0" w:line="154" w:lineRule="exact"/>
        <w:rPr>
          <w:sz w:val="20"/>
          <w:szCs w:val="20"/>
          <w:color w:val="auto"/>
        </w:rPr>
      </w:pPr>
    </w:p>
    <w:p>
      <w:pPr>
        <w:ind w:left="584" w:hanging="584"/>
        <w:spacing w:after="0"/>
        <w:tabs>
          <w:tab w:leader="none" w:pos="584"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QUALIFICATIONS</w:t>
      </w:r>
    </w:p>
    <w:p>
      <w:pPr>
        <w:spacing w:after="0" w:line="203"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The legal opinions that are given in this legal opinion are subject to the following qualifications:</w:t>
      </w:r>
    </w:p>
    <w:p>
      <w:pPr>
        <w:spacing w:after="0" w:line="201" w:lineRule="exact"/>
        <w:rPr>
          <w:sz w:val="20"/>
          <w:szCs w:val="20"/>
          <w:color w:val="auto"/>
        </w:rPr>
      </w:pPr>
    </w:p>
    <w:p>
      <w:pPr>
        <w:jc w:val="both"/>
        <w:ind w:left="584" w:right="20" w:hanging="576"/>
        <w:spacing w:after="0" w:line="261" w:lineRule="auto"/>
        <w:tabs>
          <w:tab w:leader="none" w:pos="563" w:val="left"/>
        </w:tabs>
        <w:rPr>
          <w:sz w:val="20"/>
          <w:szCs w:val="20"/>
          <w:color w:val="auto"/>
        </w:rPr>
      </w:pPr>
      <w:r>
        <w:rPr>
          <w:rFonts w:ascii="Times New Roman" w:cs="Times New Roman" w:eastAsia="Times New Roman" w:hAnsi="Times New Roman"/>
          <w:sz w:val="16"/>
          <w:szCs w:val="16"/>
          <w:color w:val="auto"/>
        </w:rPr>
        <w:t>6.1</w:t>
      </w:r>
      <w:r>
        <w:rPr>
          <w:sz w:val="20"/>
          <w:szCs w:val="20"/>
          <w:color w:val="auto"/>
        </w:rPr>
        <w:tab/>
      </w:r>
      <w:r>
        <w:rPr>
          <w:rFonts w:ascii="Times New Roman" w:cs="Times New Roman" w:eastAsia="Times New Roman" w:hAnsi="Times New Roman"/>
          <w:sz w:val="16"/>
          <w:szCs w:val="16"/>
          <w:color w:val="auto"/>
        </w:rPr>
        <w:t>The legal opinions may be affected or limited by the provisions of any applicable bankruptcy, suspension of payments or emergency measures, insolvency or pre-insolvency proceedings (including Insolvency Proceedings), rules relating to conflicts of rights between a debtor and its creditors and/or shareholders, or its creditors and/or shareholders amongst each other, intervention measures in relation to financial enterprises or their affiliated entities and other or similar laws of general application now or hereafter in effect.</w:t>
      </w:r>
    </w:p>
    <w:p>
      <w:pPr>
        <w:spacing w:after="0" w:line="160" w:lineRule="exact"/>
        <w:rPr>
          <w:sz w:val="20"/>
          <w:szCs w:val="20"/>
          <w:color w:val="auto"/>
        </w:rPr>
      </w:pPr>
    </w:p>
    <w:p>
      <w:pPr>
        <w:jc w:val="both"/>
        <w:ind w:left="584" w:right="20" w:hanging="576"/>
        <w:spacing w:after="0" w:line="262" w:lineRule="auto"/>
        <w:tabs>
          <w:tab w:leader="none" w:pos="563" w:val="left"/>
        </w:tabs>
        <w:rPr>
          <w:sz w:val="20"/>
          <w:szCs w:val="20"/>
          <w:color w:val="auto"/>
        </w:rPr>
      </w:pPr>
      <w:r>
        <w:rPr>
          <w:rFonts w:ascii="Times New Roman" w:cs="Times New Roman" w:eastAsia="Times New Roman" w:hAnsi="Times New Roman"/>
          <w:sz w:val="16"/>
          <w:szCs w:val="16"/>
          <w:color w:val="auto"/>
        </w:rPr>
        <w:t>6.2</w:t>
      </w:r>
      <w:r>
        <w:rPr>
          <w:sz w:val="20"/>
          <w:szCs w:val="20"/>
          <w:color w:val="auto"/>
        </w:rPr>
        <w:tab/>
      </w:r>
      <w:r>
        <w:rPr>
          <w:rFonts w:ascii="Times New Roman" w:cs="Times New Roman" w:eastAsia="Times New Roman" w:hAnsi="Times New Roman"/>
          <w:sz w:val="16"/>
          <w:szCs w:val="16"/>
          <w:color w:val="auto"/>
        </w:rPr>
        <w:t>Although, pursuant to the provisions of the 2007 Trade Register Act (</w:t>
      </w:r>
      <w:r>
        <w:rPr>
          <w:rFonts w:ascii="Times New Roman" w:cs="Times New Roman" w:eastAsia="Times New Roman" w:hAnsi="Times New Roman"/>
          <w:sz w:val="16"/>
          <w:szCs w:val="16"/>
          <w:i w:val="1"/>
          <w:iCs w:val="1"/>
          <w:color w:val="auto"/>
        </w:rPr>
        <w:t>Handelsregisterwet 2007</w:t>
      </w:r>
      <w:r>
        <w:rPr>
          <w:rFonts w:ascii="Times New Roman" w:cs="Times New Roman" w:eastAsia="Times New Roman" w:hAnsi="Times New Roman"/>
          <w:sz w:val="16"/>
          <w:szCs w:val="16"/>
          <w:color w:val="auto"/>
        </w:rPr>
        <w:t>) a legal entity or partnership cannot invoke the incorrectness or incompleteness of its Trade Register registration against third parties who were unaware of its incorrectness or incompleteness (subject to limited exceptions) an extract from the Trade Register does not provide conclusive evidence that the facts set out in it are correct. In addition, any relevant confirmations obtained as part of the Confirmations do not provide conclusive evidence that an entity is not subject to Insolvency Proceedings.</w:t>
      </w:r>
    </w:p>
    <w:p>
      <w:pPr>
        <w:spacing w:after="0" w:line="161" w:lineRule="exact"/>
        <w:rPr>
          <w:sz w:val="20"/>
          <w:szCs w:val="20"/>
          <w:color w:val="auto"/>
        </w:rPr>
      </w:pPr>
    </w:p>
    <w:p>
      <w:pPr>
        <w:jc w:val="both"/>
        <w:ind w:left="584" w:right="20" w:hanging="576"/>
        <w:spacing w:after="0" w:line="283" w:lineRule="auto"/>
        <w:tabs>
          <w:tab w:leader="none" w:pos="563" w:val="left"/>
        </w:tabs>
        <w:rPr>
          <w:sz w:val="20"/>
          <w:szCs w:val="20"/>
          <w:color w:val="auto"/>
        </w:rPr>
      </w:pPr>
      <w:r>
        <w:rPr>
          <w:rFonts w:ascii="Times New Roman" w:cs="Times New Roman" w:eastAsia="Times New Roman" w:hAnsi="Times New Roman"/>
          <w:sz w:val="16"/>
          <w:szCs w:val="16"/>
          <w:color w:val="auto"/>
        </w:rPr>
        <w:t>6.3</w:t>
      </w:r>
      <w:r>
        <w:rPr>
          <w:sz w:val="20"/>
          <w:szCs w:val="20"/>
          <w:color w:val="auto"/>
        </w:rPr>
        <w:tab/>
      </w:r>
      <w:r>
        <w:rPr>
          <w:rFonts w:ascii="Times New Roman" w:cs="Times New Roman" w:eastAsia="Times New Roman" w:hAnsi="Times New Roman"/>
          <w:sz w:val="16"/>
          <w:szCs w:val="16"/>
          <w:color w:val="auto"/>
        </w:rPr>
        <w:t>Although the European Union undertakes every effort to ensure that the EU Sanction List is kept up-to-date, it is not an official publication of the European Union and therefore does not provide conclusive evidence that an entity is not the subject of any sanctions imposed by the European Union.</w:t>
      </w:r>
    </w:p>
    <w:p>
      <w:pPr>
        <w:spacing w:after="0" w:line="141" w:lineRule="exact"/>
        <w:rPr>
          <w:sz w:val="20"/>
          <w:szCs w:val="20"/>
          <w:color w:val="auto"/>
        </w:rPr>
      </w:pPr>
    </w:p>
    <w:p>
      <w:pPr>
        <w:jc w:val="both"/>
        <w:ind w:left="584" w:right="20" w:hanging="576"/>
        <w:spacing w:after="0" w:line="259" w:lineRule="auto"/>
        <w:tabs>
          <w:tab w:leader="none" w:pos="563" w:val="left"/>
        </w:tabs>
        <w:rPr>
          <w:sz w:val="20"/>
          <w:szCs w:val="20"/>
          <w:color w:val="auto"/>
        </w:rPr>
      </w:pPr>
      <w:r>
        <w:rPr>
          <w:rFonts w:ascii="Times New Roman" w:cs="Times New Roman" w:eastAsia="Times New Roman" w:hAnsi="Times New Roman"/>
          <w:sz w:val="16"/>
          <w:szCs w:val="16"/>
          <w:color w:val="auto"/>
        </w:rPr>
        <w:t>6.4</w:t>
      </w:r>
      <w:r>
        <w:rPr>
          <w:sz w:val="20"/>
          <w:szCs w:val="20"/>
          <w:color w:val="auto"/>
        </w:rPr>
        <w:tab/>
      </w:r>
      <w:r>
        <w:rPr>
          <w:rFonts w:ascii="Times New Roman" w:cs="Times New Roman" w:eastAsia="Times New Roman" w:hAnsi="Times New Roman"/>
          <w:sz w:val="16"/>
          <w:szCs w:val="16"/>
          <w:color w:val="auto"/>
        </w:rPr>
        <w:t>Our opinions expressed herein may be affected by (i) the rules of good faith (</w:t>
      </w:r>
      <w:r>
        <w:rPr>
          <w:rFonts w:ascii="Times New Roman" w:cs="Times New Roman" w:eastAsia="Times New Roman" w:hAnsi="Times New Roman"/>
          <w:sz w:val="16"/>
          <w:szCs w:val="16"/>
          <w:i w:val="1"/>
          <w:iCs w:val="1"/>
          <w:color w:val="auto"/>
        </w:rPr>
        <w:t>redelijkheid en billijkheid</w:t>
      </w:r>
      <w:r>
        <w:rPr>
          <w:rFonts w:ascii="Times New Roman" w:cs="Times New Roman" w:eastAsia="Times New Roman" w:hAnsi="Times New Roman"/>
          <w:sz w:val="16"/>
          <w:szCs w:val="16"/>
          <w:color w:val="auto"/>
        </w:rPr>
        <w:t>), force majeure (</w:t>
      </w:r>
      <w:r>
        <w:rPr>
          <w:rFonts w:ascii="Times New Roman" w:cs="Times New Roman" w:eastAsia="Times New Roman" w:hAnsi="Times New Roman"/>
          <w:sz w:val="16"/>
          <w:szCs w:val="16"/>
          <w:i w:val="1"/>
          <w:iCs w:val="1"/>
          <w:color w:val="auto"/>
        </w:rPr>
        <w:t>niet-toerekenbare tekortkoming</w:t>
      </w:r>
      <w:r>
        <w:rPr>
          <w:rFonts w:ascii="Times New Roman" w:cs="Times New Roman" w:eastAsia="Times New Roman" w:hAnsi="Times New Roman"/>
          <w:sz w:val="16"/>
          <w:szCs w:val="16"/>
          <w:color w:val="auto"/>
        </w:rPr>
        <w:t>) and unforeseen circumstances (</w:t>
      </w:r>
      <w:r>
        <w:rPr>
          <w:rFonts w:ascii="Times New Roman" w:cs="Times New Roman" w:eastAsia="Times New Roman" w:hAnsi="Times New Roman"/>
          <w:sz w:val="16"/>
          <w:szCs w:val="16"/>
          <w:i w:val="1"/>
          <w:iCs w:val="1"/>
          <w:color w:val="auto"/>
        </w:rPr>
        <w:t>onvoorziene omstandigheden</w:t>
      </w:r>
      <w:r>
        <w:rPr>
          <w:rFonts w:ascii="Times New Roman" w:cs="Times New Roman" w:eastAsia="Times New Roman" w:hAnsi="Times New Roman"/>
          <w:sz w:val="16"/>
          <w:szCs w:val="16"/>
          <w:color w:val="auto"/>
        </w:rPr>
        <w:t>), (ii) the general defences available to debtors under Dutch law which include rights to suspend performance (</w:t>
      </w:r>
      <w:r>
        <w:rPr>
          <w:rFonts w:ascii="Times New Roman" w:cs="Times New Roman" w:eastAsia="Times New Roman" w:hAnsi="Times New Roman"/>
          <w:sz w:val="16"/>
          <w:szCs w:val="16"/>
          <w:i w:val="1"/>
          <w:iCs w:val="1"/>
          <w:color w:val="auto"/>
        </w:rPr>
        <w:t>opschortingsrechten</w:t>
      </w:r>
      <w:r>
        <w:rPr>
          <w:rFonts w:ascii="Times New Roman" w:cs="Times New Roman" w:eastAsia="Times New Roman" w:hAnsi="Times New Roman"/>
          <w:sz w:val="16"/>
          <w:szCs w:val="16"/>
          <w:color w:val="auto"/>
        </w:rPr>
        <w:t>), rights of set-off (</w:t>
      </w:r>
      <w:r>
        <w:rPr>
          <w:rFonts w:ascii="Times New Roman" w:cs="Times New Roman" w:eastAsia="Times New Roman" w:hAnsi="Times New Roman"/>
          <w:sz w:val="16"/>
          <w:szCs w:val="16"/>
          <w:i w:val="1"/>
          <w:iCs w:val="1"/>
          <w:color w:val="auto"/>
        </w:rPr>
        <w:t>verrekening</w:t>
      </w:r>
      <w:r>
        <w:rPr>
          <w:rFonts w:ascii="Times New Roman" w:cs="Times New Roman" w:eastAsia="Times New Roman" w:hAnsi="Times New Roman"/>
          <w:sz w:val="16"/>
          <w:szCs w:val="16"/>
          <w:color w:val="auto"/>
        </w:rPr>
        <w:t>), error (</w:t>
      </w:r>
      <w:r>
        <w:rPr>
          <w:rFonts w:ascii="Times New Roman" w:cs="Times New Roman" w:eastAsia="Times New Roman" w:hAnsi="Times New Roman"/>
          <w:sz w:val="16"/>
          <w:szCs w:val="16"/>
          <w:i w:val="1"/>
          <w:iCs w:val="1"/>
          <w:color w:val="auto"/>
        </w:rPr>
        <w:t>dwaling</w:t>
      </w:r>
      <w:r>
        <w:rPr>
          <w:rFonts w:ascii="Times New Roman" w:cs="Times New Roman" w:eastAsia="Times New Roman" w:hAnsi="Times New Roman"/>
          <w:sz w:val="16"/>
          <w:szCs w:val="16"/>
          <w:color w:val="auto"/>
        </w:rPr>
        <w:t>), duress (</w:t>
      </w:r>
      <w:r>
        <w:rPr>
          <w:rFonts w:ascii="Times New Roman" w:cs="Times New Roman" w:eastAsia="Times New Roman" w:hAnsi="Times New Roman"/>
          <w:sz w:val="16"/>
          <w:szCs w:val="16"/>
          <w:i w:val="1"/>
          <w:iCs w:val="1"/>
          <w:color w:val="auto"/>
        </w:rPr>
        <w:t>bedreiging</w:t>
      </w:r>
      <w:r>
        <w:rPr>
          <w:rFonts w:ascii="Times New Roman" w:cs="Times New Roman" w:eastAsia="Times New Roman" w:hAnsi="Times New Roman"/>
          <w:sz w:val="16"/>
          <w:szCs w:val="16"/>
          <w:color w:val="auto"/>
        </w:rPr>
        <w:t>), fraud (</w:t>
      </w:r>
      <w:r>
        <w:rPr>
          <w:rFonts w:ascii="Times New Roman" w:cs="Times New Roman" w:eastAsia="Times New Roman" w:hAnsi="Times New Roman"/>
          <w:sz w:val="16"/>
          <w:szCs w:val="16"/>
          <w:i w:val="1"/>
          <w:iCs w:val="1"/>
          <w:color w:val="auto"/>
        </w:rPr>
        <w:t>bedrog</w:t>
      </w:r>
      <w:r>
        <w:rPr>
          <w:rFonts w:ascii="Times New Roman" w:cs="Times New Roman" w:eastAsia="Times New Roman" w:hAnsi="Times New Roman"/>
          <w:sz w:val="16"/>
          <w:szCs w:val="16"/>
          <w:color w:val="auto"/>
        </w:rPr>
        <w:t>), undue influence (</w:t>
      </w:r>
      <w:r>
        <w:rPr>
          <w:rFonts w:ascii="Times New Roman" w:cs="Times New Roman" w:eastAsia="Times New Roman" w:hAnsi="Times New Roman"/>
          <w:sz w:val="16"/>
          <w:szCs w:val="16"/>
          <w:i w:val="1"/>
          <w:iCs w:val="1"/>
          <w:color w:val="auto"/>
        </w:rPr>
        <w:t>misbruik van omstandigheden</w:t>
      </w:r>
      <w:r>
        <w:rPr>
          <w:rFonts w:ascii="Times New Roman" w:cs="Times New Roman" w:eastAsia="Times New Roman" w:hAnsi="Times New Roman"/>
          <w:sz w:val="16"/>
          <w:szCs w:val="16"/>
          <w:color w:val="auto"/>
        </w:rPr>
        <w:t>), (iii) the Anti-Boycott Regulation, Anti Money Laundering Laws and related legislation and fraudulent preference (pauliana), (iiii) a successful claim in tort (</w:t>
      </w:r>
      <w:r>
        <w:rPr>
          <w:rFonts w:ascii="Times New Roman" w:cs="Times New Roman" w:eastAsia="Times New Roman" w:hAnsi="Times New Roman"/>
          <w:sz w:val="16"/>
          <w:szCs w:val="16"/>
          <w:i w:val="1"/>
          <w:iCs w:val="1"/>
          <w:color w:val="auto"/>
        </w:rPr>
        <w:t>onrechtmatige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daad</w:t>
      </w:r>
      <w:r>
        <w:rPr>
          <w:rFonts w:ascii="Times New Roman" w:cs="Times New Roman" w:eastAsia="Times New Roman" w:hAnsi="Times New Roman"/>
          <w:sz w:val="16"/>
          <w:szCs w:val="16"/>
          <w:color w:val="auto"/>
        </w:rPr>
        <w:t>) and (v) the rules of decency (</w:t>
      </w:r>
      <w:r>
        <w:rPr>
          <w:rFonts w:ascii="Times New Roman" w:cs="Times New Roman" w:eastAsia="Times New Roman" w:hAnsi="Times New Roman"/>
          <w:sz w:val="16"/>
          <w:szCs w:val="16"/>
          <w:i w:val="1"/>
          <w:iCs w:val="1"/>
          <w:color w:val="auto"/>
        </w:rPr>
        <w:t>goede zeden</w:t>
      </w:r>
      <w:r>
        <w:rPr>
          <w:rFonts w:ascii="Times New Roman" w:cs="Times New Roman" w:eastAsia="Times New Roman" w:hAnsi="Times New Roman"/>
          <w:sz w:val="16"/>
          <w:szCs w:val="16"/>
          <w:color w:val="auto"/>
        </w:rPr>
        <w:t>) and public order (</w:t>
      </w:r>
      <w:r>
        <w:rPr>
          <w:rFonts w:ascii="Times New Roman" w:cs="Times New Roman" w:eastAsia="Times New Roman" w:hAnsi="Times New Roman"/>
          <w:sz w:val="16"/>
          <w:szCs w:val="16"/>
          <w:i w:val="1"/>
          <w:iCs w:val="1"/>
          <w:color w:val="auto"/>
        </w:rPr>
        <w:t>openbare orde</w:t>
      </w:r>
      <w:r>
        <w:rPr>
          <w:rFonts w:ascii="Times New Roman" w:cs="Times New Roman" w:eastAsia="Times New Roman" w:hAnsi="Times New Roman"/>
          <w:sz w:val="16"/>
          <w:szCs w:val="16"/>
          <w:color w:val="auto"/>
        </w:rPr>
        <w:t>).</w:t>
      </w:r>
    </w:p>
    <w:p>
      <w:pPr>
        <w:spacing w:after="0" w:line="2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Legal opinion – 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47560" cy="30480"/>
                    </a:xfrm>
                    <a:prstGeom prst="rect">
                      <a:avLst/>
                    </a:prstGeom>
                    <a:noFill/>
                  </pic:spPr>
                </pic:pic>
              </a:graphicData>
            </a:graphic>
          </wp:anchor>
        </w:drawing>
      </w:r>
    </w:p>
    <w:p>
      <w:pPr>
        <w:sectPr>
          <w:pgSz w:w="11900" w:h="16838" w:orient="portrait"/>
          <w:cols w:equalWidth="0" w:num="1">
            <w:col w:w="11264"/>
          </w:cols>
          <w:pgMar w:left="316" w:top="219" w:right="319" w:bottom="1440" w:gutter="0" w:footer="0" w:header="0"/>
        </w:sectPr>
      </w:pPr>
    </w:p>
    <w:bookmarkStart w:id="52" w:name="page53"/>
    <w:bookmarkEnd w:id="52"/>
    <w:p>
      <w:pPr>
        <w:ind w:left="10304"/>
        <w:spacing w:after="0"/>
        <w:rPr>
          <w:sz w:val="20"/>
          <w:szCs w:val="20"/>
          <w:color w:val="auto"/>
        </w:rPr>
      </w:pPr>
      <w:r>
        <w:rPr>
          <w:rFonts w:ascii="Times New Roman" w:cs="Times New Roman" w:eastAsia="Times New Roman" w:hAnsi="Times New Roman"/>
          <w:sz w:val="16"/>
          <w:szCs w:val="16"/>
          <w:color w:val="auto"/>
        </w:rPr>
        <w:t>Continuation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-105410</wp:posOffset>
            </wp:positionV>
            <wp:extent cx="1145540" cy="7327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145540" cy="73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584" w:hanging="576"/>
        <w:spacing w:after="0" w:line="268" w:lineRule="auto"/>
        <w:tabs>
          <w:tab w:leader="none" w:pos="563" w:val="left"/>
        </w:tabs>
        <w:rPr>
          <w:sz w:val="20"/>
          <w:szCs w:val="20"/>
          <w:color w:val="auto"/>
        </w:rPr>
      </w:pPr>
      <w:r>
        <w:rPr>
          <w:rFonts w:ascii="Times New Roman" w:cs="Times New Roman" w:eastAsia="Times New Roman" w:hAnsi="Times New Roman"/>
          <w:sz w:val="16"/>
          <w:szCs w:val="16"/>
          <w:color w:val="auto"/>
        </w:rPr>
        <w:t>6.5</w:t>
      </w:r>
      <w:r>
        <w:rPr>
          <w:sz w:val="20"/>
          <w:szCs w:val="20"/>
          <w:color w:val="auto"/>
        </w:rPr>
        <w:tab/>
      </w:r>
      <w:r>
        <w:rPr>
          <w:rFonts w:ascii="Times New Roman" w:cs="Times New Roman" w:eastAsia="Times New Roman" w:hAnsi="Times New Roman"/>
          <w:sz w:val="16"/>
          <w:szCs w:val="16"/>
          <w:color w:val="auto"/>
        </w:rPr>
        <w:t>If any legal act (</w:t>
      </w:r>
      <w:r>
        <w:rPr>
          <w:rFonts w:ascii="Times New Roman" w:cs="Times New Roman" w:eastAsia="Times New Roman" w:hAnsi="Times New Roman"/>
          <w:sz w:val="16"/>
          <w:szCs w:val="16"/>
          <w:i w:val="1"/>
          <w:iCs w:val="1"/>
          <w:color w:val="auto"/>
        </w:rPr>
        <w:t>rechtshandeling</w:t>
      </w:r>
      <w:r>
        <w:rPr>
          <w:rFonts w:ascii="Times New Roman" w:cs="Times New Roman" w:eastAsia="Times New Roman" w:hAnsi="Times New Roman"/>
          <w:sz w:val="16"/>
          <w:szCs w:val="16"/>
          <w:color w:val="auto"/>
        </w:rPr>
        <w:t>) performed by a Dutch legal entity exceeds such entity's objects or is not in such entity's interest, such legal act may, apart from exceeding such entity's corporate power, be in violation of its articles of association and be nullified by it if the other party or parties to the act knew or should have known that the legal act is not in the entity’s interest.</w:t>
      </w:r>
    </w:p>
    <w:p>
      <w:pPr>
        <w:spacing w:after="0" w:line="153"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16"/>
          <w:szCs w:val="16"/>
          <w:color w:val="auto"/>
        </w:rPr>
        <w:t>6.6</w:t>
      </w:r>
      <w:r>
        <w:rPr>
          <w:sz w:val="20"/>
          <w:szCs w:val="20"/>
          <w:color w:val="auto"/>
        </w:rPr>
        <w:tab/>
      </w:r>
      <w:r>
        <w:rPr>
          <w:rFonts w:ascii="Times New Roman" w:cs="Times New Roman" w:eastAsia="Times New Roman" w:hAnsi="Times New Roman"/>
          <w:sz w:val="15"/>
          <w:szCs w:val="15"/>
          <w:color w:val="auto"/>
        </w:rPr>
        <w:t>Any issuance of Registered Securities by the Company in violation of Section 2:98c DCC (</w:t>
      </w:r>
      <w:r>
        <w:rPr>
          <w:rFonts w:ascii="Times New Roman" w:cs="Times New Roman" w:eastAsia="Times New Roman" w:hAnsi="Times New Roman"/>
          <w:sz w:val="15"/>
          <w:szCs w:val="15"/>
          <w:i w:val="1"/>
          <w:iCs w:val="1"/>
          <w:color w:val="auto"/>
        </w:rPr>
        <w:t>financial assistance</w:t>
      </w:r>
      <w:r>
        <w:rPr>
          <w:rFonts w:ascii="Times New Roman" w:cs="Times New Roman" w:eastAsia="Times New Roman" w:hAnsi="Times New Roman"/>
          <w:sz w:val="15"/>
          <w:szCs w:val="15"/>
          <w:color w:val="auto"/>
        </w:rPr>
        <w:t>) may be null and void.</w:t>
      </w:r>
    </w:p>
    <w:p>
      <w:pPr>
        <w:spacing w:after="0" w:line="201" w:lineRule="exact"/>
        <w:rPr>
          <w:sz w:val="20"/>
          <w:szCs w:val="20"/>
          <w:color w:val="auto"/>
        </w:rPr>
      </w:pPr>
    </w:p>
    <w:p>
      <w:pPr>
        <w:jc w:val="both"/>
        <w:ind w:left="584" w:right="20" w:hanging="576"/>
        <w:spacing w:after="0" w:line="285" w:lineRule="auto"/>
        <w:tabs>
          <w:tab w:leader="none" w:pos="563" w:val="left"/>
        </w:tabs>
        <w:rPr>
          <w:sz w:val="20"/>
          <w:szCs w:val="20"/>
          <w:color w:val="auto"/>
        </w:rPr>
      </w:pPr>
      <w:r>
        <w:rPr>
          <w:rFonts w:ascii="Times New Roman" w:cs="Times New Roman" w:eastAsia="Times New Roman" w:hAnsi="Times New Roman"/>
          <w:sz w:val="16"/>
          <w:szCs w:val="16"/>
          <w:color w:val="auto"/>
        </w:rPr>
        <w:t>6.7</w:t>
      </w:r>
      <w:r>
        <w:rPr>
          <w:sz w:val="20"/>
          <w:szCs w:val="20"/>
          <w:color w:val="auto"/>
        </w:rPr>
        <w:tab/>
      </w:r>
      <w:r>
        <w:rPr>
          <w:rFonts w:ascii="Times New Roman" w:cs="Times New Roman" w:eastAsia="Times New Roman" w:hAnsi="Times New Roman"/>
          <w:sz w:val="16"/>
          <w:szCs w:val="16"/>
          <w:color w:val="auto"/>
        </w:rPr>
        <w:t>The opinion expressed in paragraph 5.1 should not be construed as implying that the Company cannot be dissolved (</w:t>
      </w:r>
      <w:r>
        <w:rPr>
          <w:rFonts w:ascii="Times New Roman" w:cs="Times New Roman" w:eastAsia="Times New Roman" w:hAnsi="Times New Roman"/>
          <w:sz w:val="16"/>
          <w:szCs w:val="16"/>
          <w:i w:val="1"/>
          <w:iCs w:val="1"/>
          <w:color w:val="auto"/>
        </w:rPr>
        <w:t>ontbonden</w:t>
      </w:r>
      <w:r>
        <w:rPr>
          <w:rFonts w:ascii="Times New Roman" w:cs="Times New Roman" w:eastAsia="Times New Roman" w:hAnsi="Times New Roman"/>
          <w:sz w:val="16"/>
          <w:szCs w:val="16"/>
          <w:color w:val="auto"/>
        </w:rPr>
        <w:t>), including by way of a court order pursuant to Sections 2:19 et seq. or Section 2:21 DCC.</w:t>
      </w:r>
    </w:p>
    <w:p>
      <w:pPr>
        <w:spacing w:after="0" w:line="142" w:lineRule="exact"/>
        <w:rPr>
          <w:sz w:val="20"/>
          <w:szCs w:val="20"/>
          <w:color w:val="auto"/>
        </w:rPr>
      </w:pPr>
    </w:p>
    <w:p>
      <w:pPr>
        <w:jc w:val="both"/>
        <w:ind w:left="584" w:right="20" w:hanging="576"/>
        <w:spacing w:after="0" w:line="283" w:lineRule="auto"/>
        <w:tabs>
          <w:tab w:leader="none" w:pos="563" w:val="left"/>
        </w:tabs>
        <w:rPr>
          <w:sz w:val="20"/>
          <w:szCs w:val="20"/>
          <w:color w:val="auto"/>
        </w:rPr>
      </w:pPr>
      <w:r>
        <w:rPr>
          <w:rFonts w:ascii="Times New Roman" w:cs="Times New Roman" w:eastAsia="Times New Roman" w:hAnsi="Times New Roman"/>
          <w:sz w:val="16"/>
          <w:szCs w:val="16"/>
          <w:color w:val="auto"/>
        </w:rPr>
        <w:t>6.8</w:t>
      </w:r>
      <w:r>
        <w:rPr>
          <w:sz w:val="20"/>
          <w:szCs w:val="20"/>
          <w:color w:val="auto"/>
        </w:rPr>
        <w:tab/>
      </w:r>
      <w:r>
        <w:rPr>
          <w:rFonts w:ascii="Times New Roman" w:cs="Times New Roman" w:eastAsia="Times New Roman" w:hAnsi="Times New Roman"/>
          <w:sz w:val="16"/>
          <w:szCs w:val="16"/>
          <w:color w:val="auto"/>
        </w:rPr>
        <w:t>The term “non-assessable” which term has no equivalent in Dutch, means, in relation to a share, that the issuer of the share has no right to require the holder of the share to pay to the issuer any amount (in addition to the amount required for the share to be fully paid) solely as a result of its shareholdership.</w:t>
      </w:r>
    </w:p>
    <w:p>
      <w:pPr>
        <w:spacing w:after="0" w:line="143"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16"/>
          <w:szCs w:val="16"/>
          <w:color w:val="auto"/>
        </w:rPr>
        <w:t>6.9</w:t>
      </w:r>
      <w:r>
        <w:rPr>
          <w:sz w:val="20"/>
          <w:szCs w:val="20"/>
          <w:color w:val="auto"/>
        </w:rPr>
        <w:tab/>
      </w:r>
      <w:r>
        <w:rPr>
          <w:rFonts w:ascii="Times New Roman" w:cs="Times New Roman" w:eastAsia="Times New Roman" w:hAnsi="Times New Roman"/>
          <w:sz w:val="15"/>
          <w:szCs w:val="15"/>
          <w:color w:val="auto"/>
        </w:rPr>
        <w:t>This legal opinion does not purport to express any opinion or view on the operational rules and procedures of any clearing or settlement system or agency.</w:t>
      </w:r>
    </w:p>
    <w:p>
      <w:pPr>
        <w:spacing w:after="0" w:line="199" w:lineRule="exact"/>
        <w:rPr>
          <w:sz w:val="20"/>
          <w:szCs w:val="20"/>
          <w:color w:val="auto"/>
        </w:rPr>
      </w:pPr>
    </w:p>
    <w:p>
      <w:pPr>
        <w:ind w:left="584" w:hanging="584"/>
        <w:spacing w:after="0"/>
        <w:tabs>
          <w:tab w:leader="none" w:pos="584"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RELIANCE</w:t>
      </w:r>
    </w:p>
    <w:p>
      <w:pPr>
        <w:spacing w:after="0" w:line="202" w:lineRule="exact"/>
        <w:rPr>
          <w:rFonts w:ascii="Times New Roman" w:cs="Times New Roman" w:eastAsia="Times New Roman" w:hAnsi="Times New Roman"/>
          <w:sz w:val="16"/>
          <w:szCs w:val="16"/>
          <w:b w:val="1"/>
          <w:bCs w:val="1"/>
          <w:color w:val="auto"/>
        </w:rPr>
      </w:pPr>
    </w:p>
    <w:p>
      <w:pPr>
        <w:ind w:left="5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This legal opinion is given for the benefit of and may only be relied upon on the conditions that:</w:t>
      </w:r>
    </w:p>
    <w:p>
      <w:pPr>
        <w:spacing w:after="0" w:line="201"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16"/>
          <w:szCs w:val="16"/>
          <w:color w:val="auto"/>
        </w:rPr>
        <w:t>7.1</w:t>
      </w:r>
      <w:r>
        <w:rPr>
          <w:sz w:val="20"/>
          <w:szCs w:val="20"/>
          <w:color w:val="auto"/>
        </w:rPr>
        <w:tab/>
      </w:r>
      <w:r>
        <w:rPr>
          <w:rFonts w:ascii="Times New Roman" w:cs="Times New Roman" w:eastAsia="Times New Roman" w:hAnsi="Times New Roman"/>
          <w:sz w:val="15"/>
          <w:szCs w:val="15"/>
          <w:color w:val="auto"/>
        </w:rPr>
        <w:t>No person other than DLA Piper Nederland N.V. may be held liable in connection with this legal opinion.</w:t>
      </w:r>
    </w:p>
    <w:p>
      <w:pPr>
        <w:spacing w:after="0" w:line="201" w:lineRule="exact"/>
        <w:rPr>
          <w:sz w:val="20"/>
          <w:szCs w:val="20"/>
          <w:color w:val="auto"/>
        </w:rPr>
      </w:pPr>
    </w:p>
    <w:p>
      <w:pPr>
        <w:ind w:left="584" w:right="20" w:hanging="576"/>
        <w:spacing w:after="0" w:line="283" w:lineRule="auto"/>
        <w:tabs>
          <w:tab w:leader="none" w:pos="563" w:val="left"/>
        </w:tabs>
        <w:rPr>
          <w:sz w:val="20"/>
          <w:szCs w:val="20"/>
          <w:color w:val="auto"/>
        </w:rPr>
      </w:pPr>
      <w:r>
        <w:rPr>
          <w:rFonts w:ascii="Times New Roman" w:cs="Times New Roman" w:eastAsia="Times New Roman" w:hAnsi="Times New Roman"/>
          <w:sz w:val="16"/>
          <w:szCs w:val="16"/>
          <w:color w:val="auto"/>
        </w:rPr>
        <w:t>7.2</w:t>
      </w:r>
      <w:r>
        <w:rPr>
          <w:sz w:val="20"/>
          <w:szCs w:val="20"/>
          <w:color w:val="auto"/>
        </w:rPr>
        <w:tab/>
      </w:r>
      <w:r>
        <w:rPr>
          <w:rFonts w:ascii="Times New Roman" w:cs="Times New Roman" w:eastAsia="Times New Roman" w:hAnsi="Times New Roman"/>
          <w:sz w:val="16"/>
          <w:szCs w:val="16"/>
          <w:color w:val="auto"/>
        </w:rPr>
        <w:t>By accepting this legal opinion, the persons who may rely on it agree that they will be bound by the preceding sentences which, for the avoidance of doubt and together with the remaining provisions of this legal opinion, are governed by Netherlands Law.</w:t>
      </w:r>
    </w:p>
    <w:p>
      <w:pPr>
        <w:spacing w:after="0" w:line="143" w:lineRule="exact"/>
        <w:rPr>
          <w:sz w:val="20"/>
          <w:szCs w:val="20"/>
          <w:color w:val="auto"/>
        </w:rPr>
      </w:pPr>
    </w:p>
    <w:p>
      <w:pPr>
        <w:ind w:left="584" w:hanging="576"/>
        <w:spacing w:after="0" w:line="283" w:lineRule="auto"/>
        <w:tabs>
          <w:tab w:leader="none" w:pos="563" w:val="left"/>
        </w:tabs>
        <w:rPr>
          <w:sz w:val="20"/>
          <w:szCs w:val="20"/>
          <w:color w:val="auto"/>
        </w:rPr>
      </w:pPr>
      <w:r>
        <w:rPr>
          <w:rFonts w:ascii="Times New Roman" w:cs="Times New Roman" w:eastAsia="Times New Roman" w:hAnsi="Times New Roman"/>
          <w:sz w:val="16"/>
          <w:szCs w:val="16"/>
          <w:color w:val="auto"/>
        </w:rPr>
        <w:t>7.3</w:t>
      </w:r>
      <w:r>
        <w:rPr>
          <w:sz w:val="20"/>
          <w:szCs w:val="20"/>
          <w:color w:val="auto"/>
        </w:rPr>
        <w:tab/>
      </w:r>
      <w:r>
        <w:rPr>
          <w:rFonts w:ascii="Times New Roman" w:cs="Times New Roman" w:eastAsia="Times New Roman" w:hAnsi="Times New Roman"/>
          <w:sz w:val="16"/>
          <w:szCs w:val="16"/>
          <w:color w:val="auto"/>
        </w:rPr>
        <w:t>Any liability arising out of or in connection with this legal opinion is limited to the amount which is paid out under any relevant insurance policy of DLA Piper Nederland N.V. in the matter concerned, plus the amount of the deductible which must be borne by DLA Piper Nederland N.V. pursuant to such insurance policy</w:t>
      </w:r>
    </w:p>
    <w:p>
      <w:pPr>
        <w:spacing w:after="0" w:line="2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Legal opinion – 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47560" cy="30480"/>
                    </a:xfrm>
                    <a:prstGeom prst="rect">
                      <a:avLst/>
                    </a:prstGeom>
                    <a:noFill/>
                  </pic:spPr>
                </pic:pic>
              </a:graphicData>
            </a:graphic>
          </wp:anchor>
        </w:drawing>
      </w:r>
    </w:p>
    <w:p>
      <w:pPr>
        <w:sectPr>
          <w:pgSz w:w="11900" w:h="16838" w:orient="portrait"/>
          <w:cols w:equalWidth="0" w:num="1">
            <w:col w:w="11264"/>
          </w:cols>
          <w:pgMar w:left="316" w:top="219" w:right="3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6"/>
          <w:szCs w:val="16"/>
          <w:color w:val="auto"/>
        </w:rPr>
        <w:t>Continuation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-105410</wp:posOffset>
            </wp:positionV>
            <wp:extent cx="1145540" cy="7327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145540" cy="73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580" w:right="20" w:hanging="576"/>
        <w:spacing w:after="0" w:line="267" w:lineRule="auto"/>
        <w:tabs>
          <w:tab w:leader="none" w:pos="560" w:val="left"/>
        </w:tabs>
        <w:rPr>
          <w:sz w:val="20"/>
          <w:szCs w:val="20"/>
          <w:color w:val="auto"/>
        </w:rPr>
      </w:pPr>
      <w:r>
        <w:rPr>
          <w:rFonts w:ascii="Times New Roman" w:cs="Times New Roman" w:eastAsia="Times New Roman" w:hAnsi="Times New Roman"/>
          <w:sz w:val="16"/>
          <w:szCs w:val="16"/>
          <w:color w:val="auto"/>
        </w:rPr>
        <w:t>7.4</w:t>
      </w:r>
      <w:r>
        <w:rPr>
          <w:sz w:val="20"/>
          <w:szCs w:val="20"/>
          <w:color w:val="auto"/>
        </w:rPr>
        <w:tab/>
      </w:r>
      <w:r>
        <w:rPr>
          <w:rFonts w:ascii="Times New Roman" w:cs="Times New Roman" w:eastAsia="Times New Roman" w:hAnsi="Times New Roman"/>
          <w:sz w:val="16"/>
          <w:szCs w:val="16"/>
          <w:color w:val="auto"/>
        </w:rPr>
        <w:t>We hereby consent to the filing of this legal opinion in connection with the registration of the Registration Shares with the SEC under the U.S. Securities Act of 1933, as amended and the reference to DLA Piper Nederland N.V. in the Registration Statement. In giving such consent, we do not admit that we come within the category of persons whose consent is required under Section 7 of the U.S. Securities Act of 1933, as amended or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opinion – 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47560" cy="30480"/>
                    </a:xfrm>
                    <a:prstGeom prst="rect">
                      <a:avLst/>
                    </a:prstGeom>
                    <a:noFill/>
                  </pic:spPr>
                </pic:pic>
              </a:graphicData>
            </a:graphic>
          </wp:anchor>
        </w:drawing>
      </w:r>
    </w:p>
    <w:p>
      <w:pPr>
        <w:sectPr>
          <w:pgSz w:w="11900" w:h="16838" w:orient="portrait"/>
          <w:cols w:equalWidth="0" w:num="1">
            <w:col w:w="11260"/>
          </w:cols>
          <w:pgMar w:left="320" w:top="219" w:right="3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6"/>
          <w:szCs w:val="16"/>
          <w:color w:val="auto"/>
        </w:rPr>
        <w:t>Continuation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-105410</wp:posOffset>
            </wp:positionV>
            <wp:extent cx="1145540" cy="7327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145540" cy="73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6"/>
          <w:szCs w:val="16"/>
          <w:b w:val="1"/>
          <w:bCs w:val="1"/>
          <w:color w:val="auto"/>
        </w:rPr>
        <w:t>Annex</w:t>
      </w:r>
    </w:p>
    <w:p>
      <w:pPr>
        <w:spacing w:after="0" w:line="201" w:lineRule="exact"/>
        <w:rPr>
          <w:sz w:val="20"/>
          <w:szCs w:val="20"/>
          <w:color w:val="auto"/>
        </w:rPr>
      </w:pPr>
    </w:p>
    <w:p>
      <w:pPr>
        <w:ind w:left="580"/>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"Anti Money Laundering Laws" </w:t>
      </w:r>
      <w:r>
        <w:rPr>
          <w:rFonts w:ascii="Times New Roman" w:cs="Times New Roman" w:eastAsia="Times New Roman" w:hAnsi="Times New Roman"/>
          <w:sz w:val="16"/>
          <w:szCs w:val="16"/>
          <w:color w:val="auto"/>
        </w:rPr>
        <w:t>means the European Anti-Money Laundering Directives, as implemented in the Netherlands in the Money Laundering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Terrorist Financing Prevention Act (</w:t>
      </w:r>
      <w:r>
        <w:rPr>
          <w:rFonts w:ascii="Times New Roman" w:cs="Times New Roman" w:eastAsia="Times New Roman" w:hAnsi="Times New Roman"/>
          <w:sz w:val="16"/>
          <w:szCs w:val="16"/>
          <w:i w:val="1"/>
          <w:iCs w:val="1"/>
          <w:color w:val="auto"/>
        </w:rPr>
        <w:t>Wet ter voorkoming van witwassen en financieren van terrorisme</w:t>
      </w:r>
      <w:r>
        <w:rPr>
          <w:rFonts w:ascii="Times New Roman" w:cs="Times New Roman" w:eastAsia="Times New Roman" w:hAnsi="Times New Roman"/>
          <w:sz w:val="16"/>
          <w:szCs w:val="16"/>
          <w:color w:val="auto"/>
        </w:rPr>
        <w:t>) and the Dutch Criminal Code (</w:t>
      </w:r>
      <w:r>
        <w:rPr>
          <w:rFonts w:ascii="Times New Roman" w:cs="Times New Roman" w:eastAsia="Times New Roman" w:hAnsi="Times New Roman"/>
          <w:sz w:val="16"/>
          <w:szCs w:val="16"/>
          <w:i w:val="1"/>
          <w:iCs w:val="1"/>
          <w:color w:val="auto"/>
        </w:rPr>
        <w:t>Wetboek van Strafrecht</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580" w:right="20"/>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"Anti-Boycott Regulation" </w:t>
      </w:r>
      <w:r>
        <w:rPr>
          <w:rFonts w:ascii="Times New Roman" w:cs="Times New Roman" w:eastAsia="Times New Roman" w:hAnsi="Times New Roman"/>
          <w:sz w:val="16"/>
          <w:szCs w:val="16"/>
          <w:color w:val="auto"/>
        </w:rPr>
        <w:t>means the Council Regulation (EC) No 2271/96 of 22 November 1996 on protecting against the effects of the extra-territorial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application of legislation adopted by a third country, and actions based thereon or resulting therefrom;</w:t>
      </w:r>
    </w:p>
    <w:p>
      <w:pPr>
        <w:spacing w:after="0" w:line="140" w:lineRule="exact"/>
        <w:rPr>
          <w:sz w:val="20"/>
          <w:szCs w:val="20"/>
          <w:color w:val="auto"/>
        </w:rPr>
      </w:pPr>
    </w:p>
    <w:p>
      <w:pPr>
        <w:ind w:left="580" w:right="20"/>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"Company" </w:t>
      </w:r>
      <w:r>
        <w:rPr>
          <w:rFonts w:ascii="Times New Roman" w:cs="Times New Roman" w:eastAsia="Times New Roman" w:hAnsi="Times New Roman"/>
          <w:sz w:val="16"/>
          <w:szCs w:val="16"/>
          <w:color w:val="auto"/>
        </w:rPr>
        <w:t>means Sono Group N.V., a public limited liability company (</w:t>
      </w:r>
      <w:r>
        <w:rPr>
          <w:rFonts w:ascii="Times New Roman" w:cs="Times New Roman" w:eastAsia="Times New Roman" w:hAnsi="Times New Roman"/>
          <w:sz w:val="16"/>
          <w:szCs w:val="16"/>
          <w:i w:val="1"/>
          <w:iCs w:val="1"/>
          <w:color w:val="auto"/>
        </w:rPr>
        <w:t>naamloze vennootschap</w:t>
      </w:r>
      <w:r>
        <w:rPr>
          <w:rFonts w:ascii="Times New Roman" w:cs="Times New Roman" w:eastAsia="Times New Roman" w:hAnsi="Times New Roman"/>
          <w:sz w:val="16"/>
          <w:szCs w:val="16"/>
          <w:color w:val="auto"/>
        </w:rPr>
        <w:t>) with corporate seat in Amsterdam, the Netherlands, having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address at Waldmeisterstrasse 93, 80935 Munich, Federal Republic of Germany and which is registered with the Chamber of Commerce under number 80683568;</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"Confirmations" </w:t>
      </w:r>
      <w:r>
        <w:rPr>
          <w:rFonts w:ascii="Times New Roman" w:cs="Times New Roman" w:eastAsia="Times New Roman" w:hAnsi="Times New Roman"/>
          <w:sz w:val="16"/>
          <w:szCs w:val="16"/>
          <w:color w:val="auto"/>
        </w:rPr>
        <w:t>means a:</w:t>
      </w:r>
    </w:p>
    <w:p>
      <w:pPr>
        <w:spacing w:after="0" w:line="203" w:lineRule="exact"/>
        <w:rPr>
          <w:sz w:val="20"/>
          <w:szCs w:val="20"/>
          <w:color w:val="auto"/>
        </w:rPr>
      </w:pPr>
    </w:p>
    <w:p>
      <w:pPr>
        <w:ind w:left="1120" w:hanging="559"/>
        <w:spacing w:after="0" w:line="283" w:lineRule="auto"/>
        <w:tabs>
          <w:tab w:leader="none" w:pos="11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confirmation through www.kvk.nl/actualiteitencheck of the Chamber of Commerce that the relevant parts of the Excerpt that are monitored via this website are complete and up to date;</w:t>
      </w:r>
    </w:p>
    <w:p>
      <w:pPr>
        <w:spacing w:after="0" w:line="143" w:lineRule="exact"/>
        <w:rPr>
          <w:rFonts w:ascii="Times New Roman" w:cs="Times New Roman" w:eastAsia="Times New Roman" w:hAnsi="Times New Roman"/>
          <w:sz w:val="16"/>
          <w:szCs w:val="16"/>
          <w:color w:val="auto"/>
        </w:rPr>
      </w:pPr>
    </w:p>
    <w:p>
      <w:pPr>
        <w:ind w:left="1120" w:right="20" w:hanging="559"/>
        <w:spacing w:after="0" w:line="283" w:lineRule="auto"/>
        <w:tabs>
          <w:tab w:leader="none" w:pos="11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confirmation through www.rechtspraak.nl derived from the segment for the European Union registrations of the Central Insolvency Register that the Company is not registered as being subject to Insolvency Proceedings; and</w:t>
      </w:r>
    </w:p>
    <w:p>
      <w:pPr>
        <w:spacing w:after="0" w:line="143" w:lineRule="exact"/>
        <w:rPr>
          <w:rFonts w:ascii="Times New Roman" w:cs="Times New Roman" w:eastAsia="Times New Roman" w:hAnsi="Times New Roman"/>
          <w:sz w:val="16"/>
          <w:szCs w:val="16"/>
          <w:color w:val="auto"/>
        </w:rPr>
      </w:pPr>
    </w:p>
    <w:p>
      <w:pPr>
        <w:ind w:left="1120" w:hanging="559"/>
        <w:spacing w:after="0"/>
        <w:tabs>
          <w:tab w:leader="none" w:pos="11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confirmation through https://webgate.ec.europa.eu/fsd/fsf#!/files that the Company is not included on any EU Sanction List;</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"DCC" </w:t>
      </w:r>
      <w:r>
        <w:rPr>
          <w:rFonts w:ascii="Times New Roman" w:cs="Times New Roman" w:eastAsia="Times New Roman" w:hAnsi="Times New Roman"/>
          <w:sz w:val="16"/>
          <w:szCs w:val="16"/>
          <w:color w:val="auto"/>
        </w:rPr>
        <w:t>means the Dutch Civil Code (</w:t>
      </w:r>
      <w:r>
        <w:rPr>
          <w:rFonts w:ascii="Times New Roman" w:cs="Times New Roman" w:eastAsia="Times New Roman" w:hAnsi="Times New Roman"/>
          <w:sz w:val="16"/>
          <w:szCs w:val="16"/>
          <w:i w:val="1"/>
          <w:iCs w:val="1"/>
          <w:color w:val="auto"/>
        </w:rPr>
        <w:t>Burgerlijk Wetboek</w:t>
      </w:r>
      <w:r>
        <w:rPr>
          <w:rFonts w:ascii="Times New Roman" w:cs="Times New Roman" w:eastAsia="Times New Roman" w:hAnsi="Times New Roman"/>
          <w:sz w:val="16"/>
          <w:szCs w:val="16"/>
          <w:color w:val="auto"/>
        </w:rPr>
        <w:t>);</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"Documents" </w:t>
      </w:r>
      <w:r>
        <w:rPr>
          <w:rFonts w:ascii="Times New Roman" w:cs="Times New Roman" w:eastAsia="Times New Roman" w:hAnsi="Times New Roman"/>
          <w:sz w:val="16"/>
          <w:szCs w:val="16"/>
          <w:color w:val="auto"/>
        </w:rPr>
        <w:t>means each of the documents referred to in paragraph 3.1which have been reviewed by us;</w:t>
      </w:r>
    </w:p>
    <w:p>
      <w:pPr>
        <w:spacing w:after="0" w:line="201" w:lineRule="exact"/>
        <w:rPr>
          <w:sz w:val="20"/>
          <w:szCs w:val="20"/>
          <w:color w:val="auto"/>
        </w:rPr>
      </w:pPr>
    </w:p>
    <w:p>
      <w:pPr>
        <w:jc w:val="both"/>
        <w:ind w:left="580" w:right="20"/>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"EU Sanction List" </w:t>
      </w:r>
      <w:r>
        <w:rPr>
          <w:rFonts w:ascii="Times New Roman" w:cs="Times New Roman" w:eastAsia="Times New Roman" w:hAnsi="Times New Roman"/>
          <w:sz w:val="16"/>
          <w:szCs w:val="16"/>
          <w:color w:val="auto"/>
        </w:rPr>
        <w:t>means each list of persons and entities subjected to economic sanctions imposed by the European Union as published by the European Union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Consolidated Financial Sanctions List (derived through https://webgate.ec.europa.eu/fsd/fsf#!/files as at the date of this legal opinion);</w:t>
      </w:r>
    </w:p>
    <w:p>
      <w:pPr>
        <w:spacing w:after="0" w:line="140" w:lineRule="exact"/>
        <w:rPr>
          <w:sz w:val="20"/>
          <w:szCs w:val="20"/>
          <w:color w:val="auto"/>
        </w:rPr>
      </w:pPr>
    </w:p>
    <w:p>
      <w:pPr>
        <w:jc w:val="both"/>
        <w:ind w:left="580" w:right="20"/>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"Excerpt" </w:t>
      </w:r>
      <w:r>
        <w:rPr>
          <w:rFonts w:ascii="Times New Roman" w:cs="Times New Roman" w:eastAsia="Times New Roman" w:hAnsi="Times New Roman"/>
          <w:sz w:val="16"/>
          <w:szCs w:val="16"/>
          <w:color w:val="auto"/>
        </w:rPr>
        <w:t>means the electronically certified extract from the Trade Register in respect of the Company provided by the Chamber of Commerce and dated on the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this legal opinion;</w:t>
      </w:r>
    </w:p>
    <w:p>
      <w:pPr>
        <w:spacing w:after="0" w:line="140" w:lineRule="exact"/>
        <w:rPr>
          <w:sz w:val="20"/>
          <w:szCs w:val="20"/>
          <w:color w:val="auto"/>
        </w:rPr>
      </w:pPr>
    </w:p>
    <w:p>
      <w:pPr>
        <w:jc w:val="both"/>
        <w:ind w:left="580"/>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"Insolvency Proceedings" </w:t>
      </w:r>
      <w:r>
        <w:rPr>
          <w:rFonts w:ascii="Times New Roman" w:cs="Times New Roman" w:eastAsia="Times New Roman" w:hAnsi="Times New Roman"/>
          <w:sz w:val="16"/>
          <w:szCs w:val="16"/>
          <w:color w:val="auto"/>
        </w:rPr>
        <w:t>means any (i) proceedings as defined in Article 2 paragraph 4 of EU Council Regulation (EC) No. 848/2015 of 20 May 2015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insolvency proceedings as amended by Regulation (EU) 2021/2260 of the European Parliament and of the Council of 15 December 2021 or (ii) preventive restructuring framework as implemented by a relevant member state of the European Union in a local law (pre-)insolvency proceeding as meant in Article 4 paragraph 1 of Directive (EU) 2019/1023 of the European Parliament and of the Council of 20 June 2019 on preventive restructuring frameworks, on discharge of debt and disqualifications, and on measures to increase the efficiency of procedures concerning restructuring, insolvency and discharge of debt, and amending Directive (EU) 2017/1132;</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opinion – 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47560" cy="30480"/>
                    </a:xfrm>
                    <a:prstGeom prst="rect">
                      <a:avLst/>
                    </a:prstGeom>
                    <a:noFill/>
                  </pic:spPr>
                </pic:pic>
              </a:graphicData>
            </a:graphic>
          </wp:anchor>
        </w:drawing>
      </w:r>
    </w:p>
    <w:p>
      <w:pPr>
        <w:sectPr>
          <w:pgSz w:w="11900" w:h="16838" w:orient="portrait"/>
          <w:cols w:equalWidth="0" w:num="1">
            <w:col w:w="11260"/>
          </w:cols>
          <w:pgMar w:left="320" w:top="219" w:right="3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6"/>
          <w:szCs w:val="16"/>
          <w:color w:val="auto"/>
        </w:rPr>
        <w:t>Continuation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-105410</wp:posOffset>
            </wp:positionV>
            <wp:extent cx="1145540" cy="7327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145540" cy="73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"Netherlands" </w:t>
      </w:r>
      <w:r>
        <w:rPr>
          <w:rFonts w:ascii="Times New Roman" w:cs="Times New Roman" w:eastAsia="Times New Roman" w:hAnsi="Times New Roman"/>
          <w:sz w:val="16"/>
          <w:szCs w:val="16"/>
          <w:color w:val="auto"/>
        </w:rPr>
        <w:t>means the European part of the Kingdom of the Netherlands;</w:t>
      </w:r>
    </w:p>
    <w:p>
      <w:pPr>
        <w:spacing w:after="0" w:line="201" w:lineRule="exact"/>
        <w:rPr>
          <w:sz w:val="20"/>
          <w:szCs w:val="20"/>
          <w:color w:val="auto"/>
        </w:rPr>
      </w:pPr>
    </w:p>
    <w:p>
      <w:pPr>
        <w:ind w:left="580" w:right="500"/>
        <w:spacing w:after="0" w:line="501" w:lineRule="auto"/>
        <w:rPr>
          <w:sz w:val="20"/>
          <w:szCs w:val="20"/>
          <w:color w:val="auto"/>
        </w:rPr>
      </w:pPr>
      <w:r>
        <w:rPr>
          <w:rFonts w:ascii="Times New Roman" w:cs="Times New Roman" w:eastAsia="Times New Roman" w:hAnsi="Times New Roman"/>
          <w:sz w:val="16"/>
          <w:szCs w:val="16"/>
          <w:b w:val="1"/>
          <w:bCs w:val="1"/>
          <w:color w:val="auto"/>
        </w:rPr>
        <w:t xml:space="preserve">"Netherlands Law" </w:t>
      </w:r>
      <w:r>
        <w:rPr>
          <w:rFonts w:ascii="Times New Roman" w:cs="Times New Roman" w:eastAsia="Times New Roman" w:hAnsi="Times New Roman"/>
          <w:sz w:val="16"/>
          <w:szCs w:val="16"/>
          <w:color w:val="auto"/>
        </w:rPr>
        <w:t>means the laws of the Netherlands which are directly applicable and as they exist and are interpreted at the date of this legal opinion; and</w:t>
      </w:r>
      <w:r>
        <w:rPr>
          <w:rFonts w:ascii="Times New Roman" w:cs="Times New Roman" w:eastAsia="Times New Roman" w:hAnsi="Times New Roman"/>
          <w:sz w:val="16"/>
          <w:szCs w:val="16"/>
          <w:b w:val="1"/>
          <w:bCs w:val="1"/>
          <w:color w:val="auto"/>
        </w:rPr>
        <w:t xml:space="preserve"> "Ordinary Shares" </w:t>
      </w:r>
      <w:r>
        <w:rPr>
          <w:rFonts w:ascii="Times New Roman" w:cs="Times New Roman" w:eastAsia="Times New Roman" w:hAnsi="Times New Roman"/>
          <w:sz w:val="16"/>
          <w:szCs w:val="16"/>
          <w:color w:val="auto"/>
        </w:rPr>
        <w:t>means ordinary shares in the Company's capital, with a nominal value of EUR 0.01 per share;</w:t>
      </w:r>
      <w:r>
        <w:rPr>
          <w:rFonts w:ascii="Times New Roman" w:cs="Times New Roman" w:eastAsia="Times New Roman" w:hAnsi="Times New Roman"/>
          <w:sz w:val="16"/>
          <w:szCs w:val="16"/>
          <w:b w:val="1"/>
          <w:bCs w:val="1"/>
          <w:color w:val="auto"/>
        </w:rPr>
        <w:t xml:space="preserve"> "Preferred Shares" </w:t>
      </w:r>
      <w:r>
        <w:rPr>
          <w:rFonts w:ascii="Times New Roman" w:cs="Times New Roman" w:eastAsia="Times New Roman" w:hAnsi="Times New Roman"/>
          <w:sz w:val="16"/>
          <w:szCs w:val="16"/>
          <w:color w:val="auto"/>
        </w:rPr>
        <w:t>means the preferred shares in the Company's capital, with a nominal value of EUR 300.00 per share;</w:t>
      </w:r>
    </w:p>
    <w:p>
      <w:pPr>
        <w:spacing w:after="0" w:line="2" w:lineRule="exact"/>
        <w:rPr>
          <w:sz w:val="20"/>
          <w:szCs w:val="20"/>
          <w:color w:val="auto"/>
        </w:rPr>
      </w:pPr>
    </w:p>
    <w:p>
      <w:pPr>
        <w:ind w:left="580"/>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"PRIIPs Regulation" </w:t>
      </w:r>
      <w:r>
        <w:rPr>
          <w:rFonts w:ascii="Times New Roman" w:cs="Times New Roman" w:eastAsia="Times New Roman" w:hAnsi="Times New Roman"/>
          <w:sz w:val="16"/>
          <w:szCs w:val="16"/>
          <w:color w:val="auto"/>
        </w:rPr>
        <w:t>means Regulation (EU) No 1286/2014 of the European Parliament and of the Council of 26 November 2014 on key information documents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packaged retail and insurance-based investment products (PRIIPs);</w:t>
      </w:r>
    </w:p>
    <w:p>
      <w:pPr>
        <w:spacing w:after="0" w:line="140" w:lineRule="exact"/>
        <w:rPr>
          <w:sz w:val="20"/>
          <w:szCs w:val="20"/>
          <w:color w:val="auto"/>
        </w:rPr>
      </w:pPr>
    </w:p>
    <w:p>
      <w:pPr>
        <w:ind w:left="580" w:right="20"/>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"Prospectus Regulation" </w:t>
      </w:r>
      <w:r>
        <w:rPr>
          <w:rFonts w:ascii="Times New Roman" w:cs="Times New Roman" w:eastAsia="Times New Roman" w:hAnsi="Times New Roman"/>
          <w:sz w:val="16"/>
          <w:szCs w:val="16"/>
          <w:color w:val="auto"/>
        </w:rPr>
        <w:t>means Regulation (EU) 2017/1129 of the European Parliament and of the Council of 14 June 2017 on the prospectus to be published when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securities are offered to the public or admitted to trading on a regulated market, and repealing Directive 2003/71/EC;</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"Registered Securities" </w:t>
      </w:r>
      <w:r>
        <w:rPr>
          <w:rFonts w:ascii="Times New Roman" w:cs="Times New Roman" w:eastAsia="Times New Roman" w:hAnsi="Times New Roman"/>
          <w:sz w:val="16"/>
          <w:szCs w:val="16"/>
          <w:color w:val="auto"/>
        </w:rPr>
        <w:t>means the Registration Shares;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 xml:space="preserve">"Registration Shares" </w:t>
      </w:r>
      <w:r>
        <w:rPr>
          <w:rFonts w:ascii="Times New Roman" w:cs="Times New Roman" w:eastAsia="Times New Roman" w:hAnsi="Times New Roman"/>
          <w:sz w:val="16"/>
          <w:szCs w:val="16"/>
          <w:color w:val="auto"/>
        </w:rPr>
        <w:t>means the Ordinary Shares and Preferred Shares, collectively;</w:t>
      </w:r>
    </w:p>
    <w:p>
      <w:pPr>
        <w:spacing w:after="0" w:line="201" w:lineRule="exact"/>
        <w:rPr>
          <w:sz w:val="20"/>
          <w:szCs w:val="20"/>
          <w:color w:val="auto"/>
        </w:rPr>
      </w:pPr>
    </w:p>
    <w:p>
      <w:pPr>
        <w:jc w:val="both"/>
        <w:ind w:left="580" w:right="3740"/>
        <w:spacing w:after="0" w:line="536" w:lineRule="auto"/>
        <w:rPr>
          <w:sz w:val="20"/>
          <w:szCs w:val="20"/>
          <w:color w:val="auto"/>
        </w:rPr>
      </w:pPr>
      <w:r>
        <w:rPr>
          <w:rFonts w:ascii="Times New Roman" w:cs="Times New Roman" w:eastAsia="Times New Roman" w:hAnsi="Times New Roman"/>
          <w:sz w:val="16"/>
          <w:szCs w:val="16"/>
          <w:b w:val="1"/>
          <w:bCs w:val="1"/>
          <w:color w:val="auto"/>
        </w:rPr>
        <w:t xml:space="preserve">"Registration Statement" </w:t>
      </w:r>
      <w:r>
        <w:rPr>
          <w:rFonts w:ascii="Times New Roman" w:cs="Times New Roman" w:eastAsia="Times New Roman" w:hAnsi="Times New Roman"/>
          <w:sz w:val="16"/>
          <w:szCs w:val="16"/>
          <w:color w:val="auto"/>
        </w:rPr>
        <w:t>means the registration statement in the Form S-3 filed by you with the SEC; and</w:t>
      </w:r>
      <w:r>
        <w:rPr>
          <w:rFonts w:ascii="Times New Roman" w:cs="Times New Roman" w:eastAsia="Times New Roman" w:hAnsi="Times New Roman"/>
          <w:sz w:val="16"/>
          <w:szCs w:val="16"/>
          <w:b w:val="1"/>
          <w:bCs w:val="1"/>
          <w:color w:val="auto"/>
        </w:rPr>
        <w:t xml:space="preserve"> "Relevant Moment" </w:t>
      </w:r>
      <w:r>
        <w:rPr>
          <w:rFonts w:ascii="Times New Roman" w:cs="Times New Roman" w:eastAsia="Times New Roman" w:hAnsi="Times New Roman"/>
          <w:sz w:val="16"/>
          <w:szCs w:val="16"/>
          <w:color w:val="auto"/>
        </w:rPr>
        <w:t>means each time when one or more Registered Securities are issued by the Company.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opinion – 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47560" cy="30480"/>
                    </a:xfrm>
                    <a:prstGeom prst="rect">
                      <a:avLst/>
                    </a:prstGeom>
                    <a:noFill/>
                  </pic:spPr>
                </pic:pic>
              </a:graphicData>
            </a:graphic>
          </wp:anchor>
        </w:drawing>
      </w:r>
    </w:p>
    <w:p>
      <w:pPr>
        <w:sectPr>
          <w:pgSz w:w="11900" w:h="16838" w:orient="portrait"/>
          <w:cols w:equalWidth="0" w:num="1">
            <w:col w:w="11260"/>
          </w:cols>
          <w:pgMar w:left="320" w:top="219" w:right="31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6"/>
          <w:szCs w:val="16"/>
          <w:color w:val="auto"/>
        </w:rPr>
        <w:t>Continuation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-106045</wp:posOffset>
            </wp:positionV>
            <wp:extent cx="1145540" cy="7327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145540" cy="73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Yours faithfully</w:t>
      </w:r>
    </w:p>
    <w:p>
      <w:pPr>
        <w:sectPr>
          <w:pgSz w:w="11900" w:h="16838" w:orient="portrait"/>
          <w:cols w:equalWidth="0" w:num="1">
            <w:col w:w="11260"/>
          </w:cols>
          <w:pgMar w:left="320" w:top="219" w:right="319" w:bottom="1440" w:gutter="0" w:footer="0" w:header="0"/>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 MANON DEN BOER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Notary - Partner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DLA PIPER NEDERLAND N.V.</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 GERARD KNEPPERS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Advocaat - Partner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DLA PIPER NEDERLAND N.V.</w:t>
      </w:r>
    </w:p>
    <w:p>
      <w:pPr>
        <w:spacing w:after="0" w:line="196" w:lineRule="exact"/>
        <w:rPr>
          <w:sz w:val="20"/>
          <w:szCs w:val="20"/>
          <w:color w:val="auto"/>
        </w:rPr>
      </w:pPr>
    </w:p>
    <w:p>
      <w:pPr>
        <w:sectPr>
          <w:pgSz w:w="11900" w:h="16838" w:orient="portrait"/>
          <w:cols w:equalWidth="0" w:num="2">
            <w:col w:w="4900" w:space="720"/>
            <w:col w:w="5640"/>
          </w:cols>
          <w:pgMar w:left="320" w:top="21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Direct +31 20 541 9871</w:t>
      </w:r>
    </w:p>
    <w:p>
      <w:pPr>
        <w:spacing w:after="0" w:line="20" w:lineRule="exact"/>
        <w:rPr>
          <w:sz w:val="20"/>
          <w:szCs w:val="20"/>
          <w:color w:val="auto"/>
        </w:rPr>
      </w:pPr>
      <w:r>
        <w:rPr>
          <w:sz w:val="20"/>
          <w:szCs w:val="20"/>
          <w:color w:val="auto"/>
        </w:rPr>
        <w:br w:type="column"/>
      </w:r>
    </w:p>
    <w:p>
      <w:pPr>
        <w:jc w:val="center"/>
        <w:ind w:right="4100"/>
        <w:spacing w:after="0"/>
        <w:rPr>
          <w:sz w:val="20"/>
          <w:szCs w:val="20"/>
          <w:color w:val="auto"/>
        </w:rPr>
      </w:pPr>
      <w:r>
        <w:rPr>
          <w:rFonts w:ascii="Times New Roman" w:cs="Times New Roman" w:eastAsia="Times New Roman" w:hAnsi="Times New Roman"/>
          <w:sz w:val="16"/>
          <w:szCs w:val="16"/>
          <w:color w:val="auto"/>
        </w:rPr>
        <w:t>Direct +31 20 541 9811</w:t>
      </w:r>
    </w:p>
    <w:p>
      <w:pPr>
        <w:spacing w:after="0" w:line="200" w:lineRule="exact"/>
        <w:rPr>
          <w:sz w:val="20"/>
          <w:szCs w:val="20"/>
          <w:color w:val="auto"/>
        </w:rPr>
      </w:pPr>
    </w:p>
    <w:p>
      <w:pPr>
        <w:sectPr>
          <w:pgSz w:w="11900" w:h="16838" w:orient="portrait"/>
          <w:cols w:equalWidth="0" w:num="2">
            <w:col w:w="4900" w:space="720"/>
            <w:col w:w="5640"/>
          </w:cols>
          <w:pgMar w:left="320" w:top="219" w:right="31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Manon.denboer@dlapiper.com</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Times New Roman" w:cs="Times New Roman" w:eastAsia="Times New Roman" w:hAnsi="Times New Roman"/>
          <w:sz w:val="15"/>
          <w:szCs w:val="15"/>
          <w:color w:val="auto"/>
        </w:rPr>
        <w:t>Gerard.Kneppers@dlapiper.com</w:t>
      </w:r>
    </w:p>
    <w:p>
      <w:pPr>
        <w:spacing w:after="0" w:line="200" w:lineRule="exact"/>
        <w:rPr>
          <w:sz w:val="20"/>
          <w:szCs w:val="20"/>
          <w:color w:val="auto"/>
        </w:rPr>
      </w:pPr>
    </w:p>
    <w:p>
      <w:pPr>
        <w:sectPr>
          <w:pgSz w:w="11900" w:h="16838" w:orient="portrait"/>
          <w:cols w:equalWidth="0" w:num="2">
            <w:col w:w="4900" w:space="720"/>
            <w:col w:w="5640"/>
          </w:cols>
          <w:pgMar w:left="320" w:top="21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Legal opinion – Sono Group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7147560"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47560" cy="30480"/>
                    </a:xfrm>
                    <a:prstGeom prst="rect">
                      <a:avLst/>
                    </a:prstGeom>
                    <a:noFill/>
                  </pic:spPr>
                </pic:pic>
              </a:graphicData>
            </a:graphic>
          </wp:anchor>
        </w:drawing>
      </w:r>
    </w:p>
    <w:p>
      <w:pPr>
        <w:sectPr>
          <w:pgSz w:w="11900" w:h="16838" w:orient="portrait"/>
          <w:cols w:equalWidth="0" w:num="1">
            <w:col w:w="11260"/>
          </w:cols>
          <w:pgMar w:left="320" w:top="219" w:right="319" w:bottom="1440" w:gutter="0" w:footer="0" w:header="0"/>
          <w:type w:val="continuous"/>
        </w:sectPr>
      </w:pPr>
    </w:p>
    <w:bookmarkStart w:id="57" w:name="page58"/>
    <w:bookmarkEnd w:id="57"/>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1122680" cy="4889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112268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3"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We hereby consent to the incorporation by reference in this Registration Statement on Form S-3 of our report dated April 1, 2026, as of and for the years ended December 31, 2025 and 2024. We also consent to the reference to our firm under the heading “Experts” appearing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1527175" cy="305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1527175" cy="30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Grassi &amp; Co., CPAs, P.C.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Glastonbury, Connecticut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11, 2026</w:t>
      </w:r>
    </w:p>
    <w:p>
      <w:pPr>
        <w:sectPr>
          <w:pgSz w:w="11900" w:h="16838" w:orient="portrait"/>
          <w:cols w:equalWidth="0" w:num="1">
            <w:col w:w="11260"/>
          </w:cols>
          <w:pgMar w:left="320" w:top="112" w:right="319" w:bottom="1440" w:gutter="0" w:footer="0" w:header="0"/>
        </w:sectPr>
      </w:pPr>
    </w:p>
    <w:bookmarkStart w:id="58" w:name="page59"/>
    <w:bookmarkEnd w:id="58"/>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 107</w:t>
            </w:r>
          </w:p>
        </w:tc>
        <w:tc>
          <w:tcPr>
            <w:tcW w:w="0" w:type="dxa"/>
            <w:vAlign w:val="bottom"/>
          </w:tcPr>
          <w:p>
            <w:pPr>
              <w:spacing w:after="0"/>
              <w:rPr>
                <w:sz w:val="1"/>
                <w:szCs w:val="1"/>
                <w:color w:val="auto"/>
              </w:rPr>
            </w:pPr>
          </w:p>
        </w:tc>
      </w:tr>
      <w:tr>
        <w:trPr>
          <w:trHeight w:val="433"/>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7"/>
          </w:tcPr>
          <w:p>
            <w:pPr>
              <w:jc w:val="center"/>
              <w:ind w:left="80"/>
              <w:spacing w:after="0"/>
              <w:rPr>
                <w:sz w:val="20"/>
                <w:szCs w:val="20"/>
                <w:color w:val="auto"/>
              </w:rPr>
            </w:pPr>
            <w:r>
              <w:rPr>
                <w:rFonts w:ascii="Arial" w:cs="Arial" w:eastAsia="Arial" w:hAnsi="Arial"/>
                <w:sz w:val="16"/>
                <w:szCs w:val="16"/>
                <w:b w:val="1"/>
                <w:bCs w:val="1"/>
                <w:color w:val="auto"/>
                <w:w w:val="99"/>
              </w:rPr>
              <w:t>Calculation of Filing Fee Tables</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center"/>
              <w:ind w:right="640"/>
              <w:spacing w:after="0"/>
              <w:rPr>
                <w:sz w:val="20"/>
                <w:szCs w:val="20"/>
                <w:color w:val="auto"/>
              </w:rPr>
            </w:pPr>
            <w:r>
              <w:rPr>
                <w:rFonts w:ascii="Arial" w:cs="Arial" w:eastAsia="Arial" w:hAnsi="Arial"/>
                <w:sz w:val="16"/>
                <w:szCs w:val="16"/>
                <w:b w:val="1"/>
                <w:bCs w:val="1"/>
                <w:color w:val="auto"/>
              </w:rPr>
              <w:t>S-3</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8"/>
              </w:rPr>
              <w:t>Sono Group N.V.</w:t>
            </w: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4520" w:type="dxa"/>
            <w:vAlign w:val="bottom"/>
            <w:tcBorders>
              <w:bottom w:val="single" w:sz="8" w:color="auto"/>
            </w:tcBorders>
            <w:gridSpan w:val="13"/>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2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76" w:lineRule="exact"/>
              <w:rPr>
                <w:sz w:val="20"/>
                <w:szCs w:val="20"/>
                <w:color w:val="auto"/>
              </w:rPr>
            </w:pPr>
            <w:r>
              <w:rPr>
                <w:rFonts w:ascii="Arial" w:cs="Arial" w:eastAsia="Arial" w:hAnsi="Arial"/>
                <w:sz w:val="16"/>
                <w:szCs w:val="16"/>
                <w:b w:val="1"/>
                <w:bCs w:val="1"/>
                <w:color w:val="auto"/>
                <w:w w:val="99"/>
              </w:rPr>
              <w:t>Filing Fee</w:t>
            </w: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9ADAF6"/>
          </w:tcPr>
          <w:p>
            <w:pPr>
              <w:jc w:val="center"/>
              <w:ind w:left="40"/>
              <w:spacing w:after="0"/>
              <w:rPr>
                <w:sz w:val="20"/>
                <w:szCs w:val="20"/>
                <w:color w:val="auto"/>
              </w:rPr>
            </w:pPr>
            <w:r>
              <w:rPr>
                <w:rFonts w:ascii="Arial" w:cs="Arial" w:eastAsia="Arial" w:hAnsi="Arial"/>
                <w:sz w:val="16"/>
                <w:szCs w:val="16"/>
                <w:b w:val="1"/>
                <w:bCs w:val="1"/>
                <w:color w:val="auto"/>
              </w:rPr>
              <w:t>Fee</w:t>
            </w: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40" w:type="dxa"/>
            <w:vAlign w:val="bottom"/>
          </w:tcPr>
          <w:p>
            <w:pPr>
              <w:spacing w:after="0"/>
              <w:rPr>
                <w:sz w:val="7"/>
                <w:szCs w:val="7"/>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7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16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w w:val="99"/>
              </w:rPr>
              <w:t>Calculation</w:t>
            </w:r>
          </w:p>
        </w:tc>
        <w:tc>
          <w:tcPr>
            <w:tcW w:w="20" w:type="dxa"/>
            <w:vAlign w:val="bottom"/>
          </w:tcPr>
          <w:p>
            <w:pPr>
              <w:spacing w:after="0"/>
              <w:rPr>
                <w:sz w:val="14"/>
                <w:szCs w:val="14"/>
                <w:color w:val="auto"/>
              </w:rPr>
            </w:pPr>
          </w:p>
        </w:tc>
        <w:tc>
          <w:tcPr>
            <w:tcW w:w="8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114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w w:val="99"/>
              </w:rPr>
              <w:t>Amount of</w:t>
            </w: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1"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9ADAF6"/>
          </w:tcPr>
          <w:p>
            <w:pPr>
              <w:ind w:left="120"/>
              <w:spacing w:after="0" w:line="181" w:lineRule="exact"/>
              <w:rPr>
                <w:sz w:val="20"/>
                <w:szCs w:val="20"/>
                <w:color w:val="auto"/>
              </w:rPr>
            </w:pPr>
            <w:r>
              <w:rPr>
                <w:rFonts w:ascii="Arial" w:cs="Arial" w:eastAsia="Arial" w:hAnsi="Arial"/>
                <w:sz w:val="16"/>
                <w:szCs w:val="16"/>
                <w:b w:val="1"/>
                <w:bCs w:val="1"/>
                <w:color w:val="auto"/>
              </w:rPr>
              <w:t>Security</w:t>
            </w:r>
          </w:p>
        </w:tc>
        <w:tc>
          <w:tcPr>
            <w:tcW w:w="40" w:type="dxa"/>
            <w:vAlign w:val="bottom"/>
          </w:tcPr>
          <w:p>
            <w:pPr>
              <w:spacing w:after="0"/>
              <w:rPr>
                <w:sz w:val="15"/>
                <w:szCs w:val="15"/>
                <w:color w:val="auto"/>
              </w:rPr>
            </w:pPr>
          </w:p>
        </w:tc>
        <w:tc>
          <w:tcPr>
            <w:tcW w:w="840" w:type="dxa"/>
            <w:vAlign w:val="bottom"/>
            <w:shd w:val="clear" w:color="auto" w:fill="9ADAF6"/>
          </w:tcPr>
          <w:p>
            <w:pPr>
              <w:ind w:left="100"/>
              <w:spacing w:after="0" w:line="181"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00" w:type="dxa"/>
            <w:vAlign w:val="bottom"/>
            <w:shd w:val="clear" w:color="auto" w:fill="9ADAF6"/>
          </w:tcPr>
          <w:p>
            <w:pPr>
              <w:jc w:val="center"/>
              <w:ind w:left="20"/>
              <w:spacing w:after="0" w:line="181" w:lineRule="exact"/>
              <w:rPr>
                <w:sz w:val="20"/>
                <w:szCs w:val="20"/>
                <w:color w:val="auto"/>
              </w:rPr>
            </w:pPr>
            <w:r>
              <w:rPr>
                <w:rFonts w:ascii="Arial" w:cs="Arial" w:eastAsia="Arial" w:hAnsi="Arial"/>
                <w:sz w:val="16"/>
                <w:szCs w:val="16"/>
                <w:b w:val="1"/>
                <w:bCs w:val="1"/>
                <w:color w:val="auto"/>
                <w:w w:val="99"/>
              </w:rPr>
              <w:t>or Carry</w:t>
            </w: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jc w:val="right"/>
              <w:ind w:right="40"/>
              <w:spacing w:after="0" w:line="181"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11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Aggregate</w:t>
            </w:r>
          </w:p>
        </w:tc>
        <w:tc>
          <w:tcPr>
            <w:tcW w:w="20" w:type="dxa"/>
            <w:vAlign w:val="bottom"/>
          </w:tcPr>
          <w:p>
            <w:pPr>
              <w:spacing w:after="0"/>
              <w:rPr>
                <w:sz w:val="15"/>
                <w:szCs w:val="15"/>
                <w:color w:val="auto"/>
              </w:rPr>
            </w:pPr>
          </w:p>
        </w:tc>
        <w:tc>
          <w:tcPr>
            <w:tcW w:w="8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Registration</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Forward</w:t>
            </w:r>
          </w:p>
        </w:tc>
        <w:tc>
          <w:tcPr>
            <w:tcW w:w="40" w:type="dxa"/>
            <w:vAlign w:val="bottom"/>
          </w:tcPr>
          <w:p>
            <w:pPr>
              <w:spacing w:after="0"/>
              <w:rPr>
                <w:sz w:val="15"/>
                <w:szCs w:val="15"/>
                <w:color w:val="auto"/>
              </w:rPr>
            </w:pPr>
          </w:p>
        </w:tc>
        <w:tc>
          <w:tcPr>
            <w:tcW w:w="6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9ADAF6"/>
          </w:tcPr>
          <w:p>
            <w:pPr>
              <w:ind w:left="240"/>
              <w:spacing w:after="0" w:line="181" w:lineRule="exact"/>
              <w:rPr>
                <w:sz w:val="20"/>
                <w:szCs w:val="20"/>
                <w:color w:val="auto"/>
              </w:rPr>
            </w:pPr>
            <w:r>
              <w:rPr>
                <w:rFonts w:ascii="Arial" w:cs="Arial" w:eastAsia="Arial" w:hAnsi="Arial"/>
                <w:sz w:val="16"/>
                <w:szCs w:val="16"/>
                <w:b w:val="1"/>
                <w:bCs w:val="1"/>
                <w:color w:val="auto"/>
              </w:rPr>
              <w:t>Type</w:t>
            </w:r>
          </w:p>
        </w:tc>
        <w:tc>
          <w:tcPr>
            <w:tcW w:w="40" w:type="dxa"/>
            <w:vAlign w:val="bottom"/>
          </w:tcPr>
          <w:p>
            <w:pPr>
              <w:spacing w:after="0"/>
              <w:rPr>
                <w:sz w:val="15"/>
                <w:szCs w:val="15"/>
                <w:color w:val="auto"/>
              </w:rPr>
            </w:pPr>
          </w:p>
        </w:tc>
        <w:tc>
          <w:tcPr>
            <w:tcW w:w="840" w:type="dxa"/>
            <w:vAlign w:val="bottom"/>
            <w:shd w:val="clear" w:color="auto" w:fill="9ADAF6"/>
          </w:tcPr>
          <w:p>
            <w:pPr>
              <w:ind w:left="20"/>
              <w:spacing w:after="0" w:line="181" w:lineRule="exact"/>
              <w:rPr>
                <w:sz w:val="20"/>
                <w:szCs w:val="20"/>
                <w:color w:val="auto"/>
              </w:rPr>
            </w:pPr>
            <w:r>
              <w:rPr>
                <w:rFonts w:ascii="Arial" w:cs="Arial" w:eastAsia="Arial" w:hAnsi="Arial"/>
                <w:sz w:val="16"/>
                <w:szCs w:val="16"/>
                <w:b w:val="1"/>
                <w:bCs w:val="1"/>
                <w:color w:val="auto"/>
                <w:w w:val="99"/>
              </w:rPr>
              <w:t>Class Title</w:t>
            </w:r>
          </w:p>
        </w:tc>
        <w:tc>
          <w:tcPr>
            <w:tcW w:w="20" w:type="dxa"/>
            <w:vAlign w:val="bottom"/>
          </w:tcPr>
          <w:p>
            <w:pPr>
              <w:spacing w:after="0"/>
              <w:rPr>
                <w:sz w:val="15"/>
                <w:szCs w:val="15"/>
                <w:color w:val="auto"/>
              </w:rPr>
            </w:pPr>
          </w:p>
        </w:tc>
        <w:tc>
          <w:tcPr>
            <w:tcW w:w="800" w:type="dxa"/>
            <w:vAlign w:val="bottom"/>
            <w:shd w:val="clear" w:color="auto" w:fill="9ADAF6"/>
          </w:tcPr>
          <w:p>
            <w:pPr>
              <w:jc w:val="center"/>
              <w:ind w:left="40"/>
              <w:spacing w:after="0" w:line="181" w:lineRule="exact"/>
              <w:rPr>
                <w:sz w:val="20"/>
                <w:szCs w:val="20"/>
                <w:color w:val="auto"/>
              </w:rPr>
            </w:pPr>
            <w:r>
              <w:rPr>
                <w:rFonts w:ascii="Arial" w:cs="Arial" w:eastAsia="Arial" w:hAnsi="Arial"/>
                <w:sz w:val="16"/>
                <w:szCs w:val="16"/>
                <w:b w:val="1"/>
                <w:bCs w:val="1"/>
                <w:color w:val="auto"/>
              </w:rPr>
              <w:t>Forward</w:t>
            </w: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jc w:val="right"/>
              <w:spacing w:after="0" w:line="181" w:lineRule="exact"/>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5"/>
                <w:szCs w:val="15"/>
                <w:color w:val="auto"/>
              </w:rPr>
            </w:pPr>
          </w:p>
        </w:tc>
        <w:tc>
          <w:tcPr>
            <w:tcW w:w="11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Form</w:t>
            </w:r>
          </w:p>
        </w:tc>
        <w:tc>
          <w:tcPr>
            <w:tcW w:w="40" w:type="dxa"/>
            <w:vAlign w:val="bottom"/>
          </w:tcPr>
          <w:p>
            <w:pPr>
              <w:spacing w:after="0"/>
              <w:rPr>
                <w:sz w:val="15"/>
                <w:szCs w:val="15"/>
                <w:color w:val="auto"/>
              </w:rPr>
            </w:pPr>
          </w:p>
        </w:tc>
        <w:tc>
          <w:tcPr>
            <w:tcW w:w="6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Effective</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Unsold</w:t>
            </w: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ind w:left="20"/>
              <w:spacing w:after="0"/>
              <w:rPr>
                <w:sz w:val="20"/>
                <w:szCs w:val="20"/>
                <w:color w:val="auto"/>
              </w:rPr>
            </w:pPr>
            <w:r>
              <w:rPr>
                <w:rFonts w:ascii="Arial" w:cs="Arial" w:eastAsia="Arial" w:hAnsi="Arial"/>
                <w:sz w:val="16"/>
                <w:szCs w:val="16"/>
                <w:b w:val="1"/>
                <w:bCs w:val="1"/>
                <w:color w:val="auto"/>
                <w:w w:val="97"/>
              </w:rPr>
              <w:t>Rule</w:t>
            </w: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Unit</w:t>
            </w:r>
          </w:p>
        </w:tc>
        <w:tc>
          <w:tcPr>
            <w:tcW w:w="20" w:type="dxa"/>
            <w:vAlign w:val="bottom"/>
          </w:tcPr>
          <w:p>
            <w:pPr>
              <w:spacing w:after="0"/>
              <w:rPr>
                <w:sz w:val="10"/>
                <w:szCs w:val="10"/>
                <w:color w:val="auto"/>
              </w:rPr>
            </w:pPr>
          </w:p>
        </w:tc>
        <w:tc>
          <w:tcPr>
            <w:tcW w:w="11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4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9ADAF6"/>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vMerge w:val="restart"/>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to be</w:t>
            </w:r>
          </w:p>
        </w:tc>
        <w:tc>
          <w:tcPr>
            <w:tcW w:w="0" w:type="dxa"/>
            <w:vAlign w:val="bottom"/>
          </w:tcPr>
          <w:p>
            <w:pPr>
              <w:spacing w:after="0"/>
              <w:rPr>
                <w:sz w:val="1"/>
                <w:szCs w:val="1"/>
                <w:color w:val="auto"/>
              </w:rPr>
            </w:pPr>
          </w:p>
        </w:tc>
      </w:tr>
      <w:tr>
        <w:trPr>
          <w:trHeight w:val="56"/>
        </w:trPr>
        <w:tc>
          <w:tcPr>
            <w:tcW w:w="40" w:type="dxa"/>
            <w:vAlign w:val="bottom"/>
            <w:tcBorders>
              <w:left w:val="single" w:sz="8" w:color="auto"/>
            </w:tcBorders>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9"/>
              </w:rPr>
              <w:t>Newly Registered Securities</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Ordinary</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Shares,</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Equity</w:t>
            </w:r>
          </w:p>
        </w:tc>
        <w:tc>
          <w:tcPr>
            <w:tcW w:w="40" w:type="dxa"/>
            <w:vAlign w:val="bottom"/>
          </w:tcPr>
          <w:p>
            <w:pPr>
              <w:spacing w:after="0"/>
              <w:rPr>
                <w:sz w:val="15"/>
                <w:szCs w:val="15"/>
                <w:color w:val="auto"/>
              </w:rPr>
            </w:pPr>
          </w:p>
        </w:tc>
        <w:tc>
          <w:tcPr>
            <w:tcW w:w="84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nominal</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ind w:left="20"/>
              <w:spacing w:after="0"/>
              <w:rPr>
                <w:sz w:val="20"/>
                <w:szCs w:val="20"/>
                <w:color w:val="auto"/>
              </w:rPr>
            </w:pPr>
            <w:r>
              <w:rPr>
                <w:rFonts w:ascii="Arial" w:cs="Arial" w:eastAsia="Arial" w:hAnsi="Arial"/>
                <w:sz w:val="16"/>
                <w:szCs w:val="16"/>
                <w:color w:val="auto"/>
                <w:w w:val="99"/>
              </w:rPr>
              <w:t>457(o)</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restart"/>
            <w:shd w:val="clear" w:color="auto" w:fill="E7E7E2"/>
          </w:tcPr>
          <w:p>
            <w:pPr>
              <w:spacing w:after="0" w:line="181" w:lineRule="exact"/>
              <w:rPr>
                <w:sz w:val="20"/>
                <w:szCs w:val="20"/>
                <w:color w:val="auto"/>
              </w:rPr>
            </w:pPr>
            <w:r>
              <w:rPr>
                <w:rFonts w:ascii="Arial" w:cs="Arial" w:eastAsia="Arial" w:hAnsi="Arial"/>
                <w:sz w:val="16"/>
                <w:szCs w:val="16"/>
                <w:color w:val="auto"/>
              </w:rPr>
              <w:t>value</w:t>
            </w:r>
          </w:p>
        </w:tc>
        <w:tc>
          <w:tcPr>
            <w:tcW w:w="20" w:type="dxa"/>
            <w:vAlign w:val="bottom"/>
          </w:tcPr>
          <w:p>
            <w:pPr>
              <w:spacing w:after="0"/>
              <w:rPr>
                <w:sz w:val="9"/>
                <w:szCs w:val="9"/>
                <w:color w:val="auto"/>
              </w:rPr>
            </w:pPr>
          </w:p>
        </w:tc>
        <w:tc>
          <w:tcPr>
            <w:tcW w:w="800" w:type="dxa"/>
            <w:vAlign w:val="bottom"/>
            <w:vMerge w:val="continue"/>
            <w:shd w:val="clear" w:color="auto" w:fill="E7E7E2"/>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0" w:type="dxa"/>
            <w:vAlign w:val="bottom"/>
            <w:tcBorders>
              <w:left w:val="single" w:sz="8" w:color="auto"/>
            </w:tcBorders>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EUR0.01</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line="176"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Shares,</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Equity</w:t>
            </w:r>
          </w:p>
        </w:tc>
        <w:tc>
          <w:tcPr>
            <w:tcW w:w="40" w:type="dxa"/>
            <w:vAlign w:val="bottom"/>
          </w:tcPr>
          <w:p>
            <w:pPr>
              <w:spacing w:after="0"/>
              <w:rPr>
                <w:sz w:val="15"/>
                <w:szCs w:val="15"/>
                <w:color w:val="auto"/>
              </w:rPr>
            </w:pPr>
          </w:p>
        </w:tc>
        <w:tc>
          <w:tcPr>
            <w:tcW w:w="84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nominal</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ind w:left="20"/>
              <w:spacing w:after="0"/>
              <w:rPr>
                <w:sz w:val="20"/>
                <w:szCs w:val="20"/>
                <w:color w:val="auto"/>
              </w:rPr>
            </w:pPr>
            <w:r>
              <w:rPr>
                <w:rFonts w:ascii="Arial" w:cs="Arial" w:eastAsia="Arial" w:hAnsi="Arial"/>
                <w:sz w:val="16"/>
                <w:szCs w:val="16"/>
                <w:color w:val="auto"/>
                <w:w w:val="99"/>
              </w:rPr>
              <w:t>457(o)</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restart"/>
            <w:shd w:val="clear" w:color="auto" w:fill="E7E7E2"/>
          </w:tcPr>
          <w:p>
            <w:pPr>
              <w:spacing w:after="0" w:line="181" w:lineRule="exact"/>
              <w:rPr>
                <w:sz w:val="20"/>
                <w:szCs w:val="20"/>
                <w:color w:val="auto"/>
              </w:rPr>
            </w:pPr>
            <w:r>
              <w:rPr>
                <w:rFonts w:ascii="Arial" w:cs="Arial" w:eastAsia="Arial" w:hAnsi="Arial"/>
                <w:sz w:val="16"/>
                <w:szCs w:val="16"/>
                <w:color w:val="auto"/>
              </w:rPr>
              <w:t>value</w:t>
            </w:r>
          </w:p>
        </w:tc>
        <w:tc>
          <w:tcPr>
            <w:tcW w:w="20" w:type="dxa"/>
            <w:vAlign w:val="bottom"/>
          </w:tcPr>
          <w:p>
            <w:pPr>
              <w:spacing w:after="0"/>
              <w:rPr>
                <w:sz w:val="9"/>
                <w:szCs w:val="9"/>
                <w:color w:val="auto"/>
              </w:rPr>
            </w:pPr>
          </w:p>
        </w:tc>
        <w:tc>
          <w:tcPr>
            <w:tcW w:w="800" w:type="dxa"/>
            <w:vAlign w:val="bottom"/>
            <w:vMerge w:val="continue"/>
            <w:shd w:val="clear" w:color="auto" w:fill="E7E7E2"/>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0" w:type="dxa"/>
            <w:vAlign w:val="bottom"/>
            <w:tcBorders>
              <w:left w:val="single" w:sz="8" w:color="auto"/>
            </w:tcBorders>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w w:val="99"/>
              </w:rPr>
              <w:t>EUR300.00</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vMerge w:val="restart"/>
            <w:shd w:val="clear" w:color="auto" w:fill="E7E7E2"/>
          </w:tcPr>
          <w:p>
            <w:pPr>
              <w:ind w:left="240"/>
              <w:spacing w:after="0"/>
              <w:rPr>
                <w:sz w:val="20"/>
                <w:szCs w:val="20"/>
                <w:color w:val="auto"/>
              </w:rPr>
            </w:pPr>
            <w:r>
              <w:rPr>
                <w:rFonts w:ascii="Arial" w:cs="Arial" w:eastAsia="Arial" w:hAnsi="Arial"/>
                <w:sz w:val="16"/>
                <w:szCs w:val="16"/>
                <w:color w:val="auto"/>
              </w:rPr>
              <w:t>Debt</w:t>
            </w:r>
          </w:p>
        </w:tc>
        <w:tc>
          <w:tcPr>
            <w:tcW w:w="40" w:type="dxa"/>
            <w:vAlign w:val="bottom"/>
          </w:tcPr>
          <w:p>
            <w:pPr>
              <w:spacing w:after="0"/>
              <w:rPr>
                <w:sz w:val="15"/>
                <w:szCs w:val="15"/>
                <w:color w:val="auto"/>
              </w:rPr>
            </w:pPr>
          </w:p>
        </w:tc>
        <w:tc>
          <w:tcPr>
            <w:tcW w:w="840" w:type="dxa"/>
            <w:vAlign w:val="bottom"/>
            <w:shd w:val="clear" w:color="auto" w:fill="E7E7E2"/>
          </w:tcPr>
          <w:p>
            <w:pPr>
              <w:spacing w:after="0" w:line="176"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ind w:left="20"/>
              <w:spacing w:after="0"/>
              <w:rPr>
                <w:sz w:val="20"/>
                <w:szCs w:val="20"/>
                <w:color w:val="auto"/>
              </w:rPr>
            </w:pPr>
            <w:r>
              <w:rPr>
                <w:rFonts w:ascii="Arial" w:cs="Arial" w:eastAsia="Arial" w:hAnsi="Arial"/>
                <w:sz w:val="16"/>
                <w:szCs w:val="16"/>
                <w:color w:val="auto"/>
                <w:w w:val="99"/>
              </w:rPr>
              <w:t>457(o)</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9"/>
                <w:szCs w:val="9"/>
                <w:color w:val="auto"/>
              </w:rPr>
            </w:pPr>
          </w:p>
        </w:tc>
        <w:tc>
          <w:tcPr>
            <w:tcW w:w="800" w:type="dxa"/>
            <w:vAlign w:val="bottom"/>
            <w:vMerge w:val="continue"/>
            <w:shd w:val="clear" w:color="auto" w:fill="E7E7E2"/>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shd w:val="clear" w:color="auto" w:fill="E7E7E2"/>
          </w:tcPr>
          <w:p>
            <w:pPr>
              <w:ind w:left="240"/>
              <w:spacing w:after="0"/>
              <w:rPr>
                <w:sz w:val="20"/>
                <w:szCs w:val="20"/>
                <w:color w:val="auto"/>
              </w:rPr>
            </w:pPr>
            <w:r>
              <w:rPr>
                <w:rFonts w:ascii="Arial" w:cs="Arial" w:eastAsia="Arial" w:hAnsi="Arial"/>
                <w:sz w:val="16"/>
                <w:szCs w:val="16"/>
                <w:color w:val="auto"/>
              </w:rPr>
              <w:t>Other</w:t>
            </w:r>
          </w:p>
        </w:tc>
        <w:tc>
          <w:tcPr>
            <w:tcW w:w="40" w:type="dxa"/>
            <w:vAlign w:val="bottom"/>
          </w:tcPr>
          <w:p>
            <w:pPr>
              <w:spacing w:after="0"/>
              <w:rPr>
                <w:sz w:val="17"/>
                <w:szCs w:val="17"/>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800" w:type="dxa"/>
            <w:vAlign w:val="bottom"/>
            <w:shd w:val="clear" w:color="auto" w:fill="E7E7E2"/>
          </w:tcPr>
          <w:p>
            <w:pPr>
              <w:jc w:val="center"/>
              <w:ind w:left="20"/>
              <w:spacing w:after="0"/>
              <w:rPr>
                <w:sz w:val="20"/>
                <w:szCs w:val="20"/>
                <w:color w:val="auto"/>
              </w:rPr>
            </w:pPr>
            <w:r>
              <w:rPr>
                <w:rFonts w:ascii="Arial" w:cs="Arial" w:eastAsia="Arial" w:hAnsi="Arial"/>
                <w:sz w:val="16"/>
                <w:szCs w:val="16"/>
                <w:color w:val="auto"/>
                <w:w w:val="99"/>
              </w:rPr>
              <w:t>457(o)</w:t>
            </w: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shd w:val="clear" w:color="auto" w:fill="E7E7E2"/>
          </w:tcPr>
          <w:p>
            <w:pPr>
              <w:ind w:left="240"/>
              <w:spacing w:after="0"/>
              <w:rPr>
                <w:sz w:val="20"/>
                <w:szCs w:val="20"/>
                <w:color w:val="auto"/>
              </w:rPr>
            </w:pPr>
            <w:r>
              <w:rPr>
                <w:rFonts w:ascii="Arial" w:cs="Arial" w:eastAsia="Arial" w:hAnsi="Arial"/>
                <w:sz w:val="16"/>
                <w:szCs w:val="16"/>
                <w:color w:val="auto"/>
              </w:rPr>
              <w:t>Other</w:t>
            </w:r>
          </w:p>
        </w:tc>
        <w:tc>
          <w:tcPr>
            <w:tcW w:w="40" w:type="dxa"/>
            <w:vAlign w:val="bottom"/>
          </w:tcPr>
          <w:p>
            <w:pPr>
              <w:spacing w:after="0"/>
              <w:rPr>
                <w:sz w:val="17"/>
                <w:szCs w:val="17"/>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Rights</w:t>
            </w:r>
          </w:p>
        </w:tc>
        <w:tc>
          <w:tcPr>
            <w:tcW w:w="20" w:type="dxa"/>
            <w:vAlign w:val="bottom"/>
          </w:tcPr>
          <w:p>
            <w:pPr>
              <w:spacing w:after="0"/>
              <w:rPr>
                <w:sz w:val="17"/>
                <w:szCs w:val="17"/>
                <w:color w:val="auto"/>
              </w:rPr>
            </w:pPr>
          </w:p>
        </w:tc>
        <w:tc>
          <w:tcPr>
            <w:tcW w:w="800" w:type="dxa"/>
            <w:vAlign w:val="bottom"/>
            <w:shd w:val="clear" w:color="auto" w:fill="E7E7E2"/>
          </w:tcPr>
          <w:p>
            <w:pPr>
              <w:jc w:val="center"/>
              <w:ind w:left="20"/>
              <w:spacing w:after="0"/>
              <w:rPr>
                <w:sz w:val="20"/>
                <w:szCs w:val="20"/>
                <w:color w:val="auto"/>
              </w:rPr>
            </w:pPr>
            <w:r>
              <w:rPr>
                <w:rFonts w:ascii="Arial" w:cs="Arial" w:eastAsia="Arial" w:hAnsi="Arial"/>
                <w:sz w:val="16"/>
                <w:szCs w:val="16"/>
                <w:color w:val="auto"/>
                <w:w w:val="99"/>
              </w:rPr>
              <w:t>457(o)</w:t>
            </w: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shd w:val="clear" w:color="auto" w:fill="E7E7E2"/>
          </w:tcPr>
          <w:p>
            <w:pPr>
              <w:ind w:left="240"/>
              <w:spacing w:after="0"/>
              <w:rPr>
                <w:sz w:val="20"/>
                <w:szCs w:val="20"/>
                <w:color w:val="auto"/>
              </w:rPr>
            </w:pPr>
            <w:r>
              <w:rPr>
                <w:rFonts w:ascii="Arial" w:cs="Arial" w:eastAsia="Arial" w:hAnsi="Arial"/>
                <w:sz w:val="16"/>
                <w:szCs w:val="16"/>
                <w:color w:val="auto"/>
              </w:rPr>
              <w:t>Other</w:t>
            </w:r>
          </w:p>
        </w:tc>
        <w:tc>
          <w:tcPr>
            <w:tcW w:w="40" w:type="dxa"/>
            <w:vAlign w:val="bottom"/>
          </w:tcPr>
          <w:p>
            <w:pPr>
              <w:spacing w:after="0"/>
              <w:rPr>
                <w:sz w:val="17"/>
                <w:szCs w:val="17"/>
                <w:color w:val="auto"/>
              </w:rPr>
            </w:pPr>
          </w:p>
        </w:tc>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800" w:type="dxa"/>
            <w:vAlign w:val="bottom"/>
            <w:shd w:val="clear" w:color="auto" w:fill="E7E7E2"/>
          </w:tcPr>
          <w:p>
            <w:pPr>
              <w:jc w:val="center"/>
              <w:ind w:left="20"/>
              <w:spacing w:after="0"/>
              <w:rPr>
                <w:sz w:val="20"/>
                <w:szCs w:val="20"/>
                <w:color w:val="auto"/>
              </w:rPr>
            </w:pPr>
            <w:r>
              <w:rPr>
                <w:rFonts w:ascii="Arial" w:cs="Arial" w:eastAsia="Arial" w:hAnsi="Arial"/>
                <w:sz w:val="16"/>
                <w:szCs w:val="16"/>
                <w:color w:val="auto"/>
                <w:w w:val="99"/>
              </w:rPr>
              <w:t>457(o)</w:t>
            </w: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line="176" w:lineRule="exact"/>
              <w:rPr>
                <w:sz w:val="20"/>
                <w:szCs w:val="20"/>
                <w:color w:val="auto"/>
              </w:rPr>
            </w:pPr>
            <w:r>
              <w:rPr>
                <w:rFonts w:ascii="Arial" w:cs="Arial" w:eastAsia="Arial" w:hAnsi="Arial"/>
                <w:sz w:val="16"/>
                <w:szCs w:val="16"/>
                <w:color w:val="auto"/>
                <w:w w:val="99"/>
              </w:rPr>
              <w:t>Unallocated</w:t>
            </w:r>
          </w:p>
        </w:tc>
        <w:tc>
          <w:tcPr>
            <w:tcW w:w="4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7"/>
                <w:szCs w:val="7"/>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(Universal)</w:t>
            </w:r>
          </w:p>
        </w:tc>
        <w:tc>
          <w:tcPr>
            <w:tcW w:w="4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center"/>
              <w:ind w:left="20"/>
              <w:spacing w:after="0"/>
              <w:rPr>
                <w:sz w:val="20"/>
                <w:szCs w:val="20"/>
                <w:color w:val="auto"/>
              </w:rPr>
            </w:pPr>
            <w:r>
              <w:rPr>
                <w:rFonts w:ascii="Arial" w:cs="Arial" w:eastAsia="Arial" w:hAnsi="Arial"/>
                <w:sz w:val="16"/>
                <w:szCs w:val="16"/>
                <w:color w:val="auto"/>
                <w:w w:val="99"/>
              </w:rPr>
              <w:t>457(o)</w:t>
            </w: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$ 13,810.00</w:t>
            </w: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61"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shd w:val="clear" w:color="auto" w:fill="E7E7E2"/>
          </w:tcPr>
          <w:p>
            <w:pPr>
              <w:jc w:val="right"/>
              <w:spacing w:after="0" w:line="161" w:lineRule="exact"/>
              <w:rPr>
                <w:sz w:val="20"/>
                <w:szCs w:val="20"/>
                <w:color w:val="auto"/>
              </w:rPr>
            </w:pPr>
            <w:r>
              <w:rPr>
                <w:rFonts w:ascii="Arial" w:cs="Arial" w:eastAsia="Arial" w:hAnsi="Arial"/>
                <w:sz w:val="16"/>
                <w:szCs w:val="16"/>
                <w:color w:val="auto"/>
                <w:w w:val="98"/>
              </w:rPr>
              <w:t>100,000,000.00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Borders>
              <w:left w:val="single" w:sz="8" w:color="auto"/>
            </w:tcBorders>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shd w:val="clear" w:color="auto" w:fill="E7E7E2"/>
          </w:tcPr>
          <w:p>
            <w:pPr>
              <w:spacing w:after="0" w:line="145" w:lineRule="exact"/>
              <w:rPr>
                <w:sz w:val="20"/>
                <w:szCs w:val="20"/>
                <w:color w:val="auto"/>
              </w:rPr>
            </w:pPr>
            <w:r>
              <w:rPr>
                <w:rFonts w:ascii="Arial" w:cs="Arial" w:eastAsia="Arial" w:hAnsi="Arial"/>
                <w:sz w:val="16"/>
                <w:szCs w:val="16"/>
                <w:color w:val="auto"/>
              </w:rPr>
              <w:t>Shelf</w:t>
            </w:r>
          </w:p>
        </w:tc>
        <w:tc>
          <w:tcPr>
            <w:tcW w:w="4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right w:val="single" w:sz="8" w:color="auto"/>
            </w:tcBorders>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6"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9"/>
              </w:rPr>
              <w:t>Carry Forward Securities</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4"/>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$ 13,810.00</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100,000,000.00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40" w:type="dxa"/>
            <w:vAlign w:val="bottom"/>
            <w:gridSpan w:val="6"/>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4"/>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8"/>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$ 13,810.00</w:t>
            </w:r>
          </w:p>
        </w:tc>
        <w:tc>
          <w:tcPr>
            <w:tcW w:w="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2"/>
          <w:szCs w:val="12"/>
          <w:color w:val="auto"/>
        </w:rPr>
        <w:t>1</w:t>
      </w:r>
    </w:p>
    <w:p>
      <w:pPr>
        <w:spacing w:after="0" w:line="38" w:lineRule="exact"/>
        <w:rPr>
          <w:sz w:val="20"/>
          <w:szCs w:val="20"/>
          <w:color w:val="auto"/>
        </w:rPr>
      </w:pPr>
    </w:p>
    <w:p>
      <w:pPr>
        <w:ind w:left="240" w:right="520" w:hanging="3"/>
        <w:spacing w:after="0" w:line="245" w:lineRule="auto"/>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Except where a value is indicated, the Amount Registered and Proposed Maximum Offering Price Per Unit are omitted as to each class of security pursuant to Instructions 2.A.ii.b. and 2.A.iii.b. to Item 16(b) of Form S-3.</w:t>
      </w:r>
    </w:p>
    <w:p>
      <w:pPr>
        <w:spacing w:after="0" w:line="1" w:lineRule="exact"/>
        <w:rPr>
          <w:rFonts w:ascii="Arial" w:cs="Arial" w:eastAsia="Arial" w:hAnsi="Arial"/>
          <w:sz w:val="16"/>
          <w:szCs w:val="16"/>
          <w:color w:val="auto"/>
        </w:rPr>
      </w:pPr>
    </w:p>
    <w:p>
      <w:pPr>
        <w:ind w:left="240" w:right="400" w:hanging="3"/>
        <w:spacing w:after="0" w:line="235" w:lineRule="auto"/>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securities registered hereunder include such indeterminate number of (a) shares of Ordinary Shares, (b) shares of Preferred Shares, (c) debt securities, (d) warrants, (e) rights and (f) units as may be sold from time to time by the registrant. There are also being registered hereunder an indeterminate number of shares of Ordinary Shares and Preferred Shares as shall be issuable upon conversion, exchange or exercise of any securities that provide for such issuance.</w:t>
      </w:r>
    </w:p>
    <w:p>
      <w:pPr>
        <w:ind w:left="240" w:right="360" w:hanging="3"/>
        <w:spacing w:after="0" w:line="235" w:lineRule="auto"/>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Pursuant to Rule 416 under the Securities Act, this registration statement also covers any additional shares of the registrant's securities that become issuable by reason of any share splits, share dividends or similar transactions.</w:t>
      </w:r>
    </w:p>
    <w:p>
      <w:pPr>
        <w:ind w:left="480" w:hanging="243"/>
        <w:spacing w:after="0"/>
        <w:tabs>
          <w:tab w:leader="none" w:pos="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298450</wp:posOffset>
            </wp:positionV>
            <wp:extent cx="71266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2660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40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vMerge w:val="continue"/>
          </w:tcPr>
          <w:p>
            <w:pPr>
              <w:spacing w:after="0"/>
              <w:rPr>
                <w:sz w:val="15"/>
                <w:szCs w:val="15"/>
                <w:color w:val="auto"/>
              </w:rPr>
            </w:pPr>
          </w:p>
        </w:tc>
        <w:tc>
          <w:tcPr>
            <w:tcW w:w="960" w:type="dxa"/>
            <w:vAlign w:val="bottom"/>
            <w:shd w:val="clear" w:color="auto" w:fill="9ADAF6"/>
          </w:tcPr>
          <w:p>
            <w:pPr>
              <w:jc w:val="center"/>
              <w:spacing w:after="0" w:line="176"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Security</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Fee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Form</w:t>
            </w:r>
          </w:p>
        </w:tc>
        <w:tc>
          <w:tcPr>
            <w:tcW w:w="4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Paid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10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40" w:type="dxa"/>
            <w:vAlign w:val="bottom"/>
          </w:tcPr>
          <w:p>
            <w:pPr>
              <w:spacing w:after="0"/>
              <w:rPr>
                <w:sz w:val="7"/>
                <w:szCs w:val="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620" w:type="dxa"/>
            <w:vAlign w:val="bottom"/>
            <w:vMerge w:val="continue"/>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Associated</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Filing</w:t>
            </w:r>
          </w:p>
        </w:tc>
        <w:tc>
          <w:tcPr>
            <w:tcW w:w="4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8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9ADAF6"/>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9"/>
                <w:szCs w:val="19"/>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40" w:type="dxa"/>
            <w:vAlign w:val="bottom"/>
          </w:tcPr>
          <w:p>
            <w:pPr>
              <w:spacing w:after="0"/>
              <w:rPr>
                <w:sz w:val="19"/>
                <w:szCs w:val="19"/>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9"/>
                <w:szCs w:val="19"/>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40" w:type="dxa"/>
            <w:vAlign w:val="bottom"/>
          </w:tcPr>
          <w:p>
            <w:pPr>
              <w:spacing w:after="0"/>
              <w:rPr>
                <w:sz w:val="19"/>
                <w:szCs w:val="19"/>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9"/>
                <w:szCs w:val="19"/>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9"/>
                <w:szCs w:val="19"/>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9"/>
                <w:szCs w:val="19"/>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9"/>
                <w:szCs w:val="19"/>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9"/>
                <w:szCs w:val="19"/>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10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4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0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Source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-956310</wp:posOffset>
            </wp:positionV>
            <wp:extent cx="12700" cy="1920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12700" cy="19202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-956310</wp:posOffset>
            </wp:positionV>
            <wp:extent cx="12700" cy="1920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12700" cy="1920240"/>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6"/>
          <w:szCs w:val="16"/>
          <w:b w:val="1"/>
          <w:bCs w:val="1"/>
          <w:color w:val="auto"/>
        </w:rPr>
        <w:t>Rules 457(b) and 0-11(a)(2)</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-113030</wp:posOffset>
            </wp:positionV>
            <wp:extent cx="7085965" cy="2444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085965" cy="2444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Claims</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-113030</wp:posOffset>
            </wp:positionV>
            <wp:extent cx="7085965" cy="2444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085965" cy="2444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Sources</w:t>
      </w:r>
    </w:p>
    <w:p>
      <w:pPr>
        <w:spacing w:after="0" w:line="2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Rule 457(p)</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-113030</wp:posOffset>
            </wp:positionV>
            <wp:extent cx="7085965" cy="138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085965" cy="138430"/>
                    </a:xfrm>
                    <a:prstGeom prst="rect">
                      <a:avLst/>
                    </a:prstGeom>
                    <a:noFill/>
                  </pic:spPr>
                </pic:pic>
              </a:graphicData>
            </a:graphic>
          </wp:anchor>
        </w:drawing>
      </w:r>
    </w:p>
    <w:p>
      <w:pPr>
        <w:sectPr>
          <w:pgSz w:w="11900" w:h="16862" w:orient="portrait"/>
          <w:cols w:equalWidth="0" w:num="1">
            <w:col w:w="11340"/>
          </w:cols>
          <w:pgMar w:left="320" w:top="121" w:right="239" w:bottom="0" w:gutter="0" w:footer="0" w:header="0"/>
        </w:sectPr>
      </w:pPr>
    </w:p>
    <w:bookmarkStart w:id="59" w:name="page60"/>
    <w:bookmarkEnd w:id="59"/>
    <w:p>
      <w:pPr>
        <w:ind w:left="40"/>
        <w:spacing w:after="0"/>
        <w:rPr>
          <w:sz w:val="20"/>
          <w:szCs w:val="20"/>
          <w:color w:val="auto"/>
        </w:rPr>
      </w:pPr>
      <w:r>
        <w:rPr>
          <w:rFonts w:ascii="Arial" w:cs="Arial" w:eastAsia="Arial" w:hAnsi="Arial"/>
          <w:sz w:val="16"/>
          <w:szCs w:val="16"/>
          <w:color w:val="auto"/>
        </w:rPr>
        <w:t>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-106045</wp:posOffset>
            </wp:positionV>
            <wp:extent cx="7152640" cy="407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52640" cy="407035"/>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Sources</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26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2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ind w:left="76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9ADAF6"/>
          </w:tcPr>
          <w:p>
            <w:pPr>
              <w:spacing w:after="0"/>
              <w:rPr>
                <w:sz w:val="15"/>
                <w:szCs w:val="15"/>
                <w:color w:val="auto"/>
              </w:rPr>
            </w:pPr>
          </w:p>
        </w:tc>
        <w:tc>
          <w:tcPr>
            <w:tcW w:w="22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9ADAF6"/>
          </w:tcPr>
          <w:p>
            <w:pPr>
              <w:ind w:left="380"/>
              <w:spacing w:after="0" w:line="176" w:lineRule="exact"/>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5"/>
                <w:szCs w:val="15"/>
                <w:color w:val="auto"/>
              </w:rPr>
            </w:pPr>
          </w:p>
        </w:tc>
        <w:tc>
          <w:tcPr>
            <w:tcW w:w="2020" w:type="dxa"/>
            <w:vAlign w:val="bottom"/>
            <w:shd w:val="clear" w:color="auto" w:fill="9ADAF6"/>
          </w:tcPr>
          <w:p>
            <w:pPr>
              <w:jc w:val="center"/>
              <w:spacing w:after="0" w:line="176" w:lineRule="exact"/>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restart"/>
            <w:shd w:val="clear" w:color="auto" w:fill="9ADAF6"/>
          </w:tcPr>
          <w:p>
            <w:pPr>
              <w:ind w:left="400"/>
              <w:spacing w:after="0" w:line="181" w:lineRule="exact"/>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7"/>
                <w:szCs w:val="7"/>
                <w:color w:val="auto"/>
              </w:rPr>
            </w:pPr>
          </w:p>
        </w:tc>
        <w:tc>
          <w:tcPr>
            <w:tcW w:w="2020" w:type="dxa"/>
            <w:vAlign w:val="bottom"/>
            <w:vMerge w:val="restart"/>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660" w:type="dxa"/>
            <w:vAlign w:val="bottom"/>
            <w:vMerge w:val="restart"/>
            <w:shd w:val="clear" w:color="auto" w:fill="9ADAF6"/>
          </w:tcPr>
          <w:p>
            <w:pPr>
              <w:ind w:left="120"/>
              <w:spacing w:after="0" w:line="181"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60"/>
              <w:spacing w:after="0" w:line="181" w:lineRule="exact"/>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220" w:type="dxa"/>
            <w:vAlign w:val="bottom"/>
            <w:vMerge w:val="restart"/>
            <w:shd w:val="clear" w:color="auto" w:fill="9ADAF6"/>
          </w:tcPr>
          <w:p>
            <w:pPr>
              <w:ind w:left="80"/>
              <w:spacing w:after="0" w:line="181" w:lineRule="exact"/>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ind w:left="100"/>
              <w:spacing w:after="0" w:line="181" w:lineRule="exact"/>
              <w:rPr>
                <w:sz w:val="20"/>
                <w:szCs w:val="20"/>
                <w:color w:val="auto"/>
              </w:rPr>
            </w:pPr>
            <w:r>
              <w:rPr>
                <w:rFonts w:ascii="Arial" w:cs="Arial" w:eastAsia="Arial" w:hAnsi="Arial"/>
                <w:sz w:val="16"/>
                <w:szCs w:val="16"/>
                <w:b w:val="1"/>
                <w:bCs w:val="1"/>
                <w:color w:val="auto"/>
              </w:rPr>
              <w:t>File Number</w:t>
            </w:r>
          </w:p>
        </w:tc>
        <w:tc>
          <w:tcPr>
            <w:tcW w:w="40" w:type="dxa"/>
            <w:vAlign w:val="bottom"/>
          </w:tcPr>
          <w:p>
            <w:pPr>
              <w:spacing w:after="0"/>
              <w:rPr>
                <w:sz w:val="8"/>
                <w:szCs w:val="8"/>
                <w:color w:val="auto"/>
              </w:rPr>
            </w:pPr>
          </w:p>
        </w:tc>
        <w:tc>
          <w:tcPr>
            <w:tcW w:w="900" w:type="dxa"/>
            <w:vAlign w:val="bottom"/>
            <w:vMerge w:val="restart"/>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restart"/>
            <w:shd w:val="clear" w:color="auto" w:fill="9ADAF6"/>
          </w:tcPr>
          <w:p>
            <w:pPr>
              <w:ind w:left="380"/>
              <w:spacing w:after="0" w:line="181" w:lineRule="exact"/>
              <w:rPr>
                <w:sz w:val="20"/>
                <w:szCs w:val="20"/>
                <w:color w:val="auto"/>
              </w:rPr>
            </w:pPr>
            <w:r>
              <w:rPr>
                <w:rFonts w:ascii="Arial" w:cs="Arial" w:eastAsia="Arial" w:hAnsi="Arial"/>
                <w:sz w:val="16"/>
                <w:szCs w:val="16"/>
                <w:b w:val="1"/>
                <w:bCs w:val="1"/>
                <w:color w:val="auto"/>
              </w:rPr>
              <w:t>Previously</w:t>
            </w:r>
          </w:p>
        </w:tc>
        <w:tc>
          <w:tcPr>
            <w:tcW w:w="20" w:type="dxa"/>
            <w:vAlign w:val="bottom"/>
          </w:tcPr>
          <w:p>
            <w:pPr>
              <w:spacing w:after="0"/>
              <w:rPr>
                <w:sz w:val="7"/>
                <w:szCs w:val="7"/>
                <w:color w:val="auto"/>
              </w:rPr>
            </w:pPr>
          </w:p>
        </w:tc>
        <w:tc>
          <w:tcPr>
            <w:tcW w:w="2020" w:type="dxa"/>
            <w:vAlign w:val="bottom"/>
            <w:vMerge w:val="restart"/>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660" w:type="dxa"/>
            <w:vAlign w:val="bottom"/>
            <w:vMerge w:val="restart"/>
            <w:shd w:val="clear" w:color="auto" w:fill="9ADAF6"/>
          </w:tcPr>
          <w:p>
            <w:pPr>
              <w:ind w:left="140"/>
              <w:spacing w:after="0" w:line="181"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00" w:type="dxa"/>
            <w:vAlign w:val="bottom"/>
            <w:vMerge w:val="continue"/>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4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shd w:val="clear" w:color="auto" w:fill="9ADAF6"/>
          </w:tcPr>
          <w:p>
            <w:pPr>
              <w:spacing w:after="0"/>
              <w:rPr>
                <w:sz w:val="10"/>
                <w:szCs w:val="10"/>
                <w:color w:val="auto"/>
              </w:rPr>
            </w:pPr>
          </w:p>
        </w:tc>
        <w:tc>
          <w:tcPr>
            <w:tcW w:w="2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0"/>
                <w:szCs w:val="10"/>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40" w:type="dxa"/>
            <w:vAlign w:val="bottom"/>
            <w:tcBorders>
              <w:left w:val="single" w:sz="8" w:color="auto"/>
            </w:tcBorders>
          </w:tcPr>
          <w:p>
            <w:pPr>
              <w:spacing w:after="0"/>
              <w:rPr>
                <w:sz w:val="2"/>
                <w:szCs w:val="2"/>
                <w:color w:val="auto"/>
              </w:rPr>
            </w:pPr>
          </w:p>
        </w:tc>
        <w:tc>
          <w:tcPr>
            <w:tcW w:w="42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bottom w:val="single" w:sz="8" w:color="E7E7E2"/>
            </w:tcBorders>
          </w:tcPr>
          <w:p>
            <w:pPr>
              <w:spacing w:after="0"/>
              <w:rPr>
                <w:sz w:val="2"/>
                <w:szCs w:val="2"/>
                <w:color w:val="auto"/>
              </w:rPr>
            </w:pPr>
          </w:p>
        </w:tc>
        <w:tc>
          <w:tcPr>
            <w:tcW w:w="222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Borders>
              <w:bottom w:val="single" w:sz="8" w:color="E7E7E2"/>
            </w:tcBorders>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Borders>
              <w:bottom w:val="single" w:sz="8" w:color="E7E7E2"/>
            </w:tcBorders>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12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3"/>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1."/>
      <w:numFmt w:val="upperLetter"/>
      <w:start w:val="1"/>
    </w:lvl>
    <w:lvl w:ilvl="1">
      <w:lvlJc w:val="left"/>
      <w:lvlText w:val="(%2)"/>
      <w:numFmt w:val="lowerRoman"/>
      <w:start w:val="1"/>
    </w:lvl>
  </w:abstractNum>
  <w:abstractNum w:abstractNumId="32">
    <w:nsid w:val="4B588F54"/>
    <w:multiLevelType w:val="hybridMultilevel"/>
    <w:lvl w:ilvl="0">
      <w:lvlJc w:val="left"/>
      <w:lvlText w:val="(%1)"/>
      <w:numFmt w:val="lowerRoman"/>
      <w:start w:val="2"/>
    </w:lvl>
  </w:abstractNum>
  <w:abstractNum w:abstractNumId="33">
    <w:nsid w:val="542289EC"/>
    <w:multiLevelType w:val="hybridMultilevel"/>
    <w:lvl w:ilvl="0">
      <w:lvlJc w:val="left"/>
      <w:lvlText w:val="%1"/>
      <w:numFmt w:val="upperLetter"/>
      <w:start w:val="1"/>
    </w:lvl>
    <w:lvl w:ilvl="1">
      <w:lvlJc w:val="left"/>
      <w:lvlText w:val="(%2)"/>
      <w:numFmt w:val="lowerRoman"/>
      <w:start w:val="3"/>
    </w:lvl>
  </w:abstractNum>
  <w:abstractNum w:abstractNumId="34">
    <w:nsid w:val="6DE91B18"/>
    <w:multiLevelType w:val="hybridMultilevel"/>
    <w:lvl w:ilvl="0">
      <w:lvlJc w:val="left"/>
      <w:lvlText w:val="%1."/>
      <w:numFmt w:val="upperLetter"/>
      <w:start w:val="2"/>
    </w:lvl>
    <w:lvl w:ilvl="1">
      <w:lvlJc w:val="left"/>
      <w:lvlText w:val="%2"/>
      <w:numFmt w:val="lowerRoman"/>
      <w:start w:val="1"/>
    </w:lvl>
  </w:abstractNum>
  <w:abstractNum w:abstractNumId="35">
    <w:nsid w:val="38437FDB"/>
    <w:multiLevelType w:val="hybridMultilevel"/>
    <w:lvl w:ilvl="0">
      <w:lvlJc w:val="left"/>
      <w:lvlText w:val="%1."/>
      <w:numFmt w:val="upperLetter"/>
      <w:start w:val="4"/>
    </w:lvl>
    <w:lvl w:ilvl="1">
      <w:lvlJc w:val="left"/>
      <w:lvlText w:val="(%2)"/>
      <w:numFmt w:val="lowerRoman"/>
      <w:start w:val="1"/>
    </w:lvl>
  </w:abstractNum>
  <w:abstractNum w:abstractNumId="36">
    <w:nsid w:val="7644A45C"/>
    <w:multiLevelType w:val="hybridMultilevel"/>
    <w:lvl w:ilvl="0">
      <w:lvlJc w:val="left"/>
      <w:lvlText w:val="(%1)"/>
      <w:numFmt w:val="lowerRoman"/>
      <w:start w:val="2"/>
    </w:lvl>
  </w:abstractNum>
  <w:abstractNum w:abstractNumId="37">
    <w:nsid w:val="32FFF902"/>
    <w:multiLevelType w:val="hybridMultilevel"/>
    <w:lvl w:ilvl="0">
      <w:lvlJc w:val="left"/>
      <w:lvlText w:val="(%1)"/>
      <w:numFmt w:val="lowerRoman"/>
      <w:start w:val="3"/>
    </w:lvl>
  </w:abstractNum>
  <w:abstractNum w:abstractNumId="38">
    <w:nsid w:val="684A481A"/>
    <w:multiLevelType w:val="hybridMultilevel"/>
    <w:lvl w:ilvl="0">
      <w:lvlJc w:val="left"/>
      <w:lvlText w:val="%1."/>
      <w:numFmt w:val="upperLetter"/>
      <w:start w:val="5"/>
    </w:lvl>
    <w:lvl w:ilvl="1">
      <w:lvlJc w:val="left"/>
      <w:lvlText w:val="(%2)"/>
      <w:numFmt w:val="lowerRoman"/>
      <w:start w:val="1"/>
    </w:lvl>
  </w:abstractNum>
  <w:abstractNum w:abstractNumId="39">
    <w:nsid w:val="579478FE"/>
    <w:multiLevelType w:val="hybridMultilevel"/>
    <w:lvl w:ilvl="0">
      <w:lvlJc w:val="left"/>
      <w:lvlText w:val="(%1)"/>
      <w:numFmt w:val="lowerRoman"/>
      <w:start w:val="2"/>
    </w:lvl>
  </w:abstractNum>
  <w:abstractNum w:abstractNumId="40">
    <w:nsid w:val="749ABB43"/>
    <w:multiLevelType w:val="hybridMultilevel"/>
    <w:lvl w:ilvl="0">
      <w:lvlJc w:val="left"/>
      <w:lvlText w:val="%1"/>
      <w:numFmt w:val="upperLetter"/>
      <w:start w:val="1"/>
    </w:lvl>
    <w:lvl w:ilvl="1">
      <w:lvlJc w:val="left"/>
      <w:lvlText w:val="(%2)"/>
      <w:numFmt w:val="lowerRoman"/>
      <w:start w:val="3"/>
    </w:lvl>
  </w:abstractNum>
  <w:abstractNum w:abstractNumId="41">
    <w:nsid w:val="3DC240FB"/>
    <w:multiLevelType w:val="hybridMultilevel"/>
    <w:lvl w:ilvl="0">
      <w:lvlJc w:val="left"/>
      <w:lvlText w:val="%1."/>
      <w:numFmt w:val="upperLetter"/>
      <w:start w:val="8"/>
    </w:lvl>
    <w:lvl w:ilvl="1">
      <w:lvlJc w:val="left"/>
      <w:lvlText w:val="%2"/>
      <w:numFmt w:val="lowerRoman"/>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decimal"/>
      <w:start w:val="1"/>
    </w:lvl>
    <w:lvl w:ilvl="1">
      <w:lvlJc w:val="left"/>
      <w:lvlText w:val="(%2)"/>
      <w:numFmt w:val="decimal"/>
      <w:start w:val="6"/>
    </w:lvl>
  </w:abstractNum>
  <w:abstractNum w:abstractNumId="44">
    <w:nsid w:val="75C6C33A"/>
    <w:multiLevelType w:val="hybridMultilevel"/>
    <w:lvl w:ilvl="0">
      <w:lvlJc w:val="left"/>
      <w:lvlText w:val="(%1)"/>
      <w:numFmt w:val="decimal"/>
      <w:start w:val="7"/>
    </w:lvl>
  </w:abstractNum>
  <w:abstractNum w:abstractNumId="45">
    <w:nsid w:val="12E685FB"/>
    <w:multiLevelType w:val="hybridMultilevel"/>
    <w:lvl w:ilvl="0">
      <w:lvlJc w:val="left"/>
      <w:lvlText w:val="(%1)"/>
      <w:numFmt w:val="decimal"/>
      <w:start w:val="10"/>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4"/>
    </w:lvl>
  </w:abstractNum>
  <w:abstractNum w:abstractNumId="48">
    <w:nsid w:val="374A3FE6"/>
    <w:multiLevelType w:val="hybridMultilevel"/>
    <w:lvl w:ilvl="0">
      <w:lvlJc w:val="left"/>
      <w:lvlText w:val="(%1)"/>
      <w:numFmt w:val="lowerLetter"/>
      <w:start w:val="1"/>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lowerLetter"/>
      <w:start w:val="2"/>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1."/>
      <w:numFmt w:val="decimal"/>
      <w:start w:val="2"/>
    </w:lvl>
  </w:abstractNum>
  <w:abstractNum w:abstractNumId="53">
    <w:nsid w:val="39386575"/>
    <w:multiLevelType w:val="hybridMultilevel"/>
    <w:lvl w:ilvl="0">
      <w:lvlJc w:val="left"/>
      <w:lvlText w:val="%1."/>
      <w:numFmt w:val="decimal"/>
      <w:start w:val="4"/>
    </w:lvl>
  </w:abstractNum>
  <w:abstractNum w:abstractNumId="54">
    <w:nsid w:val="1CF10FD8"/>
    <w:multiLevelType w:val="hybridMultilevel"/>
    <w:lvl w:ilvl="0">
      <w:lvlJc w:val="left"/>
      <w:lvlText w:val="%1."/>
      <w:numFmt w:val="decimal"/>
      <w:start w:val="5"/>
    </w:lvl>
  </w:abstractNum>
  <w:abstractNum w:abstractNumId="55">
    <w:nsid w:val="180115BE"/>
    <w:multiLevelType w:val="hybridMultilevel"/>
    <w:lvl w:ilvl="0">
      <w:lvlJc w:val="left"/>
      <w:lvlText w:val="%1."/>
      <w:numFmt w:val="decimal"/>
      <w:start w:val="6"/>
    </w:lvl>
  </w:abstractNum>
  <w:abstractNum w:abstractNumId="56">
    <w:nsid w:val="235BA861"/>
    <w:multiLevelType w:val="hybridMultilevel"/>
    <w:lvl w:ilvl="0">
      <w:lvlJc w:val="left"/>
      <w:lvlText w:val="%1."/>
      <w:numFmt w:val="decimal"/>
      <w:start w:val="7"/>
    </w:lvl>
  </w:abstractNum>
  <w:abstractNum w:abstractNumId="57">
    <w:nsid w:val="47398C89"/>
    <w:multiLevelType w:val="hybridMultilevel"/>
    <w:lvl w:ilvl="0">
      <w:lvlJc w:val="left"/>
      <w:lvlText w:val="(%1)"/>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jpe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jpeg"/><Relationship Id="rId78" Type="http://schemas.openxmlformats.org/officeDocument/2006/relationships/image" Target="media/image61.png"/><Relationship Id="rId79" Type="http://schemas.openxmlformats.org/officeDocument/2006/relationships/image" Target="media/image62.jpeg"/><Relationship Id="rId80" Type="http://schemas.openxmlformats.org/officeDocument/2006/relationships/image" Target="media/image63.png"/><Relationship Id="rId81" Type="http://schemas.openxmlformats.org/officeDocument/2006/relationships/image" Target="media/image64.jpeg"/><Relationship Id="rId82" Type="http://schemas.openxmlformats.org/officeDocument/2006/relationships/image" Target="media/image65.png"/><Relationship Id="rId83" Type="http://schemas.openxmlformats.org/officeDocument/2006/relationships/image" Target="media/image66.jpeg"/><Relationship Id="rId84" Type="http://schemas.openxmlformats.org/officeDocument/2006/relationships/image" Target="media/image67.png"/><Relationship Id="rId85" Type="http://schemas.openxmlformats.org/officeDocument/2006/relationships/image" Target="media/image68.jpeg"/><Relationship Id="rId86" Type="http://schemas.openxmlformats.org/officeDocument/2006/relationships/image" Target="media/image69.png"/><Relationship Id="rId87" Type="http://schemas.openxmlformats.org/officeDocument/2006/relationships/image" Target="media/image70.jpeg"/><Relationship Id="rId88" Type="http://schemas.openxmlformats.org/officeDocument/2006/relationships/image" Target="media/image71.png"/><Relationship Id="rId89" Type="http://schemas.openxmlformats.org/officeDocument/2006/relationships/image" Target="media/image72.jpeg"/><Relationship Id="rId90" Type="http://schemas.openxmlformats.org/officeDocument/2006/relationships/image" Target="media/image73.png"/><Relationship Id="rId91" Type="http://schemas.openxmlformats.org/officeDocument/2006/relationships/image" Target="media/image74.jpeg"/><Relationship Id="rId92" Type="http://schemas.openxmlformats.org/officeDocument/2006/relationships/image" Target="media/image75.png"/><Relationship Id="rId93" Type="http://schemas.openxmlformats.org/officeDocument/2006/relationships/image" Target="media/image76.jpeg"/><Relationship Id="rId94" Type="http://schemas.openxmlformats.org/officeDocument/2006/relationships/image" Target="media/image77.png"/><Relationship Id="rId95" Type="http://schemas.openxmlformats.org/officeDocument/2006/relationships/image" Target="media/image78.jpeg"/><Relationship Id="rId96" Type="http://schemas.openxmlformats.org/officeDocument/2006/relationships/image" Target="media/image79.jpe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52" Type="http://schemas.openxmlformats.org/officeDocument/2006/relationships/hyperlink" Target="https://www.sec.gov/ix?doc=/Archives/edgar/data/0001840416/000117184326002178/sev20251231_10k.htm" TargetMode="External"/><Relationship Id="rId53" Type="http://schemas.openxmlformats.org/officeDocument/2006/relationships/hyperlink" Target="https://www.sec.gov/ix?doc=/Archives/edgar/data/0001840416/000117184326000517/f8k_012926.htm" TargetMode="External"/><Relationship Id="rId54" Type="http://schemas.openxmlformats.org/officeDocument/2006/relationships/hyperlink" Target="https://www.sec.gov/ix?doc=/Archives/edgar/data/0001840416/000117184326001054/f8k_022426.htm" TargetMode="External"/><Relationship Id="rId55" Type="http://schemas.openxmlformats.org/officeDocument/2006/relationships/hyperlink" Target="https://www.sec.gov/ix?doc=/Archives/edgar/data/0001840416/000117184326001464/f8k_031026.htm" TargetMode="External"/><Relationship Id="rId56" Type="http://schemas.openxmlformats.org/officeDocument/2006/relationships/hyperlink" Target="https://www.sec.gov/ix?doc=/Archives/edgar/data/0001840416/000117184326001589/f8k_031626.htm" TargetMode="External"/><Relationship Id="rId57" Type="http://schemas.openxmlformats.org/officeDocument/2006/relationships/hyperlink" Target="https://www.sec.gov/ix?doc=/Archives/edgar/data/0001840416/000117184326001794/f8k_031926.htm" TargetMode="External"/><Relationship Id="rId58" Type="http://schemas.openxmlformats.org/officeDocument/2006/relationships/hyperlink" Target="https://www.sec.gov/ix?doc=/Archives/edgar/data/0001840416/000117184326003196/f8ka_050826.htm" TargetMode="External"/><Relationship Id="rId66" Type="http://schemas.openxmlformats.org/officeDocument/2006/relationships/hyperlink" Target="https://www.sec.gov/Archives/edgar/data/1840416/000117184325007436/ex_890171.htm" TargetMode="External"/><Relationship Id="rId67" Type="http://schemas.openxmlformats.org/officeDocument/2006/relationships/hyperlink" Target="https://www.sec.gov/Archives/edgar/data/1840416/000117184325002284/ex_798206.htm" TargetMode="External"/><Relationship Id="rId68" Type="http://schemas.openxmlformats.org/officeDocument/2006/relationships/hyperlink" Target="https://www.sec.gov/Archives/edgar/data/1840416/000117184326001464/exh_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2026-05-12T15:47:05Z</dcterms:created>
  <dcterms:modified xsi:type="dcterms:W3CDTF">2026-05-12T15:47:05Z</dcterms:modified>
</cp:coreProperties>
</file>