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jc w:val="right"/>
        <w:spacing w:after="0" w:line="242" w:lineRule="exact"/>
        <w:rPr>
          <w:sz w:val="20"/>
          <w:szCs w:val="20"/>
          <w:color w:val="auto"/>
        </w:rPr>
      </w:pPr>
      <w:r>
        <w:rPr>
          <w:rFonts w:ascii="Times New Roman" w:cs="Times New Roman" w:eastAsia="Times New Roman" w:hAnsi="Times New Roman"/>
          <w:sz w:val="18"/>
          <w:szCs w:val="18"/>
          <w:i w:val="1"/>
          <w:iCs w:val="1"/>
          <w:color w:val="auto"/>
        </w:rPr>
        <w:t xml:space="preserve">(Check One):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rFonts w:ascii="Times New Roman" w:cs="Times New Roman" w:eastAsia="Times New Roman" w:hAnsi="Times New Roman"/>
          <w:sz w:val="18"/>
          <w:szCs w:val="18"/>
          <w:i w:val="1"/>
          <w:iCs w:val="1"/>
          <w:color w:val="auto"/>
        </w:rPr>
        <w:t xml:space="preserv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i w:val="1"/>
          <w:iCs w:val="1"/>
          <w:color w:val="auto"/>
        </w:rPr>
        <w:t xml:space="preserv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11-K</w:t>
      </w:r>
      <w:r>
        <w:rPr>
          <w:rFonts w:ascii="Times New Roman" w:cs="Times New Roman" w:eastAsia="Times New Roman" w:hAnsi="Times New Roman"/>
          <w:sz w:val="18"/>
          <w:szCs w:val="18"/>
          <w:i w:val="1"/>
          <w:iCs w:val="1"/>
          <w:color w:val="auto"/>
        </w:rPr>
        <w:t xml:space="preserv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r>
        <w:rPr>
          <w:rFonts w:ascii="Times New Roman" w:cs="Times New Roman" w:eastAsia="Times New Roman" w:hAnsi="Times New Roman"/>
          <w:sz w:val="18"/>
          <w:szCs w:val="18"/>
          <w:i w:val="1"/>
          <w:iCs w:val="1"/>
          <w:color w:val="auto"/>
        </w:rPr>
        <w:t xml:space="preserv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N-CEN</w:t>
      </w:r>
      <w:r>
        <w:rPr>
          <w:rFonts w:ascii="Times New Roman" w:cs="Times New Roman" w:eastAsia="Times New Roman" w:hAnsi="Times New Roman"/>
          <w:sz w:val="18"/>
          <w:szCs w:val="18"/>
          <w:i w:val="1"/>
          <w:iCs w:val="1"/>
          <w:color w:val="auto"/>
        </w:rPr>
        <w:t xml:space="preserve">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p>
      <w:pPr>
        <w:spacing w:after="0" w:line="2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Period Ended: June 30, 2025</w:t>
      </w:r>
    </w:p>
    <w:p>
      <w:pPr>
        <w:spacing w:after="0" w:line="218" w:lineRule="exact"/>
        <w:rPr>
          <w:sz w:val="24"/>
          <w:szCs w:val="24"/>
          <w:color w:val="auto"/>
        </w:rPr>
      </w:pPr>
    </w:p>
    <w:p>
      <w:pPr>
        <w:ind w:left="3360" w:hanging="207"/>
        <w:spacing w:after="0"/>
        <w:tabs>
          <w:tab w:leader="none" w:pos="33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on Form 10-K</w:t>
      </w:r>
    </w:p>
    <w:p>
      <w:pPr>
        <w:spacing w:after="0" w:line="1" w:lineRule="exact"/>
        <w:rPr>
          <w:rFonts w:ascii="Arial" w:cs="Arial" w:eastAsia="Arial" w:hAnsi="Arial"/>
          <w:sz w:val="18"/>
          <w:szCs w:val="18"/>
          <w:color w:val="auto"/>
        </w:rPr>
      </w:pPr>
    </w:p>
    <w:p>
      <w:pPr>
        <w:ind w:left="3360" w:hanging="207"/>
        <w:spacing w:after="0" w:line="213" w:lineRule="auto"/>
        <w:tabs>
          <w:tab w:leader="none" w:pos="33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on Form 20-F</w:t>
      </w:r>
    </w:p>
    <w:p>
      <w:pPr>
        <w:spacing w:after="0" w:line="1" w:lineRule="exact"/>
        <w:rPr>
          <w:rFonts w:ascii="Arial" w:cs="Arial" w:eastAsia="Arial" w:hAnsi="Arial"/>
          <w:sz w:val="18"/>
          <w:szCs w:val="18"/>
          <w:color w:val="auto"/>
        </w:rPr>
      </w:pPr>
    </w:p>
    <w:p>
      <w:pPr>
        <w:ind w:left="3360" w:hanging="207"/>
        <w:spacing w:after="0" w:line="213" w:lineRule="auto"/>
        <w:tabs>
          <w:tab w:leader="none" w:pos="33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on Form 11-K</w:t>
      </w:r>
    </w:p>
    <w:p>
      <w:pPr>
        <w:spacing w:after="0" w:line="1" w:lineRule="exact"/>
        <w:rPr>
          <w:rFonts w:ascii="Arial" w:cs="Arial" w:eastAsia="Arial" w:hAnsi="Arial"/>
          <w:sz w:val="18"/>
          <w:szCs w:val="18"/>
          <w:color w:val="auto"/>
        </w:rPr>
      </w:pPr>
    </w:p>
    <w:p>
      <w:pPr>
        <w:ind w:left="3360" w:hanging="207"/>
        <w:spacing w:after="0" w:line="213" w:lineRule="auto"/>
        <w:tabs>
          <w:tab w:leader="none" w:pos="33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on Form 10-Q</w:t>
      </w:r>
    </w:p>
    <w:p>
      <w:pPr>
        <w:spacing w:after="0" w:line="19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I-REGISTRANT INFORMATION</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Waldmeisterstraße 93</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80935 Munich, Germany</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200" w:right="4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RULE 12b-25 (b)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(a)The reason described in reasonable detail in Part III of this form could not be eliminated without unreasonable effort or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889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82296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(b)The subject annual report, semi-annual report, transition report on Form 10-K, Form 20-F, Form 11-K, Form N-CEN or Form N-CSR, or portion</w:t>
      </w:r>
    </w:p>
    <w:p>
      <w:pPr>
        <w:spacing w:after="0" w:line="9" w:lineRule="exact"/>
        <w:rPr>
          <w:sz w:val="20"/>
          <w:szCs w:val="20"/>
          <w:color w:val="auto"/>
        </w:rPr>
      </w:pPr>
    </w:p>
    <w:p>
      <w:pPr>
        <w:jc w:val="both"/>
        <w:ind w:left="800" w:hanging="664"/>
        <w:spacing w:after="0" w:line="183" w:lineRule="auto"/>
        <w:tabs>
          <w:tab w:leader="none" w:pos="800" w:val="left"/>
        </w:tabs>
        <w:numPr>
          <w:ilvl w:val="0"/>
          <w:numId w:val="2"/>
        </w:numPr>
        <w:rPr>
          <w:rFonts w:ascii="Arial" w:cs="Arial" w:eastAsia="Arial" w:hAnsi="Arial"/>
          <w:sz w:val="34"/>
          <w:szCs w:val="34"/>
          <w:color w:val="auto"/>
          <w:vertAlign w:val="subscript"/>
        </w:rPr>
      </w:pPr>
      <w:r>
        <w:rPr>
          <w:rFonts w:ascii="Times New Roman" w:cs="Times New Roman" w:eastAsia="Times New Roman" w:hAnsi="Times New Roman"/>
          <w:sz w:val="17"/>
          <w:szCs w:val="17"/>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(c)The accountant’s statement or other exhibit required by Rule 12b-25(c) has been attached if applicable.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Sono Group N.V.’s (the “Registrant”) management has been working to finalize the accounting adjustments resulting from the Registrant’s initial transition from International Financial Reporting Standards (“IFRS”) to U.S. Generally Accepted Accounting Principles (“U.S. GAAP”). In addition, the Company experienced a turnover of certain key members of the internal accounting staff, including the chief financial officer and controller. As a result, the Registrant is unable to file its Quarterly Report on Form 10-Q within the prescribed time period without unreasonable effort or expense. The Registrant expects to be able to file within the additional time allowed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George O’Leary</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472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955-0727</w:t>
            </w:r>
          </w:p>
        </w:tc>
      </w:tr>
      <w:tr>
        <w:trPr>
          <w:trHeight w:val="191"/>
        </w:trPr>
        <w:tc>
          <w:tcPr>
            <w:tcW w:w="4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7"/>
              </w:rPr>
              <w:t>(Area</w:t>
            </w:r>
          </w:p>
        </w:tc>
        <w:tc>
          <w:tcPr>
            <w:tcW w:w="100" w:type="dxa"/>
            <w:vAlign w:val="bottom"/>
          </w:tcPr>
          <w:p>
            <w:pPr>
              <w:spacing w:after="0"/>
              <w:rPr>
                <w:sz w:val="16"/>
                <w:szCs w:val="16"/>
                <w:color w:val="auto"/>
              </w:rPr>
            </w:pPr>
          </w:p>
        </w:tc>
        <w:tc>
          <w:tcPr>
            <w:tcW w:w="4720" w:type="dxa"/>
            <w:vAlign w:val="bottom"/>
            <w:tcBorders>
              <w:top w:val="single" w:sz="8" w:color="auto"/>
            </w:tcBorders>
          </w:tcPr>
          <w:p>
            <w:pPr>
              <w:spacing w:after="0"/>
              <w:rPr>
                <w:sz w:val="16"/>
                <w:szCs w:val="16"/>
                <w:color w:val="auto"/>
              </w:rPr>
            </w:pP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(Name)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Code)</w:t>
            </w:r>
          </w:p>
        </w:tc>
        <w:tc>
          <w:tcPr>
            <w:tcW w:w="4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98" w:lineRule="exact"/>
        <w:rPr>
          <w:sz w:val="20"/>
          <w:szCs w:val="20"/>
          <w:color w:val="auto"/>
        </w:rPr>
      </w:pPr>
    </w:p>
    <w:p>
      <w:pPr>
        <w:ind w:left="460" w:right="120" w:hanging="452"/>
        <w:spacing w:after="0" w:line="232" w:lineRule="exact"/>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60" w:right="460" w:hanging="452"/>
        <w:spacing w:after="0" w:line="240" w:lineRule="exact"/>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69" w:lineRule="exact"/>
        <w:rPr>
          <w:rFonts w:ascii="Times New Roman" w:cs="Times New Roman" w:eastAsia="Times New Roman" w:hAnsi="Times New Roman"/>
          <w:sz w:val="18"/>
          <w:szCs w:val="18"/>
          <w:color w:val="auto"/>
        </w:rPr>
      </w:pPr>
    </w:p>
    <w:p>
      <w:pPr>
        <w:ind w:left="4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1" w:lineRule="exact"/>
        <w:rPr>
          <w:rFonts w:ascii="Times New Roman" w:cs="Times New Roman" w:eastAsia="Times New Roman" w:hAnsi="Times New Roman"/>
          <w:sz w:val="18"/>
          <w:szCs w:val="18"/>
          <w:color w:val="auto"/>
        </w:rPr>
      </w:pPr>
    </w:p>
    <w:p>
      <w:pPr>
        <w:ind w:left="46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the Registrant’s financial statements were prepared in accordance with IFRS as permitted in the United States under the status of a “foreign private issuer” as defined under Rule 3b-4 under the Securities Exchange Act of 1934, as amended. As of June 30, 2024, the Registrant determined that it no longer qualified as a “foreign private issuer” under the Securities and Exchange Commission rules. Consequently, the Registrant is now required to prepare its consolidated financial statements in accordance with U.S. GAAP. Due to differences in accounting treatments between IFRS and U.S. GAAP, certain amounts historically reported for the Registrant’s financial position, operating results, and cash flows under IFRS will change under U.S. GAAP standards, and therefore, will be incomparable to amounts previously reported under IFRS for all previous periods.</w:t>
      </w:r>
    </w:p>
    <w:p>
      <w:pPr>
        <w:spacing w:after="0" w:line="188" w:lineRule="exact"/>
        <w:rPr>
          <w:rFonts w:ascii="Times New Roman" w:cs="Times New Roman" w:eastAsia="Times New Roman" w:hAnsi="Times New Roman"/>
          <w:sz w:val="18"/>
          <w:szCs w:val="18"/>
          <w:color w:val="auto"/>
        </w:rPr>
      </w:pPr>
    </w:p>
    <w:p>
      <w:pPr>
        <w:ind w:left="4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as a result of the change in filer status, the Registrant is now required to file quarterly reports on Form 10-Q, which represents a further change from its prior financial reporting practices as a foreign private issuer.</w:t>
      </w:r>
    </w:p>
    <w:p>
      <w:pPr>
        <w:spacing w:after="0" w:line="161" w:lineRule="exact"/>
        <w:rPr>
          <w:rFonts w:ascii="Times New Roman" w:cs="Times New Roman" w:eastAsia="Times New Roman" w:hAnsi="Times New Roman"/>
          <w:sz w:val="18"/>
          <w:szCs w:val="18"/>
          <w:color w:val="auto"/>
        </w:rPr>
      </w:pPr>
    </w:p>
    <w:p>
      <w:pPr>
        <w:ind w:left="4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the interim financial report for the first half of 2024 filed on December 6, 2024, the Registrant completed a restructuring in February 2024. The resulting gain from reconsolidation was recorded in the first six months of 2024 and significantly impacted the results for that period. In contrast, the first six months of 2025 reflects a substantially smaller amount of other income, primarily related to fair value adjustments on outstanding debt, leading to a material difference in reported net income compared to the prior-year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-3037205</wp:posOffset>
            </wp:positionV>
            <wp:extent cx="6840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4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3520" w:type="dxa"/>
            <w:vAlign w:val="bottom"/>
          </w:tcPr>
          <w:p>
            <w:pPr>
              <w:spacing w:after="0"/>
              <w:rPr>
                <w:sz w:val="16"/>
                <w:szCs w:val="16"/>
                <w:color w:val="auto"/>
              </w:rPr>
            </w:pPr>
          </w:p>
        </w:tc>
        <w:tc>
          <w:tcPr>
            <w:tcW w:w="24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3520" w:type="dxa"/>
            <w:vAlign w:val="bottom"/>
          </w:tcPr>
          <w:p>
            <w:pPr>
              <w:spacing w:after="0"/>
              <w:rPr>
                <w:sz w:val="20"/>
                <w:szCs w:val="20"/>
                <w:color w:val="auto"/>
              </w:rPr>
            </w:pPr>
          </w:p>
        </w:tc>
        <w:tc>
          <w:tcPr>
            <w:tcW w:w="24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2025-08-14T16:24:01Z</dcterms:created>
  <dcterms:modified xsi:type="dcterms:W3CDTF">2025-08-14T16:24:01Z</dcterms:modified>
</cp:coreProperties>
</file>