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6-K</w:t>
      </w:r>
    </w:p>
    <w:p>
      <w:pPr>
        <w:spacing w:after="0" w:line="39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333333"/>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333333"/>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333333"/>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For the month of December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 xml:space="preserve">Commission File Number: </w:t>
      </w:r>
      <w:r>
        <w:rPr>
          <w:rFonts w:ascii="Times New Roman" w:cs="Times New Roman" w:eastAsia="Times New Roman" w:hAnsi="Times New Roman"/>
          <w:sz w:val="18"/>
          <w:szCs w:val="18"/>
          <w:b w:val="1"/>
          <w:bCs w:val="1"/>
          <w:color w:val="333333"/>
        </w:rPr>
        <w:t>001-41066</w:t>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(Registrant’s name)</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333333"/>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Times New Roman" w:cs="Times New Roman" w:eastAsia="Times New Roman" w:hAnsi="Times New Roman"/>
          <w:sz w:val="17"/>
          <w:szCs w:val="17"/>
          <w:color w:val="333333"/>
        </w:rPr>
        <w:t xml:space="preserve">Form 40-F </w:t>
      </w:r>
      <w:r>
        <w:rPr>
          <w:rFonts w:ascii="MS PGothic" w:cs="MS PGothic" w:eastAsia="MS PGothic" w:hAnsi="MS PGothic"/>
          <w:sz w:val="17"/>
          <w:szCs w:val="17"/>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540385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Convening of annual general meeting of shareholders of Sono Group N.V.</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December 13, 2023, Sono Group N.V. (“Sono N.V.”) convened the annual general meeting of shareholders to be held on December 29, 2023 (the “AGM”). Exhibit 99.1 attached hereto includes a copy of the convening notice, including agenda and explanatory notes, for the AGM. Exhibit 99.2 attached hereto includes a copy of the voting proxy for the AGM.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Creditors’ meeting scheduled in connection with the self-administration proceedings of Sono Motors GmbH</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insolvency court of the local court of Munich, Germany (the “Court”) has scheduled the meeting of the creditors of Sono Motors GmbH, the subsidiary of Sono N.V. (“Sono GmbH”and together with Sono N.V., the “companies”), in connection with Sono GmbH’s self-administration proceedings before the Court. At the meeting, which is scheduled for December 21, 2023, Sono GmbH’s plan under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will be discussed and submitted for a vote by its creditors. The plan, submitted to the Court on December 7, 2023, sets out how Sono GmbH intends to restructure its debt and procure the inflow of new money, including in connection with the planned investment from YA II PN, Ltd. (“Yorkville”), and subsequently exit its self-administration proceedings. If Sono GmbH’s creditors vote in favor of the plan with the required majorities, the plan will require the Court’s confirmation before it can become legally binding.</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Court confirms the plan, Sono GmbH’s implementation of the plan will remain subject to any appeals that may be filed by its creditors in the 14-day period following the Court’s confirmation and to the closing of the planned investment from Yorkville (the “Closing”). Closing is currently expected in late January 2024, and is subject to the satisfaction of certain conditions precedent, including Sono N.V.’s filing of this Annual Report on Form 20-F for the year ended December 31, 2022, Sono N.V.’s submission of its interim balance sheet and income statement as of June 30, 2023 on Form 6-K to the Securities and Exchange Commission (“SEC”), Sono GmbH’s plan under the German Insolvency Code becoming legally binding, and the withdrawal of Sono N.V.’s application for its preliminary self-administration proceedings.</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 information and background on the companies’ respective self-administration proceedings and the planned transaction with Yorkville may be found in Sono N.V.’s Form 6-Ks submitted to the SEC on May 15, 2023, May 22, 2023, June 12, 2023, September 7, 2023, September 29, 2023, October 30, 2023 and November 27,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companies.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the companies’ expectations regarding their respective self-administration proceedings, the outcome of which, if they are approved, is uncertain; the companies’ ability to maintain relationships with lenders, suppliers, service providers, customers, employees and other third parties as a result of the self-administration proceedings and the related increased performance and credit risks associated with their constrained liquidity position and capital structure; our ability to access the external funding required to successfully restructure their business, including by successfully fulfilling the conditions precedent to the closing of the Yorkville investment so as to gain access to the funding offered in such transaction; and the length of time that the companies would operate under their respective self-administration proceedings. Many of these risks and uncertainties relate to factors that are beyond Sono N.V.’s ability to control or estimate precisely, such as the actions of courts, regulators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right="220"/>
        <w:spacing w:after="0" w:line="282" w:lineRule="auto"/>
        <w:rPr>
          <w:sz w:val="20"/>
          <w:szCs w:val="20"/>
          <w:color w:val="auto"/>
        </w:rPr>
      </w:pPr>
      <w:r>
        <w:rPr>
          <w:rFonts w:ascii="Times New Roman" w:cs="Times New Roman" w:eastAsia="Times New Roman" w:hAnsi="Times New Roman"/>
          <w:sz w:val="18"/>
          <w:szCs w:val="18"/>
          <w:color w:val="auto"/>
        </w:rPr>
        <w:t>Readers should therefore not place undue reliance on these statements, particularly not in connection with any contract or investment decision. Except as required by law, Sono N.V. assumes no obligation to update any such forward-looking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3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31"/>
        </w:trPr>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0000EE"/>
              </w:rPr>
              <w:t>Convening Notice, including Agenda and Explanatory Notes</w:t>
            </w:r>
          </w:p>
        </w:tc>
      </w:tr>
      <w:tr>
        <w:trPr>
          <w:trHeight w:val="20"/>
        </w:trPr>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31"/>
        </w:trPr>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0000EE"/>
              </w:rPr>
              <w:t>Voting Proxy</w:t>
            </w:r>
          </w:p>
        </w:tc>
      </w:tr>
      <w:tr>
        <w:trPr>
          <w:trHeight w:val="1951"/>
        </w:trPr>
        <w:tc>
          <w:tcPr>
            <w:tcW w:w="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68"/>
        </w:trPr>
        <w:tc>
          <w:tcPr>
            <w:tcW w:w="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Jona Christians</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tc>
      </w:tr>
      <w:tr>
        <w:trPr>
          <w:trHeight w:val="64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Torsten Kiedel</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Member of the Management Board</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2023</w:t>
      </w:r>
    </w:p>
    <w:p>
      <w:pPr>
        <w:sectPr>
          <w:pgSz w:w="11900" w:h="16838" w:orient="portrait"/>
          <w:cols w:equalWidth="0" w:num="1">
            <w:col w:w="11240"/>
          </w:cols>
          <w:pgMar w:left="320" w:top="57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CONVENING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On behalf of the management board of Sono Group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 kindly invite you to the annual general meeting of the Company, to be held on December 29, 2023, at 3.00 p.m. Amsterdam time at the offices of Dentons Europe LLP, fifth floor, Gustav Mahlerplein 2, 1082 MA, Amsterdam, the Netherlands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The AGM shall be held in English.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AGM is as follows:</w:t>
      </w:r>
    </w:p>
    <w:p>
      <w:pPr>
        <w:spacing w:after="0" w:line="225" w:lineRule="exact"/>
        <w:rPr>
          <w:sz w:val="20"/>
          <w:szCs w:val="20"/>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on the (financial) performance of the Company in the year 2022 (discussion item)</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the Company's dividend and reservation policy (discussion item)</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PricewaterhouseCoopers Accountants N.V. as the external auditor of the Company's annual accounts 2023 (voting item)</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Sandra Vogt-Sasse as a member of the Supervisory Board (voting item)</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Thomas Wiedermann as a member of the Supervisory Board (voting item)</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Martin Sabbione as a member of the Supervisory Board (voting item)</w:t>
      </w:r>
    </w:p>
    <w:p>
      <w:pPr>
        <w:spacing w:after="0" w:line="225" w:lineRule="exact"/>
        <w:rPr>
          <w:rFonts w:ascii="Times New Roman" w:cs="Times New Roman" w:eastAsia="Times New Roman" w:hAnsi="Times New Roman"/>
          <w:sz w:val="18"/>
          <w:szCs w:val="18"/>
          <w:color w:val="auto"/>
        </w:rPr>
      </w:pPr>
    </w:p>
    <w:p>
      <w:pPr>
        <w:ind w:left="760" w:right="220" w:hanging="752"/>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Management Board, for a period of 18 months after the date of AGM or until the next annual general meeting (whichever comes first), as the body authorised to issue ordinary shares and grant rights to subscribe for ordinary shares, up to a maximum of 10% of the nominal issued capital as per the AGM (voting item)</w:t>
      </w:r>
    </w:p>
    <w:p>
      <w:pPr>
        <w:spacing w:after="0" w:line="175" w:lineRule="exact"/>
        <w:rPr>
          <w:rFonts w:ascii="Times New Roman" w:cs="Times New Roman" w:eastAsia="Times New Roman" w:hAnsi="Times New Roman"/>
          <w:sz w:val="18"/>
          <w:szCs w:val="18"/>
          <w:color w:val="auto"/>
        </w:rPr>
      </w:pPr>
    </w:p>
    <w:p>
      <w:pPr>
        <w:ind w:left="760" w:right="220" w:hanging="752"/>
        <w:spacing w:after="0" w:line="266"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Management Board, for a period of 18 months after the date of AGM or until the next annual general meeting (whichever comes first), as the body authorised to limit or exclude pre-emption rights in relation to any share issue or granting of rights to subscribe for shares under the authorization mentioned in agenda item 8 (voting item)</w:t>
      </w:r>
    </w:p>
    <w:p>
      <w:pPr>
        <w:spacing w:after="0" w:line="17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business shall be voted on at the AGM, except such items as included in the above-mentioned agenda.</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procedures for attendance, registration, representation and voting at the AGM are described below and should be read in conjunction with the convening notice.</w:t>
      </w:r>
    </w:p>
    <w:p>
      <w:pPr>
        <w:spacing w:after="0" w:line="15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The record date for the AGM is December 1, 2023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 may attend and, if relevant, vote at the AGM (</w:t>
      </w:r>
      <w:r>
        <w:rPr>
          <w:rFonts w:ascii="Times New Roman" w:cs="Times New Roman" w:eastAsia="Times New Roman" w:hAnsi="Times New Roman"/>
          <w:sz w:val="18"/>
          <w:szCs w:val="18"/>
          <w:b w:val="1"/>
          <w:bCs w:val="1"/>
          <w:color w:val="auto"/>
        </w:rPr>
        <w:t>Persons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Rights</w:t>
      </w:r>
      <w:r>
        <w:rPr>
          <w:rFonts w:ascii="Times New Roman" w:cs="Times New Roman" w:eastAsia="Times New Roman" w:hAnsi="Times New Roman"/>
          <w:sz w:val="18"/>
          <w:szCs w:val="18"/>
          <w:color w:val="auto"/>
        </w:rPr>
        <w:t>), irrespective of changes to their shareholdings or rights after the Record Date.</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Those who beneficially own shares in the Company's capital in an account at a bank, a financial institution, an account holder or other financial intermediary (the </w:t>
      </w: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Persons with Meeting Rights and Beneficial Owners who wish to attend the AGM, in person or represented by proxy, must notify the Company in writing of their intention to attend the AGM (an </w:t>
      </w:r>
      <w:r>
        <w:rPr>
          <w:rFonts w:ascii="Times New Roman" w:cs="Times New Roman" w:eastAsia="Times New Roman" w:hAnsi="Times New Roman"/>
          <w:sz w:val="18"/>
          <w:szCs w:val="18"/>
          <w:b w:val="1"/>
          <w:bCs w:val="1"/>
          <w:color w:val="auto"/>
        </w:rPr>
        <w:t>Attendance Notice</w:t>
      </w:r>
      <w:r>
        <w:rPr>
          <w:rFonts w:ascii="Times New Roman" w:cs="Times New Roman" w:eastAsia="Times New Roman" w:hAnsi="Times New Roman"/>
          <w:sz w:val="18"/>
          <w:szCs w:val="18"/>
          <w:color w:val="auto"/>
        </w:rPr>
        <w:t xml:space="preserve">) no later than 6:00 a.m. Amsterdam time on the fifth day prior to the meeting, i.e. December 24, 2023 (the </w:t>
      </w:r>
      <w:r>
        <w:rPr>
          <w:rFonts w:ascii="Times New Roman" w:cs="Times New Roman" w:eastAsia="Times New Roman" w:hAnsi="Times New Roman"/>
          <w:sz w:val="18"/>
          <w:szCs w:val="18"/>
          <w:b w:val="1"/>
          <w:bCs w:val="1"/>
          <w:color w:val="auto"/>
        </w:rPr>
        <w:t>Cut-off Time</w:t>
      </w:r>
      <w:r>
        <w:rPr>
          <w:rFonts w:ascii="Times New Roman" w:cs="Times New Roman" w:eastAsia="Times New Roman" w:hAnsi="Times New Roman"/>
          <w:sz w:val="18"/>
          <w:szCs w:val="18"/>
          <w:color w:val="auto"/>
        </w:rPr>
        <w:t xml:space="preserve">). Persons with Meeting Rights and Beneficial Owners must enclose with their Attendance Notice (i) proof of their (beneficial) ownership of the relevant underlying shares in the Company's capital on the Record Date, such as a recent account statement (ii) a proof of identity, (iii) if relevant, a duly signed proxy from the relevant shareholder who is registered in either of the Registers as the holder of those underlying shares on the Record Date, and (iv) if relevant, the duly signed Proxy Form (as defined hereinafter) (collectively, the </w:t>
      </w:r>
      <w:r>
        <w:rPr>
          <w:rFonts w:ascii="Times New Roman" w:cs="Times New Roman" w:eastAsia="Times New Roman" w:hAnsi="Times New Roman"/>
          <w:sz w:val="18"/>
          <w:szCs w:val="18"/>
          <w:b w:val="1"/>
          <w:bCs w:val="1"/>
          <w:color w:val="auto"/>
        </w:rPr>
        <w:t>Entitlement Documents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Persons with Meeting Rights and Beneficial Owners who will not attend in person may also have themselves represented at the AGM through the use of a written or electronically recorded proxy authorizing Mr. J.-M.P. Hermans, civil law notary and partner of Dentons Europe LLP, in Amsterdam, the Netherlands (the </w:t>
      </w:r>
      <w:r>
        <w:rPr>
          <w:rFonts w:ascii="Times New Roman" w:cs="Times New Roman" w:eastAsia="Times New Roman" w:hAnsi="Times New Roman"/>
          <w:sz w:val="18"/>
          <w:szCs w:val="18"/>
          <w:b w:val="1"/>
          <w:bCs w:val="1"/>
          <w:color w:val="auto"/>
        </w:rPr>
        <w:t>Proxy Form</w:t>
      </w:r>
      <w:r>
        <w:rPr>
          <w:rFonts w:ascii="Times New Roman" w:cs="Times New Roman" w:eastAsia="Times New Roman" w:hAnsi="Times New Roman"/>
          <w:sz w:val="18"/>
          <w:szCs w:val="18"/>
          <w:color w:val="auto"/>
        </w:rPr>
        <w:t>). The template Proxy Form can be downloaded from the Company's website (https://ir.sonomotors.com/corporate-governance).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recommends shareholders to vote by Proxy Form.</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Attendance Notice and Entitlement Documents to be sent to the Company as part of the procedures described above must be provided via regular mail or e-mail 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Sono Group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 D. Lisitsyn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Waldmeisterstrasse 76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80935 Munich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(corporateoffice@sonomotors.com)</w:t>
      </w:r>
    </w:p>
    <w:p>
      <w:pPr>
        <w:spacing w:after="0" w:line="22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Registration for admission to the AGM will take place at the registration desk at the meeting venue between 2.00 p.m. Amsterdam time and the commencement of the AGM on December 29, 2023. It is not possible to register after this time.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Any Attendance Notice and Entitlement Documents received by the Company after the Cut-off Time may be ignored. Persons with Meeting Rights, Beneficial Owners and proxyholders who have not complied with the procedures described above may be refused entry to the AGM.</w:t>
      </w:r>
    </w:p>
    <w:p>
      <w:pPr>
        <w:spacing w:after="0" w:line="16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As of December 1, 2023, the Company has issued 105,667,115 ordinary shares, with a par value of €0.06 and 3,000,000 high-voting shares with a par value of €1.50. Neither the Company nor any of its subsidiaries holds any shares in the capital of the Company. Each ordinary share confers the right to cast one</w:t>
      </w:r>
    </w:p>
    <w:p>
      <w:pPr>
        <w:spacing w:after="0" w:line="1" w:lineRule="exact"/>
        <w:rPr>
          <w:sz w:val="20"/>
          <w:szCs w:val="20"/>
          <w:color w:val="auto"/>
        </w:rPr>
      </w:pPr>
    </w:p>
    <w:p>
      <w:pPr>
        <w:ind w:right="280" w:firstLine="8"/>
        <w:spacing w:after="0" w:line="26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Each high voting share confers the right to cast twenty-five (25) votes. The total number of voting rights attached to the issued and outstanding shares that may be exercised at the AGM is 180,667,115.</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NOTES TO THE AGENDA</w:t>
      </w:r>
    </w:p>
    <w:p>
      <w:pPr>
        <w:spacing w:after="0" w:line="225"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Discussion of the (financial) performance of the Company in the year 2022 (discussion item)</w:t>
      </w:r>
    </w:p>
    <w:p>
      <w:pPr>
        <w:spacing w:after="0" w:line="225" w:lineRule="exact"/>
        <w:rPr>
          <w:rFonts w:ascii="Times New Roman" w:cs="Times New Roman" w:eastAsia="Times New Roman" w:hAnsi="Times New Roman"/>
          <w:sz w:val="18"/>
          <w:szCs w:val="18"/>
          <w:b w:val="1"/>
          <w:bCs w:val="1"/>
          <w:color w:val="auto"/>
        </w:rPr>
      </w:pPr>
    </w:p>
    <w:p>
      <w:pPr>
        <w:ind w:left="780"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in the course of preparing an annual report on Form 20-F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 xml:space="preserve">) for its financial year 2022. The financial statements for the financial year 2022 prepared in accordance with IFRS included therein are expected to be audited by PricewaterhouseCoopers and once finalized and audited will be made available on the Company’s website (https://ir.sonomotors.com/financial-information) and will be filed on Form 20-F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current aim is to complete the filing of the 20-F on December 22, 2023.</w:t>
      </w:r>
    </w:p>
    <w:p>
      <w:pPr>
        <w:spacing w:after="0" w:line="183" w:lineRule="exact"/>
        <w:rPr>
          <w:rFonts w:ascii="Times New Roman" w:cs="Times New Roman" w:eastAsia="Times New Roman" w:hAnsi="Times New Roman"/>
          <w:sz w:val="18"/>
          <w:szCs w:val="18"/>
          <w:b w:val="1"/>
          <w:bCs w:val="1"/>
          <w:color w:val="auto"/>
        </w:rPr>
      </w:pPr>
    </w:p>
    <w:p>
      <w:pPr>
        <w:ind w:left="78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financial reporting on Form 20-F may not qualify as the Dutch statutory annual accounts of the Company, this reporting provides for an overview of the financial performance of the Company. The Company aims to publish the Dutch statutory annual accounts for 2023 in the first quarter of 2024 and aims to convene an extraordinary general meeting to discuss and, if the general meeting approves, adopt such Dutch statutory annual accounts.</w:t>
      </w:r>
    </w:p>
    <w:p>
      <w:pPr>
        <w:spacing w:after="0" w:line="179" w:lineRule="exact"/>
        <w:rPr>
          <w:rFonts w:ascii="Times New Roman" w:cs="Times New Roman" w:eastAsia="Times New Roman" w:hAnsi="Times New Roman"/>
          <w:sz w:val="18"/>
          <w:szCs w:val="18"/>
          <w:b w:val="1"/>
          <w:bCs w:val="1"/>
          <w:color w:val="auto"/>
        </w:rPr>
      </w:pPr>
    </w:p>
    <w:p>
      <w:pPr>
        <w:ind w:left="78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light of the planned filing of the Form 20-F, the Management Board proposes to discuss the (financial) performance of the Company in the year 2022 on that basis.</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Discussion of the Company's dividend and reservation policy (discussion item)</w:t>
      </w:r>
    </w:p>
    <w:p>
      <w:pPr>
        <w:spacing w:after="0" w:line="229" w:lineRule="exact"/>
        <w:rPr>
          <w:rFonts w:ascii="Times New Roman" w:cs="Times New Roman" w:eastAsia="Times New Roman" w:hAnsi="Times New Roman"/>
          <w:sz w:val="18"/>
          <w:szCs w:val="18"/>
          <w:b w:val="1"/>
          <w:bCs w:val="1"/>
          <w:color w:val="auto"/>
        </w:rPr>
      </w:pPr>
    </w:p>
    <w:p>
      <w:pPr>
        <w:ind w:left="7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never paid or declared any cash dividends on its shares, and the Company does not anticipate paying any cash dividends on its shares in the foreseeable future.</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PricewaterhouseCoopers Accountants N.V. as the external auditor of the Company's annual accounts 2023 (voting item)</w:t>
      </w:r>
    </w:p>
    <w:p>
      <w:pPr>
        <w:spacing w:after="0" w:line="229" w:lineRule="exact"/>
        <w:rPr>
          <w:rFonts w:ascii="Times New Roman" w:cs="Times New Roman" w:eastAsia="Times New Roman" w:hAnsi="Times New Roman"/>
          <w:sz w:val="18"/>
          <w:szCs w:val="18"/>
          <w:b w:val="1"/>
          <w:bCs w:val="1"/>
          <w:color w:val="auto"/>
        </w:rPr>
      </w:pPr>
    </w:p>
    <w:p>
      <w:pPr>
        <w:ind w:left="78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Dutch law, the Company's general meeting is, in principle, the corporate body authorized to annually appoint the external independent auditor for the audit of the Company's annual accounts.</w:t>
      </w:r>
    </w:p>
    <w:p>
      <w:pPr>
        <w:spacing w:after="0" w:line="157" w:lineRule="exact"/>
        <w:rPr>
          <w:rFonts w:ascii="Times New Roman" w:cs="Times New Roman" w:eastAsia="Times New Roman" w:hAnsi="Times New Roman"/>
          <w:sz w:val="18"/>
          <w:szCs w:val="18"/>
          <w:b w:val="1"/>
          <w:bCs w:val="1"/>
          <w:color w:val="auto"/>
        </w:rPr>
      </w:pPr>
    </w:p>
    <w:p>
      <w:pPr>
        <w:ind w:left="780" w:right="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proposed to appoint PricewaterhouseCoopers Accountants N.V.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as the external independent (Dutch) auditor for the audit of the Company's annual accounts for the financial year ending December 31, 2023, thereby ratifying and confirming the instruction of PwC in respect of the financial year ending December 31, 2023.</w:t>
      </w:r>
    </w:p>
    <w:p>
      <w:pPr>
        <w:spacing w:after="0" w:line="174" w:lineRule="exact"/>
        <w:rPr>
          <w:rFonts w:ascii="Times New Roman" w:cs="Times New Roman" w:eastAsia="Times New Roman" w:hAnsi="Times New Roman"/>
          <w:sz w:val="18"/>
          <w:szCs w:val="18"/>
          <w:b w:val="1"/>
          <w:bCs w:val="1"/>
          <w:color w:val="auto"/>
        </w:rPr>
      </w:pPr>
    </w:p>
    <w:p>
      <w:pPr>
        <w:ind w:left="78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completeness sake, it is noted that PwC (and its group companies) will also be asked to audit the financial statements for the financial year 2023 prepared in accordance with IFRS and to be included in the Form 20-F to be filed with the SEC for the financial year 2023.</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Sandra Vogt-Sasse as a member of the Supervisory Board (voting item)</w:t>
      </w:r>
    </w:p>
    <w:p>
      <w:pPr>
        <w:spacing w:after="0" w:line="229" w:lineRule="exact"/>
        <w:rPr>
          <w:rFonts w:ascii="Times New Roman" w:cs="Times New Roman" w:eastAsia="Times New Roman" w:hAnsi="Times New Roman"/>
          <w:sz w:val="18"/>
          <w:szCs w:val="18"/>
          <w:b w:val="1"/>
          <w:bCs w:val="1"/>
          <w:color w:val="auto"/>
        </w:rPr>
      </w:pPr>
    </w:p>
    <w:p>
      <w:pPr>
        <w:ind w:left="780" w:right="2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Supervisory Board has made a binding nomination to appoint Sandra Vogt-Sasse as a member of the Supervisory Board from the moment immediately after the AGM up to and including the end of the annual general meeting of shareholders of the Company to be held in 2027.</w:t>
      </w:r>
    </w:p>
    <w:p>
      <w:pPr>
        <w:spacing w:after="0" w:line="139" w:lineRule="exact"/>
        <w:rPr>
          <w:rFonts w:ascii="Times New Roman" w:cs="Times New Roman" w:eastAsia="Times New Roman" w:hAnsi="Times New Roman"/>
          <w:sz w:val="18"/>
          <w:szCs w:val="18"/>
          <w:b w:val="1"/>
          <w:bCs w:val="1"/>
          <w:color w:val="auto"/>
        </w:rPr>
      </w:pPr>
    </w:p>
    <w:p>
      <w:pPr>
        <w:ind w:left="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Ms. Vogt-Sasse was appointed as an interim supervisory director under article 23.4 of the Articles of Association as of September 11, 2023.</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tbl>
      <w:tblPr>
        <w:tblLayout w:type="fixed"/>
        <w:tblInd w:w="79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Full name</w:t>
            </w:r>
          </w:p>
        </w:tc>
        <w:tc>
          <w:tcPr>
            <w:tcW w:w="6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Sandra Vogt-Sasse</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Profession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Self-employed auditor, tax consultant and Managing Director of SAVOSA GmbH</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Steuerberatungsgesellschaft. Ms. Vogt-Sasse also is a supervisory board member</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Deutsche Börse Commodities GmbH, Germany.</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 held in the capital of the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Vogt-Sasse does not hold any shares in the Company's share capital.</w:t>
            </w:r>
          </w:p>
        </w:tc>
      </w:tr>
      <w:tr>
        <w:trPr>
          <w:trHeight w:val="234"/>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6240" w:type="dxa"/>
            <w:vAlign w:val="bottom"/>
            <w:tcBorders>
              <w:right w:val="single" w:sz="8" w:color="auto"/>
            </w:tcBorders>
          </w:tcPr>
          <w:p>
            <w:pPr>
              <w:spacing w:after="0"/>
              <w:rPr>
                <w:sz w:val="20"/>
                <w:szCs w:val="20"/>
                <w:color w:val="auto"/>
              </w:rPr>
            </w:pP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Brief description of precedent roles to the extent of</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Until 2020, Ms. Vogt-Sasse worked for Ernst &amp; Young GmbH</w:t>
            </w:r>
          </w:p>
        </w:tc>
      </w:tr>
      <w:tr>
        <w:trPr>
          <w:trHeight w:val="216"/>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interest for the role of supervisory director</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Wirtschaftsprüfungsgesellschaft for many years, first as an employee, then as a</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freelancer. Her focus is on advising companies on economic issues, auditing, and</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quality control in accordance with § 57a WPO.</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supervisory board roles</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mentioned, she also is a supervisory board member of a company closely linked</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the capital market through its products and services.</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Reasons for nomination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Working experience with companies in financial difficulties and supervisory</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experiences with a company closely linked to the capital market.</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upon her appointment as supervisory director of the Company, Sandra</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Vogt-Sasse will receive compensation for her services as a supervisory director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consistent with the compensation package approved by the Company's general</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meeting.</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Thomas Wiedermann as supervisory director of the Company (voting item)</w:t>
      </w:r>
    </w:p>
    <w:p>
      <w:pPr>
        <w:spacing w:after="0" w:line="229" w:lineRule="exact"/>
        <w:rPr>
          <w:rFonts w:ascii="Times New Roman" w:cs="Times New Roman" w:eastAsia="Times New Roman" w:hAnsi="Times New Roman"/>
          <w:sz w:val="18"/>
          <w:szCs w:val="18"/>
          <w:b w:val="1"/>
          <w:bCs w:val="1"/>
          <w:color w:val="auto"/>
        </w:rPr>
      </w:pPr>
    </w:p>
    <w:p>
      <w:pPr>
        <w:ind w:left="780"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Supervisory Board has made a binding nomination to appoint Thomas Wiedermann as a supervisory director of the Company from the moment immediately after the AGM up to and including the end of the annual general meeting of shareholders of the Company to be held in 2027.</w:t>
      </w:r>
    </w:p>
    <w:p>
      <w:pPr>
        <w:spacing w:after="0" w:line="175" w:lineRule="exact"/>
        <w:rPr>
          <w:rFonts w:ascii="Times New Roman" w:cs="Times New Roman" w:eastAsia="Times New Roman" w:hAnsi="Times New Roman"/>
          <w:sz w:val="18"/>
          <w:szCs w:val="18"/>
          <w:b w:val="1"/>
          <w:bCs w:val="1"/>
          <w:color w:val="auto"/>
        </w:rPr>
      </w:pPr>
    </w:p>
    <w:p>
      <w:pPr>
        <w:ind w:left="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 Wiedermann was appointed as an interim supervisory director under article 23.4 of the Articles of Association as of September 11, 2023.</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tbl>
      <w:tblPr>
        <w:tblLayout w:type="fixed"/>
        <w:tblInd w:w="79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Full name</w:t>
            </w:r>
          </w:p>
        </w:tc>
        <w:tc>
          <w:tcPr>
            <w:tcW w:w="6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Wiedermann</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60</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Profession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Wiedermann is currently Managing Partner of Dankwardt Holding GmbH.</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 held in the capital of the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Wiedermann does not hold any shares in the Company's share capital.</w:t>
            </w:r>
          </w:p>
        </w:tc>
      </w:tr>
      <w:tr>
        <w:trPr>
          <w:trHeight w:val="234"/>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6240" w:type="dxa"/>
            <w:vAlign w:val="bottom"/>
            <w:tcBorders>
              <w:right w:val="single" w:sz="8" w:color="auto"/>
            </w:tcBorders>
          </w:tcPr>
          <w:p>
            <w:pPr>
              <w:spacing w:after="0"/>
              <w:rPr>
                <w:sz w:val="20"/>
                <w:szCs w:val="20"/>
                <w:color w:val="auto"/>
              </w:rPr>
            </w:pP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Brief description of precedent roles to the extent of</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Wiedermann is currently Managing Partner of Dankwardt Holding GmbH. Prior</w:t>
            </w:r>
          </w:p>
        </w:tc>
      </w:tr>
      <w:tr>
        <w:trPr>
          <w:trHeight w:val="216"/>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interest for the role of supervisory director</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that, he worked as an independent interim manager (CRO, CFO, CEO, CRSO,</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CSO) in various industries for international, medium-sized companies. The focus of</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his work includes restructuring and process optimization along the entire value chain</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well as achieving sustainable revenue and earnings growth by focusing on and</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expanding strategic business areas. Mr. Wiedermann holds degrees in electrical</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engineering (TU Munich) and business administration (LMU Munich).</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supervisory board roles</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of the supervisory board for Dockweiler AG</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Reasons for nomination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Many years of experience in restructuring and process optimization along the entire</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 chain as well as achieving sustainable revenue and earnings growth by</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focusing on and expanding strategic business areas.</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upon his appointment as supervisory director of the Company, Thomas</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Wiedermann will receive compensation for his services as a supervisory director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consistent with the compensation package approved by the Company's general</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meeting.</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Martin Sabbione as supervisory director of the Company (voting item)</w:t>
      </w:r>
    </w:p>
    <w:p>
      <w:pPr>
        <w:spacing w:after="0" w:line="229" w:lineRule="exact"/>
        <w:rPr>
          <w:rFonts w:ascii="Times New Roman" w:cs="Times New Roman" w:eastAsia="Times New Roman" w:hAnsi="Times New Roman"/>
          <w:sz w:val="18"/>
          <w:szCs w:val="18"/>
          <w:b w:val="1"/>
          <w:bCs w:val="1"/>
          <w:color w:val="auto"/>
        </w:rPr>
      </w:pPr>
    </w:p>
    <w:p>
      <w:pPr>
        <w:ind w:left="78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Supervisory Board has made a binding nomination to appoint Martin Sabbione as a supervisory director of the Company from the date of the AGM for a period ending at the end of the annual general meeting of shareholders of the Company to be held in 2027. Mr. Sabbione was appointed as an interim supervisory director under article 23.4 of the Articles of Association as of September 11, 2023.</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tbl>
      <w:tblPr>
        <w:tblLayout w:type="fixed"/>
        <w:tblInd w:w="79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Full name</w:t>
            </w:r>
          </w:p>
        </w:tc>
        <w:tc>
          <w:tcPr>
            <w:tcW w:w="6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Sabbione</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Profession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Mr. Sabbione is currently Senior Head of Controlling at Volkswagen Group Charging</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GmbH.</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shares held in the capital of the</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Sabbione does not hold any shares in the Company's share capital.</w:t>
            </w:r>
          </w:p>
        </w:tc>
      </w:tr>
      <w:tr>
        <w:trPr>
          <w:trHeight w:val="234"/>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6240" w:type="dxa"/>
            <w:vAlign w:val="bottom"/>
            <w:tcBorders>
              <w:right w:val="single" w:sz="8" w:color="auto"/>
            </w:tcBorders>
          </w:tcPr>
          <w:p>
            <w:pPr>
              <w:spacing w:after="0"/>
              <w:rPr>
                <w:sz w:val="20"/>
                <w:szCs w:val="20"/>
                <w:color w:val="auto"/>
              </w:rPr>
            </w:pP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Brief description of precedent roles to the extent of</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Sabbione founded multiple startups in the cleantech and healthcare spaces and</w:t>
            </w:r>
          </w:p>
        </w:tc>
      </w:tr>
      <w:tr>
        <w:trPr>
          <w:trHeight w:val="216"/>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interest for the role of supervisory director</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previously held positions as CFO of Sono Motors GmbH and Head of Investment at</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WiWin GmbH &amp; Co, KG. Mr. Sabbione is an experienced senior finance manager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a focus on scaling businesses and is passionate about sustainability, the mobility</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energy transition, and innovations in healthcare.</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supervisory board roles</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Reasons for nomination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Experience in start-ups, in funding and in mobility sector.</w:t>
            </w:r>
          </w:p>
        </w:tc>
      </w:tr>
      <w:tr>
        <w:trPr>
          <w:trHeight w:val="40"/>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r>
        <w:trPr>
          <w:trHeight w:val="232"/>
        </w:trPr>
        <w:tc>
          <w:tcPr>
            <w:tcW w:w="3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upon his appointment as supervisory director of the Company, Martin</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Sabbione will receive compensation for his services as a supervisory director</w:t>
            </w: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consistent with the compensation package approved by the Company's general</w:t>
            </w:r>
          </w:p>
        </w:tc>
      </w:tr>
      <w:tr>
        <w:trPr>
          <w:trHeight w:val="234"/>
        </w:trPr>
        <w:tc>
          <w:tcPr>
            <w:tcW w:w="3860" w:type="dxa"/>
            <w:vAlign w:val="bottom"/>
            <w:tcBorders>
              <w:left w:val="single" w:sz="8" w:color="auto"/>
              <w:right w:val="single" w:sz="8" w:color="auto"/>
            </w:tcBorders>
          </w:tcPr>
          <w:p>
            <w:pPr>
              <w:spacing w:after="0"/>
              <w:rPr>
                <w:sz w:val="20"/>
                <w:szCs w:val="20"/>
                <w:color w:val="auto"/>
              </w:rPr>
            </w:pPr>
          </w:p>
        </w:tc>
        <w:tc>
          <w:tcPr>
            <w:tcW w:w="6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meeting.</w:t>
            </w:r>
          </w:p>
        </w:tc>
      </w:tr>
      <w:tr>
        <w:trPr>
          <w:trHeight w:val="41"/>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62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ind w:left="760" w:right="420" w:hanging="752"/>
        <w:spacing w:after="0" w:line="268" w:lineRule="auto"/>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 of the Management Board, for a period of 18 months after the date of AGM or until the next annual general meeting (whichever comes first), as the body authorised to issue ordinary shares and grant rights to subscribe for ordinary shares, up to a maximum of 10% of the nominal issued capital as per the AGM (voting item)</w:t>
      </w:r>
    </w:p>
    <w:p>
      <w:pPr>
        <w:spacing w:after="0" w:line="174" w:lineRule="exact"/>
        <w:rPr>
          <w:rFonts w:ascii="Times New Roman" w:cs="Times New Roman" w:eastAsia="Times New Roman" w:hAnsi="Times New Roman"/>
          <w:sz w:val="18"/>
          <w:szCs w:val="18"/>
          <w:b w:val="1"/>
          <w:bCs w:val="1"/>
          <w:color w:val="auto"/>
        </w:rPr>
      </w:pPr>
    </w:p>
    <w:p>
      <w:pPr>
        <w:ind w:left="78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authorization of the Management Board to issue shares and/or grant rights to subscribe for shares is unlimited. As this is deemed too broad, it is proposed by the Management Board to limit the existing authority to an authority to issue ordinary shares and/or grant rights to subscribe for ordinary shares representing up to 10% of the nominal issued capital as per the AGM.</w:t>
      </w:r>
    </w:p>
    <w:p>
      <w:pPr>
        <w:spacing w:after="0" w:line="171" w:lineRule="exact"/>
        <w:rPr>
          <w:rFonts w:ascii="Times New Roman" w:cs="Times New Roman" w:eastAsia="Times New Roman" w:hAnsi="Times New Roman"/>
          <w:sz w:val="18"/>
          <w:szCs w:val="18"/>
          <w:b w:val="1"/>
          <w:bCs w:val="1"/>
          <w:color w:val="auto"/>
        </w:rPr>
      </w:pPr>
    </w:p>
    <w:p>
      <w:pPr>
        <w:ind w:left="760" w:right="100" w:hanging="752"/>
        <w:spacing w:after="0" w:line="268" w:lineRule="auto"/>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 of the Management Board, for a period of 18 months after the date of AGM or until the next annual general meeting (whichever comes first), as the body authorised to limit or exclude pre-emption rights in relation to any share issue or granting of rights to subscribe for shares under the authorization mentioned in agenda item 8 (voting item)</w:t>
      </w:r>
    </w:p>
    <w:p>
      <w:pPr>
        <w:spacing w:after="0" w:line="175" w:lineRule="exact"/>
        <w:rPr>
          <w:sz w:val="20"/>
          <w:szCs w:val="20"/>
          <w:color w:val="auto"/>
        </w:rPr>
      </w:pPr>
    </w:p>
    <w:p>
      <w:pPr>
        <w:ind w:left="780" w:right="180"/>
        <w:spacing w:after="0" w:line="282" w:lineRule="auto"/>
        <w:rPr>
          <w:sz w:val="20"/>
          <w:szCs w:val="20"/>
          <w:color w:val="auto"/>
        </w:rPr>
      </w:pPr>
      <w:r>
        <w:rPr>
          <w:rFonts w:ascii="Times New Roman" w:cs="Times New Roman" w:eastAsia="Times New Roman" w:hAnsi="Times New Roman"/>
          <w:sz w:val="18"/>
          <w:szCs w:val="18"/>
          <w:color w:val="auto"/>
        </w:rPr>
        <w:t>The Management Board proposes to grant the Management Board the authority to limit the pre-emptive rights in relation to any shares issue or granting of right to subscribe for shares, resolved by the Management Board under the authorization mentioned in agenda item 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PROXY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634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acting on behalf of </w:t>
      </w:r>
      <w:r>
        <w:rPr>
          <w:rFonts w:ascii="Times New Roman" w:cs="Times New Roman" w:eastAsia="Times New Roman" w:hAnsi="Times New Roman"/>
          <w:sz w:val="18"/>
          <w:szCs w:val="18"/>
          <w:i w:val="1"/>
          <w:iCs w:val="1"/>
          <w:color w:val="auto"/>
        </w:rPr>
        <w:t>(only to be completed if relevant)</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6343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6343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DECLARES AS FOLLOWS:</w:t>
      </w:r>
    </w:p>
    <w:p>
      <w:pPr>
        <w:spacing w:after="0" w:line="225" w:lineRule="exact"/>
        <w:rPr>
          <w:sz w:val="20"/>
          <w:szCs w:val="20"/>
          <w:color w:val="auto"/>
        </w:rPr>
      </w:pPr>
    </w:p>
    <w:p>
      <w:pPr>
        <w:jc w:val="both"/>
        <w:ind w:left="660" w:hanging="652"/>
        <w:spacing w:after="0" w:line="259"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hereby registers for the annual general meeting of shareholders of Sono Group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December 29, 2023 at 3.00pm Amsterdam time at the offices of Dentons Europe LLP, Amsterdam, the Netherlands, at Gustav Mahlerplein 2, fifth floor, 1082 MA Amsterdam, the Netherlands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and, for purposes of being represented at the AGM, grants a power of attorney to Mr. J.-M.P. Hermans, civil law notary and partner of Dentons Europe LLP, in Amsterdam, the Netherlands, or any substitute to be appointed by him (the "</w:t>
      </w:r>
      <w:r>
        <w:rPr>
          <w:rFonts w:ascii="Times New Roman" w:cs="Times New Roman" w:eastAsia="Times New Roman" w:hAnsi="Times New Roman"/>
          <w:sz w:val="18"/>
          <w:szCs w:val="18"/>
          <w:b w:val="1"/>
          <w:bCs w:val="1"/>
          <w:color w:val="auto"/>
        </w:rPr>
        <w:t>Proxyholder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this power of attorney extends to the performance of the following acts on behalf of the Principal at the AGM:</w:t>
      </w:r>
    </w:p>
    <w:p>
      <w:pPr>
        <w:spacing w:after="0" w:line="27" w:lineRule="exact"/>
        <w:rPr>
          <w:rFonts w:ascii="Times New Roman" w:cs="Times New Roman" w:eastAsia="Times New Roman" w:hAnsi="Times New Roman"/>
          <w:sz w:val="18"/>
          <w:szCs w:val="18"/>
          <w:b w:val="1"/>
          <w:bCs w:val="1"/>
          <w:color w:val="auto"/>
        </w:rPr>
      </w:pPr>
    </w:p>
    <w:p>
      <w:pPr>
        <w:ind w:left="1300" w:hanging="658"/>
        <w:spacing w:after="0"/>
        <w:tabs>
          <w:tab w:leader="none" w:pos="13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the voting rights of the Principal in accordance with paragraph 3 below; and</w:t>
      </w:r>
    </w:p>
    <w:p>
      <w:pPr>
        <w:spacing w:after="0" w:line="9" w:lineRule="exact"/>
        <w:rPr>
          <w:rFonts w:ascii="Times New Roman" w:cs="Times New Roman" w:eastAsia="Times New Roman" w:hAnsi="Times New Roman"/>
          <w:sz w:val="18"/>
          <w:szCs w:val="18"/>
          <w:b w:val="1"/>
          <w:bCs w:val="1"/>
          <w:color w:val="auto"/>
        </w:rPr>
      </w:pPr>
    </w:p>
    <w:p>
      <w:pPr>
        <w:ind w:left="1300" w:hanging="658"/>
        <w:spacing w:after="0"/>
        <w:tabs>
          <w:tab w:leader="none" w:pos="13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any other right of the Principal which the Principal would be allowed to exercise at the AGM.</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power of attorney shall be used by the Proxyholder to exercise the Principal's voting rights in the manner directed as set forth below. If no choice is specified in respect of the sole voting item on the agenda, the Proxyholder shall vote "FOR" such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82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8"/>
                <w:szCs w:val="18"/>
                <w:i w:val="1"/>
                <w:iCs w:val="1"/>
                <w:color w:val="auto"/>
              </w:rPr>
              <w:t>Agenda item (voting item)</w:t>
            </w:r>
          </w:p>
        </w:tc>
        <w:tc>
          <w:tcPr>
            <w:tcW w:w="1180" w:type="dxa"/>
            <w:vAlign w:val="bottom"/>
            <w:tcBorders>
              <w:bottom w:val="single" w:sz="8" w:color="auto"/>
            </w:tcBorders>
            <w:shd w:val="clear" w:color="auto" w:fill="DBE5F1"/>
          </w:tcPr>
          <w:p>
            <w:pPr>
              <w:ind w:left="320"/>
              <w:spacing w:after="0"/>
              <w:rPr>
                <w:sz w:val="20"/>
                <w:szCs w:val="20"/>
                <w:color w:val="auto"/>
              </w:rPr>
            </w:pPr>
            <w:r>
              <w:rPr>
                <w:rFonts w:ascii="Times New Roman" w:cs="Times New Roman" w:eastAsia="Times New Roman" w:hAnsi="Times New Roman"/>
                <w:sz w:val="18"/>
                <w:szCs w:val="18"/>
                <w:i w:val="1"/>
                <w:iCs w:val="1"/>
                <w:color w:val="auto"/>
              </w:rPr>
              <w:t>FOR</w:t>
            </w:r>
          </w:p>
        </w:tc>
        <w:tc>
          <w:tcPr>
            <w:tcW w:w="1680" w:type="dxa"/>
            <w:vAlign w:val="bottom"/>
            <w:tcBorders>
              <w:bottom w:val="single" w:sz="8" w:color="auto"/>
            </w:tcBorders>
            <w:shd w:val="clear" w:color="auto" w:fill="DBE5F1"/>
          </w:tcPr>
          <w:p>
            <w:pPr>
              <w:ind w:left="520"/>
              <w:spacing w:after="0"/>
              <w:rPr>
                <w:sz w:val="20"/>
                <w:szCs w:val="20"/>
                <w:color w:val="auto"/>
              </w:rPr>
            </w:pPr>
            <w:r>
              <w:rPr>
                <w:rFonts w:ascii="Times New Roman" w:cs="Times New Roman" w:eastAsia="Times New Roman" w:hAnsi="Times New Roman"/>
                <w:sz w:val="18"/>
                <w:szCs w:val="18"/>
                <w:i w:val="1"/>
                <w:iCs w:val="1"/>
                <w:color w:val="auto"/>
              </w:rPr>
              <w:t>AGAINST</w:t>
            </w:r>
          </w:p>
        </w:tc>
        <w:tc>
          <w:tcPr>
            <w:tcW w:w="1540" w:type="dxa"/>
            <w:vAlign w:val="bottom"/>
            <w:tcBorders>
              <w:bottom w:val="single" w:sz="8" w:color="auto"/>
            </w:tcBorders>
            <w:shd w:val="clear" w:color="auto" w:fill="DBE5F1"/>
          </w:tcPr>
          <w:p>
            <w:pPr>
              <w:ind w:left="420"/>
              <w:spacing w:after="0"/>
              <w:rPr>
                <w:sz w:val="20"/>
                <w:szCs w:val="20"/>
                <w:color w:val="auto"/>
              </w:rPr>
            </w:pPr>
            <w:r>
              <w:rPr>
                <w:rFonts w:ascii="Times New Roman" w:cs="Times New Roman" w:eastAsia="Times New Roman" w:hAnsi="Times New Roman"/>
                <w:sz w:val="18"/>
                <w:szCs w:val="18"/>
                <w:i w:val="1"/>
                <w:iCs w:val="1"/>
                <w:color w:val="auto"/>
              </w:rPr>
              <w:t>ABSTAIN</w:t>
            </w:r>
          </w:p>
        </w:tc>
        <w:tc>
          <w:tcPr>
            <w:tcW w:w="20" w:type="dxa"/>
            <w:vAlign w:val="bottom"/>
            <w:tcBorders>
              <w:bottom w:val="single" w:sz="8" w:color="auto"/>
            </w:tcBorders>
          </w:tcPr>
          <w:p>
            <w:pPr>
              <w:spacing w:after="0"/>
              <w:rPr>
                <w:sz w:val="19"/>
                <w:szCs w:val="19"/>
                <w:color w:val="auto"/>
              </w:rPr>
            </w:pPr>
          </w:p>
        </w:tc>
      </w:tr>
      <w:tr>
        <w:trPr>
          <w:trHeight w:val="191"/>
        </w:trPr>
        <w:tc>
          <w:tcPr>
            <w:tcW w:w="6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Appointment of PricewaterhouseCoopers Accountants N.V. as the external auditor of the</w:t>
            </w: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annual accounts 2023 (voting item)</w:t>
            </w: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732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7320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Appointment of Sandra Vogt-Sasse as a member of the Supervisory Board (voting item)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0" w:right="4720"/>
        <w:spacing w:after="0" w:line="282" w:lineRule="auto"/>
        <w:rPr>
          <w:sz w:val="20"/>
          <w:szCs w:val="20"/>
          <w:color w:val="auto"/>
        </w:rPr>
      </w:pPr>
      <w:r>
        <w:rPr>
          <w:rFonts w:ascii="Times New Roman" w:cs="Times New Roman" w:eastAsia="Times New Roman" w:hAnsi="Times New Roman"/>
          <w:sz w:val="18"/>
          <w:szCs w:val="18"/>
          <w:color w:val="auto"/>
        </w:rPr>
        <w:t>Appointment of Thomas Wiedermann as a member of the Supervisory Board (voting item)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Appointment of Martin Sabbione as a member of the Supervisory Board (voting item)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0" w:right="4720"/>
        <w:spacing w:after="0" w:line="261" w:lineRule="auto"/>
        <w:rPr>
          <w:sz w:val="20"/>
          <w:szCs w:val="20"/>
          <w:color w:val="auto"/>
        </w:rPr>
      </w:pPr>
      <w:r>
        <w:rPr>
          <w:rFonts w:ascii="Times New Roman" w:cs="Times New Roman" w:eastAsia="Times New Roman" w:hAnsi="Times New Roman"/>
          <w:sz w:val="18"/>
          <w:szCs w:val="18"/>
          <w:color w:val="auto"/>
        </w:rPr>
        <w:t>Authorization of the Management Board, for a period of 18 months after the date of AGM or until the next annual general meeting (whichever comes first), as the body authorised to issue ordinary shares and grant rights to subscribe for ordinary shares, up to a maximum of 10% of the nominal issued capital as per the AGM (voting item)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20" w:right="4720"/>
        <w:spacing w:after="0" w:line="259" w:lineRule="auto"/>
        <w:rPr>
          <w:sz w:val="20"/>
          <w:szCs w:val="20"/>
          <w:color w:val="auto"/>
        </w:rPr>
      </w:pPr>
      <w:r>
        <w:rPr>
          <w:rFonts w:ascii="Times New Roman" w:cs="Times New Roman" w:eastAsia="Times New Roman" w:hAnsi="Times New Roman"/>
          <w:sz w:val="18"/>
          <w:szCs w:val="18"/>
          <w:color w:val="auto"/>
        </w:rPr>
        <w:t>Authorization of the Management Board, for a period of 18 months after the date of AGM or until the next annual general meeting (whichever comes first), as the body authorised to limit or exclude pre-emption rights in relation to any share issue or granting of rights to subscribe for shares under the authorization mentioned in proposal 8 (voting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power of attorney is granted with full power of substitution.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relationship between the Principal and the Proxyholder under this power of attorney is governed exclusively by the laws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2" w:name="page13"/>
    <w:bookmarkEnd w:id="1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38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return this signed proxy via regular mail or e-mail, no later than 6.00 am on December 24, 2023, to:</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Sono Group N.V.</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c/o D. Lisitsyn</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Waldmeisterstrasse 76</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80935 Munich</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(corporateoffice@sonomotors.com)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Principal is a (beneficial) owner of shares in the Company's capital, please enclose:</w:t>
      </w:r>
    </w:p>
    <w:p>
      <w:pPr>
        <w:spacing w:after="0" w:line="225"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proof of (beneficial) ownership of the underlying shares on the record date, such as a recent account statement;</w:t>
      </w:r>
    </w:p>
    <w:p>
      <w:pPr>
        <w:spacing w:after="0" w:line="225" w:lineRule="exact"/>
        <w:rPr>
          <w:rFonts w:ascii="Times New Roman" w:cs="Times New Roman" w:eastAsia="Times New Roman" w:hAnsi="Times New Roman"/>
          <w:sz w:val="18"/>
          <w:szCs w:val="18"/>
          <w:i w:val="1"/>
          <w:iCs w:val="1"/>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proof of identity; and</w:t>
      </w:r>
    </w:p>
    <w:p>
      <w:pPr>
        <w:spacing w:after="0" w:line="225" w:lineRule="exact"/>
        <w:rPr>
          <w:sz w:val="20"/>
          <w:szCs w:val="20"/>
          <w:color w:val="auto"/>
        </w:rPr>
      </w:pPr>
    </w:p>
    <w:p>
      <w:pPr>
        <w:ind w:left="640" w:hanging="632"/>
        <w:spacing w:after="0" w:line="284" w:lineRule="auto"/>
        <w:tabs>
          <w:tab w:leader="none" w:pos="6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relevant, a signed proxy from the relevant holder of those underlying shares on the record date for the AGM (record date being December 1, 2023).</w:t>
      </w:r>
    </w:p>
    <w:sectPr>
      <w:pgSz w:w="11900" w:h="16838" w:orient="portrait"/>
      <w:cols w:equalWidth="0" w:num="1">
        <w:col w:w="10880"/>
      </w:cols>
      <w:pgMar w:left="320" w:top="79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6"/>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1."/>
      <w:numFmt w:val="decimal"/>
      <w:start w:val="8"/>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2023-12-14T15:36:29Z</dcterms:created>
  <dcterms:modified xsi:type="dcterms:W3CDTF">2023-12-14T15:36:29Z</dcterms:modified>
</cp:coreProperties>
</file>