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par value of €0.06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N81409109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Jona Christians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Sono Group N.V.</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Waldmeisterstraße 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80935 Munich,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 (0)89 4520 5818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legal@sonomotors.com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5, 2024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hanging="119"/>
        <w:spacing w:after="0" w:line="282" w:lineRule="auto"/>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5"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Page 2 of 5</w:t>
            </w:r>
          </w:p>
        </w:tc>
      </w:tr>
    </w:tbl>
    <w:p>
      <w:pPr>
        <w:spacing w:after="0" w:line="211" w:lineRule="exact"/>
        <w:rPr>
          <w:sz w:val="20"/>
          <w:szCs w:val="20"/>
          <w:color w:val="auto"/>
        </w:rPr>
      </w:pPr>
    </w:p>
    <w:p>
      <w:pPr>
        <w:ind w:left="660" w:right="8500" w:hanging="639"/>
        <w:spacing w:after="0" w:line="3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Jona Christians</w:t>
      </w: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51"/>
        <w:spacing w:after="0" w:line="207" w:lineRule="exact"/>
        <w:tabs>
          <w:tab w:leader="none" w:pos="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79"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660" w:right="7940" w:hanging="639"/>
        <w:spacing w:after="0" w:line="53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Federal Republic of Germany</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500" w:hanging="982"/>
        <w:spacing w:after="0"/>
        <w:tabs>
          <w:tab w:leader="none" w:pos="45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-3350895</wp:posOffset>
            </wp:positionV>
            <wp:extent cx="7132320" cy="5460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60365"/>
                    </a:xfrm>
                    <a:prstGeom prst="rect">
                      <a:avLst/>
                    </a:prstGeom>
                    <a:noFill/>
                  </pic:spPr>
                </pic:pic>
              </a:graphicData>
            </a:graphic>
          </wp:anchor>
        </w:drawing>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140" w:type="dxa"/>
            <w:vAlign w:val="bottom"/>
            <w:vMerge w:val="restart"/>
          </w:tcPr>
          <w:p>
            <w:pPr>
              <w:jc w:val="center"/>
              <w:ind w:right="115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Pr>
          <w:p>
            <w:pPr>
              <w:spacing w:after="0"/>
              <w:rPr>
                <w:sz w:val="20"/>
                <w:szCs w:val="20"/>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40" w:type="dxa"/>
            <w:vAlign w:val="bottom"/>
          </w:tcPr>
          <w:p>
            <w:pPr>
              <w:jc w:val="center"/>
              <w:ind w:right="11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234"/>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40" w:type="dxa"/>
            <w:vAlign w:val="bottom"/>
          </w:tcPr>
          <w:p>
            <w:pPr>
              <w:jc w:val="center"/>
              <w:ind w:right="1170"/>
              <w:spacing w:after="0" w:line="177" w:lineRule="exact"/>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Pr>
          <w:p>
            <w:pPr>
              <w:jc w:val="right"/>
              <w:ind w:right="3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ind w:left="4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Person</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4"/>
              </w:rPr>
              <w:t>With</w:t>
            </w:r>
          </w:p>
        </w:tc>
        <w:tc>
          <w:tcPr>
            <w:tcW w:w="680" w:type="dxa"/>
            <w:vAlign w:val="bottom"/>
          </w:tcPr>
          <w:p>
            <w:pPr>
              <w:spacing w:after="0"/>
              <w:rPr>
                <w:sz w:val="21"/>
                <w:szCs w:val="21"/>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500" w:right="4880" w:hanging="982"/>
        <w:spacing w:after="0" w:line="532" w:lineRule="auto"/>
        <w:tabs>
          <w:tab w:leader="none" w:pos="45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00" w:right="5640" w:hanging="779"/>
        <w:spacing w:after="0" w:line="508" w:lineRule="auto"/>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3,500,000</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8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(2)</w:t>
      </w:r>
    </w:p>
    <w:p>
      <w:pPr>
        <w:spacing w:after="0" w:line="238"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250" w:lineRule="exact"/>
        <w:rPr>
          <w:rFonts w:ascii="Times New Roman" w:cs="Times New Roman" w:eastAsia="Times New Roman" w:hAnsi="Times New Roman"/>
          <w:sz w:val="18"/>
          <w:szCs w:val="18"/>
          <w:color w:val="auto"/>
        </w:rPr>
      </w:pPr>
    </w:p>
    <w:p>
      <w:pPr>
        <w:ind w:right="220" w:firstLine="8"/>
        <w:spacing w:after="0" w:line="233"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5. Although they do not share voting power, as a result of entering into a shareholder commitment letter, Jona Christians may be deemed to be a member of a “group” with Laurin Hahn, who also entered into the shareholder commitment letter and is separately reporting beneficial ownership on Schedule 13D.</w:t>
      </w:r>
    </w:p>
    <w:p>
      <w:pPr>
        <w:ind w:right="140" w:firstLine="8"/>
        <w:spacing w:after="0" w:line="239"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class of securities beneficially owned by the Reporting Person is based on a total of 108,711,643 shares (being the sum of 105,711,643 ordinary shares and 3,000,000 high voting shares) of the Issuer outstanding as a single class as of June 10, 2024, assuming conversion of all high voting shares into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-2907665</wp:posOffset>
            </wp:positionV>
            <wp:extent cx="7132320" cy="238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 w:name="page3"/>
    <w:bookmarkEnd w:id="2"/>
    <w:p>
      <w:pPr>
        <w:ind w:left="100"/>
        <w:spacing w:after="0"/>
        <w:tabs>
          <w:tab w:leader="none" w:pos="3900" w:val="left"/>
          <w:tab w:leader="none" w:pos="10160"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Amendment No. 2 to Schedule 13D (this “Amendment No. 2”) amends and supplements the statement on Schedule 13D filed by Jona Christians (the “Reporting Person”) on December 19, 2023, as amended by Amendment No. 1 to Schedule 13D filed on March 25, 2024 (the “Schedule 13D”), and relates to the Reporting Person's beneficial ownership of ordinary shares, nominal value €0.06 per share (the “Ordinary Shares”), of Sono Group N.V.,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(the “Issuer”). Capitalized terms used herein and not otherwise defined shall have the respective meanings ascribed to them in the Schedule 13D. Except as specifically provided herein, this Amendment No. 2 does not modify any of the information previously reported in the Schedule 13D.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to add the following:</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transfer of the 6,118,749 Ordinary Shares sold to Bambino 255. V V UG (“Transferee 1”) by the Reporting Person pursuant to the Sale and Transfer Agreement between the Reporting Person, Transferee 1, Transferee 2 and the Issuer was reflected in the Issuer’s share register on June 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transfer of the 7,187,500 Ordinary Shares sold by Laurin Hahn to Transferee 1 pursuant to the Sale and Transfer Agreement between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Hahn, Transferee 1, Transferee 2 and the Issuer was reflected in the Issuer’s share register on June 5,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11, 12, and 13 of the cover pages of this Schedule 13D that relate to the aggregate number and percentage of shares (including but not limited to footnotes to such information) are incorporated herein by reference.</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7, 8, 9, and 10 of the cover pages of this Schedule 13D that relate to the number of shares as to which such Reporting Person has sole or shared power to vote or to direct the vote of and sole or shared power to dispose of or to direct the disposition of (including but not limited to footnotes to such information) are incorporated herein by reference.</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a result of entering into the Shareholder Commitment Letter, the Reporting Person may be deemed to be a member of a “group” pursuant to Section 13(d) of the Exchange Act with Laurin Hahn, who also entered into the Shareholder Commitment Letter and who is separately reporting beneficial ownership of shares of the Issuer on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Laurin Hahn owns 3,500,000 Ordinary Shares of the Issuer, representing 3.2% of the Ordinary Shares of the Issuer.</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Reporting Person and Laurin Hahn in the aggregate own 7,000,000 Ordinary Shares. This aggregate amount represents 6.4% of the outstanding Ordinary Shares of the Issuer (see footnote (2) to the table above for an explanation of the calculation).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3 and 4 above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type w:val="continuous"/>
        </w:sectPr>
      </w:pPr>
    </w:p>
    <w:bookmarkStart w:id="3" w:name="page4"/>
    <w:bookmarkEnd w:id="3"/>
    <w:p>
      <w:pPr>
        <w:ind w:left="100"/>
        <w:spacing w:after="0"/>
        <w:tabs>
          <w:tab w:leader="none" w:pos="3900" w:val="left"/>
          <w:tab w:leader="none" w:pos="10160"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p>
      <w:pPr>
        <w:spacing w:after="0" w:line="23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See Item 4 of this Schedule 13D for a description of the sale and transfer agreements, pursuant to which the Reporting Person and Laurin Hahn have each agreed to sell and transfer certain of their respective Ordinary Shares to Transferee 1 and Transferee 2 for the benefit of, respectively, the creditors of the Subsidiary and members of the management board of the Issuer.</w:t>
      </w:r>
    </w:p>
    <w:p>
      <w:pPr>
        <w:spacing w:after="0" w:line="176" w:lineRule="exact"/>
        <w:rPr>
          <w:sz w:val="20"/>
          <w:szCs w:val="20"/>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neither the Reporting Person, nor, to the knowledge of the Reporting Person, Laurin Hahn, has effected any transactions with respect to the shares of the Issuer during the past 60 days.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securities.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Page 5 of 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2024</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228"/>
        </w:trPr>
        <w:tc>
          <w:tcPr>
            <w:tcW w:w="3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Jona Christians</w:t>
            </w:r>
          </w:p>
        </w:tc>
      </w:tr>
    </w:tbl>
    <w:p>
      <w:pPr>
        <w:spacing w:after="0" w:line="1" w:lineRule="exact"/>
        <w:rPr>
          <w:sz w:val="20"/>
          <w:szCs w:val="20"/>
          <w:color w:val="auto"/>
        </w:rPr>
      </w:pPr>
    </w:p>
    <w:sectPr>
      <w:pgSz w:w="11900" w:h="16838" w:orient="portrait"/>
      <w:cols w:equalWidth="0" w:num="1">
        <w:col w:w="11240"/>
      </w:cols>
      <w:pgMar w:left="320" w:top="5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46E87CC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2024-06-13T15:47:01Z</dcterms:created>
  <dcterms:modified xsi:type="dcterms:W3CDTF">2024-06-13T15:47:01Z</dcterms:modified>
</cp:coreProperties>
</file>