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center"/>
        <w:rPr>
          <w:b/>
          <w:color w:val="333333"/>
          <w:sz w:val="36"/>
        </w:rPr>
      </w:pPr>
      <w:bookmarkStart w:id="0" w:name="f8k_031026.htm"/>
      <w:bookmarkStart w:id="1" w:name="ksf8k_031026"/>
      <w:bookmarkEnd w:id="0"/>
      <w:bookmarkEnd w:id="1"/>
      <w:r>
        <w:rPr>
          <w:b/>
          <w:color w:val="333333"/>
          <w:sz w:val="36"/>
        </w:rPr>
        <w:t>UNITED STATES</w:t>
      </w:r>
    </w:p>
    <w:p>
      <w:pPr>
        <w:pStyle w:val="TextBody"/>
        <w:shd w:fill="FFFFFF" w:val="clear"/>
        <w:bidi w:val="0"/>
        <w:spacing w:before="0" w:after="0"/>
        <w:ind w:left="0" w:right="0" w:hanging="0"/>
        <w:jc w:val="center"/>
        <w:rPr>
          <w:b/>
          <w:color w:val="333333"/>
          <w:sz w:val="36"/>
        </w:rPr>
      </w:pPr>
      <w:r>
        <w:rPr>
          <w:b/>
          <w:color w:val="333333"/>
          <w:sz w:val="36"/>
        </w:rPr>
        <w:t>SECURITIES AND EXCHANGE COMMISSION</w:t>
      </w:r>
    </w:p>
    <w:p>
      <w:pPr>
        <w:pStyle w:val="TextBody"/>
        <w:shd w:fill="FFFFFF" w:val="clear"/>
        <w:bidi w:val="0"/>
        <w:spacing w:before="0" w:after="0"/>
        <w:ind w:left="0" w:right="0" w:hanging="0"/>
        <w:jc w:val="center"/>
        <w:rPr>
          <w:b/>
          <w:color w:val="333333"/>
          <w:sz w:val="20"/>
        </w:rPr>
      </w:pPr>
      <w:r>
        <w:rPr>
          <w:b/>
          <w:color w:val="333333"/>
          <w:sz w:val="20"/>
        </w:rPr>
        <w:t>Washington, D.C. 20549</w:t>
      </w:r>
    </w:p>
    <w:p>
      <w:pPr>
        <w:pStyle w:val="TextBody"/>
        <w:shd w:fill="FFFFFF" w:val="clear"/>
        <w:bidi w:val="0"/>
        <w:spacing w:before="0" w:after="0"/>
        <w:ind w:left="0" w:right="0" w:hanging="0"/>
        <w:jc w:val="center"/>
        <w:rPr>
          <w:color w:val="333333"/>
        </w:rPr>
      </w:pPr>
      <w:r>
        <w:rPr>
          <w:color w:val="333333"/>
        </w:rPr>
        <w:t> </w:t>
      </w:r>
    </w:p>
    <w:p>
      <w:pPr>
        <w:pStyle w:val="TextBody"/>
        <w:bidi w:val="0"/>
        <w:spacing w:before="0" w:after="0"/>
        <w:ind w:left="0" w:right="0" w:hanging="0"/>
        <w:jc w:val="center"/>
        <w:rPr>
          <w:b/>
          <w:sz w:val="20"/>
        </w:rPr>
      </w:pPr>
      <w:r>
        <w:rPr>
          <w:b/>
          <w:sz w:val="20"/>
        </w:rPr>
        <w:t>__________________________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b/>
          <w:color w:val="333333"/>
          <w:sz w:val="36"/>
        </w:rPr>
      </w:pPr>
      <w:r>
        <w:rPr>
          <w:b/>
          <w:color w:val="333333"/>
          <w:sz w:val="36"/>
        </w:rPr>
        <w:t xml:space="preserve">FORM </w:t>
      </w:r>
      <w:bookmarkStart w:id="2" w:name="xdx_904_edei--DocumentType_c20260310__20"/>
      <w:bookmarkEnd w:id="2"/>
      <w:r>
        <w:rPr>
          <w:b/>
          <w:color w:val="333333"/>
          <w:sz w:val="36"/>
        </w:rPr>
        <w:t>8-K</w:t>
      </w:r>
    </w:p>
    <w:p>
      <w:pPr>
        <w:pStyle w:val="TextBody"/>
        <w:bidi w:val="0"/>
        <w:spacing w:before="0" w:after="0"/>
        <w:ind w:left="0" w:right="0" w:hanging="0"/>
        <w:jc w:val="center"/>
        <w:rPr>
          <w:b/>
          <w:sz w:val="20"/>
        </w:rPr>
      </w:pPr>
      <w:r>
        <w:rPr>
          <w:b/>
          <w:sz w:val="20"/>
        </w:rPr>
        <w:t>__________________________</w:t>
      </w:r>
    </w:p>
    <w:p>
      <w:pPr>
        <w:pStyle w:val="TextBody"/>
        <w:bidi w:val="0"/>
        <w:spacing w:before="0" w:after="0"/>
        <w:ind w:left="0" w:right="0" w:hanging="0"/>
        <w:jc w:val="center"/>
        <w:rPr/>
      </w:pPr>
      <w:r>
        <w:rPr/>
        <w:t> </w:t>
      </w:r>
    </w:p>
    <w:p>
      <w:pPr>
        <w:pStyle w:val="TextBody"/>
        <w:shd w:fill="FFFFFF" w:val="clear"/>
        <w:bidi w:val="0"/>
        <w:spacing w:before="0" w:after="0"/>
        <w:ind w:left="0" w:right="0" w:hanging="0"/>
        <w:jc w:val="center"/>
        <w:rPr>
          <w:b/>
          <w:color w:val="333333"/>
          <w:sz w:val="20"/>
        </w:rPr>
      </w:pPr>
      <w:r>
        <w:rPr>
          <w:b/>
          <w:color w:val="333333"/>
          <w:sz w:val="20"/>
        </w:rPr>
        <w:t>CURRENT REPORT</w:t>
      </w:r>
    </w:p>
    <w:p>
      <w:pPr>
        <w:pStyle w:val="TextBody"/>
        <w:shd w:fill="FFFFFF" w:val="clear"/>
        <w:bidi w:val="0"/>
        <w:spacing w:before="0" w:after="0"/>
        <w:ind w:left="0" w:right="0" w:hanging="0"/>
        <w:jc w:val="center"/>
        <w:rPr>
          <w:b/>
          <w:color w:val="333333"/>
          <w:sz w:val="20"/>
        </w:rPr>
      </w:pPr>
      <w:r>
        <w:rPr>
          <w:b/>
          <w:color w:val="333333"/>
          <w:sz w:val="20"/>
        </w:rPr>
        <w:t xml:space="preserve">PURSUANT TO SECTION 13 OR 15(D) </w:t>
      </w:r>
    </w:p>
    <w:p>
      <w:pPr>
        <w:pStyle w:val="TextBody"/>
        <w:shd w:fill="FFFFFF" w:val="clear"/>
        <w:bidi w:val="0"/>
        <w:spacing w:before="0" w:after="0"/>
        <w:ind w:left="0" w:right="0" w:hanging="0"/>
        <w:jc w:val="center"/>
        <w:rPr>
          <w:b/>
          <w:color w:val="333333"/>
          <w:sz w:val="20"/>
        </w:rPr>
      </w:pPr>
      <w:r>
        <w:rPr>
          <w:b/>
          <w:color w:val="333333"/>
          <w:sz w:val="20"/>
        </w:rPr>
        <w:t>OF THE SECURITIES EXCHANGE ACT OF 1934</w:t>
      </w:r>
    </w:p>
    <w:p>
      <w:pPr>
        <w:pStyle w:val="TextBody"/>
        <w:shd w:fill="FFFFFF" w:val="clear"/>
        <w:bidi w:val="0"/>
        <w:spacing w:before="0" w:after="0"/>
        <w:ind w:left="0" w:right="0" w:hanging="0"/>
        <w:jc w:val="center"/>
        <w:rPr>
          <w:color w:val="333333"/>
        </w:rPr>
      </w:pPr>
      <w:r>
        <w:rPr>
          <w:color w:val="333333"/>
        </w:rPr>
        <w:t> </w:t>
      </w:r>
    </w:p>
    <w:p>
      <w:pPr>
        <w:pStyle w:val="TextBody"/>
        <w:shd w:fill="FFFFFF" w:val="clear"/>
        <w:bidi w:val="0"/>
        <w:spacing w:before="0" w:after="0"/>
        <w:ind w:left="0" w:right="0" w:hanging="0"/>
        <w:jc w:val="center"/>
        <w:rPr>
          <w:b/>
          <w:color w:val="333333"/>
          <w:sz w:val="20"/>
        </w:rPr>
      </w:pPr>
      <w:r>
        <w:rPr>
          <w:b/>
          <w:color w:val="333333"/>
          <w:sz w:val="20"/>
        </w:rPr>
        <w:t xml:space="preserve">Date of Report (Date of earliest event reported): </w:t>
      </w:r>
      <w:bookmarkStart w:id="3" w:name="xdx_90B_edei--DocumentPeriodEndDate_c202"/>
      <w:bookmarkEnd w:id="3"/>
      <w:r>
        <w:rPr>
          <w:b/>
          <w:color w:val="333333"/>
          <w:sz w:val="20"/>
        </w:rPr>
        <w:t>March 10, 2026</w:t>
      </w:r>
    </w:p>
    <w:p>
      <w:pPr>
        <w:pStyle w:val="TextBody"/>
        <w:shd w:fill="FFFFFF" w:val="clear"/>
        <w:bidi w:val="0"/>
        <w:spacing w:before="0" w:after="0"/>
        <w:ind w:left="0" w:right="0" w:hanging="0"/>
        <w:jc w:val="center"/>
        <w:rPr>
          <w:color w:val="333333"/>
        </w:rPr>
      </w:pPr>
      <w:r>
        <w:rPr>
          <w:color w:val="333333"/>
        </w:rPr>
        <w:t> </w:t>
      </w:r>
    </w:p>
    <w:p>
      <w:pPr>
        <w:pStyle w:val="TextBody"/>
        <w:bidi w:val="0"/>
        <w:spacing w:before="0" w:after="0"/>
        <w:ind w:left="0" w:right="0" w:hanging="0"/>
        <w:jc w:val="center"/>
        <w:rPr>
          <w:b/>
          <w:sz w:val="20"/>
        </w:rPr>
      </w:pPr>
      <w:r>
        <w:rPr>
          <w:b/>
          <w:sz w:val="20"/>
        </w:rPr>
        <w:t>__________________________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b/>
          <w:color w:val="333333"/>
          <w:sz w:val="48"/>
        </w:rPr>
      </w:pPr>
      <w:bookmarkStart w:id="4" w:name="xdx_90B_edei--EntityRegistrantName_c2026"/>
      <w:bookmarkEnd w:id="4"/>
      <w:r>
        <w:rPr>
          <w:b/>
          <w:color w:val="333333"/>
          <w:sz w:val="48"/>
        </w:rPr>
        <w:t>Sono Group N.V.</w:t>
      </w:r>
    </w:p>
    <w:p>
      <w:pPr>
        <w:pStyle w:val="TextBody"/>
        <w:bidi w:val="0"/>
        <w:spacing w:before="0" w:after="0"/>
        <w:ind w:left="0" w:right="0" w:hanging="0"/>
        <w:jc w:val="center"/>
        <w:rPr>
          <w:b/>
          <w:color w:val="333333"/>
          <w:sz w:val="20"/>
        </w:rPr>
      </w:pPr>
      <w:r>
        <w:rPr>
          <w:b/>
          <w:color w:val="333333"/>
          <w:sz w:val="20"/>
        </w:rPr>
        <w:t>(Exact name of registrant as specified in its charter)</w:t>
      </w:r>
    </w:p>
    <w:p>
      <w:pPr>
        <w:pStyle w:val="TextBody"/>
        <w:bidi w:val="0"/>
        <w:spacing w:before="0" w:after="0"/>
        <w:ind w:left="0" w:right="0" w:hanging="0"/>
        <w:jc w:val="center"/>
        <w:rPr>
          <w:color w:val="333333"/>
        </w:rPr>
      </w:pPr>
      <w:r>
        <w:rPr>
          <w:color w:val="333333"/>
        </w:rPr>
        <w:t> </w:t>
      </w:r>
    </w:p>
    <w:p>
      <w:pPr>
        <w:pStyle w:val="TextBody"/>
        <w:bidi w:val="0"/>
        <w:spacing w:before="0" w:after="0"/>
        <w:ind w:left="0" w:right="0" w:hanging="0"/>
        <w:jc w:val="center"/>
        <w:rPr>
          <w:b/>
          <w:sz w:val="20"/>
        </w:rPr>
      </w:pPr>
      <w:r>
        <w:rPr>
          <w:b/>
          <w:sz w:val="20"/>
        </w:rPr>
        <w:t>__________________________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color w:val="333333"/>
        </w:rPr>
      </w:pPr>
      <w:r>
        <w:rPr>
          <w:color w:val="333333"/>
        </w:rPr>
        <w:t> </w:t>
      </w:r>
    </w:p>
    <w:tbl>
      <w:tblPr>
        <w:tblW w:w="6795" w:type="dxa"/>
        <w:jc w:val="left"/>
        <w:tblInd w:w="0" w:type="dxa"/>
        <w:tblLayout w:type="fixed"/>
        <w:tblCellMar>
          <w:top w:w="0" w:type="dxa"/>
          <w:left w:w="0" w:type="dxa"/>
          <w:bottom w:w="0" w:type="dxa"/>
          <w:right w:w="0" w:type="dxa"/>
        </w:tblCellMar>
      </w:tblPr>
      <w:tblGrid>
        <w:gridCol w:w="2480"/>
        <w:gridCol w:w="2615"/>
        <w:gridCol w:w="1700"/>
      </w:tblGrid>
      <w:tr>
        <w:trPr/>
        <w:tc>
          <w:tcPr>
            <w:tcW w:w="2480" w:type="dxa"/>
            <w:tcBorders/>
            <w:vAlign w:val="center"/>
          </w:tcPr>
          <w:p>
            <w:pPr>
              <w:pStyle w:val="TableContents"/>
              <w:bidi w:val="0"/>
              <w:spacing w:before="0" w:after="283"/>
              <w:jc w:val="center"/>
              <w:rPr>
                <w:b/>
              </w:rPr>
            </w:pPr>
            <w:r>
              <w:rPr>
                <w:b/>
              </w:rPr>
              <w:t xml:space="preserve">The </w:t>
            </w:r>
            <w:bookmarkStart w:id="5" w:name="xdx_906_edei--EntityIncorporationStateCo"/>
            <w:bookmarkEnd w:id="5"/>
            <w:r>
              <w:rPr>
                <w:b/>
              </w:rPr>
              <w:t>Netherlands</w:t>
            </w:r>
          </w:p>
        </w:tc>
        <w:tc>
          <w:tcPr>
            <w:tcW w:w="2615" w:type="dxa"/>
            <w:tcBorders/>
            <w:vAlign w:val="center"/>
          </w:tcPr>
          <w:p>
            <w:pPr>
              <w:pStyle w:val="TableContents"/>
              <w:bidi w:val="0"/>
              <w:spacing w:before="0" w:after="283"/>
              <w:jc w:val="center"/>
              <w:rPr>
                <w:b/>
              </w:rPr>
            </w:pPr>
            <w:bookmarkStart w:id="6" w:name="xdx_903_edei--EntityFileNumber_c20260310"/>
            <w:bookmarkEnd w:id="6"/>
            <w:r>
              <w:rPr>
                <w:b/>
              </w:rPr>
              <w:t>001-41066</w:t>
            </w:r>
          </w:p>
        </w:tc>
        <w:tc>
          <w:tcPr>
            <w:tcW w:w="1700" w:type="dxa"/>
            <w:tcBorders/>
            <w:vAlign w:val="center"/>
          </w:tcPr>
          <w:p>
            <w:pPr>
              <w:pStyle w:val="TableContents"/>
              <w:bidi w:val="0"/>
              <w:spacing w:before="0" w:after="283"/>
              <w:jc w:val="center"/>
              <w:rPr>
                <w:b/>
              </w:rPr>
            </w:pPr>
            <w:bookmarkStart w:id="7" w:name="xdx_90A_edei--EntityTaxIdentificationNum"/>
            <w:bookmarkEnd w:id="7"/>
            <w:r>
              <w:rPr>
                <w:b/>
              </w:rPr>
              <w:t>98-1828632</w:t>
            </w:r>
          </w:p>
        </w:tc>
      </w:tr>
      <w:tr>
        <w:trPr/>
        <w:tc>
          <w:tcPr>
            <w:tcW w:w="2480" w:type="dxa"/>
            <w:tcBorders/>
            <w:vAlign w:val="center"/>
          </w:tcPr>
          <w:p>
            <w:pPr>
              <w:pStyle w:val="TableContents"/>
              <w:bidi w:val="0"/>
              <w:jc w:val="center"/>
              <w:rPr/>
            </w:pPr>
            <w:r>
              <w:rPr/>
              <w:t>(State or other jurisdiction</w:t>
            </w:r>
          </w:p>
          <w:p>
            <w:pPr>
              <w:pStyle w:val="TableContents"/>
              <w:bidi w:val="0"/>
              <w:spacing w:before="0" w:after="283"/>
              <w:jc w:val="center"/>
              <w:rPr/>
            </w:pPr>
            <w:r>
              <w:rPr/>
              <w:t>of incorporation)</w:t>
            </w:r>
          </w:p>
        </w:tc>
        <w:tc>
          <w:tcPr>
            <w:tcW w:w="2615" w:type="dxa"/>
            <w:tcBorders/>
            <w:vAlign w:val="center"/>
          </w:tcPr>
          <w:p>
            <w:pPr>
              <w:pStyle w:val="TableContents"/>
              <w:bidi w:val="0"/>
              <w:spacing w:before="0" w:after="283"/>
              <w:jc w:val="center"/>
              <w:rPr/>
            </w:pPr>
            <w:r>
              <w:rPr/>
              <w:t>(Commission File Number)</w:t>
            </w:r>
          </w:p>
        </w:tc>
        <w:tc>
          <w:tcPr>
            <w:tcW w:w="1700" w:type="dxa"/>
            <w:tcBorders/>
            <w:vAlign w:val="center"/>
          </w:tcPr>
          <w:p>
            <w:pPr>
              <w:pStyle w:val="TableContents"/>
              <w:bidi w:val="0"/>
              <w:jc w:val="center"/>
              <w:rPr/>
            </w:pPr>
            <w:r>
              <w:rPr/>
              <w:t>(IRS Employer</w:t>
            </w:r>
          </w:p>
          <w:p>
            <w:pPr>
              <w:pStyle w:val="TableContents"/>
              <w:bidi w:val="0"/>
              <w:spacing w:before="0" w:after="283"/>
              <w:jc w:val="center"/>
              <w:rPr/>
            </w:pPr>
            <w:r>
              <w:rPr/>
              <w:t>Identification No.</w:t>
            </w:r>
          </w:p>
        </w:tc>
      </w:tr>
    </w:tbl>
    <w:p>
      <w:pPr>
        <w:pStyle w:val="TextBody"/>
        <w:bidi w:val="0"/>
        <w:spacing w:before="0" w:after="0"/>
        <w:ind w:left="0" w:right="0" w:hanging="0"/>
        <w:jc w:val="center"/>
        <w:rPr>
          <w:color w:val="333333"/>
        </w:rPr>
      </w:pPr>
      <w:r>
        <w:rPr>
          <w:color w:val="333333"/>
        </w:rPr>
        <w:t> </w:t>
      </w:r>
    </w:p>
    <w:tbl>
      <w:tblPr>
        <w:tblW w:w="5380" w:type="dxa"/>
        <w:jc w:val="left"/>
        <w:tblInd w:w="0" w:type="dxa"/>
        <w:tblLayout w:type="fixed"/>
        <w:tblCellMar>
          <w:top w:w="0" w:type="dxa"/>
          <w:left w:w="0" w:type="dxa"/>
          <w:bottom w:w="0" w:type="dxa"/>
          <w:right w:w="0" w:type="dxa"/>
        </w:tblCellMar>
      </w:tblPr>
      <w:tblGrid>
        <w:gridCol w:w="4295"/>
        <w:gridCol w:w="1085"/>
      </w:tblGrid>
      <w:tr>
        <w:trPr/>
        <w:tc>
          <w:tcPr>
            <w:tcW w:w="4295" w:type="dxa"/>
            <w:tcBorders/>
            <w:vAlign w:val="center"/>
          </w:tcPr>
          <w:p>
            <w:pPr>
              <w:pStyle w:val="TableContents"/>
              <w:bidi w:val="0"/>
              <w:spacing w:before="0" w:after="283"/>
              <w:jc w:val="center"/>
              <w:rPr>
                <w:b/>
              </w:rPr>
            </w:pPr>
            <w:bookmarkStart w:id="8" w:name="xdx_900_edei--EntityAddressAddressLine1_"/>
            <w:bookmarkEnd w:id="8"/>
            <w:r>
              <w:rPr>
                <w:b/>
              </w:rPr>
              <w:t xml:space="preserve">Waldmeisterstrasse 93, </w:t>
            </w:r>
            <w:bookmarkStart w:id="9" w:name="xdx_90A_edei--EntityAddressCityOrTown_c2"/>
            <w:bookmarkEnd w:id="9"/>
            <w:r>
              <w:rPr>
                <w:b/>
              </w:rPr>
              <w:t xml:space="preserve">Munich, </w:t>
            </w:r>
            <w:bookmarkStart w:id="10" w:name="xdx_906_edei--EntityAddressCountry_c2026"/>
            <w:bookmarkEnd w:id="10"/>
            <w:r>
              <w:rPr>
                <w:b/>
              </w:rPr>
              <w:t>Germany</w:t>
            </w:r>
          </w:p>
        </w:tc>
        <w:tc>
          <w:tcPr>
            <w:tcW w:w="1085" w:type="dxa"/>
            <w:tcBorders/>
            <w:vAlign w:val="center"/>
          </w:tcPr>
          <w:p>
            <w:pPr>
              <w:pStyle w:val="TableContents"/>
              <w:bidi w:val="0"/>
              <w:spacing w:before="0" w:after="283"/>
              <w:jc w:val="center"/>
              <w:rPr>
                <w:b/>
              </w:rPr>
            </w:pPr>
            <w:bookmarkStart w:id="11" w:name="xdx_907_edei--EntityAddressPostalZipCode"/>
            <w:bookmarkEnd w:id="11"/>
            <w:r>
              <w:rPr>
                <w:b/>
              </w:rPr>
              <w:t>80935</w:t>
            </w:r>
          </w:p>
        </w:tc>
      </w:tr>
      <w:tr>
        <w:trPr/>
        <w:tc>
          <w:tcPr>
            <w:tcW w:w="4295" w:type="dxa"/>
            <w:tcBorders/>
            <w:vAlign w:val="center"/>
          </w:tcPr>
          <w:p>
            <w:pPr>
              <w:pStyle w:val="TableContents"/>
              <w:bidi w:val="0"/>
              <w:spacing w:before="0" w:after="283"/>
              <w:jc w:val="center"/>
              <w:rPr/>
            </w:pPr>
            <w:r>
              <w:rPr/>
              <w:t>(Address of principal executive offices)</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olor w:val="333333"/>
        </w:rPr>
      </w:pPr>
      <w:r>
        <w:rPr>
          <w:color w:val="333333"/>
        </w:rPr>
        <w:t> </w:t>
      </w:r>
    </w:p>
    <w:p>
      <w:pPr>
        <w:pStyle w:val="TextBody"/>
        <w:bidi w:val="0"/>
        <w:spacing w:before="0" w:after="0"/>
        <w:ind w:left="0" w:right="0" w:hanging="0"/>
        <w:jc w:val="center"/>
        <w:rPr>
          <w:b/>
          <w:color w:val="333333"/>
          <w:sz w:val="20"/>
        </w:rPr>
      </w:pPr>
      <w:bookmarkStart w:id="12" w:name="xdx_904_edei--CountryRegion_c20260310__2"/>
      <w:bookmarkEnd w:id="12"/>
      <w:r>
        <w:rPr>
          <w:b/>
          <w:color w:val="333333"/>
          <w:sz w:val="20"/>
        </w:rPr>
        <w:t xml:space="preserve">+49 </w:t>
      </w:r>
      <w:bookmarkStart w:id="13" w:name="xdx_90D_edei--CityAreaCode_c20260310__20"/>
      <w:bookmarkEnd w:id="13"/>
      <w:r>
        <w:rPr>
          <w:b/>
          <w:color w:val="333333"/>
          <w:sz w:val="20"/>
        </w:rPr>
        <w:t xml:space="preserve">(0)89 </w:t>
      </w:r>
      <w:bookmarkStart w:id="14" w:name="xdx_909_edei--LocalPhoneNumber_c20260310"/>
      <w:bookmarkEnd w:id="14"/>
      <w:r>
        <w:rPr>
          <w:b/>
          <w:color w:val="333333"/>
          <w:sz w:val="20"/>
        </w:rPr>
        <w:t>4520 5818</w:t>
      </w:r>
    </w:p>
    <w:p>
      <w:pPr>
        <w:pStyle w:val="TextBody"/>
        <w:bidi w:val="0"/>
        <w:spacing w:before="0" w:after="0"/>
        <w:ind w:left="0" w:right="0" w:hanging="0"/>
        <w:jc w:val="center"/>
        <w:rPr>
          <w:color w:val="333333"/>
          <w:sz w:val="20"/>
        </w:rPr>
      </w:pPr>
      <w:r>
        <w:rPr>
          <w:color w:val="333333"/>
          <w:sz w:val="20"/>
        </w:rPr>
        <w:t>(Registrant's telephone number, including area code)</w:t>
      </w:r>
    </w:p>
    <w:p>
      <w:pPr>
        <w:pStyle w:val="TextBody"/>
        <w:shd w:fill="FFFFFF" w:val="clear"/>
        <w:bidi w:val="0"/>
        <w:spacing w:before="0" w:after="0"/>
        <w:ind w:left="0" w:right="0" w:hanging="0"/>
        <w:jc w:val="center"/>
        <w:rPr>
          <w:b/>
          <w:sz w:val="20"/>
        </w:rPr>
      </w:pPr>
      <w:r>
        <w:rPr>
          <w:b/>
          <w:sz w:val="20"/>
        </w:rPr>
        <w:t>__________________________</w:t>
      </w:r>
    </w:p>
    <w:p>
      <w:pPr>
        <w:pStyle w:val="TextBody"/>
        <w:shd w:fill="FFFFFF" w:val="clear"/>
        <w:bidi w:val="0"/>
        <w:spacing w:before="0" w:after="0"/>
        <w:ind w:left="0" w:right="0" w:hanging="0"/>
        <w:jc w:val="center"/>
        <w:rPr/>
      </w:pPr>
      <w:r>
        <w:rPr/>
        <w:t> </w:t>
      </w:r>
    </w:p>
    <w:p>
      <w:pPr>
        <w:pStyle w:val="TextBody"/>
        <w:shd w:fill="FFFFFF" w:val="clear"/>
        <w:bidi w:val="0"/>
        <w:spacing w:before="0" w:after="0"/>
        <w:ind w:left="0" w:right="0" w:hanging="0"/>
        <w:jc w:val="left"/>
        <w:rPr>
          <w:color w:val="333333"/>
          <w:sz w:val="20"/>
        </w:rPr>
      </w:pPr>
      <w:r>
        <w:rPr>
          <w:color w:val="333333"/>
          <w:sz w:val="20"/>
        </w:rPr>
        <w:t>Check the appropriate box below if the Form 8-K filing is intended to simultaneously satisfy the filing obligation of the registrant under any of the following provisions (see General Instruction A.2. below):</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rPr>
      </w:pPr>
      <w:bookmarkStart w:id="15" w:name="xdx_90E_edei--WrittenCommunications_c202"/>
      <w:bookmarkEnd w:id="15"/>
      <w:r>
        <w:rPr>
          <w:color w:val="333333"/>
        </w:rPr>
        <w:t xml:space="preserve">☐ </w:t>
      </w:r>
      <w:r>
        <w:rPr>
          <w:color w:val="333333"/>
          <w:sz w:val="20"/>
        </w:rPr>
        <w:t>Written communications pursuant to Rule 425 under the Securities Act (17 CFR 230.425)</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rPr>
      </w:pPr>
      <w:bookmarkStart w:id="16" w:name="xdx_902_edei--SolicitingMaterial_c202603"/>
      <w:bookmarkEnd w:id="16"/>
      <w:r>
        <w:rPr>
          <w:color w:val="333333"/>
        </w:rPr>
        <w:t xml:space="preserve">☐ </w:t>
      </w:r>
      <w:r>
        <w:rPr>
          <w:color w:val="333333"/>
          <w:sz w:val="20"/>
        </w:rPr>
        <w:t>Soliciting material pursuant to Rule 14a-12 under the Exchange Act (17 CFR 240.14a-12)</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rPr>
      </w:pPr>
      <w:bookmarkStart w:id="17" w:name="xdx_901_edei--PreCommencementTenderOffer"/>
      <w:bookmarkEnd w:id="17"/>
      <w:r>
        <w:rPr>
          <w:color w:val="333333"/>
        </w:rPr>
        <w:t xml:space="preserve">☐ </w:t>
      </w:r>
      <w:r>
        <w:rPr>
          <w:color w:val="333333"/>
          <w:sz w:val="20"/>
        </w:rPr>
        <w:t>Pre-commencement communications pursuant to Rule 14d-2(b) under the Exchange Act (17 CFR 240.14d-2(b))</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rPr>
      </w:pPr>
      <w:bookmarkStart w:id="18" w:name="xdx_907_edei--PreCommencementIssuerTende"/>
      <w:bookmarkEnd w:id="18"/>
      <w:r>
        <w:rPr>
          <w:color w:val="333333"/>
        </w:rPr>
        <w:t xml:space="preserve">☐ </w:t>
      </w:r>
      <w:r>
        <w:rPr>
          <w:color w:val="333333"/>
          <w:sz w:val="20"/>
        </w:rPr>
        <w:t>Pre-commencement communications pursuant to Rule 13e-4(c) under the Exchange Act (17 CFR 240.13e-4(c))</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sz w:val="20"/>
        </w:rPr>
      </w:pPr>
      <w:r>
        <w:rPr>
          <w:color w:val="333333"/>
          <w:sz w:val="20"/>
        </w:rPr>
        <w:t>Securities registered pursuant to Section 12(b) of the Act:</w:t>
      </w:r>
    </w:p>
    <w:p>
      <w:pPr>
        <w:pStyle w:val="TextBody"/>
        <w:shd w:fill="FFFFFF" w:val="clear"/>
        <w:bidi w:val="0"/>
        <w:spacing w:before="0" w:after="0"/>
        <w:ind w:left="0" w:right="0" w:hanging="0"/>
        <w:jc w:val="left"/>
        <w:rPr>
          <w:color w:val="333333"/>
        </w:rPr>
      </w:pPr>
      <w:r>
        <w:rPr>
          <w:color w:val="333333"/>
        </w:rPr>
        <w:t> </w:t>
      </w:r>
    </w:p>
    <w:tbl>
      <w:tblPr>
        <w:tblW w:w="6615" w:type="dxa"/>
        <w:jc w:val="left"/>
        <w:tblInd w:w="-10" w:type="dxa"/>
        <w:tblLayout w:type="fixed"/>
        <w:tblCellMar>
          <w:top w:w="28" w:type="dxa"/>
          <w:left w:w="28" w:type="dxa"/>
          <w:bottom w:w="28" w:type="dxa"/>
          <w:right w:w="28" w:type="dxa"/>
        </w:tblCellMar>
      </w:tblPr>
      <w:tblGrid>
        <w:gridCol w:w="1490"/>
        <w:gridCol w:w="1535"/>
        <w:gridCol w:w="3590"/>
      </w:tblGrid>
      <w:tr>
        <w:trPr/>
        <w:tc>
          <w:tcPr>
            <w:tcW w:w="14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color w:val="333333"/>
                <w:sz w:val="20"/>
              </w:rPr>
            </w:pPr>
            <w:r>
              <w:rPr>
                <w:color w:val="333333"/>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color w:val="333333"/>
                <w:sz w:val="20"/>
              </w:rPr>
            </w:pPr>
            <w:r>
              <w:rPr>
                <w:color w:val="333333"/>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color w:val="333333"/>
                <w:sz w:val="20"/>
              </w:rPr>
            </w:pPr>
            <w:r>
              <w:rPr>
                <w:color w:val="333333"/>
                <w:sz w:val="20"/>
              </w:rPr>
              <w:t>Name of each exchange on which registered</w:t>
            </w:r>
          </w:p>
        </w:tc>
      </w:tr>
      <w:tr>
        <w:trPr/>
        <w:tc>
          <w:tcPr>
            <w:tcW w:w="1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olor w:val="333333"/>
                <w:sz w:val="20"/>
              </w:rPr>
            </w:pPr>
            <w:bookmarkStart w:id="19" w:name="xdx_90D_edei--Security12bTitle_c20260310"/>
            <w:bookmarkEnd w:id="19"/>
            <w:r>
              <w:rPr>
                <w:color w:val="333333"/>
                <w:sz w:val="20"/>
              </w:rPr>
              <w:t>Ordinary shares</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333333"/>
                <w:sz w:val="20"/>
              </w:rPr>
            </w:pPr>
            <w:bookmarkStart w:id="20" w:name="xdx_901_edei--TradingSymbol_c20260310__2"/>
            <w:bookmarkEnd w:id="20"/>
            <w:r>
              <w:rPr>
                <w:color w:val="333333"/>
                <w:sz w:val="20"/>
              </w:rPr>
              <w:t>SSM</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333333"/>
                <w:sz w:val="20"/>
              </w:rPr>
            </w:pPr>
            <w:r>
              <w:rPr>
                <w:color w:val="333333"/>
                <w:sz w:val="20"/>
              </w:rPr>
              <w:t xml:space="preserve">The </w:t>
            </w:r>
            <w:bookmarkStart w:id="21" w:name="xdx_901_edei--SecurityExchangeName_c2026"/>
            <w:bookmarkEnd w:id="21"/>
            <w:r>
              <w:rPr>
                <w:color w:val="333333"/>
                <w:sz w:val="20"/>
              </w:rPr>
              <w:t>Nasdaq Stock Market LLC</w:t>
            </w:r>
          </w:p>
        </w:tc>
      </w:tr>
    </w:tbl>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sz w:val="20"/>
        </w:rPr>
      </w:pPr>
      <w:r>
        <w:rPr>
          <w:color w:val="333333"/>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right"/>
        <w:rPr>
          <w:color w:val="333333"/>
          <w:sz w:val="20"/>
        </w:rPr>
      </w:pPr>
      <w:r>
        <w:rPr>
          <w:color w:val="333333"/>
          <w:sz w:val="20"/>
        </w:rPr>
        <w:t xml:space="preserve">Emerging growth company </w:t>
      </w:r>
      <w:bookmarkStart w:id="22" w:name="xdx_90F_edei--EntityEmergingGrowthCompan"/>
      <w:bookmarkEnd w:id="22"/>
      <w:r>
        <w:rPr>
          <w:color w:val="333333"/>
          <w:sz w:val="20"/>
        </w:rPr>
        <w:t>☒</w:t>
      </w:r>
    </w:p>
    <w:p>
      <w:pPr>
        <w:pStyle w:val="TextBody"/>
        <w:shd w:fill="FFFFFF" w:val="clear"/>
        <w:bidi w:val="0"/>
        <w:spacing w:before="0" w:after="0"/>
        <w:ind w:left="0" w:right="0" w:hanging="0"/>
        <w:jc w:val="right"/>
        <w:rPr>
          <w:color w:val="333333"/>
        </w:rPr>
      </w:pPr>
      <w:r>
        <w:rPr>
          <w:color w:val="333333"/>
        </w:rPr>
        <w:t> </w:t>
      </w:r>
    </w:p>
    <w:p>
      <w:pPr>
        <w:pStyle w:val="TextBody"/>
        <w:shd w:fill="FFFFFF" w:val="clear"/>
        <w:bidi w:val="0"/>
        <w:spacing w:before="0" w:after="0"/>
        <w:ind w:left="0" w:right="0" w:hanging="0"/>
        <w:jc w:val="left"/>
        <w:rPr>
          <w:color w:val="333333"/>
          <w:sz w:val="20"/>
        </w:rPr>
      </w:pPr>
      <w:r>
        <w:rPr>
          <w:color w:val="333333"/>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B_edei--EntityExTransitionPeriod_c"/>
      <w:bookmarkEnd w:id="23"/>
      <w:r>
        <w:rPr>
          <w:color w:val="333333"/>
          <w:sz w:val="20"/>
        </w:rPr>
        <w:t>☐</w:t>
      </w:r>
    </w:p>
    <w:p>
      <w:pPr>
        <w:pStyle w:val="TextBody"/>
        <w:shd w:fill="FFFFFF" w:val="clear"/>
        <w:bidi w:val="0"/>
        <w:spacing w:before="0" w:after="0"/>
        <w:ind w:left="0" w:right="0" w:hanging="0"/>
        <w:jc w:val="left"/>
        <w:rPr>
          <w:color w:val="333333"/>
        </w:rPr>
      </w:pPr>
      <w:r>
        <w:rPr>
          <w:color w:val="333333"/>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olor w:val="333333"/>
        </w:rPr>
      </w:pPr>
      <w:r>
        <w:rPr>
          <w:color w:val="333333"/>
        </w:rPr>
        <w:t> </w:t>
      </w:r>
    </w:p>
    <w:tbl>
      <w:tblPr>
        <w:tblW w:w="5478" w:type="dxa"/>
        <w:jc w:val="left"/>
        <w:tblInd w:w="0" w:type="dxa"/>
        <w:tblLayout w:type="fixed"/>
        <w:tblCellMar>
          <w:top w:w="0" w:type="dxa"/>
          <w:left w:w="0" w:type="dxa"/>
          <w:bottom w:w="0" w:type="dxa"/>
          <w:right w:w="0" w:type="dxa"/>
        </w:tblCellMar>
      </w:tblPr>
      <w:tblGrid>
        <w:gridCol w:w="38"/>
        <w:gridCol w:w="96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pPr>
      <w:r>
        <w:rPr/>
        <w:t> </w:t>
      </w:r>
    </w:p>
    <w:p>
      <w:pPr>
        <w:pStyle w:val="TextBody"/>
        <w:bidi w:val="0"/>
        <w:spacing w:before="0" w:after="0"/>
        <w:ind w:left="0" w:right="0" w:hanging="0"/>
        <w:jc w:val="both"/>
        <w:rPr>
          <w:b/>
          <w:i/>
          <w:sz w:val="20"/>
        </w:rPr>
      </w:pPr>
      <w:r>
        <w:rPr>
          <w:b/>
          <w:i/>
          <w:sz w:val="20"/>
        </w:rPr>
        <w:t>Private Placement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March 10, 2026, Sono Group N.V. (the “Company”) entered into a Pre-Funded Warrant Securities Purchase Agreement, dated March 10, 2026 (the “Securities Purchase Agreement”), between the Company and YA II PN, Ltd. (“Yorkville”), for a private placement (the “Private Placement”) of securities. At the closing of the Private Placement (the “Closing”), which occurred on March 10, 2026, the Company issued and sold to Yorkville a pre-funded warrant to purchase up to 283,367 Ordinary Shares of the Company (the “Warrant Shares”), exercisable in whole or in part at any time after issuance (the “Pre-Funded Warrant”).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aggregate subscription amount for the Pre-Funded Warrant was $2,000,004.29. Such amount was paid by Yorkville at the Closing. The aggregate gross proceeds to the Company from the Private Placement were approximately $2,000,004.29, before deducting the offering expenses payable by the Company, which expenses consist solely of legal fees. The Company intends to use the net proceeds from the offering for working capital purposes. In addition, the per share exercise price of the Pre-Funded Warrant is €0.01.</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Securities Purchase Agreement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Securities Purchase Agreement contains customary representations, warranties, and covenants of the Company and Yorkville and customary closing conditions, indemnification rights, and other obligations of the parties. Under the Securities Purchase Agreement, the Company agreed to use the net proceeds from the sale of the Pre-Funded Warrant for working capital purposes and to not use such proceeds: (a) for the redemption of any Ordinary Shares, (b) for the satisfaction of any portion of the Company’s debt (other than payment of trade payables in the ordinary course of the Company’s business and prior practices), (c) for the settlement of any outstanding litigation, or (d) in violation of the Foreign Corrupt Practices Act of 1977, as amended, or the regulations promulgated by the Office of Foreign Assets Control of the U.S. Treasury Department.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Securities Purchase Agreement provides that, concurrently with the Closing, the Company shall apply to list all of the Warrant Shares on the Nasdaq Capital Market, and will take such other action reasonably necessary to secure the listing of all of the Warrant Shares thereon as promptly as possible. The Company has further agreed under the Securities Purchase Agreement to use best efforts to maintain the listing of the Ordinary Shares on the Nasdaq Capital Market.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Securities Purchase Agreement is governed by the laws of the State of New York.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foregoing description of the Securities Purchase Agreement does not purport to be complete and is qualified in its entirety by reference to the full text of the Securities Purchase Agreement, which is attached hereto as Exhibit 10.1 and is incorporated herein by reference.</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Pre-Funded Warrant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Pre-Funded Warrant is exercisable for up to 283,367 Ordinary Shares at an exercise price of €0.01 per share (subject to certain adjustments), is exercisable immediately upon issuance, and may be exercised, in whole or in part, at any time until exercised in full. Yorkville (together with its Attribution Parties (as defined in the Pre-Funded Warrant)) may not exercise any Pre-Funded Warrant to the extent that Yorkville would own more than 4.99% of the outstanding Ordinary Shares immediately after giving effect to the issuance of Ordinary Shares issuable upon exercise of such Pre-Funded Warrant, which percentage may be changed at Yorkville’s election to a lower or higher percentage not in excess of 9.99% upon 61 days’ notice to the Company, subject to the terms of the Pre-Funded Warrant.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Pre-Funded Warrant provides for standard anti-dilution adjustments to the exercise price and the number of Warrant Shares issuable upon exercise in connection with stock dividends, splits, combinations, reclassifications and similar events. In the event of a Fundamental Transaction (as such term is defined in the Pre-Funded Warrant), then upon any subsequent exercise of the Pre-Funded Warrant, the holder shall have the right to receive, for each Warrant Share that would have been issuable upon such exercise immediately prior to the occurrence of such Fundamental Transaction, at the option of such holder (without regard to any beneficial ownership limitation on the exercise of the Pre-Funded Warrant), the number of shares of stock of the successor or acquiring corporation or of the Company, if it is the surviving corporation, and any additional consideration (the “Alternate Consideration”) receivable as a result of such Fundamental Transaction by a holder of the number of Ordinary Shares for which the Pre-Funded Warrant is exercisable immediately prior to such Fundamental Transaction (without regard to any beneficial ownership limitation on the exercise of the Pre-Funded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of the Pre-Funded Warrant shall be given the same choice as to the Alternate Consideration it receives upon any exercise of the Pre-Funded Warrant following such Fundamental Transaction. The Company will cause any successor entity to assume the Company’s obligations under the Pre-Funded Warrant.</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foregoing description of the Pre-Funded Warrant does not purport to be complete and is qualified in its entirety by reference to the full text of the Pre-Funded Warrant, which is attached hereto as Exhibit 4.1 and is incorporated herein by reference.</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Registration Rights Agreement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connection with the Private Placement, the Company entered into a Registration Rights Agreement with Yorkville, dated March 10, 2026 (the “Registration Rights Agreement”). The Registration Rights Agreement provides that the Company shall file a registration statement covering the resale of all of the Warrant Shares and any other Registrable Securities (as defined in the Registration Rights Agreement) with the Securities and Exchange Commission (the “SEC”) no later than the 30th calendar day following the date of the Registration Rights Agreement, and have the registration statement declared effective by the SEC as promptly as practicable after the filing thereof, but in any event no later than the 90th calendar day following the date of the Registration Rights Agreement, or in the event of a “full review” by the SEC, the 120th day following the date of the Registration Rights Agreement.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Upon the occurrence of any Event (as defined in the Registration Rights Agreement), which, among others, prohibits Yorkville from reselling the Registrable Securities for more than ten consecutive calendar days or more than an aggregate of twenty calendar days during any twelve-month period, the Company is obligated to pay to Yorkville, on each monthly anniversary of each such Event, an amount in cash, as partial liquidated damages and not as a penalty, equal to the product of 1.0% multiplied by the aggregate subscription amount paid by Yorkville pursuant to the Securities Purchase Agreement.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All fees and expenses incident to the performance of or compliance with the Registration Rights Agreement by the Company will be borne by the Company, whether or not any Warrant Shares are sold pursuant to a registration statement.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foregoing description of the Registration Rights Agreement does not purport to be complete and is qualified in its entirety by reference to the full text of the Registration Rights Agreement, which is attached hereto as Exhibit 10.2 and is incorporated herein by reference.</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 xml:space="preserve">Convertible Debenture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Concurrently with the entry into the Securities Purchase Agreement and the Registration Rights Agreement, on March 10, 2026, the Company issued a convertible debenture (the “Debenture”) to Yorkville in the aggregate principal amount of $3,000,000.</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Debenture matures on March 10, 2027 (the “Maturity Date”), which maturity date may be extended at the option of Yorkville. Further, interest accrues on the outstanding principal balance of the Debenture at an annual rate of 12%, which will increase to an annual rate of 18% upon an Event of Default (as defined in the Debenture), for so long as such Event of Default remains uncured. Yorkville will have the right to convert the Debenture into Ordinary Shares of the Company at the lower of (i) a price per Ordinary Share equal to $18.75 or (ii) 85% of the lowest daily volume weighted average price of the Ordinary Shares during the seven consecutive trading days immediately preceding the conversion date or other date of determination (the “Variable Conversion Price”); provided that the Variable Conversion Price may not be lower than the Floor Price (as defined in the Debenture) then in effect or the nominal value of one Ordinary Share. Net proceeds to the Company from the Debenture were $3,000,000.</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foregoing description of the Debenture does not purport to be complete and is qualified in its entirety by reference to the full text of the Debenture, which is attached hereto as Exhibit 10.3 and is incorporated herein by reference.</w:t>
      </w:r>
    </w:p>
    <w:p>
      <w:pPr>
        <w:pStyle w:val="TextBody"/>
        <w:bidi w:val="0"/>
        <w:spacing w:before="0" w:after="0"/>
        <w:ind w:left="0" w:right="0" w:hanging="0"/>
        <w:jc w:val="both"/>
        <w:rPr/>
      </w:pPr>
      <w:r>
        <w:rPr/>
        <w:t> </w:t>
      </w:r>
    </w:p>
    <w:tbl>
      <w:tblPr>
        <w:tblW w:w="5028" w:type="dxa"/>
        <w:jc w:val="left"/>
        <w:tblInd w:w="0" w:type="dxa"/>
        <w:tblLayout w:type="fixed"/>
        <w:tblCellMar>
          <w:top w:w="0" w:type="dxa"/>
          <w:left w:w="0" w:type="dxa"/>
          <w:bottom w:w="0" w:type="dxa"/>
          <w:right w:w="0" w:type="dxa"/>
        </w:tblCellMar>
      </w:tblPr>
      <w:tblGrid>
        <w:gridCol w:w="38"/>
        <w:gridCol w:w="965"/>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pPr>
            <w:r>
              <w:rPr>
                <w:b/>
              </w:rPr>
              <w:t>Item</w:t>
            </w:r>
            <w:r>
              <w:rPr/>
              <w:t> </w:t>
            </w:r>
            <w:r>
              <w:rPr>
                <w:b/>
              </w:rPr>
              <w:t>3.02</w:t>
            </w:r>
          </w:p>
        </w:tc>
        <w:tc>
          <w:tcPr>
            <w:tcW w:w="4025" w:type="dxa"/>
            <w:tcBorders/>
            <w:vAlign w:val="center"/>
          </w:tcPr>
          <w:p>
            <w:pPr>
              <w:pStyle w:val="TableContents"/>
              <w:bidi w:val="0"/>
              <w:spacing w:before="0" w:after="283"/>
              <w:jc w:val="left"/>
              <w:rPr>
                <w:b/>
              </w:rPr>
            </w:pPr>
            <w:r>
              <w:rPr>
                <w:b/>
              </w:rPr>
              <w:t>Unregistered Sales of Equity Securities.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information under Item 1.01 above is incorporated by reference into this Item 3.02.</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Debenture was issued and the Pre-Funded Warrant was sold without registration under the Securities Act of 1933, as amended (the “Securities Act”), in reliance on the exemptions provided by Section 4(a)(2) of the Securities Act as a transaction not involving a public offering and Rule 506(b) of Regulation D promulgated under the Securities Act as sales to an accredited investor and in reliance on similar exemptions under applicable state laws. Any Ordinary Shares issuable upon conversion of the Debenture and the Warrant Shares issuable upon each exercise of the Pre-Funded Warrant will be issued without registration under the Securities Act in reliance on applicable exemptions therefrom.</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i/>
          <w:sz w:val="20"/>
        </w:rPr>
        <w:t>(d) Exhibits.</w:t>
      </w:r>
      <w:r>
        <w:rPr>
          <w:sz w:val="20"/>
        </w:rPr>
        <w:t xml:space="preserve"> The following exhibits are filed with this Current Report on Form 8-K:</w:t>
      </w:r>
    </w:p>
    <w:p>
      <w:pPr>
        <w:pStyle w:val="TextBody"/>
        <w:bidi w:val="0"/>
        <w:spacing w:before="0" w:after="0"/>
        <w:ind w:left="0" w:right="0" w:hanging="0"/>
        <w:jc w:val="left"/>
        <w:rPr/>
      </w:pPr>
      <w:r>
        <w:rPr/>
        <w:t> </w:t>
      </w:r>
    </w:p>
    <w:tbl>
      <w:tblPr>
        <w:tblW w:w="7195" w:type="dxa"/>
        <w:jc w:val="left"/>
        <w:tblInd w:w="0" w:type="dxa"/>
        <w:tblLayout w:type="fixed"/>
        <w:tblCellMar>
          <w:top w:w="0" w:type="dxa"/>
          <w:left w:w="0" w:type="dxa"/>
          <w:bottom w:w="0" w:type="dxa"/>
          <w:right w:w="0" w:type="dxa"/>
        </w:tblCellMar>
      </w:tblPr>
      <w:tblGrid>
        <w:gridCol w:w="650"/>
        <w:gridCol w:w="60"/>
        <w:gridCol w:w="6485"/>
      </w:tblGrid>
      <w:tr>
        <w:trPr/>
        <w:tc>
          <w:tcPr>
            <w:tcW w:w="650" w:type="dxa"/>
            <w:tcBorders/>
            <w:vAlign w:val="center"/>
          </w:tcPr>
          <w:p>
            <w:pPr>
              <w:pStyle w:val="TableContents"/>
              <w:bidi w:val="0"/>
              <w:spacing w:before="0" w:after="283"/>
              <w:jc w:val="left"/>
              <w:rPr>
                <w:sz w:val="20"/>
                <w:u w:val="single"/>
              </w:rPr>
            </w:pPr>
            <w:r>
              <w:rPr>
                <w:sz w:val="20"/>
                <w:u w:val="single"/>
              </w:rPr>
              <w:t>Exhibit</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sz w:val="20"/>
                <w:u w:val="single"/>
              </w:rPr>
            </w:pPr>
            <w:r>
              <w:rPr>
                <w:sz w:val="20"/>
                <w:u w:val="single"/>
              </w:rPr>
              <w:t>Description of Exhibit</w:t>
            </w:r>
          </w:p>
        </w:tc>
      </w:tr>
      <w:tr>
        <w:trPr/>
        <w:tc>
          <w:tcPr>
            <w:tcW w:w="650" w:type="dxa"/>
            <w:tcBorders/>
            <w:vAlign w:val="center"/>
          </w:tcPr>
          <w:p>
            <w:pPr>
              <w:pStyle w:val="TableContents"/>
              <w:bidi w:val="0"/>
              <w:spacing w:before="0" w:after="283"/>
              <w:jc w:val="left"/>
              <w:rPr/>
            </w:pPr>
            <w:hyperlink w:anchor="exh_41.htm">
              <w:r>
                <w:rPr>
                  <w:rStyle w:val="InternetLink"/>
                  <w:sz w:val="20"/>
                </w:rPr>
                <w:t>4.1</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exh_41.htm">
              <w:r>
                <w:rPr>
                  <w:rStyle w:val="InternetLink"/>
                  <w:sz w:val="20"/>
                </w:rPr>
                <w:t>Pre-Funded Warrant dated March 10, 2026</w:t>
              </w:r>
            </w:hyperlink>
          </w:p>
        </w:tc>
      </w:tr>
      <w:tr>
        <w:trPr/>
        <w:tc>
          <w:tcPr>
            <w:tcW w:w="650" w:type="dxa"/>
            <w:tcBorders/>
            <w:vAlign w:val="center"/>
          </w:tcPr>
          <w:p>
            <w:pPr>
              <w:pStyle w:val="TableContents"/>
              <w:bidi w:val="0"/>
              <w:spacing w:before="0" w:after="283"/>
              <w:jc w:val="left"/>
              <w:rPr/>
            </w:pPr>
            <w:hyperlink w:anchor="exh_101.htm">
              <w:r>
                <w:rPr>
                  <w:rStyle w:val="InternetLink"/>
                  <w:sz w:val="20"/>
                </w:rPr>
                <w:t>10.1</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exh_101.htm">
              <w:r>
                <w:rPr>
                  <w:rStyle w:val="InternetLink"/>
                  <w:sz w:val="20"/>
                </w:rPr>
                <w:t>Pre-Funded Warrant Securities Purchase Agreement dated March 10, 2026</w:t>
              </w:r>
            </w:hyperlink>
          </w:p>
        </w:tc>
      </w:tr>
      <w:tr>
        <w:trPr/>
        <w:tc>
          <w:tcPr>
            <w:tcW w:w="650" w:type="dxa"/>
            <w:tcBorders/>
            <w:vAlign w:val="center"/>
          </w:tcPr>
          <w:p>
            <w:pPr>
              <w:pStyle w:val="TableContents"/>
              <w:bidi w:val="0"/>
              <w:spacing w:before="0" w:after="283"/>
              <w:jc w:val="left"/>
              <w:rPr/>
            </w:pPr>
            <w:hyperlink w:anchor="exh_102.htm">
              <w:r>
                <w:rPr>
                  <w:rStyle w:val="InternetLink"/>
                  <w:sz w:val="20"/>
                </w:rPr>
                <w:t>10.2</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exh_102.htm">
              <w:r>
                <w:rPr>
                  <w:rStyle w:val="InternetLink"/>
                  <w:sz w:val="20"/>
                </w:rPr>
                <w:t>Registration Rights Agreement dated March 10, 2026</w:t>
              </w:r>
            </w:hyperlink>
          </w:p>
        </w:tc>
      </w:tr>
      <w:tr>
        <w:trPr/>
        <w:tc>
          <w:tcPr>
            <w:tcW w:w="650" w:type="dxa"/>
            <w:tcBorders/>
            <w:vAlign w:val="center"/>
          </w:tcPr>
          <w:p>
            <w:pPr>
              <w:pStyle w:val="TableContents"/>
              <w:bidi w:val="0"/>
              <w:spacing w:before="0" w:after="283"/>
              <w:jc w:val="left"/>
              <w:rPr/>
            </w:pPr>
            <w:hyperlink w:anchor="exh_103.htm">
              <w:r>
                <w:rPr>
                  <w:rStyle w:val="InternetLink"/>
                  <w:sz w:val="20"/>
                </w:rPr>
                <w:t>10.3</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exh_103.htm">
              <w:r>
                <w:rPr>
                  <w:rStyle w:val="InternetLink"/>
                  <w:sz w:val="20"/>
                </w:rPr>
                <w:t>Convertible Debenture dated March 10, 2026</w:t>
              </w:r>
            </w:hyperlink>
          </w:p>
        </w:tc>
      </w:tr>
      <w:tr>
        <w:trPr/>
        <w:tc>
          <w:tcPr>
            <w:tcW w:w="65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3285" w:type="dxa"/>
        <w:jc w:val="left"/>
        <w:tblInd w:w="0" w:type="dxa"/>
        <w:tblLayout w:type="fixed"/>
        <w:tblCellMar>
          <w:top w:w="0" w:type="dxa"/>
          <w:left w:w="0" w:type="dxa"/>
          <w:bottom w:w="0" w:type="dxa"/>
          <w:right w:w="0" w:type="dxa"/>
        </w:tblCellMar>
      </w:tblPr>
      <w:tblGrid>
        <w:gridCol w:w="75"/>
        <w:gridCol w:w="260"/>
        <w:gridCol w:w="590"/>
        <w:gridCol w:w="2360"/>
      </w:tblGrid>
      <w:tr>
        <w:trPr/>
        <w:tc>
          <w:tcPr>
            <w:tcW w:w="75" w:type="dxa"/>
            <w:tcBorders/>
            <w:vAlign w:val="center"/>
          </w:tcPr>
          <w:p>
            <w:pPr>
              <w:pStyle w:val="TableContents"/>
              <w:bidi w:val="0"/>
              <w:spacing w:before="0" w:after="283"/>
              <w:jc w:val="left"/>
              <w:rPr/>
            </w:pPr>
            <w:r>
              <w:rPr/>
              <w:t> </w:t>
            </w:r>
          </w:p>
        </w:tc>
        <w:tc>
          <w:tcPr>
            <w:tcW w:w="3210" w:type="dxa"/>
            <w:gridSpan w:val="3"/>
            <w:tcBorders/>
            <w:vAlign w:val="center"/>
          </w:tcPr>
          <w:p>
            <w:pPr>
              <w:pStyle w:val="TableContents"/>
              <w:bidi w:val="0"/>
              <w:spacing w:before="0" w:after="283"/>
              <w:jc w:val="left"/>
              <w:rPr>
                <w:b/>
                <w:sz w:val="20"/>
              </w:rPr>
            </w:pPr>
            <w:r>
              <w:rPr>
                <w:b/>
                <w:sz w:val="20"/>
              </w:rPr>
              <w:t>Sono Group N.V.</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29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29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20"/>
              </w:rPr>
            </w:pPr>
            <w:r>
              <w:rPr>
                <w:sz w:val="20"/>
              </w:rPr>
              <w:t>By</w:t>
            </w:r>
          </w:p>
        </w:tc>
        <w:tc>
          <w:tcPr>
            <w:tcW w:w="2950" w:type="dxa"/>
            <w:gridSpan w:val="2"/>
            <w:tcBorders>
              <w:bottom w:val="single" w:sz="8" w:space="0" w:color="000000"/>
            </w:tcBorders>
            <w:tcMar>
              <w:bottom w:w="28" w:type="dxa"/>
            </w:tcMar>
            <w:vAlign w:val="center"/>
          </w:tcPr>
          <w:p>
            <w:pPr>
              <w:pStyle w:val="TableContents"/>
              <w:bidi w:val="0"/>
              <w:spacing w:before="0" w:after="283"/>
              <w:jc w:val="left"/>
              <w:rPr/>
            </w:pPr>
            <w:r>
              <w:rPr/>
              <w:t>  </w:t>
            </w:r>
            <w:r>
              <w:rPr>
                <w:sz w:val="20"/>
              </w:rPr>
              <w:t>/s/ Kevin McGurn</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2360" w:type="dxa"/>
            <w:tcBorders/>
            <w:vAlign w:val="center"/>
          </w:tcPr>
          <w:p>
            <w:pPr>
              <w:pStyle w:val="TableContents"/>
              <w:bidi w:val="0"/>
              <w:spacing w:before="0" w:after="283"/>
              <w:jc w:val="left"/>
              <w:rPr>
                <w:sz w:val="20"/>
              </w:rPr>
            </w:pPr>
            <w:r>
              <w:rPr>
                <w:sz w:val="20"/>
              </w:rPr>
              <w:t>Kevin McGurn</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590" w:type="dxa"/>
            <w:tcBorders/>
            <w:vAlign w:val="center"/>
          </w:tcPr>
          <w:p>
            <w:pPr>
              <w:pStyle w:val="TableContents"/>
              <w:bidi w:val="0"/>
              <w:spacing w:before="0" w:after="283"/>
              <w:jc w:val="left"/>
              <w:rPr>
                <w:sz w:val="20"/>
              </w:rPr>
            </w:pPr>
            <w:r>
              <w:rPr>
                <w:sz w:val="20"/>
              </w:rPr>
              <w:t>Title:</w:t>
            </w:r>
          </w:p>
        </w:tc>
        <w:tc>
          <w:tcPr>
            <w:tcW w:w="2360" w:type="dxa"/>
            <w:tcBorders/>
            <w:vAlign w:val="center"/>
          </w:tcPr>
          <w:p>
            <w:pPr>
              <w:pStyle w:val="TableContents"/>
              <w:bidi w:val="0"/>
              <w:spacing w:before="0" w:after="0"/>
              <w:ind w:left="0" w:right="0" w:hanging="0"/>
              <w:jc w:val="left"/>
              <w:rPr>
                <w:sz w:val="20"/>
              </w:rPr>
            </w:pPr>
            <w:r>
              <w:rPr>
                <w:sz w:val="20"/>
              </w:rPr>
              <w:t>CEO and Managing Director</w:t>
            </w:r>
          </w:p>
          <w:p>
            <w:pPr>
              <w:pStyle w:val="TableContents"/>
              <w:bidi w:val="0"/>
              <w:spacing w:before="0" w:after="0"/>
              <w:ind w:left="0" w:right="0" w:hanging="0"/>
              <w:jc w:val="left"/>
              <w:rPr/>
            </w:pPr>
            <w:r>
              <w:rPr/>
              <w:t> </w:t>
            </w:r>
          </w:p>
        </w:tc>
      </w:tr>
    </w:tbl>
    <w:p>
      <w:pPr>
        <w:pStyle w:val="TextBody"/>
        <w:bidi w:val="0"/>
        <w:spacing w:before="0" w:after="0"/>
        <w:ind w:left="0" w:right="0" w:hanging="0"/>
        <w:jc w:val="left"/>
        <w:rPr>
          <w:sz w:val="20"/>
        </w:rPr>
      </w:pPr>
      <w:r>
        <w:rPr>
          <w:sz w:val="20"/>
        </w:rPr>
        <w:t>Date: March 10,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color w:val="333333"/>
        </w:rPr>
      </w:pPr>
      <w:r>
        <w:rPr>
          <w:color w:val="333333"/>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jc w:val="right"/>
        <w:rPr>
          <w:b/>
        </w:rPr>
      </w:pPr>
      <w:bookmarkStart w:id="24" w:name="exh_41.htm"/>
      <w:bookmarkStart w:id="25" w:name="ksexh_41"/>
      <w:bookmarkEnd w:id="24"/>
      <w:bookmarkEnd w:id="25"/>
      <w:r>
        <w:rPr>
          <w:b/>
        </w:rPr>
        <w:t>Exhibit 4.1</w:t>
      </w:r>
      <w:r>
        <w:br w:type="page"/>
      </w:r>
    </w:p>
    <w:p>
      <w:pPr>
        <w:pStyle w:val="TextBody"/>
        <w:bidi w:val="0"/>
        <w:spacing w:before="0" w:after="283"/>
        <w:jc w:val="left"/>
        <w:rPr/>
      </w:pPr>
      <w:r>
        <w:rPr/>
        <w:t> </w:t>
      </w:r>
    </w:p>
    <w:p>
      <w:pPr>
        <w:pStyle w:val="TextBody"/>
        <w:bidi w:val="0"/>
        <w:spacing w:before="0" w:after="0"/>
        <w:ind w:left="0" w:right="0" w:hanging="0"/>
        <w:jc w:val="both"/>
        <w:rPr>
          <w:sz w:val="20"/>
        </w:rPr>
      </w:pPr>
      <w:r>
        <w:rPr>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w:t>
      </w:r>
      <w:r>
        <w:rPr>
          <w:sz w:val="20"/>
          <w:u w:val="single"/>
        </w:rPr>
        <w:t>SECURITIES ACT</w:t>
      </w:r>
      <w:r>
        <w:rPr>
          <w:sz w:val="20"/>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both"/>
        <w:rPr/>
      </w:pPr>
      <w:r>
        <w:rPr/>
        <w:t> </w:t>
      </w:r>
    </w:p>
    <w:p>
      <w:pPr>
        <w:pStyle w:val="TextBody"/>
        <w:bidi w:val="0"/>
        <w:spacing w:before="0" w:after="0"/>
        <w:ind w:left="0" w:right="0" w:hanging="0"/>
        <w:jc w:val="center"/>
        <w:rPr>
          <w:b/>
          <w:caps/>
          <w:sz w:val="20"/>
        </w:rPr>
      </w:pPr>
      <w:r>
        <w:rPr>
          <w:b/>
          <w:caps/>
          <w:sz w:val="20"/>
        </w:rPr>
        <w:t>PRE-FUNDED Ordinary Shares PURCHASE WARRANT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20"/>
        </w:rPr>
      </w:pPr>
      <w:r>
        <w:rPr>
          <w:b/>
          <w:caps/>
          <w:sz w:val="20"/>
        </w:rPr>
        <w:t>SONO GROUP N.V.</w:t>
      </w:r>
    </w:p>
    <w:p>
      <w:pPr>
        <w:pStyle w:val="TextBody"/>
        <w:bidi w:val="0"/>
        <w:spacing w:before="0" w:after="0"/>
        <w:ind w:left="0" w:right="0" w:hanging="0"/>
        <w:jc w:val="center"/>
        <w:rPr>
          <w:caps/>
        </w:rPr>
      </w:pPr>
      <w:r>
        <w:rPr>
          <w:caps/>
        </w:rPr>
        <w:t> </w:t>
      </w:r>
    </w:p>
    <w:tbl>
      <w:tblPr>
        <w:tblW w:w="5200" w:type="dxa"/>
        <w:jc w:val="left"/>
        <w:tblInd w:w="0" w:type="dxa"/>
        <w:tblLayout w:type="fixed"/>
        <w:tblCellMar>
          <w:top w:w="0" w:type="dxa"/>
          <w:left w:w="0" w:type="dxa"/>
          <w:bottom w:w="0" w:type="dxa"/>
          <w:right w:w="0" w:type="dxa"/>
        </w:tblCellMar>
      </w:tblPr>
      <w:tblGrid>
        <w:gridCol w:w="2120"/>
        <w:gridCol w:w="3080"/>
      </w:tblGrid>
      <w:tr>
        <w:trPr/>
        <w:tc>
          <w:tcPr>
            <w:tcW w:w="2120" w:type="dxa"/>
            <w:tcBorders/>
            <w:vAlign w:val="center"/>
          </w:tcPr>
          <w:p>
            <w:pPr>
              <w:pStyle w:val="TableContents"/>
              <w:bidi w:val="0"/>
              <w:spacing w:before="0" w:after="283"/>
              <w:jc w:val="both"/>
              <w:rPr>
                <w:sz w:val="20"/>
              </w:rPr>
            </w:pPr>
            <w:r>
              <w:rPr>
                <w:sz w:val="20"/>
              </w:rPr>
              <w:t xml:space="preserve">Warrant Shares:  283,367 </w:t>
            </w:r>
          </w:p>
        </w:tc>
        <w:tc>
          <w:tcPr>
            <w:tcW w:w="3080" w:type="dxa"/>
            <w:tcBorders/>
            <w:vAlign w:val="center"/>
          </w:tcPr>
          <w:p>
            <w:pPr>
              <w:pStyle w:val="TableContents"/>
              <w:bidi w:val="0"/>
              <w:spacing w:before="0" w:after="283"/>
              <w:jc w:val="both"/>
              <w:rPr>
                <w:sz w:val="20"/>
              </w:rPr>
            </w:pPr>
            <w:r>
              <w:rPr>
                <w:sz w:val="20"/>
              </w:rPr>
              <w:t>Initial Exercise Date: March 10, 2026</w:t>
            </w:r>
          </w:p>
        </w:tc>
      </w:tr>
      <w:tr>
        <w:trPr/>
        <w:tc>
          <w:tcPr>
            <w:tcW w:w="2120" w:type="dxa"/>
            <w:tcBorders/>
            <w:vAlign w:val="center"/>
          </w:tcPr>
          <w:p>
            <w:pPr>
              <w:pStyle w:val="TableContents"/>
              <w:bidi w:val="0"/>
              <w:spacing w:before="0" w:after="283"/>
              <w:jc w:val="both"/>
              <w:rPr/>
            </w:pPr>
            <w:r>
              <w:rPr/>
              <w:t> </w:t>
            </w:r>
          </w:p>
        </w:tc>
        <w:tc>
          <w:tcPr>
            <w:tcW w:w="3080" w:type="dxa"/>
            <w:tcBorders/>
            <w:vAlign w:val="center"/>
          </w:tcPr>
          <w:p>
            <w:pPr>
              <w:pStyle w:val="TableContents"/>
              <w:bidi w:val="0"/>
              <w:spacing w:before="0" w:after="283"/>
              <w:jc w:val="both"/>
              <w:rPr>
                <w:sz w:val="20"/>
              </w:rPr>
            </w:pPr>
            <w:r>
              <w:rPr>
                <w:sz w:val="20"/>
              </w:rPr>
              <w:t>Issue Date:  March 10, 2026</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THIS PRE-FUNDED ORDINARY SHARES PURCHASE WARRANT (the “</w:t>
      </w:r>
      <w:r>
        <w:rPr>
          <w:sz w:val="20"/>
          <w:u w:val="single"/>
        </w:rPr>
        <w:t>Warrant</w:t>
      </w:r>
      <w:r>
        <w:rPr>
          <w:sz w:val="20"/>
        </w:rPr>
        <w:t>”) certifies that, for value received, YA II PN, Ltd. or its assigns (the “</w:t>
      </w:r>
      <w:r>
        <w:rPr>
          <w:sz w:val="20"/>
          <w:u w:val="single"/>
        </w:rPr>
        <w:t>Holder</w:t>
      </w:r>
      <w:r>
        <w:rPr>
          <w:sz w:val="20"/>
        </w:rPr>
        <w:t>”) is entitled, upon the terms and subject to the limitations on exercise and the conditions hereinafter set forth, at any time on or after the date set forth above (the “</w:t>
      </w:r>
      <w:r>
        <w:rPr>
          <w:sz w:val="20"/>
          <w:u w:val="single"/>
        </w:rPr>
        <w:t>Initial Exercise Date</w:t>
      </w:r>
      <w:r>
        <w:rPr>
          <w:sz w:val="20"/>
        </w:rPr>
        <w:t>”) and until the date this Warrant is exercised in full (the “</w:t>
      </w:r>
      <w:r>
        <w:rPr>
          <w:sz w:val="20"/>
          <w:u w:val="single"/>
        </w:rPr>
        <w:t>Termination Date</w:t>
      </w:r>
      <w:r>
        <w:rPr>
          <w:sz w:val="20"/>
        </w:rPr>
        <w:t>”) but not thereafter, to subscribe for and purchase from Sono Group N.V., a Dutch public limited liability company (the “</w:t>
      </w:r>
      <w:r>
        <w:rPr>
          <w:sz w:val="20"/>
          <w:u w:val="single"/>
        </w:rPr>
        <w:t>Company</w:t>
      </w:r>
      <w:r>
        <w:rPr>
          <w:sz w:val="20"/>
        </w:rPr>
        <w:t>”), up to 283,367 Ordinary Shares (as subject to adjustment hereunder, the “</w:t>
      </w:r>
      <w:r>
        <w:rPr>
          <w:sz w:val="20"/>
          <w:u w:val="single"/>
        </w:rPr>
        <w:t>Warrant Shares</w:t>
      </w:r>
      <w:r>
        <w:rPr>
          <w:sz w:val="20"/>
        </w:rPr>
        <w:t xml:space="preserve">”). The purchase price of one Ordinary Share under this Warrant shall be equal to the Exercise Price, as defined in </w:t>
      </w:r>
      <w:r>
        <w:rPr>
          <w:sz w:val="20"/>
          <w:u w:val="single"/>
        </w:rPr>
        <w:t>Section 2(b)</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1.                </w:t>
      </w:r>
      <w:r>
        <w:rPr>
          <w:sz w:val="20"/>
          <w:u w:val="single"/>
        </w:rPr>
        <w:t>Definitions</w:t>
      </w:r>
      <w:r>
        <w:rPr>
          <w:sz w:val="20"/>
        </w:rPr>
        <w:t>. Capitalized terms used and not otherwise defined herein shall have the meanings set forth in that certain Securities Purchase Agreement, dated March 10, 2026, among the Company and the Holder (the “</w:t>
      </w:r>
      <w:r>
        <w:rPr>
          <w:sz w:val="20"/>
          <w:u w:val="single"/>
        </w:rPr>
        <w:t>Purchase Agreement</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2.                </w:t>
      </w:r>
      <w:r>
        <w:rPr>
          <w:sz w:val="20"/>
          <w:u w:val="single"/>
        </w:rPr>
        <w:t>Exercise</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(a)               </w:t>
      </w:r>
      <w:r>
        <w:rPr>
          <w:sz w:val="20"/>
          <w:u w:val="single"/>
        </w:rPr>
        <w:t>Exercise of Warrant</w:t>
      </w:r>
      <w:r>
        <w:rPr>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sz w:val="20"/>
          <w:u w:val="single"/>
        </w:rPr>
        <w:t>Notice of Exercise</w:t>
      </w:r>
      <w:r>
        <w:rPr>
          <w:sz w:val="20"/>
        </w:rPr>
        <w:t xml:space="preserve">”). Within the earlier of (i) one (1) Trading Day and (ii) the number of Trading Days comprising the Standard Settlement Period (as defined in </w:t>
      </w:r>
      <w:r>
        <w:rPr>
          <w:sz w:val="20"/>
          <w:u w:val="single"/>
        </w:rPr>
        <w:t>Section 2(d)(i)</w:t>
      </w:r>
      <w:r>
        <w:rPr>
          <w:sz w:val="20"/>
        </w:rPr>
        <w:t xml:space="preserve">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and, in any event, within three (3) Trading Days of the date on which the final Notice of Exercise is delivered to the Company at no further cost.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b/>
          <w:sz w:val="20"/>
        </w:rPr>
        <w:t>The Holder,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(b)               </w:t>
      </w:r>
      <w:r>
        <w:rPr>
          <w:sz w:val="20"/>
          <w:u w:val="single"/>
        </w:rPr>
        <w:t>Exercise Price</w:t>
      </w:r>
      <w:r>
        <w:rPr>
          <w:sz w:val="20"/>
        </w:rPr>
        <w:t>. The aggregate exercise price of this Warrant, except for a nominal exercise price equal to the nominal value of an Ordinary Share (being EUR 0.01 on the date hereof) per Warrant Share, was pre-funded to the Company on or prior to the Initial Exercise Date and, consequently, no additional consideration (other than the nominal exercise price of EUR 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Warrant Share under this Warrant shall be EUR 0.01, subject to adjustment hereunder (the “</w:t>
      </w:r>
      <w:r>
        <w:rPr>
          <w:sz w:val="20"/>
          <w:u w:val="single"/>
        </w:rPr>
        <w:t>Exercise Price</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(c)               </w:t>
      </w:r>
      <w:r>
        <w:rPr>
          <w:sz w:val="20"/>
          <w:u w:val="single"/>
        </w:rPr>
        <w:t>Cashless Exercise</w:t>
      </w:r>
      <w:r>
        <w:rPr>
          <w:sz w:val="20"/>
        </w:rPr>
        <w:t>. This Warrant may also be exercised, in whole or in part, at such time by means of a “cashless exercise” in which the Holder shall be entitled to receive a number of Warrant Shares equal to the quotient obtained by dividing [(A-B) * (X)] by (A), where:</w:t>
      </w:r>
    </w:p>
    <w:p>
      <w:pPr>
        <w:pStyle w:val="TextBody"/>
        <w:bidi w:val="0"/>
        <w:spacing w:before="0" w:after="0"/>
        <w:ind w:left="0" w:right="0" w:firstLine="720"/>
        <w:jc w:val="both"/>
        <w:rPr/>
      </w:pPr>
      <w:r>
        <w:rPr/>
        <w:t> </w:t>
      </w:r>
    </w:p>
    <w:p>
      <w:pPr>
        <w:pStyle w:val="TextBody"/>
        <w:bidi w:val="0"/>
        <w:spacing w:before="0" w:after="0"/>
        <w:ind w:left="1980" w:right="0" w:hanging="540"/>
        <w:jc w:val="both"/>
        <w:rPr>
          <w:sz w:val="20"/>
        </w:rPr>
      </w:pPr>
      <w:r>
        <w:rPr>
          <w:sz w:val="20"/>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Ordinary Shares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spacing w:before="0" w:after="0"/>
        <w:ind w:left="2160" w:right="0" w:hanging="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2160" w:right="0" w:hanging="720"/>
        <w:jc w:val="both"/>
        <w:rPr>
          <w:sz w:val="20"/>
        </w:rPr>
      </w:pPr>
      <w:r>
        <w:rPr>
          <w:sz w:val="20"/>
        </w:rPr>
        <w:t>(B) = the Exercise Price of this Warrant, as adjusted hereunder; and</w:t>
      </w:r>
    </w:p>
    <w:p>
      <w:pPr>
        <w:pStyle w:val="TextBody"/>
        <w:bidi w:val="0"/>
        <w:spacing w:before="0" w:after="0"/>
        <w:ind w:left="2160" w:right="0" w:hanging="720"/>
        <w:jc w:val="both"/>
        <w:rPr/>
      </w:pPr>
      <w:r>
        <w:rPr/>
        <w:t> </w:t>
      </w:r>
    </w:p>
    <w:p>
      <w:pPr>
        <w:pStyle w:val="TextBody"/>
        <w:bidi w:val="0"/>
        <w:spacing w:before="0" w:after="0"/>
        <w:ind w:left="2070" w:right="0" w:hanging="630"/>
        <w:jc w:val="both"/>
        <w:rPr>
          <w:sz w:val="20"/>
        </w:rPr>
      </w:pPr>
      <w:r>
        <w:rPr>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0" w:after="0"/>
        <w:ind w:left="2070" w:right="0" w:hanging="630"/>
        <w:jc w:val="both"/>
        <w:rPr/>
      </w:pPr>
      <w:r>
        <w:rPr/>
        <w:t> </w:t>
      </w:r>
    </w:p>
    <w:p>
      <w:pPr>
        <w:pStyle w:val="TextBody"/>
        <w:bidi w:val="0"/>
        <w:spacing w:before="0" w:after="0"/>
        <w:ind w:left="720" w:right="0" w:firstLine="720"/>
        <w:jc w:val="both"/>
        <w:rPr>
          <w:sz w:val="20"/>
          <w:shd w:fill="FFFFFF" w:val="clear"/>
        </w:rPr>
      </w:pPr>
      <w:r>
        <w:rPr>
          <w:sz w:val="20"/>
          <w:shd w:fill="FFFFFF" w:val="clear"/>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Bid Price</w:t>
      </w:r>
      <w:r>
        <w:rPr>
          <w:sz w:val="20"/>
        </w:rPr>
        <w:t>” means, for any date, the price determined by the first of the following clauses that applies: (a) if the Ordinary Shares are then listed or quoted on a Trading Market, the bid price of the Ordinary Shares for the time in question (or the nearest preceding date) on the Trading Market on which the Ordinary Shares are then listed or quoted as reported by Bloomberg L.P.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VWAP</w:t>
      </w:r>
      <w:r>
        <w:rPr>
          <w:sz w:val="20"/>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L.P.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in The Pink Open Market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72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(d)               </w:t>
      </w:r>
      <w:r>
        <w:rPr>
          <w:sz w:val="20"/>
          <w:u w:val="single"/>
        </w:rPr>
        <w:t>Mechanics of Exercise</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(i)                 </w:t>
      </w:r>
      <w:r>
        <w:rPr>
          <w:sz w:val="20"/>
          <w:u w:val="single"/>
        </w:rPr>
        <w:t>Delivery of Warrant Shares Upon Exercise</w:t>
      </w:r>
      <w:r>
        <w:rPr>
          <w:sz w:val="20"/>
        </w:rPr>
        <w:t>. The Company shall cause the Warrant Shares purchased hereunder to be issued and/or transmitted by the Transfer Agent to the Holder by crediting the account of the Holder’s or its designee’s balance account with The Depository Trust Company through its Deposit or Withdrawal at Custodian system (“</w:t>
      </w:r>
      <w:r>
        <w:rPr>
          <w:sz w:val="20"/>
          <w:u w:val="single"/>
        </w:rPr>
        <w:t>DWAC</w:t>
      </w:r>
      <w:r>
        <w:rPr>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one (1) Trading Day after the delivery to the Company of the Notice of Exercise and (ii) the number of Trading Days comprising the Standard Settlement Period after the delivery to the Company of the Notice of Exercise (such date, the “</w:t>
      </w:r>
      <w:r>
        <w:rPr>
          <w:sz w:val="20"/>
          <w:u w:val="single"/>
        </w:rPr>
        <w:t>Warrant Share Delivery Date</w:t>
      </w:r>
      <w:r>
        <w:rPr>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Ordinary Shares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sz w:val="20"/>
          <w:u w:val="single"/>
        </w:rPr>
        <w:t>Standard Settlement Period</w:t>
      </w:r>
      <w:r>
        <w:rPr>
          <w:sz w:val="20"/>
        </w:rPr>
        <w:t>” means the standard settlement period, expressed in a number of Trading Days, on the Company’s primary Trading Market (or the OTCQB or OTCQX, depending upon which of these the Ordinary Shares trades if the Ordinary Shares are not listed on a Trading Market) with respect to the Ordinary Shares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(ii)              </w:t>
      </w:r>
      <w:r>
        <w:rPr>
          <w:sz w:val="20"/>
          <w:u w:val="single"/>
        </w:rPr>
        <w:t>Delivery of New Warrants Upon Exercise</w:t>
      </w:r>
      <w:r>
        <w:rPr>
          <w:sz w:val="20"/>
        </w:rPr>
        <w:t>. If this Warrant shall have been exercised in part, the Company shall, at the request of the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(iii)            </w:t>
      </w:r>
      <w:r>
        <w:rPr>
          <w:sz w:val="20"/>
          <w:u w:val="single"/>
        </w:rPr>
        <w:t>Rescission Rights</w:t>
      </w:r>
      <w:r>
        <w:rPr>
          <w:sz w:val="20"/>
        </w:rPr>
        <w:t xml:space="preserve">. If the Company fails to cause the Transfer Agent to issue or transmit to the Holder the Warrant Shares pursuant to </w:t>
      </w:r>
      <w:r>
        <w:rPr>
          <w:sz w:val="20"/>
          <w:u w:val="single"/>
        </w:rPr>
        <w:t>Section 2(d)(i)</w:t>
      </w:r>
      <w:r>
        <w:rPr>
          <w:sz w:val="20"/>
        </w:rPr>
        <w:t xml:space="preserve"> by the Warrant Share Delivery Date, then the Holder will have the right to rescind such exercise.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(iv)             </w:t>
      </w:r>
      <w:r>
        <w:rPr>
          <w:sz w:val="20"/>
          <w:u w:val="single"/>
        </w:rPr>
        <w:t>Compensation for Buy-In on Failure to Timely Deliver Warrant Shares Upon Exercise</w:t>
      </w:r>
      <w:r>
        <w:rPr>
          <w:sz w:val="20"/>
        </w:rPr>
        <w:t xml:space="preserve">. In addition to any other rights available to the Holder, if the Company fails to cause the Transfer Agent to transmit to the Holder the Warrant Shares in accordance with the provisions of </w:t>
      </w:r>
      <w:r>
        <w:rPr>
          <w:sz w:val="20"/>
          <w:u w:val="single"/>
        </w:rPr>
        <w:t>Section 2(d)(i)</w:t>
      </w:r>
      <w:r>
        <w:rPr>
          <w:sz w:val="20"/>
        </w:rPr>
        <w:t xml:space="preserve"> above pursuant to an exercise on or before the Warrant Share Delivery Date, and if after such date the Holder is required by its broker to purchase (in an open market transaction or otherwise) or the Holder’s brokerage firm otherwise purchases, Ordinary Shares to deliver in satisfaction of a sale by the Holder of the Warrant Shares which the Holder anticipated receiving upon such exercise (a “</w:t>
      </w:r>
      <w:r>
        <w:rPr>
          <w:sz w:val="20"/>
          <w:u w:val="single"/>
        </w:rPr>
        <w:t>Buy-In</w:t>
      </w:r>
      <w:r>
        <w:rPr>
          <w:sz w:val="20"/>
        </w:rPr>
        <w:t>”), then the Company shall (A) pay in cash to the Holder the amount, if any, by which (x) the Holder’s total purchase price (including brokerage commissions, if any) for the Ordinary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the Company timely complied with its exercise and delivery obligations hereunder. For example, if the Holder purchases Ordinary Shares having a total purchase price of $11,000 to cover a Buy-In with respect to an attempted exercise of Ordinary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Ordinary Shares upon exercise of the Warrant as required pursuant to the terms hereof.</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(v)               </w:t>
      </w:r>
      <w:r>
        <w:rPr>
          <w:sz w:val="20"/>
          <w:u w:val="single"/>
        </w:rPr>
        <w:t>No Fractional Shares or Scrip</w:t>
      </w:r>
      <w:r>
        <w:rPr>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(vi)             </w:t>
      </w:r>
      <w:r>
        <w:rPr>
          <w:sz w:val="20"/>
          <w:u w:val="single"/>
        </w:rPr>
        <w:t>Charges, Taxes and Expenses</w:t>
      </w:r>
      <w:r>
        <w:rPr>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sz w:val="20"/>
          <w:u w:val="single"/>
        </w:rPr>
        <w:t>provided</w:t>
      </w:r>
      <w:r>
        <w:rPr>
          <w:sz w:val="20"/>
        </w:rPr>
        <w:t xml:space="preserve">, </w:t>
      </w:r>
      <w:r>
        <w:rPr>
          <w:sz w:val="20"/>
          <w:u w:val="single"/>
        </w:rPr>
        <w:t>however</w:t>
      </w:r>
      <w:r>
        <w:rPr>
          <w:sz w:val="20"/>
        </w:rPr>
        <w:t xml:space="preserve">, that, in the event that Warrant Shares are to be issued in a name other than the name of the Holder, this Warrant when surrendered for exercise shall be accompanied by the Assignment Form attached hereto as </w:t>
      </w:r>
      <w:r>
        <w:rPr>
          <w:i/>
          <w:sz w:val="20"/>
          <w:u w:val="single"/>
        </w:rPr>
        <w:t>Exhibit A</w:t>
      </w:r>
      <w:r>
        <w:rPr>
          <w:sz w:val="20"/>
        </w:rPr>
        <w:t xml:space="preserve">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(vii)          </w:t>
      </w:r>
      <w:r>
        <w:rPr>
          <w:sz w:val="20"/>
          <w:u w:val="single"/>
        </w:rPr>
        <w:t>Closing of Books</w:t>
      </w:r>
      <w:r>
        <w:rPr>
          <w:sz w:val="20"/>
        </w:rPr>
        <w:t>. The Company will not close its stockholder books or records in any manner which prevents the timely exercise of this Warrant, pursuant to the terms hereof.</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 xml:space="preserve">(e)               </w:t>
      </w:r>
      <w:r>
        <w:rPr>
          <w:sz w:val="20"/>
          <w:u w:val="single"/>
        </w:rPr>
        <w:t>Holder’s Exercise Limitations</w:t>
      </w:r>
      <w:r>
        <w:rPr>
          <w:sz w:val="20"/>
        </w:rPr>
        <w:t xml:space="preserve">. The Company shall not effect any exercise of this Warrant, and a Holder shall not have the right to exercise any portion of this Warrant, pursuant to </w:t>
      </w:r>
      <w:r>
        <w:rPr>
          <w:sz w:val="20"/>
          <w:u w:val="single"/>
        </w:rPr>
        <w:t>Section 2</w:t>
      </w:r>
      <w:r>
        <w:rPr>
          <w:sz w:val="20"/>
        </w:rPr>
        <w:t xml:space="preserve">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sz w:val="20"/>
          <w:u w:val="single"/>
        </w:rPr>
        <w:t>Attribution Parties</w:t>
      </w:r>
      <w:r>
        <w:rPr>
          <w:sz w:val="20"/>
        </w:rPr>
        <w:t xml:space="preserve">”)), would beneficially own in excess of the Beneficial Ownership Limitation (as defined below). For purposes of the foregoing sentence, the number of Ordinary Shares beneficially owned by the Holder and its Affiliates and Attribution Parties shall include the number of Ordinary Shares issuable upon exercise of this Warrant with respect to which such determination is being made, but shall exclude the number of Ordinary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Shares Equivalents) subject to a limitation on conversion or exercise analogous to the limitation contained herein beneficially owned by the Holder or any of its Affiliates or Attribution Parties. Except as set forth in the preceding sentence, for purposes of this </w:t>
      </w:r>
      <w:r>
        <w:rPr>
          <w:sz w:val="20"/>
          <w:u w:val="single"/>
        </w:rPr>
        <w:t>Section 2(e)</w:t>
      </w:r>
      <w:r>
        <w:rPr>
          <w:sz w:val="20"/>
        </w:rPr>
        <w:t xml:space="preserv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w:t>
      </w:r>
      <w:r>
        <w:rPr>
          <w:sz w:val="20"/>
          <w:u w:val="single"/>
        </w:rPr>
        <w:t>Section 2(e)</w:t>
      </w:r>
      <w:r>
        <w:rPr>
          <w:sz w:val="20"/>
        </w:rPr>
        <w:t xml:space="preserv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t>
      </w:r>
      <w:r>
        <w:rPr>
          <w:sz w:val="20"/>
          <w:u w:val="single"/>
        </w:rPr>
        <w:t>Section 2(e)</w:t>
      </w:r>
      <w:r>
        <w:rPr>
          <w:sz w:val="20"/>
        </w:rPr>
        <w:t>, in determining the number of outstanding Ordinary Shares, a Holder may rely on the number of outstanding Ordinary Shares as reflected in (A) 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or oral request of a Holder, the Company shall within one (1)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sz w:val="20"/>
          <w:u w:val="single"/>
        </w:rPr>
        <w:t>Beneficial Ownership Limitation</w:t>
      </w:r>
      <w:r>
        <w:rPr>
          <w:sz w:val="20"/>
        </w:rPr>
        <w:t xml:space="preserve">” shall be 4.99% of the number of Ordinary Shares outstanding immediately after giving effect to the transmission or issuance of Ordinary Shares issuable upon exercise of this Warrant. The Holder, upon notice to the Company, may increase or decrease the Beneficial Ownership Limitation provisions of this </w:t>
      </w:r>
      <w:r>
        <w:rPr>
          <w:sz w:val="20"/>
          <w:u w:val="single"/>
        </w:rPr>
        <w:t>Section 2(e)</w:t>
      </w:r>
      <w:r>
        <w:rPr>
          <w:sz w:val="20"/>
        </w:rPr>
        <w:t xml:space="preserve">, provided that the Beneficial Ownership Limitation in no event exceeds 9.99% of the number of Ordinary Shares outstanding immediately after giving effect to the transmission or issuance of Ordinary Shares upon exercise of this Warrant held by the Holder and the provisions of this </w:t>
      </w:r>
      <w:r>
        <w:rPr>
          <w:sz w:val="20"/>
          <w:u w:val="single"/>
        </w:rPr>
        <w:t>Section 2(e)</w:t>
      </w:r>
      <w:r>
        <w:rPr>
          <w:sz w:val="20"/>
        </w:rPr>
        <w:t xml:space="preserv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w:t>
      </w:r>
      <w:r>
        <w:rPr>
          <w:sz w:val="20"/>
          <w:u w:val="single"/>
        </w:rPr>
        <w:t>Section 2(e)</w:t>
      </w:r>
      <w:r>
        <w:rPr>
          <w:sz w:val="20"/>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Section 3.                </w:t>
      </w:r>
      <w:r>
        <w:rPr>
          <w:sz w:val="20"/>
          <w:u w:val="single"/>
        </w:rPr>
        <w:t>Certain Adjustments</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(a)               </w:t>
      </w:r>
      <w:r>
        <w:rPr>
          <w:sz w:val="20"/>
          <w:u w:val="single"/>
        </w:rPr>
        <w:t>Stock Dividends and Splits</w:t>
      </w:r>
      <w:r>
        <w:rPr>
          <w:sz w:val="20"/>
        </w:rPr>
        <w:t xml:space="preserve">. If the Company, at any time while this Warrant is outstanding: (i) pays a stock dividend or otherwise makes a distribution or distributions on Ordinary Shares or any other equity or equity equivalent securities payable in Ordinary Shares (which, for avoidance of doubt, shall not include any Ordinary Shares issued by the Company upon exercise of this Warrant), (ii) subdivides outstanding Ordinary Shares into a larger number of shares, (iii) combines (including by way of reverse stock split) outstanding Ordinary Shares into a smaller number of shares, or (iv) issues by reclassification of Ordinary Shares any shares of capital stock of the Company, then in each case the Exercise Price shall be multiplied by a fraction of which the numerator shall be the number of Ordinary Shares (excluding treasury shares, if any) outstanding immediately before such event and of which the denominator shall be the number of Ordinary Shares outstanding immediately after such event, and the number of shares issuable upon exercise of this Warrant shall be proportionately adjusted such that the aggregate Exercise Price of this Warrant shall remain unchanged. Any adjustment made pursuant to this </w:t>
      </w:r>
      <w:r>
        <w:rPr>
          <w:sz w:val="20"/>
          <w:u w:val="single"/>
        </w:rPr>
        <w:t>Section 3(a)</w:t>
      </w:r>
      <w:r>
        <w:rPr>
          <w:sz w:val="20"/>
        </w:rPr>
        <w:t xml:space="preserve">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(b)               </w:t>
      </w:r>
      <w:r>
        <w:rPr>
          <w:sz w:val="20"/>
          <w:u w:val="single"/>
        </w:rPr>
        <w:t>Subsequent Rights Offerings</w:t>
      </w:r>
      <w:r>
        <w:rPr>
          <w:sz w:val="20"/>
        </w:rPr>
        <w:t xml:space="preserve">. In addition to any adjustments pursuant to </w:t>
      </w:r>
      <w:r>
        <w:rPr>
          <w:sz w:val="20"/>
          <w:u w:val="single"/>
        </w:rPr>
        <w:t>Section 3(a)</w:t>
      </w:r>
      <w:r>
        <w:rPr>
          <w:sz w:val="20"/>
        </w:rPr>
        <w:t xml:space="preserve"> above, if at any time the Company grants, issues or sells any Ordinary Shares Equivalents or rights to purchase stock, warrants, securities or other property pro rata to the record holders of any class of Ordinary Shares (the “</w:t>
      </w:r>
      <w:r>
        <w:rPr>
          <w:sz w:val="20"/>
          <w:u w:val="single"/>
        </w:rPr>
        <w:t>Purchase Rights</w:t>
      </w:r>
      <w:r>
        <w:rPr>
          <w:sz w:val="20"/>
        </w:rPr>
        <w:t>”), then the Holder will be entitled to acquire, upon the terms applicable to such Purchase Rights, the aggregate Purchase Rights which the Holder could have acquired if the Holder had held the number of Ordinary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Ordinary Shares are to be determined for the grant, issue or sale of such Purchase Rights (</w:t>
      </w:r>
      <w:r>
        <w:rPr>
          <w:sz w:val="20"/>
          <w:u w:val="single"/>
        </w:rPr>
        <w:t>provided</w:t>
      </w:r>
      <w:r>
        <w:rPr>
          <w:sz w:val="20"/>
        </w:rPr>
        <w:t xml:space="preserve">, </w:t>
      </w:r>
      <w:r>
        <w:rPr>
          <w:sz w:val="20"/>
          <w:u w:val="single"/>
        </w:rPr>
        <w:t>however</w:t>
      </w:r>
      <w:r>
        <w:rPr>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(c)               </w:t>
      </w:r>
      <w:r>
        <w:rPr>
          <w:sz w:val="20"/>
          <w:u w:val="single"/>
        </w:rPr>
        <w:t>Extraordinary Dividends</w:t>
      </w:r>
      <w:r>
        <w:rPr>
          <w:sz w:val="20"/>
        </w:rPr>
        <w:t>. If the Company, at any time while the Warrants are outstanding and unexpired, shall pay a dividend or make a distribution in cash, securities or other assets to the holders of the Ordinary Shares on account of such Ordinary Shares (or other shares of the Company’s capital stock into which the Warrants are convertible) (an “</w:t>
      </w:r>
      <w:r>
        <w:rPr>
          <w:sz w:val="20"/>
          <w:u w:val="single"/>
        </w:rPr>
        <w:t>Extraordinary Dividend</w:t>
      </w:r>
      <w:r>
        <w:rPr>
          <w:sz w:val="20"/>
        </w:rPr>
        <w:t xml:space="preserve">”), then the Exercise Price shall be decreased, effective immediately after the effective date of such Extraordinary Dividend, by the amount of cash and/or the fair market value (as determined by the Board, in good faith) of any securities or other assets paid on each Ordinary Share in respect of such Extraordinary Dividend; provided, however, that none of the following shall be deemed an Extraordinary Dividend for purposes of this provision: any adjustment described in </w:t>
      </w:r>
      <w:r>
        <w:rPr>
          <w:sz w:val="20"/>
          <w:u w:val="single"/>
        </w:rPr>
        <w:t>Section 3(a)</w:t>
      </w:r>
      <w:r>
        <w:rPr>
          <w:sz w:val="20"/>
        </w:rPr>
        <w:t xml:space="preserve"> above.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(d)               </w:t>
      </w:r>
      <w:r>
        <w:rPr>
          <w:sz w:val="20"/>
          <w:u w:val="single"/>
        </w:rPr>
        <w:t>Replacement of Securities upon Reorganization, etc.</w:t>
      </w:r>
      <w:r>
        <w:rPr>
          <w:sz w:val="20"/>
        </w:rPr>
        <w:t xml:space="preserve"> In case of any reclassification or reorganization of the outstanding Ordinary Shares (other than a Fundamental Transaction which shall be adjusted in accordance with </w:t>
      </w:r>
      <w:r>
        <w:rPr>
          <w:sz w:val="20"/>
          <w:u w:val="single"/>
        </w:rPr>
        <w:t>Section 3(e)</w:t>
      </w:r>
      <w:r>
        <w:rPr>
          <w:sz w:val="20"/>
        </w:rPr>
        <w:t xml:space="preserve">, a change under </w:t>
      </w:r>
      <w:r>
        <w:rPr>
          <w:sz w:val="20"/>
          <w:u w:val="single"/>
        </w:rPr>
        <w:t>Section 3(a)</w:t>
      </w:r>
      <w:r>
        <w:rPr>
          <w:sz w:val="20"/>
        </w:rPr>
        <w:t xml:space="preserve"> hereof or that solely affects the nominal value of such Ordinary Shares), or in the case of any merger or consolidation of the Company with or into another entity or conversion of the Company into another entity (other than a Fundamental Transaction which shall be adjusted in accordance with </w:t>
      </w:r>
      <w:r>
        <w:rPr>
          <w:sz w:val="20"/>
          <w:u w:val="single"/>
        </w:rPr>
        <w:t>Section 3(e)</w:t>
      </w:r>
      <w:r>
        <w:rPr>
          <w:sz w:val="20"/>
        </w:rPr>
        <w:t xml:space="preserve"> or a consolidation or merger in which the Company is the continuing entity and that does not result in any reclassification or reorganization of the outstanding Ordinary Shares), or in the case of any sale or conveyance to another entity of the assets or other property of the Company as an entirety or substantially as an entirety in connection with which the Company is dissolved, the holders of the Warrants shall thereafter have the right to purchase and receive, upon the basis and upon the terms and conditions specified in the Warrants and in lieu of the Ordinary Shares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his, her or its Warrant(s) immediately prior to such event; and if any reclassification also results in a change in Ordinary Shares covered by </w:t>
      </w:r>
      <w:r>
        <w:rPr>
          <w:sz w:val="20"/>
          <w:u w:val="single"/>
        </w:rPr>
        <w:t>Section 3(a)</w:t>
      </w:r>
      <w:r>
        <w:rPr>
          <w:sz w:val="20"/>
        </w:rPr>
        <w:t xml:space="preserve">, then such adjustment shall be made pursuant to </w:t>
      </w:r>
      <w:r>
        <w:rPr>
          <w:sz w:val="20"/>
          <w:u w:val="single"/>
        </w:rPr>
        <w:t>Section 3(a)</w:t>
      </w:r>
      <w:r>
        <w:rPr>
          <w:sz w:val="20"/>
        </w:rPr>
        <w:t xml:space="preserve"> and this </w:t>
      </w:r>
      <w:r>
        <w:rPr>
          <w:sz w:val="20"/>
          <w:u w:val="single"/>
        </w:rPr>
        <w:t>Section 3(d)</w:t>
      </w:r>
      <w:r>
        <w:rPr>
          <w:sz w:val="20"/>
        </w:rPr>
        <w:t xml:space="preserve">. The provisions of this </w:t>
      </w:r>
      <w:r>
        <w:rPr>
          <w:sz w:val="20"/>
          <w:u w:val="single"/>
        </w:rPr>
        <w:t>Section 3(d)</w:t>
      </w:r>
      <w:r>
        <w:rPr>
          <w:sz w:val="20"/>
        </w:rPr>
        <w:t xml:space="preserve"> shall similarly apply to successive reclassifications, reorganizations, mergers or consolidations, sales or other transfers. In no event will the Exercise Price be reduced to less than the par value per share issuable upon exercise of the Warrant.</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(e)               </w:t>
      </w:r>
      <w:r>
        <w:rPr>
          <w:sz w:val="20"/>
          <w:u w:val="single"/>
        </w:rPr>
        <w:t>Fundamental Transaction</w:t>
      </w:r>
      <w:r>
        <w:rPr>
          <w:sz w:val="20"/>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50% or more of the outstanding Ordinary Shares,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Ordinary Shares (not including any Ordinary Shares held by the other Person or other Persons making or party to, or associated or affiliated with the other Persons making or party to, such stock or share purchase agreement or other business combination) (each a “</w:t>
      </w:r>
      <w:r>
        <w:rPr>
          <w:sz w:val="20"/>
          <w:u w:val="single"/>
        </w:rPr>
        <w:t>Fundamental Transaction</w:t>
      </w:r>
      <w:r>
        <w:rPr>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Ordinary Shares of the successor or acquiring corporation or of the Company, if it is the surviving corporation, and any additional consideration (the “</w:t>
      </w:r>
      <w:r>
        <w:rPr>
          <w:sz w:val="20"/>
          <w:u w:val="single"/>
        </w:rPr>
        <w:t>Alternate Consideration</w:t>
      </w:r>
      <w:r>
        <w:rPr>
          <w:sz w:val="20"/>
        </w:rPr>
        <w:t>”) receivable as a result of such Fundamental Transaction by a holder of the number of Ordinary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“Successor Entity”)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(f)                </w:t>
      </w:r>
      <w:r>
        <w:rPr>
          <w:sz w:val="20"/>
          <w:u w:val="single"/>
        </w:rPr>
        <w:t>Calculations</w:t>
      </w:r>
      <w:r>
        <w:rPr>
          <w:sz w:val="20"/>
        </w:rPr>
        <w:t xml:space="preserve">. All calculations under this </w:t>
      </w:r>
      <w:r>
        <w:rPr>
          <w:sz w:val="20"/>
          <w:u w:val="single"/>
        </w:rPr>
        <w:t>Section 3</w:t>
      </w:r>
      <w:r>
        <w:rPr>
          <w:sz w:val="20"/>
        </w:rPr>
        <w:t xml:space="preserve"> shall be made to the nearest cent or the nearest 1/100th of a share, as the case may be. For purposes of this </w:t>
      </w:r>
      <w:r>
        <w:rPr>
          <w:sz w:val="20"/>
          <w:u w:val="single"/>
        </w:rPr>
        <w:t>Section 3</w:t>
      </w:r>
      <w:r>
        <w:rPr>
          <w:sz w:val="20"/>
        </w:rPr>
        <w:t>, the number of Ordinary Shares deemed to be issued and outstanding as of a given date shall be the sum of the number of Ordinary Shares (excluding treasury shares, if any) issued and outstanding.</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(g)               </w:t>
      </w:r>
      <w:r>
        <w:rPr>
          <w:sz w:val="20"/>
          <w:u w:val="single"/>
        </w:rPr>
        <w:t>Notice to Holder</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(i)                 </w:t>
      </w:r>
      <w:r>
        <w:rPr>
          <w:sz w:val="20"/>
          <w:u w:val="single"/>
        </w:rPr>
        <w:t>Adjustment to Exercise Price</w:t>
      </w:r>
      <w:r>
        <w:rPr>
          <w:sz w:val="20"/>
        </w:rPr>
        <w:t xml:space="preserve">. Whenever the Exercise Price is adjusted pursuant to any provision of this </w:t>
      </w:r>
      <w:r>
        <w:rPr>
          <w:sz w:val="20"/>
          <w:u w:val="single"/>
        </w:rPr>
        <w:t>Section 3</w:t>
      </w:r>
      <w:r>
        <w:rPr>
          <w:sz w:val="20"/>
        </w:rPr>
        <w:t>,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(ii)              </w:t>
      </w:r>
      <w:r>
        <w:rPr>
          <w:sz w:val="20"/>
          <w:u w:val="single"/>
        </w:rPr>
        <w:t>Notice to Allow Exercise by Holder</w:t>
      </w:r>
      <w:r>
        <w:rPr>
          <w:sz w:val="20"/>
        </w:rPr>
        <w:t>. If (A) the Company shall declare a dividend (or any other distribution in whatever form) on the Ordinary Shares, (B) the Company shall declare a special nonrecurring cash dividend on or a redemption of the Ordinary Shares, (C) the Company shall authorize the granting to all holders of the Ordinary Shares rights or warrants to subscribe for or purchase any shares of capital stock of any class or of any rights, (D) the approval of any stockholders of the Company shall be required in connection with any reclassification of the Ordinary Shares, any consolidation or merger to which the Company (or any of its Subsidiaries) is a party, any sale or transfer of all or substantially all of its assets,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(as defined below) of the Company, at least 30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Section 4.                </w:t>
      </w:r>
      <w:r>
        <w:rPr>
          <w:sz w:val="20"/>
          <w:u w:val="single"/>
        </w:rPr>
        <w:t>Transfer of Warrant</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(a)               </w:t>
      </w:r>
      <w:r>
        <w:rPr>
          <w:sz w:val="20"/>
          <w:u w:val="single"/>
        </w:rPr>
        <w:t>Transferability</w:t>
      </w:r>
      <w:r>
        <w:rPr>
          <w:sz w:val="20"/>
        </w:rPr>
        <w:t xml:space="preserve">. Subject to compliance with any applicable securities laws and the conditions set forth in </w:t>
      </w:r>
      <w:r>
        <w:rPr>
          <w:sz w:val="20"/>
          <w:u w:val="single"/>
        </w:rPr>
        <w:t>Section 4(d)</w:t>
      </w:r>
      <w:r>
        <w:rPr>
          <w:sz w:val="20"/>
        </w:rPr>
        <w:t xml:space="preserve">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as </w:t>
      </w:r>
      <w:r>
        <w:rPr>
          <w:i/>
          <w:sz w:val="20"/>
          <w:u w:val="single"/>
        </w:rPr>
        <w:t>Exhibit A</w:t>
      </w:r>
      <w:r>
        <w:rPr>
          <w:sz w:val="20"/>
        </w:rPr>
        <w:t xml:space="preserve">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(b)               </w:t>
      </w:r>
      <w:r>
        <w:rPr>
          <w:sz w:val="20"/>
          <w:u w:val="single"/>
        </w:rPr>
        <w:t>New Warrants</w:t>
      </w:r>
      <w:r>
        <w:rPr>
          <w:sz w:val="20"/>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w:t>
      </w:r>
      <w:r>
        <w:rPr>
          <w:sz w:val="20"/>
          <w:u w:val="single"/>
        </w:rPr>
        <w:t>Section 4(a)</w:t>
      </w:r>
      <w:r>
        <w:rPr>
          <w:sz w:val="20"/>
        </w:rPr>
        <w:t>,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(c)               </w:t>
      </w:r>
      <w:r>
        <w:rPr>
          <w:sz w:val="20"/>
          <w:u w:val="single"/>
        </w:rPr>
        <w:t>Warrant Register</w:t>
      </w:r>
      <w:r>
        <w:rPr>
          <w:sz w:val="20"/>
        </w:rPr>
        <w:t>. The Company shall register this Warrant, upon records to be maintained by the Company for that purpose (the “</w:t>
      </w:r>
      <w:r>
        <w:rPr>
          <w:sz w:val="20"/>
          <w:u w:val="single"/>
        </w:rPr>
        <w:t>Warrant Register</w:t>
      </w:r>
      <w:r>
        <w:rPr>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(d)               </w:t>
      </w:r>
      <w:r>
        <w:rPr>
          <w:sz w:val="20"/>
          <w:u w:val="single"/>
        </w:rPr>
        <w:t>Transfer Restrictions</w:t>
      </w:r>
      <w:r>
        <w:rPr>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(e)               </w:t>
      </w:r>
      <w:r>
        <w:rPr>
          <w:sz w:val="20"/>
          <w:u w:val="single"/>
        </w:rPr>
        <w:t>Representation by the Holder</w:t>
      </w:r>
      <w:r>
        <w:rPr>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5.                </w:t>
      </w:r>
      <w:r>
        <w:rPr>
          <w:sz w:val="20"/>
          <w:u w:val="single"/>
        </w:rPr>
        <w:t>Miscellaneous</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(a)               </w:t>
      </w:r>
      <w:r>
        <w:rPr>
          <w:sz w:val="20"/>
          <w:u w:val="single"/>
        </w:rPr>
        <w:t>No Rights as Stockholder Until Exercise; No Settlement in Cash</w:t>
      </w:r>
      <w:r>
        <w:rPr>
          <w:sz w:val="20"/>
        </w:rPr>
        <w:t xml:space="preserve">. This Warrant does not entitle the Holder to any voting rights, dividends or other rights as a stockholder of the Company prior to the exercise hereof as set forth in </w:t>
      </w:r>
      <w:r>
        <w:rPr>
          <w:sz w:val="20"/>
          <w:u w:val="single"/>
        </w:rPr>
        <w:t>Section 2(d)(i)</w:t>
      </w:r>
      <w:r>
        <w:rPr>
          <w:sz w:val="20"/>
        </w:rPr>
        <w:t xml:space="preserve">, except as expressly set forth in </w:t>
      </w:r>
      <w:r>
        <w:rPr>
          <w:sz w:val="20"/>
          <w:u w:val="single"/>
        </w:rPr>
        <w:t>Section 3</w:t>
      </w:r>
      <w:r>
        <w:rPr>
          <w:sz w:val="20"/>
        </w:rPr>
        <w:t xml:space="preserve">. Without limiting any rights of a Holder to receive Warrant Shares on a “cashless exercise” pursuant to Section 2(c) or to receive cash payments pursuant to </w:t>
      </w:r>
      <w:r>
        <w:rPr>
          <w:sz w:val="20"/>
          <w:u w:val="single"/>
        </w:rPr>
        <w:t>Section 2(d)(i)</w:t>
      </w:r>
      <w:r>
        <w:rPr>
          <w:sz w:val="20"/>
        </w:rPr>
        <w:t xml:space="preserve"> and </w:t>
      </w:r>
      <w:r>
        <w:rPr>
          <w:sz w:val="20"/>
          <w:u w:val="single"/>
        </w:rPr>
        <w:t>Section 2(d)(iv)</w:t>
      </w:r>
      <w:r>
        <w:rPr>
          <w:sz w:val="20"/>
        </w:rPr>
        <w:t xml:space="preserve"> herein, in no event shall the Company be required to net cash settle an exercise of this Warrant.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(b)               </w:t>
      </w:r>
      <w:r>
        <w:rPr>
          <w:sz w:val="20"/>
          <w:u w:val="single"/>
        </w:rPr>
        <w:t>Loss, Theft, Destruction or Mutilation of Warrant</w:t>
      </w:r>
      <w:r>
        <w:rPr>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(c)               </w:t>
      </w:r>
      <w:r>
        <w:rPr>
          <w:sz w:val="20"/>
          <w:u w:val="single"/>
        </w:rPr>
        <w:t>Saturdays, Sundays, Holidays, etc</w:t>
      </w:r>
      <w:r>
        <w:rPr>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(d)               </w:t>
      </w:r>
      <w:r>
        <w:rPr>
          <w:sz w:val="20"/>
          <w:u w:val="single"/>
        </w:rPr>
        <w:t>Authorized Shares</w:t>
      </w:r>
      <w:r>
        <w:rPr>
          <w:sz w:val="20"/>
        </w:rPr>
        <w:t>.</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The Company covenants that, during the period the Warrant is outstanding, it will reserve from its authorized and unissued Ordinary Shares a sufficient number of Ordinary Shares to provide for the issuance of the Warrant Shares upon the exercise of any purchase rights under this Warrant. If at any time the number of authorized but unissued and not otherwise reserved for issuance Ordinary Shares (including (i) in relation to equity or debt securities convertible into or exchangeable or exercisable for or that can be settled in Ordinary Shares and (ii) Ordinary Shares remaining available for the conversion of preferred shares into Ordinary Shares) is not sufficient, the Company will promptly take all corporate action necessary to propose to its general meeting of shareholders an increase of its authorized share capital and authority to issue Ordinary Shares necessary to meet the Company's obligations pursuant to this Warrant, including recommending that the shareholders vote in favor of such an increase.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Ordinary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Except and to the extent as waived or consented to by the Holder, the Company shall not by any action, including, without limitation, amending its Articles of Association, as amended from time to time,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nominal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 xml:space="preserve">(e)               </w:t>
      </w:r>
      <w:r>
        <w:rPr>
          <w:sz w:val="20"/>
          <w:u w:val="single"/>
        </w:rPr>
        <w:t>Jurisdiction</w:t>
      </w:r>
      <w:r>
        <w:rPr>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(f)                </w:t>
      </w:r>
      <w:r>
        <w:rPr>
          <w:sz w:val="20"/>
          <w:u w:val="single"/>
        </w:rPr>
        <w:t>Restrictions</w:t>
      </w:r>
      <w:r>
        <w:rPr>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(g)               </w:t>
      </w:r>
      <w:r>
        <w:rPr>
          <w:sz w:val="20"/>
          <w:u w:val="single"/>
        </w:rPr>
        <w:t>Nonwaiver and Expenses</w:t>
      </w:r>
      <w:r>
        <w:rPr>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(h)               </w:t>
      </w:r>
      <w:r>
        <w:rPr>
          <w:sz w:val="20"/>
          <w:u w:val="single"/>
        </w:rPr>
        <w:t>Notices</w:t>
      </w:r>
      <w:r>
        <w:rPr>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(i)                 </w:t>
      </w:r>
      <w:r>
        <w:rPr>
          <w:sz w:val="20"/>
          <w:u w:val="single"/>
        </w:rPr>
        <w:t>Limitation of Liability</w:t>
      </w:r>
      <w:r>
        <w:rPr>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stockholder of the Company, whether such liability is asserted by the Company or by creditors of the Company.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(j)                 </w:t>
      </w:r>
      <w:r>
        <w:rPr>
          <w:sz w:val="20"/>
          <w:u w:val="single"/>
        </w:rPr>
        <w:t>Remedies</w:t>
      </w:r>
      <w:r>
        <w:rPr>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(k)               </w:t>
      </w:r>
      <w:r>
        <w:rPr>
          <w:sz w:val="20"/>
          <w:u w:val="single"/>
        </w:rPr>
        <w:t>Successors and Assigns</w:t>
      </w:r>
      <w:r>
        <w:rPr>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(l)                 </w:t>
      </w:r>
      <w:r>
        <w:rPr>
          <w:sz w:val="20"/>
          <w:u w:val="single"/>
        </w:rPr>
        <w:t>Amendment</w:t>
      </w:r>
      <w:r>
        <w:rPr>
          <w:sz w:val="20"/>
        </w:rPr>
        <w:t>. This Warrant may be modified or amended or the provisions hereof waived with the written consent of the Company and the Holder.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(m)             </w:t>
      </w:r>
      <w:r>
        <w:rPr>
          <w:sz w:val="20"/>
          <w:u w:val="single"/>
        </w:rPr>
        <w:t>Severability</w:t>
      </w:r>
      <w:r>
        <w:rPr>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(n)               </w:t>
      </w:r>
      <w:r>
        <w:rPr>
          <w:sz w:val="20"/>
          <w:u w:val="single"/>
        </w:rPr>
        <w:t>Headings</w:t>
      </w:r>
      <w:r>
        <w:rPr>
          <w:sz w:val="20"/>
        </w:rPr>
        <w:t>. The headings used in this Warrant are for the convenience of reference only and shall not, for any purpose, be deemed a part of this Warrant.</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IN WITNESS WHEREOF, the Company has caused this Warrant to be executed by its officer thereunto duly authorized as of the date first above indicated.</w:t>
      </w:r>
    </w:p>
    <w:p>
      <w:pPr>
        <w:pStyle w:val="TextBody"/>
        <w:bidi w:val="0"/>
        <w:spacing w:before="0" w:after="0"/>
        <w:ind w:left="0" w:right="0" w:firstLine="720"/>
        <w:jc w:val="both"/>
        <w:rPr/>
      </w:pPr>
      <w:r>
        <w:rPr/>
        <w:t> </w:t>
      </w:r>
    </w:p>
    <w:tbl>
      <w:tblPr>
        <w:tblW w:w="4445" w:type="dxa"/>
        <w:jc w:val="left"/>
        <w:tblInd w:w="0" w:type="dxa"/>
        <w:tblLayout w:type="fixed"/>
        <w:tblCellMar>
          <w:top w:w="0" w:type="dxa"/>
          <w:left w:w="0" w:type="dxa"/>
          <w:bottom w:w="0" w:type="dxa"/>
          <w:right w:w="0" w:type="dxa"/>
        </w:tblCellMar>
      </w:tblPr>
      <w:tblGrid>
        <w:gridCol w:w="4445"/>
      </w:tblGrid>
      <w:tr>
        <w:trPr/>
        <w:tc>
          <w:tcPr>
            <w:tcW w:w="4445" w:type="dxa"/>
            <w:tcBorders/>
            <w:vAlign w:val="center"/>
          </w:tcPr>
          <w:p>
            <w:pPr>
              <w:pStyle w:val="TableContents"/>
              <w:bidi w:val="0"/>
              <w:spacing w:before="0" w:after="283"/>
              <w:jc w:val="both"/>
              <w:rPr>
                <w:b/>
                <w:sz w:val="20"/>
              </w:rPr>
            </w:pPr>
            <w:r>
              <w:rPr>
                <w:b/>
                <w:sz w:val="20"/>
              </w:rPr>
              <w:t>SONO GROUP N.V.</w:t>
            </w:r>
          </w:p>
        </w:tc>
      </w:tr>
      <w:tr>
        <w:trPr/>
        <w:tc>
          <w:tcPr>
            <w:tcW w:w="4445" w:type="dxa"/>
            <w:tcBorders/>
            <w:vAlign w:val="center"/>
          </w:tcPr>
          <w:p>
            <w:pPr>
              <w:pStyle w:val="TableContents"/>
              <w:bidi w:val="0"/>
              <w:spacing w:before="0" w:after="283"/>
              <w:jc w:val="both"/>
              <w:rPr/>
            </w:pPr>
            <w:r>
              <w:rPr/>
              <w:t> </w:t>
            </w:r>
          </w:p>
        </w:tc>
      </w:tr>
      <w:tr>
        <w:trPr/>
        <w:tc>
          <w:tcPr>
            <w:tcW w:w="4445" w:type="dxa"/>
            <w:tcBorders/>
            <w:vAlign w:val="center"/>
          </w:tcPr>
          <w:p>
            <w:pPr>
              <w:pStyle w:val="TableContents"/>
              <w:bidi w:val="0"/>
              <w:spacing w:before="0" w:after="283"/>
              <w:jc w:val="both"/>
              <w:rPr>
                <w:sz w:val="20"/>
              </w:rPr>
            </w:pPr>
            <w:r>
              <w:rPr>
                <w:sz w:val="20"/>
              </w:rPr>
              <w:t>By:  </w:t>
            </w:r>
            <w:r>
              <w:rPr>
                <w:sz w:val="20"/>
                <w:u w:val="single"/>
              </w:rPr>
              <w:t>/s/ Kevin McGurn</w:t>
              <w:tab/>
            </w:r>
          </w:p>
        </w:tc>
      </w:tr>
      <w:tr>
        <w:trPr/>
        <w:tc>
          <w:tcPr>
            <w:tcW w:w="4445" w:type="dxa"/>
            <w:tcBorders/>
            <w:vAlign w:val="center"/>
          </w:tcPr>
          <w:p>
            <w:pPr>
              <w:pStyle w:val="TableContents"/>
              <w:bidi w:val="0"/>
              <w:spacing w:before="0" w:after="283"/>
              <w:jc w:val="both"/>
              <w:rPr>
                <w:sz w:val="20"/>
              </w:rPr>
            </w:pPr>
            <w:r>
              <w:rPr>
                <w:sz w:val="20"/>
              </w:rPr>
              <w:t>Name:  Kevin McGurn</w:t>
            </w:r>
          </w:p>
        </w:tc>
      </w:tr>
      <w:tr>
        <w:trPr/>
        <w:tc>
          <w:tcPr>
            <w:tcW w:w="4445" w:type="dxa"/>
            <w:tcBorders/>
            <w:vAlign w:val="center"/>
          </w:tcPr>
          <w:p>
            <w:pPr>
              <w:pStyle w:val="TableContents"/>
              <w:bidi w:val="0"/>
              <w:spacing w:before="0" w:after="283"/>
              <w:jc w:val="both"/>
              <w:rPr>
                <w:sz w:val="20"/>
              </w:rPr>
            </w:pPr>
            <w:r>
              <w:rPr>
                <w:sz w:val="20"/>
              </w:rPr>
              <w:t>Title:  Chief Executive Officer and Managing Director</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b/>
          <w:caps/>
          <w:sz w:val="20"/>
        </w:rPr>
      </w:pPr>
      <w:r>
        <w:rPr>
          <w:b/>
          <w:caps/>
          <w:sz w:val="20"/>
        </w:rPr>
        <w:t>NOTICE OF EXERCISE</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sz w:val="20"/>
        </w:rPr>
      </w:pPr>
      <w:r>
        <w:rPr>
          <w:sz w:val="20"/>
        </w:rPr>
        <w:t>TO: SONO GROUP N.V.</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(2)       Payment shall take the form of (check applicable box):</w:t>
      </w:r>
    </w:p>
    <w:p>
      <w:pPr>
        <w:pStyle w:val="TextBody"/>
        <w:bidi w:val="0"/>
        <w:spacing w:before="0" w:after="0"/>
        <w:ind w:left="0" w:right="0" w:firstLine="720"/>
        <w:jc w:val="both"/>
        <w:rPr/>
      </w:pPr>
      <w:r>
        <w:rPr/>
        <w:t> </w:t>
      </w:r>
    </w:p>
    <w:p>
      <w:pPr>
        <w:pStyle w:val="TextBody"/>
        <w:bidi w:val="0"/>
        <w:spacing w:before="0" w:after="0"/>
        <w:ind w:left="1440" w:right="0" w:hanging="0"/>
        <w:jc w:val="both"/>
        <w:rPr>
          <w:sz w:val="20"/>
        </w:rPr>
      </w:pPr>
      <w:r>
        <w:rPr>
          <w:sz w:val="20"/>
        </w:rPr>
        <w:t>[ ] lawful money of the United States; or</w:t>
      </w:r>
    </w:p>
    <w:p>
      <w:pPr>
        <w:pStyle w:val="TextBody"/>
        <w:bidi w:val="0"/>
        <w:spacing w:before="0" w:after="0"/>
        <w:ind w:left="1440" w:right="0" w:hanging="0"/>
        <w:jc w:val="both"/>
        <w:rPr/>
      </w:pPr>
      <w:r>
        <w:rPr/>
        <w:t> </w:t>
      </w:r>
    </w:p>
    <w:p>
      <w:pPr>
        <w:pStyle w:val="TextBody"/>
        <w:bidi w:val="0"/>
        <w:spacing w:before="0" w:after="0"/>
        <w:ind w:left="1440" w:right="0" w:hanging="0"/>
        <w:jc w:val="both"/>
        <w:rPr>
          <w:sz w:val="20"/>
        </w:rPr>
      </w:pPr>
      <w:r>
        <w:rPr>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1440" w:right="0" w:hanging="0"/>
        <w:jc w:val="both"/>
        <w:rPr/>
      </w:pPr>
      <w:r>
        <w:rPr/>
        <w:t> </w:t>
      </w:r>
    </w:p>
    <w:p>
      <w:pPr>
        <w:pStyle w:val="TextBody"/>
        <w:bidi w:val="0"/>
        <w:spacing w:before="0" w:after="0"/>
        <w:ind w:left="0" w:right="0" w:firstLine="720"/>
        <w:jc w:val="both"/>
        <w:rPr>
          <w:sz w:val="20"/>
        </w:rPr>
      </w:pPr>
      <w:r>
        <w:rPr>
          <w:sz w:val="20"/>
        </w:rPr>
        <w:t>(3)       Please issue said Warrant Shares in the name of the undersigned or in such other name as is specified below:</w:t>
      </w:r>
    </w:p>
    <w:p>
      <w:pPr>
        <w:pStyle w:val="TextBody"/>
        <w:bidi w:val="0"/>
        <w:spacing w:before="0" w:after="0"/>
        <w:ind w:left="0" w:right="0" w:firstLine="720"/>
        <w:jc w:val="both"/>
        <w:rPr/>
      </w:pPr>
      <w:r>
        <w:rPr/>
        <w:t> </w:t>
      </w:r>
    </w:p>
    <w:tbl>
      <w:tblPr>
        <w:tblW w:w="6575" w:type="dxa"/>
        <w:jc w:val="left"/>
        <w:tblInd w:w="0" w:type="dxa"/>
        <w:tblLayout w:type="fixed"/>
        <w:tblCellMar>
          <w:top w:w="0" w:type="dxa"/>
          <w:left w:w="0" w:type="dxa"/>
          <w:bottom w:w="0" w:type="dxa"/>
          <w:right w:w="0" w:type="dxa"/>
        </w:tblCellMar>
      </w:tblPr>
      <w:tblGrid>
        <w:gridCol w:w="6575"/>
      </w:tblGrid>
      <w:tr>
        <w:trPr/>
        <w:tc>
          <w:tcPr>
            <w:tcW w:w="6575" w:type="dxa"/>
            <w:tcBorders/>
            <w:vAlign w:val="center"/>
          </w:tcPr>
          <w:p>
            <w:pPr>
              <w:pStyle w:val="TableContents"/>
              <w:bidi w:val="0"/>
              <w:spacing w:before="0" w:after="283"/>
              <w:jc w:val="both"/>
              <w:rPr>
                <w:sz w:val="20"/>
              </w:rPr>
            </w:pPr>
            <w:r>
              <w:rPr>
                <w:sz w:val="20"/>
              </w:rPr>
              <w:t>__________________________</w:t>
            </w:r>
          </w:p>
        </w:tc>
      </w:tr>
      <w:tr>
        <w:trPr/>
        <w:tc>
          <w:tcPr>
            <w:tcW w:w="6575" w:type="dxa"/>
            <w:tcBorders/>
            <w:vAlign w:val="center"/>
          </w:tcPr>
          <w:p>
            <w:pPr>
              <w:pStyle w:val="TableContents"/>
              <w:bidi w:val="0"/>
              <w:spacing w:before="0" w:after="283"/>
              <w:jc w:val="both"/>
              <w:rPr/>
            </w:pPr>
            <w:r>
              <w:rPr/>
              <w:t> </w:t>
            </w:r>
          </w:p>
        </w:tc>
      </w:tr>
      <w:tr>
        <w:trPr/>
        <w:tc>
          <w:tcPr>
            <w:tcW w:w="6575" w:type="dxa"/>
            <w:tcBorders/>
            <w:vAlign w:val="center"/>
          </w:tcPr>
          <w:p>
            <w:pPr>
              <w:pStyle w:val="TableContents"/>
              <w:bidi w:val="0"/>
              <w:spacing w:before="0" w:after="283"/>
              <w:jc w:val="both"/>
              <w:rPr>
                <w:sz w:val="20"/>
              </w:rPr>
            </w:pPr>
            <w:r>
              <w:rPr>
                <w:sz w:val="20"/>
              </w:rPr>
              <w:t>The Warrant Shares shall be delivered to the following DWAC Account Number:</w:t>
            </w:r>
          </w:p>
        </w:tc>
      </w:tr>
      <w:tr>
        <w:trPr/>
        <w:tc>
          <w:tcPr>
            <w:tcW w:w="6575" w:type="dxa"/>
            <w:tcBorders/>
            <w:vAlign w:val="center"/>
          </w:tcPr>
          <w:p>
            <w:pPr>
              <w:pStyle w:val="TableContents"/>
              <w:bidi w:val="0"/>
              <w:spacing w:before="0" w:after="283"/>
              <w:jc w:val="both"/>
              <w:rPr/>
            </w:pPr>
            <w:r>
              <w:rPr/>
              <w:t> </w:t>
            </w:r>
          </w:p>
        </w:tc>
      </w:tr>
      <w:tr>
        <w:trPr/>
        <w:tc>
          <w:tcPr>
            <w:tcW w:w="6575" w:type="dxa"/>
            <w:tcBorders/>
            <w:vAlign w:val="center"/>
          </w:tcPr>
          <w:p>
            <w:pPr>
              <w:pStyle w:val="TableContents"/>
              <w:bidi w:val="0"/>
              <w:spacing w:before="0" w:after="283"/>
              <w:jc w:val="both"/>
              <w:rPr>
                <w:sz w:val="20"/>
              </w:rPr>
            </w:pPr>
            <w:r>
              <w:rPr>
                <w:sz w:val="20"/>
              </w:rPr>
              <w:t>__________________________</w:t>
            </w:r>
          </w:p>
        </w:tc>
      </w:tr>
      <w:tr>
        <w:trPr/>
        <w:tc>
          <w:tcPr>
            <w:tcW w:w="6575" w:type="dxa"/>
            <w:tcBorders/>
            <w:vAlign w:val="center"/>
          </w:tcPr>
          <w:p>
            <w:pPr>
              <w:pStyle w:val="TableContents"/>
              <w:bidi w:val="0"/>
              <w:spacing w:before="0" w:after="283"/>
              <w:jc w:val="both"/>
              <w:rPr>
                <w:sz w:val="20"/>
              </w:rPr>
            </w:pPr>
            <w:r>
              <w:rPr>
                <w:sz w:val="20"/>
              </w:rPr>
              <w:t>__________________________</w:t>
            </w:r>
          </w:p>
        </w:tc>
      </w:tr>
      <w:tr>
        <w:trPr/>
        <w:tc>
          <w:tcPr>
            <w:tcW w:w="65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(4)       </w:t>
      </w:r>
      <w:r>
        <w:rPr>
          <w:sz w:val="20"/>
          <w:u w:val="single"/>
        </w:rPr>
        <w:t>Accredited Investor</w:t>
      </w:r>
      <w:r>
        <w:rPr>
          <w:sz w:val="20"/>
        </w:rPr>
        <w:t>. The undersigned is an “accredited investor” as defined in Regulation D promulgated under the Securities Act of 1933, as amended.</w:t>
      </w:r>
    </w:p>
    <w:p>
      <w:pPr>
        <w:pStyle w:val="TextBody"/>
        <w:bidi w:val="0"/>
        <w:spacing w:before="0" w:after="0"/>
        <w:ind w:left="0" w:right="0" w:firstLine="720"/>
        <w:jc w:val="both"/>
        <w:rPr/>
      </w:pPr>
      <w:r>
        <w:rPr/>
        <w:t> </w:t>
      </w:r>
    </w:p>
    <w:tbl>
      <w:tblPr>
        <w:tblW w:w="4475" w:type="dxa"/>
        <w:jc w:val="left"/>
        <w:tblInd w:w="0" w:type="dxa"/>
        <w:tblLayout w:type="fixed"/>
        <w:tblCellMar>
          <w:top w:w="0" w:type="dxa"/>
          <w:left w:w="0" w:type="dxa"/>
          <w:bottom w:w="0" w:type="dxa"/>
          <w:right w:w="0" w:type="dxa"/>
        </w:tblCellMar>
      </w:tblPr>
      <w:tblGrid>
        <w:gridCol w:w="4475"/>
      </w:tblGrid>
      <w:tr>
        <w:trPr/>
        <w:tc>
          <w:tcPr>
            <w:tcW w:w="4475" w:type="dxa"/>
            <w:tcBorders/>
            <w:vAlign w:val="center"/>
          </w:tcPr>
          <w:p>
            <w:pPr>
              <w:pStyle w:val="TableContents"/>
              <w:bidi w:val="0"/>
              <w:spacing w:before="0" w:after="283"/>
              <w:jc w:val="both"/>
              <w:rPr>
                <w:sz w:val="20"/>
              </w:rPr>
            </w:pPr>
            <w:r>
              <w:rPr>
                <w:sz w:val="20"/>
              </w:rPr>
              <w:t>[SIGNATURE OF HOLDER]</w:t>
            </w:r>
          </w:p>
        </w:tc>
      </w:tr>
      <w:tr>
        <w:trPr/>
        <w:tc>
          <w:tcPr>
            <w:tcW w:w="4475" w:type="dxa"/>
            <w:tcBorders/>
            <w:vAlign w:val="center"/>
          </w:tcPr>
          <w:p>
            <w:pPr>
              <w:pStyle w:val="TableContents"/>
              <w:bidi w:val="0"/>
              <w:spacing w:before="0" w:after="283"/>
              <w:jc w:val="both"/>
              <w:rPr/>
            </w:pPr>
            <w:r>
              <w:rPr/>
              <w:t> </w:t>
            </w:r>
          </w:p>
        </w:tc>
      </w:tr>
      <w:tr>
        <w:trPr/>
        <w:tc>
          <w:tcPr>
            <w:tcW w:w="4475" w:type="dxa"/>
            <w:tcBorders/>
            <w:vAlign w:val="center"/>
          </w:tcPr>
          <w:p>
            <w:pPr>
              <w:pStyle w:val="TableContents"/>
              <w:bidi w:val="0"/>
              <w:spacing w:before="0" w:after="283"/>
              <w:jc w:val="both"/>
              <w:rPr>
                <w:sz w:val="20"/>
              </w:rPr>
            </w:pPr>
            <w:r>
              <w:rPr>
                <w:sz w:val="20"/>
              </w:rPr>
              <w:t>Name of Investing Entity:</w:t>
            </w:r>
          </w:p>
        </w:tc>
      </w:tr>
      <w:tr>
        <w:trPr/>
        <w:tc>
          <w:tcPr>
            <w:tcW w:w="4475" w:type="dxa"/>
            <w:tcBorders/>
            <w:vAlign w:val="center"/>
          </w:tcPr>
          <w:p>
            <w:pPr>
              <w:pStyle w:val="TableContents"/>
              <w:bidi w:val="0"/>
              <w:spacing w:before="0" w:after="283"/>
              <w:jc w:val="both"/>
              <w:rPr>
                <w:sz w:val="20"/>
              </w:rPr>
            </w:pPr>
            <w:r>
              <w:rPr>
                <w:sz w:val="20"/>
              </w:rPr>
              <w:t>__________________________</w:t>
            </w:r>
          </w:p>
        </w:tc>
      </w:tr>
      <w:tr>
        <w:trPr/>
        <w:tc>
          <w:tcPr>
            <w:tcW w:w="4475" w:type="dxa"/>
            <w:tcBorders/>
            <w:vAlign w:val="center"/>
          </w:tcPr>
          <w:p>
            <w:pPr>
              <w:pStyle w:val="TableContents"/>
              <w:bidi w:val="0"/>
              <w:spacing w:before="0" w:after="283"/>
              <w:jc w:val="both"/>
              <w:rPr>
                <w:sz w:val="20"/>
              </w:rPr>
            </w:pPr>
            <w:r>
              <w:rPr>
                <w:i/>
                <w:sz w:val="20"/>
              </w:rPr>
              <w:t>Signature of Authorized Signatory of Investing Entity</w:t>
            </w:r>
            <w:r>
              <w:rPr>
                <w:sz w:val="20"/>
              </w:rPr>
              <w:t>:</w:t>
            </w:r>
          </w:p>
        </w:tc>
      </w:tr>
      <w:tr>
        <w:trPr/>
        <w:tc>
          <w:tcPr>
            <w:tcW w:w="4475" w:type="dxa"/>
            <w:tcBorders/>
            <w:vAlign w:val="center"/>
          </w:tcPr>
          <w:p>
            <w:pPr>
              <w:pStyle w:val="TableContents"/>
              <w:bidi w:val="0"/>
              <w:spacing w:before="0" w:after="283"/>
              <w:jc w:val="both"/>
              <w:rPr/>
            </w:pPr>
            <w:r>
              <w:rPr/>
              <w:t> </w:t>
            </w:r>
          </w:p>
        </w:tc>
      </w:tr>
      <w:tr>
        <w:trPr/>
        <w:tc>
          <w:tcPr>
            <w:tcW w:w="4475" w:type="dxa"/>
            <w:tcBorders/>
            <w:vAlign w:val="center"/>
          </w:tcPr>
          <w:p>
            <w:pPr>
              <w:pStyle w:val="TableContents"/>
              <w:bidi w:val="0"/>
              <w:spacing w:before="0" w:after="283"/>
              <w:jc w:val="both"/>
              <w:rPr>
                <w:sz w:val="20"/>
              </w:rPr>
            </w:pPr>
            <w:r>
              <w:rPr>
                <w:sz w:val="20"/>
              </w:rPr>
              <w:t>Name of Authorized Signatory:</w:t>
            </w:r>
          </w:p>
        </w:tc>
      </w:tr>
      <w:tr>
        <w:trPr/>
        <w:tc>
          <w:tcPr>
            <w:tcW w:w="4475" w:type="dxa"/>
            <w:tcBorders/>
            <w:vAlign w:val="center"/>
          </w:tcPr>
          <w:p>
            <w:pPr>
              <w:pStyle w:val="TableContents"/>
              <w:bidi w:val="0"/>
              <w:spacing w:before="0" w:after="283"/>
              <w:jc w:val="both"/>
              <w:rPr>
                <w:sz w:val="20"/>
              </w:rPr>
            </w:pPr>
            <w:r>
              <w:rPr>
                <w:sz w:val="20"/>
              </w:rPr>
              <w:t>__________________________</w:t>
            </w:r>
          </w:p>
        </w:tc>
      </w:tr>
      <w:tr>
        <w:trPr/>
        <w:tc>
          <w:tcPr>
            <w:tcW w:w="4475" w:type="dxa"/>
            <w:tcBorders/>
            <w:vAlign w:val="center"/>
          </w:tcPr>
          <w:p>
            <w:pPr>
              <w:pStyle w:val="TableContents"/>
              <w:bidi w:val="0"/>
              <w:spacing w:before="0" w:after="283"/>
              <w:jc w:val="both"/>
              <w:rPr/>
            </w:pPr>
            <w:r>
              <w:rPr/>
              <w:t> </w:t>
            </w:r>
          </w:p>
        </w:tc>
      </w:tr>
      <w:tr>
        <w:trPr/>
        <w:tc>
          <w:tcPr>
            <w:tcW w:w="4475" w:type="dxa"/>
            <w:tcBorders/>
            <w:vAlign w:val="center"/>
          </w:tcPr>
          <w:p>
            <w:pPr>
              <w:pStyle w:val="TableContents"/>
              <w:bidi w:val="0"/>
              <w:spacing w:before="0" w:after="283"/>
              <w:jc w:val="both"/>
              <w:rPr>
                <w:sz w:val="20"/>
              </w:rPr>
            </w:pPr>
            <w:r>
              <w:rPr>
                <w:sz w:val="20"/>
              </w:rPr>
              <w:t>Title of Authorized Signatory:</w:t>
            </w:r>
          </w:p>
        </w:tc>
      </w:tr>
      <w:tr>
        <w:trPr/>
        <w:tc>
          <w:tcPr>
            <w:tcW w:w="4475" w:type="dxa"/>
            <w:tcBorders/>
            <w:vAlign w:val="center"/>
          </w:tcPr>
          <w:p>
            <w:pPr>
              <w:pStyle w:val="TableContents"/>
              <w:bidi w:val="0"/>
              <w:spacing w:before="0" w:after="283"/>
              <w:jc w:val="both"/>
              <w:rPr>
                <w:sz w:val="20"/>
              </w:rPr>
            </w:pPr>
            <w:r>
              <w:rPr>
                <w:sz w:val="20"/>
              </w:rPr>
              <w:t>__________________________</w:t>
            </w:r>
          </w:p>
        </w:tc>
      </w:tr>
      <w:tr>
        <w:trPr/>
        <w:tc>
          <w:tcPr>
            <w:tcW w:w="4475" w:type="dxa"/>
            <w:tcBorders/>
            <w:vAlign w:val="center"/>
          </w:tcPr>
          <w:p>
            <w:pPr>
              <w:pStyle w:val="TableContents"/>
              <w:bidi w:val="0"/>
              <w:spacing w:before="0" w:after="283"/>
              <w:jc w:val="both"/>
              <w:rPr/>
            </w:pPr>
            <w:r>
              <w:rPr/>
              <w:t> </w:t>
            </w:r>
          </w:p>
        </w:tc>
      </w:tr>
      <w:tr>
        <w:trPr/>
        <w:tc>
          <w:tcPr>
            <w:tcW w:w="4475" w:type="dxa"/>
            <w:tcBorders/>
            <w:vAlign w:val="center"/>
          </w:tcPr>
          <w:p>
            <w:pPr>
              <w:pStyle w:val="TableContents"/>
              <w:bidi w:val="0"/>
              <w:spacing w:before="0" w:after="283"/>
              <w:jc w:val="both"/>
              <w:rPr>
                <w:sz w:val="20"/>
              </w:rPr>
            </w:pPr>
            <w:r>
              <w:rPr>
                <w:sz w:val="20"/>
              </w:rPr>
              <w:t>Date:  ____________</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EXHIBIT A</w:t>
      </w:r>
    </w:p>
    <w:p>
      <w:pPr>
        <w:pStyle w:val="TextBody"/>
        <w:bidi w:val="0"/>
        <w:spacing w:before="0" w:after="0"/>
        <w:ind w:left="0" w:right="0" w:hanging="0"/>
        <w:jc w:val="both"/>
        <w:rPr/>
      </w:pPr>
      <w:r>
        <w:rPr/>
        <w:t> </w:t>
      </w:r>
    </w:p>
    <w:p>
      <w:pPr>
        <w:pStyle w:val="TextBody"/>
        <w:bidi w:val="0"/>
        <w:spacing w:before="0" w:after="0"/>
        <w:ind w:left="0" w:right="0" w:hanging="0"/>
        <w:jc w:val="center"/>
        <w:rPr>
          <w:sz w:val="20"/>
        </w:rPr>
      </w:pPr>
      <w:r>
        <w:rPr>
          <w:sz w:val="20"/>
        </w:rPr>
        <w:t>ASSIGNMENT FORM</w:t>
      </w:r>
    </w:p>
    <w:p>
      <w:pPr>
        <w:pStyle w:val="TextBody"/>
        <w:bidi w:val="0"/>
        <w:spacing w:before="0" w:after="0"/>
        <w:ind w:left="0" w:right="0" w:hanging="0"/>
        <w:jc w:val="center"/>
        <w:rPr/>
      </w:pPr>
      <w:r>
        <w:rPr/>
        <w:t> </w:t>
      </w:r>
    </w:p>
    <w:p>
      <w:pPr>
        <w:pStyle w:val="TextBody"/>
        <w:bidi w:val="0"/>
        <w:spacing w:before="0" w:after="0"/>
        <w:ind w:left="0" w:right="0" w:firstLine="720"/>
        <w:jc w:val="both"/>
        <w:rPr>
          <w:i/>
          <w:sz w:val="20"/>
        </w:rPr>
      </w:pPr>
      <w:r>
        <w:rPr>
          <w:i/>
          <w:sz w:val="20"/>
        </w:rPr>
        <w:t>(To assign the foregoing Warrant, execute this form and supply required information. Do not use this form to exercise the Warrant to purchase shares.)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FOR VALUE RECEIVED, the foregoing Warrant and all rights evidenced thereby are hereby assigned to</w:t>
      </w:r>
    </w:p>
    <w:p>
      <w:pPr>
        <w:pStyle w:val="TextBody"/>
        <w:bidi w:val="0"/>
        <w:spacing w:before="0" w:after="0"/>
        <w:ind w:left="0" w:right="0" w:firstLine="720"/>
        <w:jc w:val="both"/>
        <w:rPr/>
      </w:pPr>
      <w:r>
        <w:rPr/>
        <w:t> </w:t>
      </w:r>
    </w:p>
    <w:tbl>
      <w:tblPr>
        <w:tblW w:w="6880" w:type="dxa"/>
        <w:jc w:val="left"/>
        <w:tblInd w:w="0" w:type="dxa"/>
        <w:tblLayout w:type="fixed"/>
        <w:tblCellMar>
          <w:top w:w="0" w:type="dxa"/>
          <w:left w:w="0" w:type="dxa"/>
          <w:bottom w:w="0" w:type="dxa"/>
          <w:right w:w="0" w:type="dxa"/>
        </w:tblCellMar>
      </w:tblPr>
      <w:tblGrid>
        <w:gridCol w:w="3725"/>
        <w:gridCol w:w="3155"/>
      </w:tblGrid>
      <w:tr>
        <w:trPr/>
        <w:tc>
          <w:tcPr>
            <w:tcW w:w="3725" w:type="dxa"/>
            <w:tcBorders/>
            <w:vAlign w:val="center"/>
          </w:tcPr>
          <w:p>
            <w:pPr>
              <w:pStyle w:val="TableContents"/>
              <w:bidi w:val="0"/>
              <w:spacing w:before="0" w:after="283"/>
              <w:jc w:val="both"/>
              <w:rPr/>
            </w:pPr>
            <w:r>
              <w:rPr/>
              <w:t>Name:</w:t>
            </w:r>
          </w:p>
        </w:tc>
        <w:tc>
          <w:tcPr>
            <w:tcW w:w="3155" w:type="dxa"/>
            <w:tcBorders/>
            <w:vAlign w:val="center"/>
          </w:tcPr>
          <w:p>
            <w:pPr>
              <w:pStyle w:val="TableContents"/>
              <w:bidi w:val="0"/>
              <w:spacing w:before="0" w:after="283"/>
              <w:jc w:val="both"/>
              <w:rPr/>
            </w:pPr>
            <w:r>
              <w:rPr/>
              <w:t> </w:t>
            </w:r>
          </w:p>
        </w:tc>
      </w:tr>
      <w:tr>
        <w:trPr/>
        <w:tc>
          <w:tcPr>
            <w:tcW w:w="3725" w:type="dxa"/>
            <w:tcBorders/>
            <w:vAlign w:val="center"/>
          </w:tcPr>
          <w:p>
            <w:pPr>
              <w:pStyle w:val="TableContents"/>
              <w:bidi w:val="0"/>
              <w:spacing w:before="0" w:after="283"/>
              <w:jc w:val="both"/>
              <w:rPr/>
            </w:pPr>
            <w:r>
              <w:rPr/>
              <w:t> </w:t>
            </w:r>
          </w:p>
        </w:tc>
        <w:tc>
          <w:tcPr>
            <w:tcW w:w="3155" w:type="dxa"/>
            <w:tcBorders/>
            <w:vAlign w:val="center"/>
          </w:tcPr>
          <w:p>
            <w:pPr>
              <w:pStyle w:val="TableContents"/>
              <w:bidi w:val="0"/>
              <w:spacing w:before="0" w:after="283"/>
              <w:jc w:val="both"/>
              <w:rPr/>
            </w:pPr>
            <w:r>
              <w:rPr/>
              <w:t>(Please Print)</w:t>
            </w:r>
          </w:p>
        </w:tc>
      </w:tr>
      <w:tr>
        <w:trPr/>
        <w:tc>
          <w:tcPr>
            <w:tcW w:w="3725" w:type="dxa"/>
            <w:tcBorders/>
            <w:vAlign w:val="center"/>
          </w:tcPr>
          <w:p>
            <w:pPr>
              <w:pStyle w:val="TableContents"/>
              <w:bidi w:val="0"/>
              <w:spacing w:before="0" w:after="283"/>
              <w:jc w:val="both"/>
              <w:rPr/>
            </w:pPr>
            <w:r>
              <w:rPr/>
              <w:t>Address:</w:t>
            </w:r>
          </w:p>
        </w:tc>
        <w:tc>
          <w:tcPr>
            <w:tcW w:w="3155" w:type="dxa"/>
            <w:tcBorders/>
            <w:vAlign w:val="center"/>
          </w:tcPr>
          <w:p>
            <w:pPr>
              <w:pStyle w:val="TableContents"/>
              <w:bidi w:val="0"/>
              <w:spacing w:before="0" w:after="283"/>
              <w:jc w:val="both"/>
              <w:rPr/>
            </w:pPr>
            <w:r>
              <w:rPr/>
              <w:t> </w:t>
            </w:r>
          </w:p>
        </w:tc>
      </w:tr>
      <w:tr>
        <w:trPr/>
        <w:tc>
          <w:tcPr>
            <w:tcW w:w="3725" w:type="dxa"/>
            <w:tcBorders/>
            <w:vAlign w:val="center"/>
          </w:tcPr>
          <w:p>
            <w:pPr>
              <w:pStyle w:val="TableContents"/>
              <w:bidi w:val="0"/>
              <w:spacing w:before="0" w:after="283"/>
              <w:jc w:val="both"/>
              <w:rPr/>
            </w:pPr>
            <w:r>
              <w:rPr/>
              <w:t> </w:t>
            </w:r>
          </w:p>
        </w:tc>
        <w:tc>
          <w:tcPr>
            <w:tcW w:w="3155" w:type="dxa"/>
            <w:tcBorders/>
            <w:vAlign w:val="center"/>
          </w:tcPr>
          <w:p>
            <w:pPr>
              <w:pStyle w:val="TableContents"/>
              <w:bidi w:val="0"/>
              <w:spacing w:before="0" w:after="283"/>
              <w:jc w:val="both"/>
              <w:rPr/>
            </w:pPr>
            <w:r>
              <w:rPr/>
              <w:t>(Please Print)</w:t>
            </w:r>
          </w:p>
        </w:tc>
      </w:tr>
      <w:tr>
        <w:trPr/>
        <w:tc>
          <w:tcPr>
            <w:tcW w:w="3725" w:type="dxa"/>
            <w:tcBorders/>
            <w:vAlign w:val="center"/>
          </w:tcPr>
          <w:p>
            <w:pPr>
              <w:pStyle w:val="TableContents"/>
              <w:bidi w:val="0"/>
              <w:spacing w:before="0" w:after="283"/>
              <w:jc w:val="both"/>
              <w:rPr/>
            </w:pPr>
            <w:r>
              <w:rPr/>
              <w:t> </w:t>
            </w:r>
          </w:p>
        </w:tc>
        <w:tc>
          <w:tcPr>
            <w:tcW w:w="3155" w:type="dxa"/>
            <w:tcBorders/>
            <w:vAlign w:val="center"/>
          </w:tcPr>
          <w:p>
            <w:pPr>
              <w:pStyle w:val="TableContents"/>
              <w:bidi w:val="0"/>
              <w:spacing w:before="0" w:after="283"/>
              <w:jc w:val="both"/>
              <w:rPr/>
            </w:pPr>
            <w:r>
              <w:rPr/>
              <w:t> </w:t>
            </w:r>
          </w:p>
        </w:tc>
      </w:tr>
      <w:tr>
        <w:trPr/>
        <w:tc>
          <w:tcPr>
            <w:tcW w:w="3725" w:type="dxa"/>
            <w:tcBorders/>
            <w:vAlign w:val="center"/>
          </w:tcPr>
          <w:p>
            <w:pPr>
              <w:pStyle w:val="TableContents"/>
              <w:bidi w:val="0"/>
              <w:spacing w:before="0" w:after="283"/>
              <w:jc w:val="both"/>
              <w:rPr/>
            </w:pPr>
            <w:r>
              <w:rPr/>
              <w:t>Phone Number:</w:t>
            </w:r>
          </w:p>
        </w:tc>
        <w:tc>
          <w:tcPr>
            <w:tcW w:w="3155" w:type="dxa"/>
            <w:tcBorders/>
            <w:vAlign w:val="center"/>
          </w:tcPr>
          <w:p>
            <w:pPr>
              <w:pStyle w:val="TableContents"/>
              <w:bidi w:val="0"/>
              <w:spacing w:before="0" w:after="283"/>
              <w:jc w:val="both"/>
              <w:rPr/>
            </w:pPr>
            <w:r>
              <w:rPr/>
              <w:t>__________________________</w:t>
            </w:r>
          </w:p>
        </w:tc>
      </w:tr>
      <w:tr>
        <w:trPr/>
        <w:tc>
          <w:tcPr>
            <w:tcW w:w="3725" w:type="dxa"/>
            <w:tcBorders/>
            <w:vAlign w:val="center"/>
          </w:tcPr>
          <w:p>
            <w:pPr>
              <w:pStyle w:val="TableContents"/>
              <w:bidi w:val="0"/>
              <w:spacing w:before="0" w:after="283"/>
              <w:jc w:val="both"/>
              <w:rPr/>
            </w:pPr>
            <w:r>
              <w:rPr/>
              <w:t> </w:t>
            </w:r>
          </w:p>
        </w:tc>
        <w:tc>
          <w:tcPr>
            <w:tcW w:w="3155" w:type="dxa"/>
            <w:tcBorders/>
            <w:vAlign w:val="center"/>
          </w:tcPr>
          <w:p>
            <w:pPr>
              <w:pStyle w:val="TableContents"/>
              <w:bidi w:val="0"/>
              <w:spacing w:before="0" w:after="283"/>
              <w:jc w:val="both"/>
              <w:rPr/>
            </w:pPr>
            <w:r>
              <w:rPr/>
              <w:t> </w:t>
            </w:r>
          </w:p>
        </w:tc>
      </w:tr>
      <w:tr>
        <w:trPr/>
        <w:tc>
          <w:tcPr>
            <w:tcW w:w="3725" w:type="dxa"/>
            <w:tcBorders/>
            <w:vAlign w:val="center"/>
          </w:tcPr>
          <w:p>
            <w:pPr>
              <w:pStyle w:val="TableContents"/>
              <w:bidi w:val="0"/>
              <w:spacing w:before="0" w:after="283"/>
              <w:jc w:val="both"/>
              <w:rPr/>
            </w:pPr>
            <w:r>
              <w:rPr/>
              <w:t>Email Address:</w:t>
            </w:r>
          </w:p>
        </w:tc>
        <w:tc>
          <w:tcPr>
            <w:tcW w:w="3155" w:type="dxa"/>
            <w:tcBorders/>
            <w:vAlign w:val="center"/>
          </w:tcPr>
          <w:p>
            <w:pPr>
              <w:pStyle w:val="TableContents"/>
              <w:bidi w:val="0"/>
              <w:spacing w:before="0" w:after="283"/>
              <w:jc w:val="both"/>
              <w:rPr/>
            </w:pPr>
            <w:r>
              <w:rPr/>
              <w:t>__________________________</w:t>
            </w:r>
          </w:p>
        </w:tc>
      </w:tr>
      <w:tr>
        <w:trPr/>
        <w:tc>
          <w:tcPr>
            <w:tcW w:w="3725" w:type="dxa"/>
            <w:tcBorders/>
            <w:vAlign w:val="center"/>
          </w:tcPr>
          <w:p>
            <w:pPr>
              <w:pStyle w:val="TableContents"/>
              <w:bidi w:val="0"/>
              <w:spacing w:before="0" w:after="283"/>
              <w:jc w:val="both"/>
              <w:rPr/>
            </w:pPr>
            <w:r>
              <w:rPr/>
              <w:t> </w:t>
            </w:r>
          </w:p>
        </w:tc>
        <w:tc>
          <w:tcPr>
            <w:tcW w:w="3155" w:type="dxa"/>
            <w:tcBorders/>
            <w:vAlign w:val="center"/>
          </w:tcPr>
          <w:p>
            <w:pPr>
              <w:pStyle w:val="TableContents"/>
              <w:bidi w:val="0"/>
              <w:spacing w:before="0" w:after="283"/>
              <w:jc w:val="both"/>
              <w:rPr/>
            </w:pPr>
            <w:r>
              <w:rPr/>
              <w:t> </w:t>
            </w:r>
          </w:p>
        </w:tc>
      </w:tr>
      <w:tr>
        <w:trPr/>
        <w:tc>
          <w:tcPr>
            <w:tcW w:w="3725" w:type="dxa"/>
            <w:tcBorders/>
            <w:vAlign w:val="center"/>
          </w:tcPr>
          <w:p>
            <w:pPr>
              <w:pStyle w:val="TableContents"/>
              <w:bidi w:val="0"/>
              <w:spacing w:before="0" w:after="283"/>
              <w:jc w:val="both"/>
              <w:rPr/>
            </w:pPr>
            <w:r>
              <w:rPr/>
              <w:t>Dated:  _______________ __, ______</w:t>
            </w:r>
          </w:p>
        </w:tc>
        <w:tc>
          <w:tcPr>
            <w:tcW w:w="3155" w:type="dxa"/>
            <w:tcBorders/>
            <w:vAlign w:val="center"/>
          </w:tcPr>
          <w:p>
            <w:pPr>
              <w:pStyle w:val="TableContents"/>
              <w:bidi w:val="0"/>
              <w:spacing w:before="0" w:after="283"/>
              <w:jc w:val="both"/>
              <w:rPr/>
            </w:pPr>
            <w:r>
              <w:rPr/>
              <w:t> </w:t>
            </w:r>
          </w:p>
        </w:tc>
      </w:tr>
      <w:tr>
        <w:trPr/>
        <w:tc>
          <w:tcPr>
            <w:tcW w:w="3725" w:type="dxa"/>
            <w:tcBorders/>
            <w:vAlign w:val="center"/>
          </w:tcPr>
          <w:p>
            <w:pPr>
              <w:pStyle w:val="TableContents"/>
              <w:bidi w:val="0"/>
              <w:spacing w:before="0" w:after="283"/>
              <w:jc w:val="both"/>
              <w:rPr/>
            </w:pPr>
            <w:r>
              <w:rPr/>
              <w:t>Holder’s Signature:</w:t>
            </w:r>
          </w:p>
        </w:tc>
        <w:tc>
          <w:tcPr>
            <w:tcW w:w="3155" w:type="dxa"/>
            <w:tcBorders/>
            <w:vAlign w:val="center"/>
          </w:tcPr>
          <w:p>
            <w:pPr>
              <w:pStyle w:val="TableContents"/>
              <w:bidi w:val="0"/>
              <w:spacing w:before="0" w:after="283"/>
              <w:jc w:val="both"/>
              <w:rPr/>
            </w:pPr>
            <w:r>
              <w:rPr/>
              <w:t> </w:t>
            </w:r>
          </w:p>
        </w:tc>
      </w:tr>
      <w:tr>
        <w:trPr/>
        <w:tc>
          <w:tcPr>
            <w:tcW w:w="3725" w:type="dxa"/>
            <w:tcBorders/>
            <w:vAlign w:val="center"/>
          </w:tcPr>
          <w:p>
            <w:pPr>
              <w:pStyle w:val="TableContents"/>
              <w:bidi w:val="0"/>
              <w:spacing w:before="0" w:after="283"/>
              <w:jc w:val="both"/>
              <w:rPr/>
            </w:pPr>
            <w:r>
              <w:rPr/>
              <w:t>Holder’s Address:</w:t>
            </w:r>
          </w:p>
        </w:tc>
        <w:tc>
          <w:tcPr>
            <w:tcW w:w="315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right"/>
        <w:rPr>
          <w:b/>
          <w:sz w:val="20"/>
        </w:rPr>
      </w:pPr>
      <w:bookmarkStart w:id="26" w:name="exh_101.htm"/>
      <w:bookmarkStart w:id="27" w:name="ksexh_101"/>
      <w:bookmarkEnd w:id="26"/>
      <w:bookmarkEnd w:id="27"/>
      <w:r>
        <w:rPr>
          <w:b/>
          <w:sz w:val="20"/>
        </w:rPr>
        <w:t>Exhibit 10.1</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PRE-FUNDED WARRANT</w:t>
        <w:br/>
        <w:t>SECURITIES PURCHASE AGREEMENT</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This Pre-Funded Warrant Securities Purchase Agreement (this “</w:t>
      </w:r>
      <w:r>
        <w:rPr>
          <w:sz w:val="20"/>
          <w:u w:val="single"/>
        </w:rPr>
        <w:t>Agreement</w:t>
      </w:r>
      <w:r>
        <w:rPr>
          <w:sz w:val="20"/>
        </w:rPr>
        <w:t>”) is dated as of March 10, 2026, between Sono Group N.V., a Dutch public limited liability company (the “</w:t>
      </w:r>
      <w:r>
        <w:rPr>
          <w:sz w:val="20"/>
          <w:u w:val="single"/>
        </w:rPr>
        <w:t>Company</w:t>
      </w:r>
      <w:r>
        <w:rPr>
          <w:sz w:val="20"/>
        </w:rPr>
        <w:t>”), and YA II PN, Ltd. (including its successors and assigns, the “</w:t>
      </w:r>
      <w:r>
        <w:rPr>
          <w:sz w:val="20"/>
          <w:u w:val="single"/>
        </w:rPr>
        <w:t>Purchaser</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WHEREAS, subject to the terms and conditions set forth in this Agreement and pursuant to Section 4(a)(2) of the Securities Act (as defined below), and/or Rule 506 of Regulation D promulgated thereunder, the Company desires to issue and sell to the Purchaser, and the Purchaser desires to purchase from the Company, securities of the Company as more fully described in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NOW, THEREFORE, IN CONSIDERATION of the mutual covenants contained in this Agreement, and for other good and valuable consideration, the receipt and adequacy of which are hereby acknowledged, the Company and the Purchaser agree as follows:</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I.</w:t>
        <w:br/>
        <w:t>DEFINITIONS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1.1       </w:t>
      </w:r>
      <w:r>
        <w:rPr>
          <w:sz w:val="20"/>
          <w:u w:val="single"/>
        </w:rPr>
        <w:t>Definitions</w:t>
      </w:r>
      <w:r>
        <w:rPr>
          <w:sz w:val="20"/>
        </w:rPr>
        <w:t xml:space="preserve">. In addition to the terms defined elsewhere in this Agreement, for all purposes of this Agreement, the following terms have the meanings set forth in this </w:t>
      </w:r>
      <w:r>
        <w:rPr>
          <w:sz w:val="20"/>
          <w:u w:val="single"/>
        </w:rPr>
        <w:t>Section 1.1</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Acquiring Person</w:t>
      </w:r>
      <w:r>
        <w:rPr>
          <w:sz w:val="20"/>
        </w:rPr>
        <w:t xml:space="preserve">” shall have the meaning ascribed to such term in </w:t>
      </w:r>
      <w:r>
        <w:rPr>
          <w:sz w:val="20"/>
          <w:u w:val="single"/>
        </w:rPr>
        <w:t>Section 4.5</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Action</w:t>
      </w:r>
      <w:r>
        <w:rPr>
          <w:sz w:val="20"/>
        </w:rPr>
        <w:t xml:space="preserve">” shall have the meaning ascribed to such term in </w:t>
      </w:r>
      <w:r>
        <w:rPr>
          <w:sz w:val="20"/>
          <w:u w:val="single"/>
        </w:rPr>
        <w:t>Section 3.1(j)</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Affiliate</w:t>
      </w:r>
      <w:r>
        <w:rPr>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Board of Directors</w:t>
      </w:r>
      <w:r>
        <w:rPr>
          <w:sz w:val="20"/>
        </w:rPr>
        <w:t>” means the supervisory board of the Company.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Business Day</w:t>
      </w:r>
      <w:r>
        <w:rPr>
          <w:sz w:val="20"/>
        </w:rPr>
        <w:t xml:space="preserve">” means any day other than Saturday, Sunday, any day which is a federal legal holiday in the United States or other day on which commercial banks in the City of New York are authorized or required by law to remain closed; </w:t>
      </w:r>
      <w:r>
        <w:rPr>
          <w:sz w:val="20"/>
          <w:u w:val="single"/>
          <w:shd w:fill="FFFFFF" w:val="clear"/>
        </w:rPr>
        <w:t>provided</w:t>
      </w:r>
      <w:r>
        <w:rPr>
          <w:sz w:val="20"/>
          <w:shd w:fill="FFFFFF" w:val="clear"/>
        </w:rPr>
        <w:t xml:space="preserve">, </w:t>
      </w:r>
      <w:r>
        <w:rPr>
          <w:sz w:val="20"/>
          <w:u w:val="single"/>
          <w:shd w:fill="FFFFFF" w:val="clear"/>
        </w:rPr>
        <w:t>however</w:t>
      </w:r>
      <w:r>
        <w:rPr>
          <w:sz w:val="20"/>
          <w:shd w:fill="FFFFFF" w:val="clear"/>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Closing</w:t>
      </w:r>
      <w:r>
        <w:rPr>
          <w:sz w:val="20"/>
        </w:rPr>
        <w:t xml:space="preserve">” means the closing of the purchase and sale of the Pre-Funded Warrants pursuant to </w:t>
      </w:r>
      <w:r>
        <w:rPr>
          <w:sz w:val="20"/>
          <w:u w:val="single"/>
        </w:rPr>
        <w:t>Section 2.1</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Closing Date</w:t>
      </w:r>
      <w:r>
        <w:rPr>
          <w:sz w:val="20"/>
        </w:rPr>
        <w:t>” means the Trading Day on which all of the Transaction Documents have been executed and delivered by the applicable parties thereto, and all conditions precedent to (i) the Purchaser’s obligations to pay the Subscription Amount and (ii) the Company’s obligations to deliver the Pre-Funded Warrants, in each case, have been satisfied or waived, but no later than March 16, 2026.</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w:t>
      </w:r>
      <w:r>
        <w:rPr>
          <w:sz w:val="20"/>
          <w:u w:val="single"/>
        </w:rPr>
        <w:t>Commission</w:t>
      </w:r>
      <w:r>
        <w:rPr>
          <w:sz w:val="20"/>
        </w:rPr>
        <w:t>” means the United States Securities and Exchange Commission.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Company Counsel</w:t>
      </w:r>
      <w:r>
        <w:rPr>
          <w:sz w:val="20"/>
        </w:rPr>
        <w:t>” means DLA Piper LLP (US), with offices located at 555 Mission Street, San Francisco, California 94105-2933.</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Disclosure Time</w:t>
      </w:r>
      <w:r>
        <w:rPr>
          <w:sz w:val="20"/>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Effective Date</w:t>
      </w:r>
      <w:r>
        <w:rPr>
          <w:sz w:val="20"/>
        </w:rPr>
        <w:t>” means the earliest of the date that (a) the initial Registration Statement registering for resale all Warrant Shares has been declared effective by the Commission, (b) all of the Warrant Shares have been sold pursuant to Rule 144 or may be sold pursuant to Rule 144 without the requirement for the Company to be in compliance with the current public information required under Rule 144 and without volume or manner-of-sale restrictions, (c) following the one year anniversary of the Closing Date provided that a holder of Warrant Shares is not an Affiliate of the Company, or (d) all of the Warrant Shares may be sold pursuant to an exemption from registration under Section 4(a)(1) of the Securities Act without volume or manner-of-sale restrictions and the Company Counsel has delivered to such holders a standing written unqualified opinion that resales may then be made by such holders of the Warrant Shares pursuant to such exemption which opinion shall be in form and substance reasonably acceptable to such holders.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Evaluation Date</w:t>
      </w:r>
      <w:r>
        <w:rPr>
          <w:sz w:val="20"/>
        </w:rPr>
        <w:t xml:space="preserve">” shall have the meaning ascribed to such term in </w:t>
      </w:r>
      <w:r>
        <w:rPr>
          <w:sz w:val="20"/>
          <w:u w:val="single"/>
        </w:rPr>
        <w:t>Section 3.1(p)</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Exchange Act</w:t>
      </w:r>
      <w:r>
        <w:rPr>
          <w:sz w:val="20"/>
        </w:rPr>
        <w:t>” means the Securities Exchange Act of 1934, as amended, and the rules and regulations promulgated thereunder.</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FCPA</w:t>
      </w:r>
      <w:r>
        <w:rPr>
          <w:sz w:val="20"/>
        </w:rPr>
        <w:t>” means the Foreign Corrupt Practices Act of 1977, as amended.</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GAAP</w:t>
      </w:r>
      <w:r>
        <w:rPr>
          <w:sz w:val="20"/>
        </w:rPr>
        <w:t xml:space="preserve">” shall have the meaning ascribed to such term in </w:t>
      </w:r>
      <w:r>
        <w:rPr>
          <w:sz w:val="20"/>
          <w:u w:val="single"/>
        </w:rPr>
        <w:t>Section 3.1(h)</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Indebtedness</w:t>
      </w:r>
      <w:r>
        <w:rPr>
          <w:sz w:val="20"/>
        </w:rPr>
        <w:t xml:space="preserve">” shall have the meaning ascribed to such term in </w:t>
      </w:r>
      <w:r>
        <w:rPr>
          <w:sz w:val="20"/>
          <w:u w:val="single"/>
        </w:rPr>
        <w:t>Section 3.1(y)</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Legend Removal Date</w:t>
      </w:r>
      <w:r>
        <w:rPr>
          <w:sz w:val="20"/>
        </w:rPr>
        <w:t xml:space="preserve">” shall have the meaning ascribed to such term in </w:t>
      </w:r>
      <w:r>
        <w:rPr>
          <w:sz w:val="20"/>
          <w:u w:val="single"/>
        </w:rPr>
        <w:t>Section 4.1(c)</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Liens</w:t>
      </w:r>
      <w:r>
        <w:rPr>
          <w:sz w:val="20"/>
        </w:rPr>
        <w:t>” means a lien, charge pledge, security interest, encumbrance, right of first refusal, preemptive right or other restriction.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Management Board</w:t>
      </w:r>
      <w:r>
        <w:rPr>
          <w:sz w:val="20"/>
        </w:rPr>
        <w:t>” means the management board of the Company.</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t>“</w:t>
      </w:r>
      <w:r>
        <w:rPr>
          <w:sz w:val="20"/>
          <w:u w:val="single"/>
        </w:rPr>
        <w:t>Material Adverse Effect</w:t>
      </w:r>
      <w:r>
        <w:rPr>
          <w:sz w:val="20"/>
        </w:rPr>
        <w:t xml:space="preserve">” shall have the meaning assigned to such term in </w:t>
      </w:r>
      <w:r>
        <w:rPr>
          <w:sz w:val="20"/>
          <w:u w:val="single"/>
        </w:rPr>
        <w:t>Section 3.1(b)</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Material Permits</w:t>
      </w:r>
      <w:r>
        <w:rPr>
          <w:sz w:val="20"/>
        </w:rPr>
        <w:t xml:space="preserve">” shall have the meaning ascribed to such term in </w:t>
      </w:r>
      <w:r>
        <w:rPr>
          <w:sz w:val="20"/>
          <w:u w:val="single"/>
        </w:rPr>
        <w:t>Section 3.1(l)</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Ordinary Shares</w:t>
      </w:r>
      <w:r>
        <w:rPr>
          <w:sz w:val="20"/>
        </w:rPr>
        <w:t>” means the ordinary shares of the Company, nominal value €0.01 per share, and any other class of securities into which such securities may hereafter be reclassified or changed.</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Ordinary Shares Equivalents</w:t>
      </w:r>
      <w:r>
        <w:rPr>
          <w:sz w:val="20"/>
        </w:rPr>
        <w:t>” means any securities of the Company or the Subsidiaries which would entitle the holder thereof to acquire at any time Ordinary Shares, including, without limitation, any debt, preferred stock, right, option, warrant or other instrument that is at any time convertible into or exercisable or exchangeable for, or otherwise entitles the holder thereof to receive, Ordinary Shares.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Per Warrant Purchase Price</w:t>
      </w:r>
      <w:r>
        <w:rPr>
          <w:sz w:val="20"/>
        </w:rPr>
        <w:t>” equals $7.058 subject to adjustment for reverse and forward stock splits, stock dividends, stock combinations and other similar transactions of the Ordinary Shares that occur after the date of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Person</w:t>
      </w:r>
      <w:r>
        <w:rPr>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Pre-Funded Warrant Shares</w:t>
      </w:r>
      <w:r>
        <w:rPr>
          <w:sz w:val="20"/>
        </w:rPr>
        <w:t>” means the number of Ordinary Shares issuable upon exercise of the Pre-Funded Warrants.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Pre-Funded Warrant</w:t>
      </w:r>
      <w:r>
        <w:rPr>
          <w:sz w:val="20"/>
        </w:rPr>
        <w:t xml:space="preserve">” means a pre-funded warrant to purchase the Ordinary Shares delivered to the Purchaser at the Closing in accordance with </w:t>
      </w:r>
      <w:r>
        <w:rPr>
          <w:sz w:val="20"/>
          <w:u w:val="single"/>
        </w:rPr>
        <w:t>Section 2.2(a)</w:t>
      </w:r>
      <w:r>
        <w:rPr>
          <w:sz w:val="20"/>
        </w:rPr>
        <w:t xml:space="preserve"> hereof, which Pre-Funded Warrant will be exercisable immediately and will expire when exercised, substantially in the form of </w:t>
      </w:r>
      <w:r>
        <w:rPr>
          <w:sz w:val="20"/>
          <w:u w:val="single"/>
        </w:rPr>
        <w:t>Exhibit B</w:t>
      </w:r>
      <w:r>
        <w:rPr>
          <w:sz w:val="20"/>
        </w:rPr>
        <w:t xml:space="preserve"> attached hereto.</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Proceeding</w:t>
      </w:r>
      <w:r>
        <w:rPr>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Public Information Failure</w:t>
      </w:r>
      <w:r>
        <w:rPr>
          <w:sz w:val="20"/>
        </w:rPr>
        <w:t xml:space="preserve">” shall have the meaning ascribed to such term in </w:t>
      </w:r>
      <w:r>
        <w:rPr>
          <w:sz w:val="20"/>
          <w:u w:val="single"/>
        </w:rPr>
        <w:t>Section 4.2(b)</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Public Information Failure Payments</w:t>
      </w:r>
      <w:r>
        <w:rPr>
          <w:sz w:val="20"/>
        </w:rPr>
        <w:t xml:space="preserve">” shall have the meaning ascribed to such term in </w:t>
      </w:r>
      <w:r>
        <w:rPr>
          <w:sz w:val="20"/>
          <w:u w:val="single"/>
        </w:rPr>
        <w:t>Section 4.2(b)</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Purchaser Party</w:t>
      </w:r>
      <w:r>
        <w:rPr>
          <w:sz w:val="20"/>
        </w:rPr>
        <w:t xml:space="preserve">” shall have the meaning ascribed to such term in </w:t>
      </w:r>
      <w:r>
        <w:rPr>
          <w:sz w:val="20"/>
          <w:u w:val="single"/>
        </w:rPr>
        <w:t>Section 4.8</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Registration Rights Agreement</w:t>
      </w:r>
      <w:r>
        <w:rPr>
          <w:sz w:val="20"/>
        </w:rPr>
        <w:t xml:space="preserve">” means the Registration Rights Agreement, dated on or about the date hereof, among the Company and the Purchaser, in the form of </w:t>
      </w:r>
      <w:r>
        <w:rPr>
          <w:sz w:val="20"/>
          <w:u w:val="single"/>
        </w:rPr>
        <w:t>Exhibit A</w:t>
      </w:r>
      <w:r>
        <w:rPr>
          <w:sz w:val="20"/>
        </w:rPr>
        <w:t xml:space="preserve"> attached hereto.</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t>“</w:t>
      </w:r>
      <w:r>
        <w:rPr>
          <w:sz w:val="20"/>
          <w:u w:val="single"/>
        </w:rPr>
        <w:t>Registration Statement</w:t>
      </w:r>
      <w:r>
        <w:rPr>
          <w:sz w:val="20"/>
        </w:rPr>
        <w:t>” means a registration statement meeting the requirements set forth in the Registration Rights Agreement and covering the resale by the Purchaser of the Warrant Shares.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Required Approvals</w:t>
      </w:r>
      <w:r>
        <w:rPr>
          <w:sz w:val="20"/>
        </w:rPr>
        <w:t xml:space="preserve">” shall have the meaning ascribed to such term in </w:t>
      </w:r>
      <w:r>
        <w:rPr>
          <w:sz w:val="20"/>
          <w:u w:val="single"/>
        </w:rPr>
        <w:t>Section 3.1(e)</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Rule 144</w:t>
      </w:r>
      <w:r>
        <w:rPr>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Rule 424</w:t>
      </w:r>
      <w:r>
        <w:rPr>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SEC Reports</w:t>
      </w:r>
      <w:r>
        <w:rPr>
          <w:sz w:val="20"/>
        </w:rPr>
        <w:t xml:space="preserve">” shall have the meaning ascribed to such term in </w:t>
      </w:r>
      <w:r>
        <w:rPr>
          <w:sz w:val="20"/>
          <w:u w:val="single"/>
        </w:rPr>
        <w:t>Section 3.1(h)</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Securities</w:t>
      </w:r>
      <w:r>
        <w:rPr>
          <w:sz w:val="20"/>
        </w:rPr>
        <w:t>” means the Pre-Funded Warrants and the Warrant Shares.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Securities Act</w:t>
      </w:r>
      <w:r>
        <w:rPr>
          <w:sz w:val="20"/>
        </w:rPr>
        <w:t>” means the Securities Act of 1933, as amended, and the rules and regulations promulgated thereunder.</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Short Sales</w:t>
      </w:r>
      <w:r>
        <w:rPr>
          <w:sz w:val="20"/>
        </w:rPr>
        <w:t>” means all “short sales” as defined in Rule 200 of Regulation SHO under the Exchange Act (but shall not be deemed to include locating and/or borrowing shares of Ordinary Shares).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Subscription Amount</w:t>
      </w:r>
      <w:r>
        <w:rPr>
          <w:sz w:val="20"/>
        </w:rPr>
        <w:t>” means, as to the Purchaser, the aggregate amount to be paid for Pre-Funded Warrants purchased hereunder as specified below such Purchaser’s name on the signature page of this Agreement and next to the heading “Subscription Amount,” in United States dollars and in immediately available funds.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Subsidiary</w:t>
      </w:r>
      <w:r>
        <w:rPr>
          <w:sz w:val="20"/>
        </w:rPr>
        <w:t>” means any subsidiary of the Company as set forth in the SEC Reports and shall, where applicable, also include any direct or indirect subsidiary of the Company formed or acquired after the date hereof.</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Trading Day</w:t>
      </w:r>
      <w:r>
        <w:rPr>
          <w:sz w:val="20"/>
        </w:rPr>
        <w:t>” means a day on which the principal Trading Market is open for trading.</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Trading Market</w:t>
      </w:r>
      <w:r>
        <w:rPr>
          <w:sz w:val="20"/>
        </w:rPr>
        <w:t>” means any of the following markets or exchanges on which the Ordinary Shares are listed or quoted for trading on the date in question: the NYSE American, the Nasdaq Capital Market, the Nasdaq Global Market, the Nasdaq Global Select Market, the New York Stock Exchange, OTCQB or OTCQX (or any successors to any of the foregoing).</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Transaction Documents</w:t>
      </w:r>
      <w:r>
        <w:rPr>
          <w:sz w:val="20"/>
        </w:rPr>
        <w:t>” means this Agreement, the Pre-Funded Warrant, the Registration Rights Agreement and all exhibits and schedules thereto and hereto and any other documents or agreements executed with the Purchaser in connection with the transactions contemplated hereunder.</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t>“</w:t>
      </w:r>
      <w:r>
        <w:rPr>
          <w:sz w:val="20"/>
          <w:u w:val="single"/>
        </w:rPr>
        <w:t>Transfer Agent</w:t>
      </w:r>
      <w:r>
        <w:rPr>
          <w:sz w:val="20"/>
        </w:rPr>
        <w:t>” means the current transfer agent of the Company and any successor transfer agent of the Company.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Variable Rate Transaction</w:t>
      </w:r>
      <w:r>
        <w:rPr>
          <w:sz w:val="20"/>
        </w:rPr>
        <w:t xml:space="preserve">” shall have the meaning ascribed to such term in </w:t>
      </w:r>
      <w:r>
        <w:rPr>
          <w:sz w:val="20"/>
          <w:u w:val="single"/>
        </w:rPr>
        <w:t>Section 4.11(b)</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VWAP</w:t>
      </w:r>
      <w:r>
        <w:rPr>
          <w:sz w:val="20"/>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L.P.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bid price per share of the Ordinary Shares so reported, or (d) in all other cases, the fair market value of a share of Ordinary Shares as determined by an independent appraiser selected in good faith by the Purchaser of a majority in interest of the Securities then outstanding and reasonably acceptable to the Company, the fees and expenses of which shall be paid by the Company.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Warrant Shares</w:t>
      </w:r>
      <w:r>
        <w:rPr>
          <w:sz w:val="20"/>
        </w:rPr>
        <w:t>” means, collectively, the Ordinary Shares issuable upon exercise of the Pre-Funded Warrants.</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II.</w:t>
        <w:br/>
        <w:t>PURCHASE AND SALE</w:t>
      </w:r>
    </w:p>
    <w:p>
      <w:pPr>
        <w:pStyle w:val="TextBody"/>
        <w:bidi w:val="0"/>
        <w:spacing w:before="0" w:after="0"/>
        <w:ind w:left="0" w:right="0" w:hanging="0"/>
        <w:jc w:val="center"/>
        <w:rPr/>
      </w:pPr>
      <w:r>
        <w:rPr/>
        <w:t> </w:t>
      </w:r>
    </w:p>
    <w:p>
      <w:pPr>
        <w:pStyle w:val="TextBody"/>
        <w:bidi w:val="0"/>
        <w:spacing w:before="0" w:after="0"/>
        <w:ind w:left="0" w:right="0" w:firstLine="720"/>
        <w:jc w:val="left"/>
        <w:rPr>
          <w:sz w:val="20"/>
        </w:rPr>
      </w:pPr>
      <w:r>
        <w:rPr>
          <w:sz w:val="20"/>
        </w:rPr>
        <w:t>2.1       </w:t>
      </w:r>
      <w:r>
        <w:rPr>
          <w:sz w:val="20"/>
          <w:u w:val="single"/>
        </w:rPr>
        <w:t>Closing</w:t>
      </w:r>
      <w:r>
        <w:rPr>
          <w:sz w:val="20"/>
        </w:rPr>
        <w:t xml:space="preserve">. On the Closing Date, upon the terms and subject to the conditions set forth herein, substantially concurrent with the execution and delivery of this Agreement by the parties hereto, the Company agrees to sell, and the Purchaser agrees to purchase, a Pre-Funded Warrant for that number of Warrant Shares set forth for it under the Subscription Amount on the signature page for such Purchaser; provided that the Closing shall occur on or before March 16, 2026. The Purchaser shall deliver via wire transfer or a certified check in immediately available funds, the Purchaser’s Subscription Amount as set forth on the signature page hereto executed by such Purchaser, and the Company shall deliver to the Purchaser its Pre-Funded Warrant in the amount as set forth on such Purchaser’s signature page hereto, and the Company and the Purchaser shall deliver the other items set forth in </w:t>
      </w:r>
      <w:r>
        <w:rPr>
          <w:sz w:val="20"/>
          <w:u w:val="single"/>
        </w:rPr>
        <w:t>Section 2.2</w:t>
      </w:r>
      <w:r>
        <w:rPr>
          <w:sz w:val="20"/>
        </w:rPr>
        <w:t xml:space="preserve"> deliverable at the Closing. Upon satisfaction of the covenants and conditions set forth in </w:t>
      </w:r>
      <w:r>
        <w:rPr>
          <w:sz w:val="20"/>
          <w:u w:val="single"/>
        </w:rPr>
        <w:t>Sections 2.2</w:t>
      </w:r>
      <w:r>
        <w:rPr>
          <w:sz w:val="20"/>
        </w:rPr>
        <w:t xml:space="preserve"> and </w:t>
      </w:r>
      <w:r>
        <w:rPr>
          <w:sz w:val="20"/>
          <w:u w:val="single"/>
        </w:rPr>
        <w:t>2.3</w:t>
      </w:r>
      <w:r>
        <w:rPr>
          <w:sz w:val="20"/>
        </w:rPr>
        <w:t>, the Closing shall take place remotely by electronic transfer of the Closing documentation.</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2.2       </w:t>
      </w:r>
      <w:r>
        <w:rPr>
          <w:sz w:val="20"/>
          <w:u w:val="single"/>
        </w:rPr>
        <w:t>Deliveries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440"/>
        <w:jc w:val="both"/>
        <w:rPr>
          <w:sz w:val="20"/>
        </w:rPr>
      </w:pPr>
      <w:r>
        <w:rPr>
          <w:sz w:val="20"/>
        </w:rPr>
        <w:t>(a)       On or prior to the Closing Date, the Company shall deliver or cause to be delivered to the Purchaser the following:</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(i)       this Agreement duly executed by the Company;</w:t>
      </w:r>
    </w:p>
    <w:p>
      <w:pPr>
        <w:pStyle w:val="TextBody"/>
        <w:bidi w:val="0"/>
        <w:spacing w:before="0" w:after="0"/>
        <w:ind w:left="0" w:right="0" w:firstLine="216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sz w:val="20"/>
        </w:rPr>
      </w:pPr>
      <w:r>
        <w:rPr>
          <w:sz w:val="20"/>
        </w:rPr>
        <w:t>(ii)       a Pre-Funded Warrant registered in the name of the Purchaser to purchase up to a number of shares of Ordinary Shares equal to the amount set forth for the Purchaser on the signature page for such Purchaser;</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(iii)       the Company shall have provided the Purchaser with the Company’s wire instructions, on Company letterhead and executed by the Chief Executive Officer or Chief Financial Officer;</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(vii)       the Registration Rights Agreement duly executed by the Company;</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(viii)       a resolution of the Board of Directors, authorizing this Agreement, the issuance of the Pre-Funded Warrants and the exclusion of pre-emption rights; and</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(ix)        a resolution of the Management Board, authorizing this Agreement.</w:t>
      </w:r>
    </w:p>
    <w:p>
      <w:pPr>
        <w:pStyle w:val="TextBody"/>
        <w:bidi w:val="0"/>
        <w:spacing w:before="0" w:after="0"/>
        <w:ind w:left="0" w:right="0" w:firstLine="2160"/>
        <w:jc w:val="both"/>
        <w:rPr/>
      </w:pPr>
      <w:r>
        <w:rPr/>
        <w:t> </w:t>
      </w:r>
    </w:p>
    <w:p>
      <w:pPr>
        <w:pStyle w:val="TextBody"/>
        <w:bidi w:val="0"/>
        <w:spacing w:before="0" w:after="0"/>
        <w:ind w:left="0" w:right="0" w:firstLine="1440"/>
        <w:jc w:val="both"/>
        <w:rPr>
          <w:sz w:val="20"/>
        </w:rPr>
      </w:pPr>
      <w:r>
        <w:rPr>
          <w:sz w:val="20"/>
        </w:rPr>
        <w:t>(b)       On or prior to the Closing Date, the Purchaser shall deliver or cause to be delivered, as applicable, the following:</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(i)       this Agreement duly executed by such Purchaser;</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 xml:space="preserve">(ii)       such Purchaser’s Subscription Amount via any means permitted under </w:t>
      </w:r>
      <w:r>
        <w:rPr>
          <w:sz w:val="20"/>
          <w:u w:val="single"/>
        </w:rPr>
        <w:t>Section 2.1</w:t>
      </w:r>
      <w:r>
        <w:rPr>
          <w:sz w:val="20"/>
        </w:rPr>
        <w:t xml:space="preserve"> by wire transfer to the account specified by the Company; and</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(iii)       the Registration Rights Agreement duly executed by such Purchaser.</w:t>
      </w:r>
    </w:p>
    <w:p>
      <w:pPr>
        <w:pStyle w:val="TextBody"/>
        <w:bidi w:val="0"/>
        <w:spacing w:before="0" w:after="0"/>
        <w:ind w:left="0" w:right="0" w:firstLine="2160"/>
        <w:jc w:val="both"/>
        <w:rPr/>
      </w:pPr>
      <w:r>
        <w:rPr/>
        <w:t> </w:t>
      </w:r>
    </w:p>
    <w:p>
      <w:pPr>
        <w:pStyle w:val="TextBody"/>
        <w:bidi w:val="0"/>
        <w:spacing w:before="0" w:after="0"/>
        <w:ind w:left="0" w:right="0" w:firstLine="720"/>
        <w:jc w:val="left"/>
        <w:rPr>
          <w:sz w:val="20"/>
        </w:rPr>
      </w:pPr>
      <w:r>
        <w:rPr>
          <w:sz w:val="20"/>
        </w:rPr>
        <w:t>2.3       </w:t>
      </w:r>
      <w:r>
        <w:rPr>
          <w:sz w:val="20"/>
          <w:u w:val="single"/>
        </w:rPr>
        <w:t>Closing Conditions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440"/>
        <w:jc w:val="both"/>
        <w:rPr>
          <w:sz w:val="20"/>
        </w:rPr>
      </w:pPr>
      <w:r>
        <w:rPr>
          <w:sz w:val="20"/>
        </w:rPr>
        <w:t>(a)       The obligations of the Company hereunder in connection with the Closing are subject to the following conditions being met:</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(i)       the accuracy in all material respects (or, to the extent representations or warranties are qualified by materiality or Material Adverse Effect, in all respects) when made and on the Closing Date of the representations and warranties severally and not jointly made by the Purchaser contained herein (unless as of a specific date therein in which case they shall be accurate in all material respects (or, to the extent representations or warranties are qualified by materiality, in all respects) as of such date);</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(ii)       all obligations, covenants and agreements of the Purchaser required to be performed at or prior to the Closing Date shall have been performed; and</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 xml:space="preserve">(iii)       the delivery by the Purchaser of the items set forth in </w:t>
      </w:r>
      <w:r>
        <w:rPr>
          <w:sz w:val="20"/>
          <w:u w:val="single"/>
        </w:rPr>
        <w:t>Section 2.2(b)</w:t>
      </w:r>
      <w:r>
        <w:rPr>
          <w:sz w:val="20"/>
        </w:rPr>
        <w:t xml:space="preserve"> of this Agreement.</w:t>
      </w:r>
    </w:p>
    <w:p>
      <w:pPr>
        <w:pStyle w:val="TextBody"/>
        <w:bidi w:val="0"/>
        <w:spacing w:before="0" w:after="0"/>
        <w:ind w:left="0" w:right="0" w:firstLine="2160"/>
        <w:jc w:val="both"/>
        <w:rPr/>
      </w:pPr>
      <w:r>
        <w:rPr/>
        <w:t> </w:t>
      </w:r>
    </w:p>
    <w:p>
      <w:pPr>
        <w:pStyle w:val="TextBody"/>
        <w:bidi w:val="0"/>
        <w:spacing w:before="0" w:after="0"/>
        <w:ind w:left="0" w:right="0" w:firstLine="1440"/>
        <w:jc w:val="both"/>
        <w:rPr>
          <w:sz w:val="20"/>
        </w:rPr>
      </w:pPr>
      <w:r>
        <w:rPr>
          <w:sz w:val="20"/>
        </w:rPr>
        <w:t>(b)       The obligations of the Purchaser hereunder in connection with the Closing are subject to the following conditions being met:</w:t>
      </w:r>
    </w:p>
    <w:p>
      <w:pPr>
        <w:pStyle w:val="TextBody"/>
        <w:bidi w:val="0"/>
        <w:spacing w:before="0" w:after="0"/>
        <w:ind w:left="0" w:right="0" w:firstLine="144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sz w:val="20"/>
        </w:rPr>
      </w:pPr>
      <w:r>
        <w:rPr>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(ii)       all obligations, covenants and agreements of the Company required to be performed at or prior to the Closing Date shall have been performed;</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 xml:space="preserve">(iii)       the delivery by the Company of the items set forth in </w:t>
      </w:r>
      <w:r>
        <w:rPr>
          <w:sz w:val="20"/>
          <w:u w:val="single"/>
        </w:rPr>
        <w:t>Section 2.2(a)</w:t>
      </w:r>
      <w:r>
        <w:rPr>
          <w:sz w:val="20"/>
        </w:rPr>
        <w:t xml:space="preserve"> of this Agreement;</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(iv)       there shall have been no Material Adverse Effect with respect to the Company since the date hereof; and</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(v)       from the date hereof to the Closing Date, trading in the Ordinary Shares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TextBody"/>
        <w:bidi w:val="0"/>
        <w:spacing w:before="0" w:after="0"/>
        <w:ind w:left="0" w:right="0" w:firstLine="2160"/>
        <w:jc w:val="both"/>
        <w:rPr/>
      </w:pPr>
      <w:r>
        <w:rPr/>
        <w:t> </w:t>
      </w:r>
    </w:p>
    <w:p>
      <w:pPr>
        <w:pStyle w:val="TextBody"/>
        <w:bidi w:val="0"/>
        <w:spacing w:before="0" w:after="0"/>
        <w:ind w:left="0" w:right="0" w:hanging="0"/>
        <w:jc w:val="center"/>
        <w:rPr>
          <w:b/>
          <w:sz w:val="20"/>
        </w:rPr>
      </w:pPr>
      <w:r>
        <w:rPr>
          <w:b/>
          <w:sz w:val="20"/>
        </w:rPr>
        <w:t>ARTICLE III.</w:t>
        <w:br/>
        <w:t>REPRESENTATIONS AND WARRANTIES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3.1       </w:t>
      </w:r>
      <w:r>
        <w:rPr>
          <w:sz w:val="20"/>
          <w:u w:val="single"/>
        </w:rPr>
        <w:t>Representations and Warranties of the Company</w:t>
      </w:r>
      <w:r>
        <w:rPr>
          <w:sz w:val="20"/>
        </w:rPr>
        <w:t>. The Company hereby makes the following representations and warranties to the Purchaser:</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(a)       </w:t>
      </w:r>
      <w:r>
        <w:rPr>
          <w:sz w:val="20"/>
          <w:u w:val="single"/>
        </w:rPr>
        <w:t>Subsidiaries</w:t>
      </w:r>
      <w:r>
        <w:rPr>
          <w:sz w:val="20"/>
        </w:rPr>
        <w:t>. Except as disclosed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(b)       </w:t>
      </w:r>
      <w:r>
        <w:rPr>
          <w:sz w:val="20"/>
          <w:u w:val="single"/>
        </w:rPr>
        <w:t>Organization and Qualification</w:t>
      </w:r>
      <w:r>
        <w:rPr>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sz w:val="20"/>
          <w:u w:val="single"/>
        </w:rPr>
        <w:t>Material Adverse Effect</w:t>
      </w:r>
      <w:r>
        <w:rPr>
          <w:sz w:val="20"/>
        </w:rPr>
        <w:t>”) and no Proceeding has been instituted in any such jurisdiction revoking, limiting or curtailing or seeking to revoke, limit or curtail such power and authority or qualification.</w:t>
      </w:r>
    </w:p>
    <w:p>
      <w:pPr>
        <w:pStyle w:val="TextBody"/>
        <w:bidi w:val="0"/>
        <w:spacing w:before="0" w:after="0"/>
        <w:ind w:left="0" w:right="0" w:firstLine="144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(c)       </w:t>
      </w:r>
      <w:r>
        <w:rPr>
          <w:sz w:val="20"/>
          <w:u w:val="single"/>
        </w:rPr>
        <w:t>Authorization; Enforcement</w:t>
      </w:r>
      <w:r>
        <w:rPr>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Management Board, the Board of Directors or the Company’s stockholders in connection herewith or therewith other than in connection with the Required Approvals. This Agreement and each other Transaction Document to which the Company is a party has been (or upon delivery will have been) duly executed by the Company and, when delivered in accordance with the terms hereof and thereof, will constitute a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(d)       </w:t>
      </w:r>
      <w:r>
        <w:rPr>
          <w:sz w:val="20"/>
          <w:u w:val="single"/>
        </w:rPr>
        <w:t>No Conflicts</w:t>
      </w:r>
      <w:r>
        <w:rPr>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U.S.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0"/>
        <w:ind w:left="0" w:right="0" w:firstLine="144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(e)       </w:t>
      </w:r>
      <w:r>
        <w:rPr>
          <w:sz w:val="20"/>
          <w:u w:val="single"/>
        </w:rPr>
        <w:t>Filings, Consents and Approvals</w:t>
      </w:r>
      <w:r>
        <w:rPr>
          <w:sz w:val="20"/>
        </w:rPr>
        <w:t xml:space="preserve">. Except as disclosed in the SEC Reports and pursuant to the Company’s prior engagement agreement with an investment bank, the Company is not required to obtain any consent, waiver, authorization or order of, give any notice to, or make any filing or registration with, any court or other Dutch, German, local or other governmental authority or other Person in connection with the execution, delivery and performance by the Company of the Transaction Documents, other than: (i) the filings required pursuant to </w:t>
      </w:r>
      <w:r>
        <w:rPr>
          <w:sz w:val="20"/>
          <w:u w:val="single"/>
        </w:rPr>
        <w:t>Section 4.4</w:t>
      </w:r>
      <w:r>
        <w:rPr>
          <w:sz w:val="20"/>
        </w:rPr>
        <w:t xml:space="preserve"> of this Agreement, (ii) the filing with the Commission pursuant to the Registration Rights Agreement, (iii) any notice and/or application(s) to each applicable Trading Market for the issuance and sale of the Securities and the listing of the Warrant Shares for trading thereon in the time and manner required thereby, and (iv) the filing of Form D with the Commission and such filings as are required to be made under applicable state securities laws (collectively, the “</w:t>
      </w:r>
      <w:r>
        <w:rPr>
          <w:sz w:val="20"/>
          <w:u w:val="single"/>
        </w:rPr>
        <w:t>Required Approvals</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(f)       </w:t>
      </w:r>
      <w:r>
        <w:rPr>
          <w:sz w:val="20"/>
          <w:u w:val="single"/>
        </w:rPr>
        <w:t>Issuance of the Securities</w:t>
      </w:r>
      <w:r>
        <w:rPr>
          <w:sz w:val="20"/>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Warrant Shares, when issued in accordance with the terms of the Transaction Documents, will be validly issued, fully paid and nonassessable, free and clear of all Liens imposed by the Company other than restrictions on transfer provided for in the Transaction Documents. The Company has reserved from its duly authorized capital stock the maximum number of Ordinary Shares issuable pursuant to this Agreement and the Pre-Funded Warrant.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(g)       </w:t>
      </w:r>
      <w:r>
        <w:rPr>
          <w:sz w:val="20"/>
          <w:u w:val="single"/>
        </w:rPr>
        <w:t>Capitalization</w:t>
      </w:r>
      <w:r>
        <w:rPr>
          <w:sz w:val="20"/>
        </w:rPr>
        <w:t>. The capitalization of the Company as of the date hereof is as disclosed in the SEC Reports, which SEC Reports include the number of Ordinary Shares owned beneficially, and of record, by Affiliates of the Company as of the date of such SEC Reports. The Company has not issued any capital stock since its most recently filed periodic report under the Exchange Act, other than pursuant to the exercise of employee stock options and the vesting of other equity awards under the Company’s equity incentive plans or any inducement plan, and pursuant to the conversion and/or exercise of Ordinary Shares Equivalents outstanding as of the date of the most recently filed periodic report under the Exchange Act. Except as disclosed in the SEC Reports and pursuant to the Company’s prior agreement with an investment bank, no Person has any right of first refusal, preemptive right, right of participation, or any similar right to participate in the transactions contemplated by the Transaction Documents. Except as disclosed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the capital stock of any Subsidiary, or contracts, commitments, understandings or arrangements by which the Company or any Subsidiary is or may become bound to issue additional shares of Ordinary Shares or Ordinary Shares Equivalents or capital stock of any Subsidiary. The issuance and sale of the Securities will not obligate the Company or any Subsidiary to issue shares of Ordinary Shares or other securities to any Person (other than the Purchaser). There are no outstanding securities or instruments of the Company or any Subsidiary with any provision that adjusts the exercise, conversion, exchange or reset price of such security or instrument upon an issuance of securities by the Company or any Subsidiary. Except as disclosed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Except as disclosed in the SEC Reports,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U.S.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Except as disclosed in the SEC Reports,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ind w:left="0" w:right="0" w:firstLine="144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(h)       </w:t>
      </w:r>
      <w:r>
        <w:rPr>
          <w:sz w:val="20"/>
          <w:u w:val="single"/>
        </w:rPr>
        <w:t>SEC Reports; Financial Statements</w:t>
      </w:r>
      <w:r>
        <w:rPr>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sz w:val="20"/>
          <w:u w:val="single"/>
        </w:rPr>
        <w:t>SEC Reports</w:t>
      </w:r>
      <w:r>
        <w:rPr>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sz w:val="20"/>
          <w:u w:val="single"/>
        </w:rPr>
        <w:t>GAAP</w:t>
      </w:r>
      <w:r>
        <w:rPr>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Purchaser is aware that the Company's financial statements prepared under GAAP do not qualify as statutory financial statements under Dutch law and are not compliant with Dutch laws.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(i)       </w:t>
      </w:r>
      <w:r>
        <w:rPr>
          <w:sz w:val="20"/>
          <w:u w:val="single"/>
        </w:rPr>
        <w:t>Material Changes; Undisclosed Events, Liabilities or Developments</w:t>
      </w:r>
      <w:r>
        <w:rPr>
          <w:sz w:val="20"/>
        </w:rPr>
        <w:t>. Since the date of the latest audited financial statements included within the SEC Reports, except as disclosed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(j)       </w:t>
      </w:r>
      <w:r>
        <w:rPr>
          <w:sz w:val="20"/>
          <w:u w:val="single"/>
        </w:rPr>
        <w:t>Litigation</w:t>
      </w:r>
      <w:r>
        <w:rPr>
          <w:sz w:val="20"/>
        </w:rPr>
        <w:t>. Except as disclosed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(Dutch, German or any other jurisdiction) (collectively, an “</w:t>
      </w:r>
      <w:r>
        <w:rPr>
          <w:sz w:val="20"/>
          <w:u w:val="single"/>
        </w:rPr>
        <w:t>Action</w:t>
      </w:r>
      <w:r>
        <w:rPr>
          <w:sz w:val="20"/>
        </w:rPr>
        <w:t>”). No Action (i) materially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is or has been the subject of any Action involving a claim of violation of or liability under U.S. federal or state securities laws. There has not been, and to the knowledge of the Company, there is not pending or contemplated, any investigation by the Commission involving the Company or any current or former director or officer of the Company with respect to the Company concerning a claim of violation of or liability under U.S. federal or securities laws or a claim of breach of fiduciary duties.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(k)       </w:t>
      </w:r>
      <w:r>
        <w:rPr>
          <w:sz w:val="20"/>
          <w:u w:val="single"/>
        </w:rPr>
        <w:t>Compliance</w:t>
      </w:r>
      <w:r>
        <w:rPr>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Dutch, German, local and foreign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(l)       </w:t>
      </w:r>
      <w:r>
        <w:rPr>
          <w:sz w:val="20"/>
          <w:u w:val="single"/>
        </w:rPr>
        <w:t>Regulatory Permits</w:t>
      </w:r>
      <w:r>
        <w:rPr>
          <w:sz w:val="20"/>
        </w:rPr>
        <w:t>. The Company and the Subsidiaries possess all certificates, authorizations and permits issued by the appropriate Dutch, German, local or foreign regulatory authorities necessary to conduct their respective businesses as described in the SEC Reports, except where the failure to possess such permits could not reasonably be expected to result in a Material Adverse Effect (“</w:t>
      </w:r>
      <w:r>
        <w:rPr>
          <w:sz w:val="20"/>
          <w:u w:val="single"/>
        </w:rPr>
        <w:t>Material Permits</w:t>
      </w:r>
      <w:r>
        <w:rPr>
          <w:sz w:val="20"/>
        </w:rPr>
        <w:t>”), and neither the Company nor any Subsidiary has received any notice of proceedings relating to the revocation or modification of any Material Permit.</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(m)       </w:t>
      </w:r>
      <w:r>
        <w:rPr>
          <w:sz w:val="20"/>
          <w:u w:val="single"/>
        </w:rPr>
        <w:t>Title to Assets</w:t>
      </w:r>
      <w:r>
        <w:rPr>
          <w:sz w:val="20"/>
        </w:rPr>
        <w:t>. Except as disclosed in the SEC Reports,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Dutch, German,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(n)       </w:t>
      </w:r>
      <w:r>
        <w:rPr>
          <w:sz w:val="20"/>
          <w:u w:val="single"/>
        </w:rPr>
        <w:t>Insurance</w:t>
      </w:r>
      <w:r>
        <w:rPr>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(0)       </w:t>
      </w:r>
      <w:r>
        <w:rPr>
          <w:sz w:val="20"/>
          <w:u w:val="single"/>
        </w:rPr>
        <w:t>Transactions with Affiliates and Employees</w:t>
      </w:r>
      <w:r>
        <w:rPr>
          <w:sz w:val="20"/>
        </w:rPr>
        <w:t>. Except as disclosed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equity award agreements under any equity incentive plan of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(p)       </w:t>
      </w:r>
      <w:r>
        <w:rPr>
          <w:sz w:val="20"/>
          <w:u w:val="single"/>
        </w:rPr>
        <w:t>Sarbanes-Oxley; Internal Accounting Controls</w:t>
      </w:r>
      <w:r>
        <w:rPr>
          <w:sz w:val="20"/>
        </w:rPr>
        <w:t>. The Company and the Subsidiaries are in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provide reasonable assurance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sz w:val="20"/>
          <w:u w:val="single"/>
        </w:rPr>
        <w:t>Evaluation Date</w:t>
      </w:r>
      <w:r>
        <w:rPr>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 other than such changes as are intended to remediate any material weaknesses identified in such internal control over financial reporting as of the Evaluation Date.</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(q)       </w:t>
      </w:r>
      <w:r>
        <w:rPr>
          <w:sz w:val="20"/>
          <w:u w:val="single"/>
        </w:rPr>
        <w:t>Certain Fees</w:t>
      </w:r>
      <w:r>
        <w:rPr>
          <w:sz w:val="20"/>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(r)       </w:t>
      </w:r>
      <w:r>
        <w:rPr>
          <w:sz w:val="20"/>
          <w:u w:val="single"/>
        </w:rPr>
        <w:t>Private Placement</w:t>
      </w:r>
      <w:r>
        <w:rPr>
          <w:sz w:val="20"/>
        </w:rPr>
        <w:t xml:space="preserve">. Assuming the accuracy of the Purchaser’s representations and warranties set forth in </w:t>
      </w:r>
      <w:r>
        <w:rPr>
          <w:sz w:val="20"/>
          <w:u w:val="single"/>
        </w:rPr>
        <w:t>Section 3.2</w:t>
      </w:r>
      <w:r>
        <w:rPr>
          <w:sz w:val="20"/>
        </w:rPr>
        <w:t>, no registration under the Securities Act is required for the offer and sale of the Securities by the Company to the Purchaser as contemplated hereby. The issuance and sale of the Securities hereunder does not contravene the rules and regulations of the Trading Market.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(s)       </w:t>
      </w:r>
      <w:r>
        <w:rPr>
          <w:sz w:val="20"/>
          <w:u w:val="single"/>
        </w:rPr>
        <w:t>Investment Company</w:t>
      </w:r>
      <w:r>
        <w:rPr>
          <w:sz w:val="20"/>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(t)       </w:t>
      </w:r>
      <w:r>
        <w:rPr>
          <w:sz w:val="20"/>
          <w:u w:val="single"/>
        </w:rPr>
        <w:t>Registration Rights</w:t>
      </w:r>
      <w:r>
        <w:rPr>
          <w:sz w:val="20"/>
        </w:rPr>
        <w:t>. Other than the Purchaser and such other Persons as disclosed in the SEC Reports, no Person has any right to cause the Company or any Subsidiary to effect the registration under the Securities Act of any securities of the Company or any Subsidiary that have not been satisfied or waived.</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(u)       </w:t>
      </w:r>
      <w:r>
        <w:rPr>
          <w:sz w:val="20"/>
          <w:u w:val="single"/>
        </w:rPr>
        <w:t>Listing and Maintenance Requirements</w:t>
      </w:r>
      <w:r>
        <w:rPr>
          <w:sz w:val="20"/>
        </w:rPr>
        <w:t>. The Ordinary Shares are registered pursuant to Section 12(b) or 12(g)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The Ordinary Shares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(v)       </w:t>
      </w:r>
      <w:r>
        <w:rPr>
          <w:sz w:val="20"/>
          <w:u w:val="single"/>
        </w:rPr>
        <w:t>Application of Takeover Protections</w:t>
      </w:r>
      <w:r>
        <w:rPr>
          <w:sz w:val="20"/>
        </w:rPr>
        <w:t>. The Company, the Management Board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 as a result of the Purchaser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(w)       </w:t>
      </w:r>
      <w:r>
        <w:rPr>
          <w:sz w:val="20"/>
          <w:u w:val="single"/>
        </w:rPr>
        <w:t>Disclosure</w:t>
      </w:r>
      <w:r>
        <w:rPr>
          <w:sz w:val="20"/>
        </w:rPr>
        <w:t xml:space="preserve">. Except with respect to the material terms and conditions of the transactions contemplated by the Transaction Documents, the Company confirms that neither it nor any other Person acting on its behalf has provided the Purchaser or their agents or counsel with any information that it believes constitutes or might constitute material, non-public information. The Company understands and confirms that the Purchaser will rely on the foregoing representation in effecting transactions in securities of the Company. All of the disclosure furnished by or on behalf of the Company to the Purchaser regarding the Company and its Subsidiaries, their respective businesses and the transactions contemplated hereby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w:t>
      </w:r>
      <w:r>
        <w:rPr>
          <w:sz w:val="20"/>
          <w:u w:val="single"/>
        </w:rPr>
        <w:t>Section 3.2</w:t>
      </w:r>
      <w:r>
        <w:rPr>
          <w:sz w:val="20"/>
        </w:rPr>
        <w:t xml:space="preserve"> hereof.</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(x)       </w:t>
      </w:r>
      <w:r>
        <w:rPr>
          <w:sz w:val="20"/>
          <w:u w:val="single"/>
        </w:rPr>
        <w:t>No Integrated Offering</w:t>
      </w:r>
      <w:r>
        <w:rPr>
          <w:sz w:val="20"/>
        </w:rPr>
        <w:t xml:space="preserve">. Assuming the accuracy of the Purchaser’s representations and warranties set forth in </w:t>
      </w:r>
      <w:r>
        <w:rPr>
          <w:sz w:val="20"/>
          <w:u w:val="single"/>
        </w:rPr>
        <w:t>Section 3.2</w:t>
      </w:r>
      <w:r>
        <w:rPr>
          <w:sz w:val="20"/>
        </w:rPr>
        <w:t>,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the Securities Act which would require the registration of any such securities under the Securities Act.</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(y)       </w:t>
      </w:r>
      <w:r>
        <w:rPr>
          <w:sz w:val="20"/>
          <w:u w:val="single"/>
        </w:rPr>
        <w:t>Solvency</w:t>
      </w:r>
      <w:r>
        <w:rPr>
          <w:sz w:val="20"/>
        </w:rPr>
        <w:t>.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any Subsidiary, or for which the Company or any Subsidiary has commitments. For the purposes of this Agreement, “</w:t>
      </w:r>
      <w:r>
        <w:rPr>
          <w:sz w:val="20"/>
          <w:u w:val="single"/>
        </w:rPr>
        <w:t>Indebtedness</w:t>
      </w:r>
      <w:r>
        <w:rPr>
          <w:sz w:val="20"/>
        </w:rPr>
        <w:t>” means (x) any liabilities for borrowed money or amounts owed in excess of $100,000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$100,000 due under leases required to be capitalized in accordance with GAAP. Neither the Company nor any Subsidiary is in default with respect to any Indebtedness.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(z)       </w:t>
      </w:r>
      <w:r>
        <w:rPr>
          <w:sz w:val="20"/>
          <w:u w:val="single"/>
        </w:rPr>
        <w:t>Tax Status</w:t>
      </w:r>
      <w:r>
        <w:rPr>
          <w:sz w:val="20"/>
        </w:rPr>
        <w:t>. Except for matters that would not, individually or in the aggregate, have or reasonably be expected to result in a Material Adverse Effect, the Company and its Subsidiaries each (i) have made or filed all Dutch and German income tax returns and all foreign income and franchise tax returns, reports and declarations required by any jurisdiction to which they are subject, (ii) have paid all taxes and other governmental assessments and charges that are material in amount, shown or determined to be due on such returns, reports and declarations and (iii) have set aside on their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(aa)</w:t>
        <w:tab/>
      </w:r>
      <w:r>
        <w:rPr>
          <w:sz w:val="20"/>
          <w:u w:val="single"/>
        </w:rPr>
        <w:t>No General Solicitation</w:t>
      </w:r>
      <w:r>
        <w:rPr>
          <w:sz w:val="20"/>
        </w:rPr>
        <w:t>. Neither the Company nor any Person acting on behalf of the Company has offered or sold any of the Securities by any form of general solicitation or general advertising. The Company has offered the Securities for sale only to the Purchaser and certain other “accredited investors” within the meaning of Rule 501 under the Securities Act.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(bb)</w:t>
        <w:tab/>
      </w:r>
      <w:r>
        <w:rPr>
          <w:sz w:val="20"/>
          <w:u w:val="single"/>
        </w:rPr>
        <w:t>Foreign Corrupt Practices.</w:t>
      </w:r>
      <w:r>
        <w:rPr>
          <w:sz w:val="20"/>
        </w:rPr>
        <w:t xml:space="preserve">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(cc)</w:t>
        <w:tab/>
      </w:r>
      <w:r>
        <w:rPr>
          <w:sz w:val="20"/>
          <w:u w:val="single"/>
        </w:rPr>
        <w:t>Accountants</w:t>
      </w:r>
      <w:r>
        <w:rPr>
          <w:sz w:val="20"/>
        </w:rPr>
        <w:t>. The Company’s United States accounting firm is Grassi &amp; Co., CPAs, P.C. To the knowledge and belief of the Company, such accounting firm is a registered public accounting firm as required by the Exchange Act. The Purchaser is aware that a United States accountant does not qualify as an accountant under Dutch corporate law.</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(dd)</w:t>
        <w:tab/>
      </w:r>
      <w:r>
        <w:rPr>
          <w:sz w:val="20"/>
          <w:u w:val="single"/>
        </w:rPr>
        <w:t>No Disagreements with Accountants</w:t>
      </w:r>
      <w:r>
        <w:rPr>
          <w:sz w:val="20"/>
        </w:rPr>
        <w:t>. There are no disagreements of any kind presently existing, or reasonably anticipated by the Company to arise, between the Company and the accountants formerly or presently employed by the Company and the Company is current with respect to any fees owed to its accountants which could affect the Company’s ability to perform any of its obligations under any of the Transaction Documents.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(ee)</w:t>
        <w:tab/>
      </w:r>
      <w:r>
        <w:rPr>
          <w:sz w:val="20"/>
          <w:u w:val="single"/>
        </w:rPr>
        <w:t>Acknowledgment Regarding Purchaser’s Purchase of Securities</w:t>
      </w:r>
      <w:r>
        <w:rPr>
          <w:sz w:val="20"/>
        </w:rPr>
        <w:t>. The Company acknowledges and agrees that the Purchaser is acting solely in the capacity of an arm’s length purchaser with respect to the Transaction Documents and the transactions contemplated thereby. The Company further acknowledges that the Purchaser is not acting as a financial advisor or fiduciary of the Company (or in any similar capacity) with respect to the Transaction Documents and the transactions contemplated thereby and any advice given by the Purchaser or any of their respective representatives or agents in connection with the Transaction Documents and the transactions contemplated thereby is merely incidental to the Purchaser’s purchase of the Securities. The Company further represents to the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(ff)</w:t>
        <w:tab/>
      </w:r>
      <w:r>
        <w:rPr>
          <w:sz w:val="20"/>
          <w:u w:val="single"/>
        </w:rPr>
        <w:t>Acknowledgment Regarding Purchaser’s Trading Activity.</w:t>
      </w:r>
      <w:r>
        <w:rPr>
          <w:sz w:val="20"/>
        </w:rPr>
        <w:t xml:space="preserve"> Anything in this Agreement or elsewhere herein to the contrary notwithstanding (except for </w:t>
      </w:r>
      <w:r>
        <w:rPr>
          <w:sz w:val="20"/>
          <w:u w:val="single"/>
        </w:rPr>
        <w:t>Sections 3.2(g)</w:t>
      </w:r>
      <w:r>
        <w:rPr>
          <w:sz w:val="20"/>
        </w:rPr>
        <w:t xml:space="preserve"> and </w:t>
      </w:r>
      <w:r>
        <w:rPr>
          <w:sz w:val="20"/>
          <w:u w:val="single"/>
        </w:rPr>
        <w:t>4.13</w:t>
      </w:r>
      <w:r>
        <w:rPr>
          <w:sz w:val="20"/>
        </w:rPr>
        <w:t xml:space="preserve"> hereof), it is understood and acknowledged by the Company that: (i) the Purchaser has not been asked by the Company to agree, nor has the Purchaser agreed, to desist from purchasing or selling, long and/or short, securities of the Company, or “derivative” securities based on securities issued by the Company or to hold the Securities for any specified term, (ii) past or future open market or other transactions by the Purchaser, specifically including, without limitation, Short Sales or “derivative” transactions, before or after the closing of this or future private placement transactions, may negatively impact the market price of the Company’s publicly-traded securities, (iii) the Purchaser, and counter-parties in “derivative” transactions to which any such Purchaser is a party, directly or indirectly, presently may have a “short” position in the Common Stock and (iv) the Purchaser shall not be deemed to have any affiliation with or control over any arm’s length counter-party in any “derivative” transaction. The Company further understands and acknowledges that (y) one or more Purchaser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(gg</w:t>
        <w:tab/>
      </w:r>
      <w:r>
        <w:rPr>
          <w:sz w:val="20"/>
          <w:u w:val="single"/>
        </w:rPr>
        <w:t>Regulation M Compliance.</w:t>
      </w:r>
      <w:r>
        <w:rPr>
          <w:sz w:val="20"/>
        </w:rPr>
        <w:t xml:space="preserve">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(hh)</w:t>
        <w:tab/>
      </w:r>
      <w:r>
        <w:rPr>
          <w:sz w:val="20"/>
          <w:u w:val="single"/>
        </w:rPr>
        <w:t>Stock Option Plans</w:t>
      </w:r>
      <w:r>
        <w:rPr>
          <w:sz w:val="20"/>
        </w:rPr>
        <w:t>. Each stock option granted by the Company under the Company’s equity incentive plan was granted (i) in accordance with the terms of the Company’s equity incentive plan and (ii) with an exercise price at least equal to the fair market value of the Common Stock on the date such stock option would be considered granted under GAAP and applicable law. No stock option granted under the Company’s equity incentive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(ii)</w:t>
        <w:tab/>
      </w:r>
      <w:r>
        <w:rPr>
          <w:sz w:val="20"/>
          <w:u w:val="single"/>
        </w:rPr>
        <w:t>Cybersecurity</w:t>
      </w:r>
      <w:r>
        <w:rPr>
          <w:sz w:val="20"/>
        </w:rPr>
        <w:t>. (i)(x) To the Company’s knowledge, there has been no security breach or other compromise of or relating to any of the Company’s or any Subsidiary’s proprietary information technology and computer systems, networks, hardware, software, data (including the data of its respective customers, employees, suppliers, vendors and any third party data maintained by or on behalf of it), equipment or technology (collectively, “</w:t>
      </w:r>
      <w:r>
        <w:rPr>
          <w:sz w:val="20"/>
          <w:u w:val="single"/>
        </w:rPr>
        <w:t>IT Systems and Data</w:t>
      </w:r>
      <w:r>
        <w:rPr>
          <w:sz w:val="20"/>
        </w:rPr>
        <w:t>”) and (y) the Company and the Subsidiaries have not been notified of, and have no knowledge of any event or condition that would reasonably be expected to result in, any security breach or other compromise to its IT Systems and Data; (ii) to the Company’s knowledge,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their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(jj)</w:t>
        <w:tab/>
      </w:r>
      <w:r>
        <w:rPr>
          <w:sz w:val="20"/>
          <w:u w:val="single"/>
        </w:rPr>
        <w:t>Office of Foreign Assets Control</w:t>
      </w:r>
      <w:r>
        <w:rPr>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sz w:val="20"/>
          <w:u w:val="single"/>
        </w:rPr>
        <w:t>OFAC</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(kk)</w:t>
        <w:tab/>
      </w:r>
      <w:r>
        <w:rPr>
          <w:sz w:val="20"/>
          <w:u w:val="single"/>
        </w:rPr>
        <w:t>U.S. Real Property Holding Corporation</w:t>
      </w:r>
      <w:r>
        <w:rPr>
          <w:sz w:val="20"/>
        </w:rPr>
        <w:t>. The Company is not and has never been a U.S. real property holding corporation within the meaning of Section 897 of the Internal Revenue Code of 1986, as amended, and the Company shall so certify upon the Purchaser’s request.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(kk)</w:t>
        <w:tab/>
      </w:r>
      <w:r>
        <w:rPr>
          <w:sz w:val="20"/>
          <w:u w:val="single"/>
        </w:rPr>
        <w:t>Bank Holding Company Act</w:t>
      </w:r>
      <w:r>
        <w:rPr>
          <w:sz w:val="20"/>
        </w:rPr>
        <w:t>. Neither the Company nor any of its Subsidiaries or Affiliates is subject to the Bank Holding Company Act of 1956, as amended (the “</w:t>
      </w:r>
      <w:r>
        <w:rPr>
          <w:sz w:val="20"/>
          <w:u w:val="single"/>
        </w:rPr>
        <w:t>BHCA</w:t>
      </w:r>
      <w:r>
        <w:rPr>
          <w:sz w:val="20"/>
        </w:rPr>
        <w:t>”) and to regulation by the Board of Governors of the Federal Reserve System (the “</w:t>
      </w:r>
      <w:r>
        <w:rPr>
          <w:sz w:val="20"/>
          <w:u w:val="single"/>
        </w:rPr>
        <w:t>Federal Reserve</w:t>
      </w:r>
      <w:r>
        <w:rPr>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(ll)</w:t>
        <w:tab/>
      </w:r>
      <w:r>
        <w:rPr>
          <w:sz w:val="20"/>
          <w:u w:val="single"/>
        </w:rPr>
        <w:t>Money Laundering</w:t>
      </w:r>
      <w:r>
        <w:rPr>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sz w:val="20"/>
          <w:u w:val="single"/>
        </w:rPr>
        <w:t>Money Laundering Laws</w:t>
      </w:r>
      <w:r>
        <w:rPr>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(mm)</w:t>
        <w:tab/>
      </w:r>
      <w:r>
        <w:rPr>
          <w:sz w:val="20"/>
          <w:u w:val="single"/>
        </w:rPr>
        <w:t>No Disqualification Events</w:t>
      </w:r>
      <w:r>
        <w:rPr>
          <w:sz w:val="20"/>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twenty percent (20%) or more of the Company’s outstanding voting equity securities, calculated on the basis of voting power, nor any promoter (as that term is defined in Rule 405 under the Securities Act) connected with the Company in any capacity at the time of sale (each, an “</w:t>
      </w:r>
      <w:r>
        <w:rPr>
          <w:sz w:val="20"/>
          <w:u w:val="single"/>
        </w:rPr>
        <w:t>Issuer Covered Person</w:t>
      </w:r>
      <w:r>
        <w:rPr>
          <w:sz w:val="20"/>
        </w:rPr>
        <w:t>” and, together, “</w:t>
      </w:r>
      <w:r>
        <w:rPr>
          <w:sz w:val="20"/>
          <w:u w:val="single"/>
        </w:rPr>
        <w:t>Issuer Covered Persons</w:t>
      </w:r>
      <w:r>
        <w:rPr>
          <w:sz w:val="20"/>
        </w:rPr>
        <w:t>”) is subject to any of the “Bad Actor” disqualifications described in Rule 506(d)(1)(i) to (viii) under the Securities Act (a “</w:t>
      </w:r>
      <w:r>
        <w:rPr>
          <w:sz w:val="20"/>
          <w:u w:val="single"/>
        </w:rPr>
        <w:t>Disqualification Event</w:t>
      </w:r>
      <w:r>
        <w:rPr>
          <w:sz w:val="20"/>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 a copy of any disclosures provided thereunder.</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(nn)</w:t>
        <w:tab/>
      </w:r>
      <w:r>
        <w:rPr>
          <w:sz w:val="20"/>
          <w:u w:val="single"/>
        </w:rPr>
        <w:t>Other Covered Persons</w:t>
      </w:r>
      <w:r>
        <w:rPr>
          <w:sz w:val="20"/>
        </w:rPr>
        <w:t>. The Company is not aware of any person (other than any Issuer Covered Person) that has been or will be paid (directly or indirectly) remuneration for solicitation of the Purchaser in connection with the sale of any Securities.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(oo)</w:t>
        <w:tab/>
      </w:r>
      <w:r>
        <w:rPr>
          <w:sz w:val="20"/>
          <w:u w:val="single"/>
        </w:rPr>
        <w:t>Notice of Disqualification Events</w:t>
      </w:r>
      <w:r>
        <w:rPr>
          <w:sz w:val="20"/>
        </w:rPr>
        <w:t>. The Company will notify the Purchaser in writing prior to the Closing Date of (i) any Disqualification Event relating to any Issuer Covered Person and (ii) any event that would, with the passage of time, become a Disqualification Event relating to any Issuer Covered Person.</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3.2       </w:t>
      </w:r>
      <w:r>
        <w:rPr>
          <w:sz w:val="20"/>
          <w:u w:val="single"/>
        </w:rPr>
        <w:t>Representations and Warranties of the Purchaser</w:t>
      </w:r>
      <w:r>
        <w:rPr>
          <w:sz w:val="20"/>
        </w:rPr>
        <w:t>. The Purchaser hereby represents and warrants as of the date hereof and as of the Closing Date to the Company as follows (unless as of a specific date therein, in which case such representations and warranties shall be accurate as of such date):</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(a)       </w:t>
      </w:r>
      <w:r>
        <w:rPr>
          <w:sz w:val="20"/>
          <w:u w:val="single"/>
        </w:rPr>
        <w:t>Organization; Authority</w:t>
      </w:r>
      <w:r>
        <w:rPr>
          <w:sz w:val="20"/>
        </w:rPr>
        <w:t>. Such Purchaser is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(b)       </w:t>
      </w:r>
      <w:r>
        <w:rPr>
          <w:sz w:val="20"/>
          <w:u w:val="single"/>
        </w:rPr>
        <w:t>Own Account</w:t>
      </w:r>
      <w:r>
        <w:rPr>
          <w:sz w:val="20"/>
        </w:rPr>
        <w:t>. Such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U.S. federal and state securities laws). Such Purchaser is acquiring the Securities hereunder in the ordinary course of its business.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(c)       </w:t>
      </w:r>
      <w:r>
        <w:rPr>
          <w:sz w:val="20"/>
          <w:u w:val="single"/>
        </w:rPr>
        <w:t>Purchaser Status</w:t>
      </w:r>
      <w:r>
        <w:rPr>
          <w:sz w:val="20"/>
        </w:rPr>
        <w:t>. At the time such Purchaser was offered the Securities, it was, and as of the date hereof it is, and on each date on which it exercises any Pre-Funded Warrants, it will be either (i) an “accredited investor” as defined in Rule 501(a)(1), (a)(2), (a)(3), (a)(7), (a)(8), (a)(9), (a)(12), or (a)(13) under the Securities Act or (ii) a “qualified institutional buyer” as defined in Rule 144A(a) under the Securities Act.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(d)       </w:t>
      </w:r>
      <w:r>
        <w:rPr>
          <w:sz w:val="20"/>
          <w:u w:val="single"/>
        </w:rPr>
        <w:t>Experience of Such Purchaser</w:t>
      </w:r>
      <w:r>
        <w:rPr>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(e)       </w:t>
      </w:r>
      <w:r>
        <w:rPr>
          <w:sz w:val="20"/>
          <w:u w:val="single"/>
        </w:rPr>
        <w:t>General Solicitation</w:t>
      </w:r>
      <w:r>
        <w:rPr>
          <w:sz w:val="20"/>
        </w:rPr>
        <w:t>. Such Purchaser is not, to such Purchaser’s knowledge,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(f)       </w:t>
      </w:r>
      <w:r>
        <w:rPr>
          <w:sz w:val="20"/>
          <w:u w:val="single"/>
        </w:rPr>
        <w:t>Access to Information</w:t>
      </w:r>
      <w:r>
        <w:rPr>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(g)       </w:t>
      </w:r>
      <w:r>
        <w:rPr>
          <w:sz w:val="20"/>
          <w:u w:val="single"/>
        </w:rPr>
        <w:t>Certain Transactions and Confidentiality</w:t>
      </w:r>
      <w:r>
        <w:rPr>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the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firstLine="1440"/>
        <w:jc w:val="both"/>
        <w:rPr/>
      </w:pPr>
      <w:r>
        <w:rPr/>
        <w:t> </w:t>
      </w:r>
    </w:p>
    <w:p>
      <w:pPr>
        <w:pStyle w:val="TextBody"/>
        <w:bidi w:val="0"/>
        <w:spacing w:before="0" w:after="0"/>
        <w:ind w:left="0" w:right="0" w:hanging="0"/>
        <w:jc w:val="both"/>
        <w:rPr>
          <w:sz w:val="20"/>
        </w:rPr>
      </w:pPr>
      <w:r>
        <w:rPr>
          <w:sz w:val="20"/>
        </w:rPr>
        <w:t xml:space="preserve">The Company acknowledges and agrees that the representations contained in this </w:t>
      </w:r>
      <w:r>
        <w:rPr>
          <w:sz w:val="20"/>
          <w:u w:val="single"/>
        </w:rPr>
        <w:t>Section 3.2</w:t>
      </w:r>
      <w:r>
        <w:rPr>
          <w:sz w:val="20"/>
        </w:rPr>
        <w:t xml:space="preserve"> shall not modify, amend or affect the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ARTICLE IV.</w:t>
        <w:br/>
        <w:t>OTHER AGREEMENTS OF THE PARTIES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4.1       </w:t>
      </w:r>
      <w:r>
        <w:rPr>
          <w:sz w:val="20"/>
          <w:u w:val="single"/>
        </w:rPr>
        <w:t>Transfer Restrictions</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The Securities may only be disposed of in compliance with the Company's Articles of Association, as amended from time to time, and U.S. federal and state securities laws. In connection with any transfer of the Securities other than pursuant to an effective registration statement or Rule 144, to the Company or to an Affiliate of the Purchaser or in connection with a pledge as contemplated in </w:t>
      </w:r>
      <w:r>
        <w:rPr>
          <w:sz w:val="20"/>
          <w:u w:val="single"/>
        </w:rPr>
        <w:t>Section 4.1(b)</w:t>
      </w:r>
      <w:r>
        <w:rPr>
          <w:sz w:val="20"/>
        </w:rPr>
        <w:t>,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the Purchaser under this Agreement and the Registration Rights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       The Purchaser agrees to the imprinting, so long as is required by this </w:t>
      </w:r>
      <w:r>
        <w:rPr>
          <w:sz w:val="20"/>
          <w:u w:val="single"/>
        </w:rPr>
        <w:t>Section 4.1</w:t>
      </w:r>
      <w:r>
        <w:rPr>
          <w:sz w:val="20"/>
        </w:rPr>
        <w:t>, of a legend on any of the Securities in the following form:</w:t>
      </w:r>
    </w:p>
    <w:p>
      <w:pPr>
        <w:pStyle w:val="TextBody"/>
        <w:bidi w:val="0"/>
        <w:spacing w:before="0" w:after="0"/>
        <w:ind w:left="0" w:right="0" w:firstLine="1440"/>
        <w:jc w:val="both"/>
        <w:rPr/>
      </w:pPr>
      <w:r>
        <w:rPr/>
        <w:t> </w:t>
      </w:r>
    </w:p>
    <w:p>
      <w:pPr>
        <w:pStyle w:val="TextBody"/>
        <w:bidi w:val="0"/>
        <w:spacing w:before="0" w:after="0"/>
        <w:ind w:left="0" w:right="0" w:hanging="0"/>
        <w:jc w:val="both"/>
        <w:rPr>
          <w:sz w:val="20"/>
        </w:rPr>
      </w:pPr>
      <w:r>
        <w:rPr>
          <w:sz w:val="20"/>
        </w:rPr>
        <w:t>[NEITHER] THIS SECURITY [NOR THE SECURITIES INTO WHICH THIS SECURITY IS EXERCISABLE HAS BEEN]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The Company acknowledges and agrees that the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(as defined in the Registration Rights Agreement) thereunder.</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(c)       Certificates evidencing the Warrant Shares shall not contain any legend (including the legend set forth in </w:t>
      </w:r>
      <w:r>
        <w:rPr>
          <w:sz w:val="20"/>
          <w:u w:val="single"/>
        </w:rPr>
        <w:t>Section 4.1(b)</w:t>
      </w:r>
      <w:r>
        <w:rPr>
          <w:sz w:val="20"/>
        </w:rPr>
        <w:t xml:space="preserve"> hereof), (i) while a registration statement (including the Registration Statement) covering the resale of such security is effective under the Securities Act and the Purchaser provides the Company with a seller’s representation in form and substance satisfactory to the Company in its sole discretion, (ii) following any sale of such Warrant Shares pursuant to Rule 144 (assuming cashless exercise of the Pre-Funded Warrants), (iii) if such Warrant Shares are eligible for sale under Rule 144 (assuming cashless exercise of the Pre-Funded Warrants) and the Purchaser provides the Company with a seller’s representation in form and substance satisfactory to the Company in its sole discretion, or (iv) if such legend is not required under applicable requirements of the Securities Act (including judicial interpretations and pronouncements issued by the staff of the Commission). The Company shall issue or cause to be issued a legal opinion to the Transfer Agent or the Purchaser promptly after the Effective Date if required by the Transfer Agent to effect the removal of the legend hereunder, or if requested by the Purchaser, respectively. If all or any portion of a Pre-Funded Warrant is exercised at a time when there is an effective registration statement to cover the resale of the Warrant Shares, or if such Warrant Shares may be sold under Rule 144 and the Company is then in compliance with the current public information required under Rule 144 (assuming cashless exercise of the Pre-Funded Warrants), or if the Warrant Shares may be sold under Rule 144 without the requirement for the Company to be in compliance with the current public information required under Rule 144 as to such Warrant Shares or if such legend is not otherwise required under applicable requirements of the Securities Act (including judicial interpretations and pronouncements issued by the staff of the Commission) then such Warrant Shares shall be issued free of all legends. The Company agrees that following the Effective Date or at such time as such legend is no longer required under this </w:t>
      </w:r>
      <w:r>
        <w:rPr>
          <w:sz w:val="20"/>
          <w:u w:val="single"/>
        </w:rPr>
        <w:t>Section 4.1(c)</w:t>
      </w:r>
      <w:r>
        <w:rPr>
          <w:sz w:val="20"/>
        </w:rPr>
        <w:t>, it will, no later than the earlier of (i) two (2) Trading Days and (ii) the number of Trading Days comprising the Standard Settlement Period (as defined below) following the delivery by the Purchaser to the Company or the Transfer Agent of a certificate representing Warrant Shares, as the case may be, issued with a restrictive legend (such date, the “</w:t>
      </w:r>
      <w:r>
        <w:rPr>
          <w:sz w:val="20"/>
          <w:u w:val="single"/>
        </w:rPr>
        <w:t>Legend Removal Date</w:t>
      </w:r>
      <w:r>
        <w:rPr>
          <w:sz w:val="20"/>
        </w:rPr>
        <w:t xml:space="preserve">”),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w:t>
      </w:r>
      <w:r>
        <w:rPr>
          <w:sz w:val="20"/>
          <w:u w:val="single"/>
        </w:rPr>
        <w:t>Section 4</w:t>
      </w:r>
      <w:r>
        <w:rPr>
          <w:sz w:val="20"/>
        </w:rPr>
        <w:t>. Certificates for Securities subject to legend removal hereunder shall be transmitted by the Transfer Agent to the Purchaser by crediting the account of the Purchaser’s prime broker with the Depository Trust Company System as directed by such Purchaser. As used herein, “</w:t>
      </w:r>
      <w:r>
        <w:rPr>
          <w:sz w:val="20"/>
          <w:u w:val="single"/>
        </w:rPr>
        <w:t>Standard Settlement Period</w:t>
      </w:r>
      <w:r>
        <w:rPr>
          <w:sz w:val="20"/>
        </w:rPr>
        <w:t>” means the standard settlement period, expressed in a number of Trading Days, on the Company’s primary Trading Market with respect to the Common Stock as in effect on the date of delivery of a certificate representing Warrant Shares, as the case may be, issued with a restrictive legend.</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(d)       In addition to such Purchaser’s other available remedies, the Company shall pay to the Purchaser, in cash, (i) as partial liquidated damages and not as a penalty, for each $1,000 of Warrant Shares (based on the VWAP of the Common Stock on the date such Securities are submitted to the Transfer Agent) validly delivered for removal of the restrictive legend and subject to, and in compliance with, </w:t>
      </w:r>
      <w:r>
        <w:rPr>
          <w:sz w:val="20"/>
          <w:u w:val="single"/>
        </w:rPr>
        <w:t>Sections 4.1(b)</w:t>
      </w:r>
      <w:r>
        <w:rPr>
          <w:sz w:val="20"/>
        </w:rPr>
        <w:t xml:space="preserve"> or </w:t>
      </w:r>
      <w:r>
        <w:rPr>
          <w:sz w:val="20"/>
          <w:u w:val="single"/>
        </w:rPr>
        <w:t>4.1(c)</w:t>
      </w:r>
      <w:r>
        <w:rPr>
          <w:sz w:val="20"/>
        </w:rPr>
        <w:t>, as applicable, $5 per Trading Day (increasing to $10 per Trading Day seven (7) Trading Days after the Legend Removal Date) for each Trading Day after the Legend Removal Date until such certificate is delivered without a legend and (ii) if the Company fails to (a) issue and deliver (or cause to be delivered) to the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reasonably anticipated receiving from the Company without any restrictive legend, then, an amount equal to the excess of such Purchaser’s total purchase price (including brokerage commissions and other reasonable and documented out-of-pocket expenses, if any) for the shares of Common Stock so purchased (including brokerage commissions and other reasonable and documented out-of-pocket expenses, if any) (the “</w:t>
      </w:r>
      <w:r>
        <w:rPr>
          <w:sz w:val="20"/>
          <w:u w:val="single"/>
        </w:rPr>
        <w:t>Buy-In Price</w:t>
      </w:r>
      <w:r>
        <w:rPr>
          <w:sz w:val="20"/>
        </w:rPr>
        <w:t>”) over the product of (A) such number of Warrant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Warrant Shares (as the case may be) and ending on the date of such delivery and payment under this clause (ii).</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(e)       The Purchaser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w:t>
      </w:r>
      <w:r>
        <w:rPr>
          <w:sz w:val="20"/>
          <w:u w:val="single"/>
        </w:rPr>
        <w:t>Section 4.1</w:t>
      </w:r>
      <w:r>
        <w:rPr>
          <w:sz w:val="20"/>
        </w:rPr>
        <w:t xml:space="preserve"> is predicated upon the Company’s reliance upon this understanding.</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4.2       </w:t>
      </w:r>
      <w:r>
        <w:rPr>
          <w:sz w:val="20"/>
          <w:u w:val="single"/>
        </w:rPr>
        <w:t>Furnishing of Information; Public Information</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(a)       If the Ordinary Shares are not registered under Section 12(b) or 12(g) of the Exchange Act on the date hereof, the Company agrees to cause the Ordinary Shares to be registered under Section 12(g) of the Exchange Act on or before the 90th calendar day following the date hereof. Until the earliest of the time that (i) no Purchaser owns Securities or (ii) the Pre-Funded Warrants have expired,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(b)       At any time during the period commencing from the six (6) month anniversary of the date hereof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described in Rule 144(i)(1)(i) in the future, and the Company shall fail to satisfy any condition set forth in Rule 144(i)(2) (a “</w:t>
      </w:r>
      <w:r>
        <w:rPr>
          <w:sz w:val="20"/>
          <w:u w:val="single"/>
        </w:rPr>
        <w:t>Public Information Failure</w:t>
      </w:r>
      <w:r>
        <w:rPr>
          <w:sz w:val="20"/>
        </w:rPr>
        <w:t>”) then, in addition to the Purchaser’s other available remedies, the Company shall pay to such Purchaser, in cash, as partial liquidated damages and not as a penalty, by reason of any such delay in or reduction of their ability to sell the Securities, an amount in cash equal to one and one-half percent (1.5%) of the aggregate Subscription Amount of such Purchaser’s Securities on the day of a Public Information Failure and on every thirtieth (30</w:t>
      </w:r>
      <w:r>
        <w:rPr>
          <w:position w:val="7"/>
          <w:sz w:val="16"/>
          <w:sz w:val="20"/>
        </w:rPr>
        <w:t>th</w:t>
      </w:r>
      <w:r>
        <w:rPr>
          <w:sz w:val="20"/>
        </w:rPr>
        <w:t xml:space="preserve">) day (pro rated for periods totaling less than thirty days) thereafter until the earlier of (a) the date such Public Information Failure is cured and (b) such time that such public information is no longer required for such Purchaser to transfer the Warrant Shares pursuant to Rule 144. The payments to which such Purchaser shall be entitled pursuant to this </w:t>
      </w:r>
      <w:r>
        <w:rPr>
          <w:sz w:val="20"/>
          <w:u w:val="single"/>
        </w:rPr>
        <w:t>Section 4.2(b)</w:t>
      </w:r>
      <w:r>
        <w:rPr>
          <w:sz w:val="20"/>
        </w:rPr>
        <w:t xml:space="preserve"> are referred to herein as “</w:t>
      </w:r>
      <w:r>
        <w:rPr>
          <w:sz w:val="20"/>
          <w:u w:val="single"/>
        </w:rPr>
        <w:t>Public Information Failure Payments</w:t>
      </w:r>
      <w:r>
        <w:rPr>
          <w:sz w:val="20"/>
        </w:rPr>
        <w:t>.” Public Information Failure Payments shall be paid on the earlier of (i) the last day of the calendar month during which such Public Information Failure Payments are incurred and (ii) the third (3</w:t>
      </w:r>
      <w:r>
        <w:rPr>
          <w:position w:val="7"/>
          <w:sz w:val="16"/>
          <w:sz w:val="20"/>
        </w:rPr>
        <w:t>rd</w:t>
      </w:r>
      <w:r>
        <w:rPr>
          <w:sz w:val="20"/>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them at law or in equity including, without limitation, a decree of specific performance and/or injunctive relief.</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4.3       </w:t>
      </w:r>
      <w:r>
        <w:rPr>
          <w:sz w:val="20"/>
          <w:u w:val="single"/>
        </w:rPr>
        <w:t>Integration</w:t>
      </w:r>
      <w:r>
        <w:rPr>
          <w:sz w:val="20"/>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stockholder approval prior to the closing of such other transaction unless stockholder approval is obtained before the closing of such subsequent transaction.</w:t>
      </w:r>
    </w:p>
    <w:p>
      <w:pPr>
        <w:pStyle w:val="TextBody"/>
        <w:bidi w:val="0"/>
        <w:spacing w:before="0" w:after="0"/>
        <w:ind w:left="0" w:right="0" w:firstLine="720"/>
        <w:jc w:val="both"/>
        <w:rPr/>
      </w:pPr>
      <w:r>
        <w:rPr/>
        <w:t> </w:t>
      </w:r>
    </w:p>
    <w:p>
      <w:pPr>
        <w:pStyle w:val="TextBody"/>
        <w:bidi w:val="0"/>
        <w:spacing w:before="0" w:after="0"/>
        <w:ind w:left="0" w:right="0" w:firstLine="810"/>
        <w:jc w:val="both"/>
        <w:rPr>
          <w:sz w:val="20"/>
        </w:rPr>
      </w:pPr>
      <w:r>
        <w:rPr>
          <w:sz w:val="20"/>
        </w:rPr>
        <w:t>4.4       </w:t>
      </w:r>
      <w:r>
        <w:rPr>
          <w:sz w:val="20"/>
          <w:u w:val="single"/>
        </w:rPr>
        <w:t>Securities Laws Disclosure; Publicity</w:t>
      </w:r>
      <w:r>
        <w:rPr>
          <w:sz w:val="20"/>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 that it shall have publicly disclosed all material, non-public information delivered to any of the Purchaser by the Company or any of its Subsidiaries, or any of their respective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Affiliates or agents, on the one hand, and any of the Purchaser or any of their Affiliates on the other hand, shall terminate and be of no further force or effect. The Company understands and confirms that the Purchaser shall be relying on the foregoing covenant in effecting transactions in securities of the Company. The Company and the Purchaser shall consult with each other in issuing any other press releases with respect to the transactions contemplated hereby, and neither the Company nor the Purchaser shall issue any such press release nor otherwise make any such public statement without the prior consent of the Company, with respect to any press release of the Purchaser, or without the prior consent of the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the Purchaser, or include the name of the Purchaser in any filing with the Commission or any regulatory agency or Trading Market, without the prior written consent of such Purchaser, except (a) as required by U.S. federal securities law in connection with (i) any registration statement contemplated by the Registration Rights Agreement and (ii) the filing of final Transaction Documents with the Commission and (b) to the extent such disclosure is required by law or Trading Market regulations, in which case the Company shall provide such Purchaser with prior notice of such disclosure permitted under this clause (b) and reasonably cooperate with such Purchaser regarding such disclosure.</w:t>
      </w:r>
    </w:p>
    <w:p>
      <w:pPr>
        <w:pStyle w:val="TextBody"/>
        <w:bidi w:val="0"/>
        <w:spacing w:before="0" w:after="0"/>
        <w:ind w:left="0" w:right="0" w:firstLine="81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4.5       </w:t>
      </w:r>
      <w:r>
        <w:rPr>
          <w:sz w:val="20"/>
          <w:u w:val="single"/>
        </w:rPr>
        <w:t>Stockholder Rights Plan</w:t>
      </w:r>
      <w:r>
        <w:rPr>
          <w:sz w:val="20"/>
        </w:rPr>
        <w:t>. No claim will be made or enforced by the Company or, with the consent of the Company, any other Person, that the Purchaser is an “</w:t>
      </w:r>
      <w:r>
        <w:rPr>
          <w:sz w:val="20"/>
          <w:u w:val="single"/>
        </w:rPr>
        <w:t>Acquiring Person</w:t>
      </w:r>
      <w:r>
        <w:rPr>
          <w:sz w:val="20"/>
        </w:rPr>
        <w:t>” under any control share acquisition, business combination, poison pill (including any distribution under a rights agreement) or similar anti-takeover plan or arrangement in effect or hereafter adopted by the Company, or that the Purchaser could be deemed to trigger the provisions of any such plan or arrangement, by virtue of receiving Securities under the Transaction Documents or under any other agreement between the Company and the Purchaser.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4.6       </w:t>
      </w:r>
      <w:r>
        <w:rPr>
          <w:sz w:val="20"/>
          <w:u w:val="single"/>
        </w:rPr>
        <w:t>Non-Public Information</w:t>
      </w:r>
      <w:r>
        <w:rPr>
          <w:sz w:val="20"/>
        </w:rPr>
        <w:t xml:space="preserve">. Except with respect to the material terms and conditions of the transactions contemplated by the Transaction Documents, which shall be disclosed pursuant to </w:t>
      </w:r>
      <w:r>
        <w:rPr>
          <w:sz w:val="20"/>
          <w:u w:val="single"/>
        </w:rPr>
        <w:t>Section 4.4</w:t>
      </w:r>
      <w:r>
        <w:rPr>
          <w:sz w:val="20"/>
        </w:rPr>
        <w:t>, the Company covenants and agrees that neither it, nor any other Person acting on its behalf will provide the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the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the Purchaser without such Purchaser’s consent, the Company hereby covenants and agrees that such Purchaser shall not have any duty of confidentiality to the Company, any of its Subsidiaries, or any of their respective officers, directors, employees, Affiliates or agents, or a duty to the Company, any of its Subsidiaries or any of their respective officers, directors, employees, Affiliates or agents,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the Purchaser shall be relying on the foregoing covenant in effecting transactions in securities of the Company.</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4.7       </w:t>
      </w:r>
      <w:r>
        <w:rPr>
          <w:sz w:val="20"/>
          <w:u w:val="single"/>
        </w:rPr>
        <w:t>Use of Proceeds</w:t>
      </w:r>
      <w:r>
        <w:rPr>
          <w:sz w:val="20"/>
        </w:rPr>
        <w:t>. The Company shall use the net proceeds from the sale of the Securities hereunder for working capital purposes and shall not use such proceeds: (a) for the redemption of any Ordinary Shares, (b) for the satisfaction of any portion of the Company’s debt (other than payment of trade payables in the ordinary course of the Company’s business and prior practices), (c) for the settlement of any outstanding litigation or (d) in violation of FCPA or OFAC regulations.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4.8       </w:t>
      </w:r>
      <w:r>
        <w:rPr>
          <w:sz w:val="20"/>
          <w:u w:val="single"/>
        </w:rPr>
        <w:t>Indemnification of Purchaser</w:t>
      </w:r>
      <w:r>
        <w:rPr>
          <w:sz w:val="20"/>
        </w:rPr>
        <w:t xml:space="preserve">. Subject to the provisions of this </w:t>
      </w:r>
      <w:r>
        <w:rPr>
          <w:sz w:val="20"/>
          <w:u w:val="single"/>
        </w:rPr>
        <w:t>Section 4.8</w:t>
      </w:r>
      <w:r>
        <w:rPr>
          <w:sz w:val="20"/>
        </w:rPr>
        <w:t>, the Company will indemnify and hold the Purchaser and, to the extent the Purchaser is an entity, its directors, officers, stockholders,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stockholders, agents, members, partners or employees (and any other Persons with a functionally equivalent role of a Person holding such titles notwithstanding a lack of such title or any other title) of such controlling persons, (each, a “</w:t>
      </w:r>
      <w:r>
        <w:rPr>
          <w:sz w:val="20"/>
          <w:u w:val="single"/>
        </w:rPr>
        <w:t>Purchaser Party</w:t>
      </w:r>
      <w:r>
        <w:rPr>
          <w:sz w:val="20"/>
        </w:rPr>
        <w:t xml:space="preserve">”)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U.S. federal or state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the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w:t>
      </w:r>
      <w:r>
        <w:rPr>
          <w:sz w:val="20"/>
          <w:u w:val="single"/>
        </w:rPr>
        <w:t>Section 4.8</w:t>
      </w:r>
      <w:r>
        <w:rPr>
          <w:sz w:val="20"/>
        </w:rPr>
        <w:t xml:space="preserve">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4.9       </w:t>
      </w:r>
      <w:r>
        <w:rPr>
          <w:sz w:val="20"/>
          <w:u w:val="single"/>
        </w:rPr>
        <w:t>Reservation of Ordinary Shares</w:t>
      </w:r>
      <w:r>
        <w:rPr>
          <w:sz w:val="20"/>
        </w:rPr>
        <w:t>. As of the date hereof, the Company has reserved and the Company shall continue to reserve and keep available at all times, free of preemptive rights, a sufficient number of Ordinary Shares for the purpose of enabling the Company to issue Shares pursuant to this Agreement and Warrant Shares pursuant to any exercise of the Pre-Funded Warrant.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4.10       </w:t>
      </w:r>
      <w:r>
        <w:rPr>
          <w:sz w:val="20"/>
          <w:u w:val="single"/>
        </w:rPr>
        <w:t>Listing of Ordinary Shares</w:t>
      </w:r>
      <w:r>
        <w:rPr>
          <w:sz w:val="20"/>
        </w:rPr>
        <w:t>. The Company hereby agrees to use best efforts to maintain the listing or quotation of the Ordinary Shares on the Trading Market on which it is currently listed, and concurrently with the Closing, the Company shall apply to list or quote all of the Warrant Shares on such Trading Market and promptly secure the listing of all of the Warrant Shares on such Trading Market. The Company will take all action reasonably necessary to continue the listing and trading of its Ordinary Shares on such Trading Market and will comply in all respects with the Company’s reporting, filing and other obligations under the bylaws or rules of such Trading Market. The Company agrees to maintain the eligibility of the Ordinary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4.12       </w:t>
      </w:r>
      <w:r>
        <w:rPr>
          <w:sz w:val="20"/>
          <w:u w:val="single"/>
        </w:rPr>
        <w:t>Equal Treatment of Purchaser</w:t>
      </w:r>
      <w:r>
        <w:rPr>
          <w:sz w:val="20"/>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the Purchaser by the Company and negotiated separately by the Purchaser, and is intended for the Company to treat the Purchaser as a class and shall not in any way be construed as the Purchaser acting in concert or as a group with respect to the purchase, disposition or voting of Securities or otherwise.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4.13       </w:t>
      </w:r>
      <w:r>
        <w:rPr>
          <w:sz w:val="20"/>
          <w:u w:val="single"/>
        </w:rPr>
        <w:t>Certain Transactions and Confidentiality</w:t>
      </w:r>
      <w:r>
        <w:rPr>
          <w:sz w:val="20"/>
        </w:rPr>
        <w:t xml:space="preserve">. The Purchaser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w:t>
      </w:r>
      <w:r>
        <w:rPr>
          <w:sz w:val="20"/>
          <w:u w:val="single"/>
        </w:rPr>
        <w:t>Section 4.4</w:t>
      </w:r>
      <w:r>
        <w:rPr>
          <w:sz w:val="20"/>
        </w:rPr>
        <w:t xml:space="preserve">. The Purchaser covenants that until such time as the transactions contemplated by this Agreement are publicly disclosed by the Company pursuant to the initial press release as described in </w:t>
      </w:r>
      <w:r>
        <w:rPr>
          <w:sz w:val="20"/>
          <w:u w:val="single"/>
        </w:rPr>
        <w:t>Section 4.4</w:t>
      </w:r>
      <w:r>
        <w:rPr>
          <w:sz w:val="20"/>
        </w:rPr>
        <w:t xml:space="preserve">, such Purchaser will maintain the confidentiality of the existence and terms of this transaction (other than as disclosed to their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w:t>
      </w:r>
      <w:r>
        <w:rPr>
          <w:sz w:val="20"/>
          <w:u w:val="single"/>
        </w:rPr>
        <w:t>Section 4.4</w:t>
      </w:r>
      <w:r>
        <w:rPr>
          <w:sz w:val="20"/>
        </w:rPr>
        <w:t xml:space="preserve">,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w:t>
      </w:r>
      <w:r>
        <w:rPr>
          <w:sz w:val="20"/>
          <w:u w:val="single"/>
        </w:rPr>
        <w:t>Section 4.4</w:t>
      </w:r>
      <w:r>
        <w:rPr>
          <w:sz w:val="20"/>
        </w:rPr>
        <w:t xml:space="preserve"> and (iii) no Purchaser shall have any duty of confidentiality or duty not to trade in the securities of the Company to the Company, any of its Subsidiaries, or any of their respective officers, directors, employees, Affiliates or agent, after the issuance of the initial press release as described in </w:t>
      </w:r>
      <w:r>
        <w:rPr>
          <w:sz w:val="20"/>
          <w:u w:val="single"/>
        </w:rPr>
        <w:t>Section 4.4</w:t>
      </w:r>
      <w:r>
        <w:rPr>
          <w:sz w:val="20"/>
        </w:rPr>
        <w:t>.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4.14       </w:t>
      </w:r>
      <w:r>
        <w:rPr>
          <w:sz w:val="20"/>
          <w:u w:val="single"/>
        </w:rPr>
        <w:t>Form D; Blue Sky Filings</w:t>
      </w:r>
      <w:r>
        <w:rPr>
          <w:sz w:val="20"/>
        </w:rPr>
        <w:t>. The Company agrees to timely file a Form D with respect to the Securities to the extent required under Regulation D and to provide a copy thereof, promptly upon request of the Purchaser. The Company shall take such action as the Company shall reasonably determine is necessary in order to obtain an exemption for, or to qualify the Securities for, sale to the Purchaser at the Closing under applicable securities or “Blue Sky” laws of the states of the United States, and shall provide evidence of such actions promptly upon request of the Purchaser.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4.15       </w:t>
      </w:r>
      <w:r>
        <w:rPr>
          <w:sz w:val="20"/>
          <w:u w:val="single"/>
        </w:rPr>
        <w:t>Exercise Procedures</w:t>
      </w:r>
      <w:r>
        <w:rPr>
          <w:sz w:val="20"/>
        </w:rPr>
        <w:t>. The form of Notice of Exercise included in the Pre-Funded Warrant sets forth the totality of the procedures required of the Purchaser in order to exercise the Pre-Funded Warrant. No legal opinion, other information or instructions shall be required of the Purchaser to exercise its Pre-Funded Warrant. Without limiting the preceding sentences, no ink-original Notice of Exercise shall be required, nor shall any medallion guarantee (or other type of guarantee or notarization) of any Notice of Exercise form be required in order to exercise a Pre-Funded Warrant. The Company shall honor exercises of the Pre-Funded Warrants and shall deliver Warrant Shares in accordance with the terms, conditions and time periods set forth in the Transaction Documents.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4.17       </w:t>
      </w:r>
      <w:r>
        <w:rPr>
          <w:sz w:val="20"/>
          <w:u w:val="single"/>
        </w:rPr>
        <w:t>Acknowledgment of Dilution</w:t>
      </w:r>
      <w:r>
        <w:rPr>
          <w:sz w:val="20"/>
        </w:rPr>
        <w:t>. The Company acknowledges that the issuance of the Securities may result in dilution of the outstanding shares of Ordinary Shares, which dilution may be substantial under certain market conditions. The Company further acknowledges that its obligations under the Transaction Documents, including, without limitation, its obligation to issue the Warrant Shares pursuant to the Transaction Documents, are unconditional and absolute and not subject to any right of set off, counterclaim, delay or reduction, regardless of the effect of any such dilution or any claim the Company may have against the Purchaser and regardless of the dilutive effect that such issuance may have on the ownership of the other stockholders of the Company.</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V.</w:t>
        <w:br/>
        <w:t>MISCELLANEOUS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5.1       </w:t>
      </w:r>
      <w:r>
        <w:rPr>
          <w:sz w:val="20"/>
          <w:u w:val="single"/>
        </w:rPr>
        <w:t>Termination</w:t>
      </w:r>
      <w:r>
        <w:rPr>
          <w:sz w:val="20"/>
        </w:rPr>
        <w:t>. This Agreement may be terminated by the Purchaser, as to the Purchaser’s obligations hereunder only, by written notice to the Company, if the Closing has not been consummated on or before the fifth (5</w:t>
      </w:r>
      <w:r>
        <w:rPr>
          <w:position w:val="7"/>
          <w:sz w:val="16"/>
          <w:sz w:val="20"/>
        </w:rPr>
        <w:t>th</w:t>
      </w:r>
      <w:r>
        <w:rPr>
          <w:sz w:val="20"/>
        </w:rPr>
        <w:t xml:space="preserve">) Trading Day following the date hereof; </w:t>
      </w:r>
      <w:r>
        <w:rPr>
          <w:sz w:val="20"/>
          <w:u w:val="single"/>
        </w:rPr>
        <w:t>provided</w:t>
      </w:r>
      <w:r>
        <w:rPr>
          <w:sz w:val="20"/>
        </w:rPr>
        <w:t xml:space="preserve">, </w:t>
      </w:r>
      <w:r>
        <w:rPr>
          <w:sz w:val="20"/>
          <w:u w:val="single"/>
        </w:rPr>
        <w:t>however</w:t>
      </w:r>
      <w:r>
        <w:rPr>
          <w:sz w:val="20"/>
        </w:rPr>
        <w:t>, that no such termination will affect the right of any party to sue for any breach by any other party.</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5.2        </w:t>
      </w:r>
      <w:r>
        <w:rPr>
          <w:sz w:val="20"/>
          <w:u w:val="single"/>
        </w:rPr>
        <w:t>Fees and Expenses</w:t>
      </w:r>
      <w:r>
        <w:rPr>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the Purchaser), stamp taxes and other taxes and duties levied in connection with the delivery of any Securities to the Purchaser.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5.3       </w:t>
      </w:r>
      <w:r>
        <w:rPr>
          <w:sz w:val="20"/>
          <w:u w:val="single"/>
        </w:rPr>
        <w:t>Entire Agreement</w:t>
      </w:r>
      <w:r>
        <w:rPr>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5.4       </w:t>
      </w:r>
      <w:r>
        <w:rPr>
          <w:sz w:val="20"/>
          <w:u w:val="single"/>
        </w:rPr>
        <w:t>Notices</w:t>
      </w:r>
      <w:r>
        <w:rPr>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position w:val="7"/>
          <w:sz w:val="16"/>
          <w:sz w:val="20"/>
        </w:rPr>
        <w:t>nd</w:t>
      </w:r>
      <w:r>
        <w:rPr>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5.5       </w:t>
      </w:r>
      <w:r>
        <w:rPr>
          <w:sz w:val="20"/>
          <w:u w:val="single"/>
        </w:rPr>
        <w:t>Amendments; Waivers</w:t>
      </w:r>
      <w:r>
        <w:rPr>
          <w:sz w:val="20"/>
        </w:rPr>
        <w:t xml:space="preserve">. No provision of this Agreement may be waived, modified, supplemented or amended except in a written instrument signed, in the case of an amendment, by the Company and the Purchaser,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w:t>
      </w:r>
      <w:r>
        <w:rPr>
          <w:sz w:val="20"/>
          <w:u w:val="single"/>
        </w:rPr>
        <w:t>Section 5.5</w:t>
      </w:r>
      <w:r>
        <w:rPr>
          <w:sz w:val="20"/>
        </w:rPr>
        <w:t xml:space="preserve"> shall be binding upon the Purchaser and holder of Securities and the Company.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5.6       </w:t>
      </w:r>
      <w:r>
        <w:rPr>
          <w:sz w:val="20"/>
          <w:u w:val="single"/>
        </w:rPr>
        <w:t>Headings</w:t>
      </w:r>
      <w:r>
        <w:rPr>
          <w:sz w:val="20"/>
        </w:rPr>
        <w:t>. The headings herein are for convenience only, do not constitute a part of this Agreement and shall not be deemed to limit or affect any of the provisions hereof.</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5.7       </w:t>
      </w:r>
      <w:r>
        <w:rPr>
          <w:sz w:val="20"/>
          <w:u w:val="single"/>
        </w:rPr>
        <w:t>Successors and Assigns</w:t>
      </w:r>
      <w:r>
        <w:rPr>
          <w:sz w:val="20"/>
        </w:rPr>
        <w:t>. This Agreement shall be binding upon and inure to the benefit of the parties and their successors and permitted assigns. The Company may not assign this Agreement or any rights or obligations hereunder without the prior written consent of the Purchaser (other than by merger). The Purchaser may assign any or all of its rights under this Agreement to any Person to whom the Purchaser assigns or transfer any Securities, provided that such transferee agrees in writing to be bound, with respect to the transferred Securities, by the provisions of the Transaction Documents that apply to the “Purchaser.”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5.8       </w:t>
      </w:r>
      <w:r>
        <w:rPr>
          <w:sz w:val="20"/>
          <w:u w:val="single"/>
        </w:rPr>
        <w:t>Third-Party Beneficiaries</w:t>
      </w:r>
      <w:r>
        <w:rPr>
          <w:sz w:val="20"/>
        </w:rPr>
        <w:t xml:space="preserve">. This Agreement is intended for the benefit of the parties hereto and their respective successors and permitted assigns and is not for the benefit of, nor may any provision hereof be enforced by, any other Person, except as otherwise set forth in </w:t>
      </w:r>
      <w:r>
        <w:rPr>
          <w:sz w:val="20"/>
          <w:u w:val="single"/>
        </w:rPr>
        <w:t>Section 4.8</w:t>
      </w:r>
      <w:r>
        <w:rPr>
          <w:sz w:val="20"/>
        </w:rPr>
        <w:t xml:space="preserve"> and this </w:t>
      </w:r>
      <w:r>
        <w:rPr>
          <w:sz w:val="20"/>
          <w:u w:val="single"/>
        </w:rPr>
        <w:t>Section 5.8</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5.9       </w:t>
      </w:r>
      <w:r>
        <w:rPr>
          <w:sz w:val="20"/>
          <w:u w:val="single"/>
        </w:rPr>
        <w:t>Governing Law</w:t>
      </w:r>
      <w:r>
        <w:rPr>
          <w:sz w:val="20"/>
        </w:rPr>
        <w:t xml:space="preserve">.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stockholders, partners, members, employees or agents) shall be commenced exclusively in the state and U.S. federal courts sitting in the City of New York. Each party hereby irrevocably submits to the exclusive jurisdiction of the state and U.S.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w:t>
      </w:r>
      <w:r>
        <w:rPr>
          <w:sz w:val="20"/>
          <w:u w:val="single"/>
        </w:rPr>
        <w:t>Section 4.8</w:t>
      </w:r>
      <w:r>
        <w:rPr>
          <w:sz w:val="20"/>
        </w:rPr>
        <w:t>,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5.10       </w:t>
      </w:r>
      <w:r>
        <w:rPr>
          <w:sz w:val="20"/>
          <w:u w:val="single"/>
        </w:rPr>
        <w:t>Survival</w:t>
      </w:r>
      <w:r>
        <w:rPr>
          <w:sz w:val="20"/>
        </w:rPr>
        <w:t>. The representations and warranties contained herein shall survive each Closing and the delivery of the Securities.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5.11       </w:t>
      </w:r>
      <w:r>
        <w:rPr>
          <w:sz w:val="20"/>
          <w:u w:val="single"/>
        </w:rPr>
        <w:t>Execution</w:t>
      </w:r>
      <w:r>
        <w:rPr>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pages were an original thereof.</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5.12       </w:t>
      </w:r>
      <w:r>
        <w:rPr>
          <w:sz w:val="20"/>
          <w:u w:val="single"/>
        </w:rPr>
        <w:t>Severability</w:t>
      </w:r>
      <w:r>
        <w:rPr>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5.13       </w:t>
      </w:r>
      <w:r>
        <w:rPr>
          <w:sz w:val="20"/>
          <w:u w:val="single"/>
        </w:rPr>
        <w:t>Rescission and Withdrawal Right</w:t>
      </w:r>
      <w:r>
        <w:rPr>
          <w:sz w:val="20"/>
        </w:rPr>
        <w:t>. Notwithstanding anything to the contrary contained in (and without limiting any similar provisions of) any of the other Transaction Documents, whenever the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their future actions and rights; provided, however, that, in the case of a rescission of an exercise of a Pre-Funded Warrant, the Purchaser shall be required to return any shares of Ordinary Shares subject to any such rescinded exercise notice concurrently with the return to such Purchaser of the aggregate exercise price paid to the Company for such shares and the restoration of such Purchaser’s right to acquire such shares pursuant to such Purchaser’s Pre-Funded Warrant (including, issuance of a replacement warrant certificate evidencing such restored right).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5.14       </w:t>
      </w:r>
      <w:r>
        <w:rPr>
          <w:sz w:val="20"/>
          <w:u w:val="single"/>
        </w:rPr>
        <w:t>Replacement of Securities</w:t>
      </w:r>
      <w:r>
        <w:rPr>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5.15       </w:t>
      </w:r>
      <w:r>
        <w:rPr>
          <w:sz w:val="20"/>
          <w:u w:val="single"/>
        </w:rPr>
        <w:t>Remedies</w:t>
      </w:r>
      <w:r>
        <w:rPr>
          <w:sz w:val="20"/>
        </w:rPr>
        <w:t>. In addition to being entitled to exercise all rights provided herein or granted by law, including recovery of damages, the Purchaser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5.16       </w:t>
      </w:r>
      <w:r>
        <w:rPr>
          <w:sz w:val="20"/>
          <w:u w:val="single"/>
        </w:rPr>
        <w:t>Payment Set Aside</w:t>
      </w:r>
      <w:r>
        <w:rPr>
          <w:sz w:val="20"/>
        </w:rPr>
        <w:t>. To the extent that the Company makes a payment or payments to the Purchaser pursuant to any Transaction Document or the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Dutch law or U.S. federal or state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5.17       </w:t>
      </w:r>
      <w:r>
        <w:rPr>
          <w:sz w:val="20"/>
          <w:u w:val="single"/>
        </w:rPr>
        <w:t>Independent Nature of Purchaser’s Obligations and Rights</w:t>
      </w:r>
      <w:r>
        <w:rPr>
          <w:sz w:val="20"/>
        </w:rPr>
        <w:t>. The obligations of the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the Purchaser pursuant hereto or thereto, shall be deemed to constitute the Purchaser as a partnership, an association, a joint venture or any other kind of entity, or create a presumption that the Purchaser are in any way acting in concert or as a group with respect to such obligations or the transactions contemplated by the Transaction Documents. The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The Purchaser has been represented by its own separate legal counsel in its review and negotiation of the Transaction Documents. The Company has elected to provide all Purchaser with the same terms and Transaction Documents for the convenience of the Company and not because it was required or requested to do so by any of the Purchaser. It is expressly understood and agreed that each provision contained in this Agreement and in each other Transaction Document is between the Company and the Purchaser, solely, and not between the Company and the Purchaser collectively and not between and among the Purchaser.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5.17       </w:t>
      </w:r>
      <w:r>
        <w:rPr>
          <w:sz w:val="20"/>
          <w:u w:val="single"/>
        </w:rPr>
        <w:t>Liquidated Damages</w:t>
      </w:r>
      <w:r>
        <w:rPr>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5.18       </w:t>
      </w:r>
      <w:r>
        <w:rPr>
          <w:sz w:val="20"/>
          <w:u w:val="single"/>
        </w:rPr>
        <w:t>Saturdays, Sundays, Holidays, etc.</w:t>
      </w:r>
      <w:r>
        <w:rPr>
          <w:sz w:val="20"/>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5.19       </w:t>
      </w:r>
      <w:r>
        <w:rPr>
          <w:sz w:val="20"/>
          <w:u w:val="single"/>
        </w:rPr>
        <w:t>Construction</w:t>
      </w:r>
      <w:r>
        <w:rPr>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Ordinary Shares in any Transaction Document shall be subject to adjustment for reverse and forward stock splits, stock dividends, stock combinations and other similar transactions of the Ordinary Shares that occur after the date of this Agreement.</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5.20       </w:t>
      </w:r>
      <w:r>
        <w:rPr>
          <w:b/>
          <w:sz w:val="20"/>
          <w:u w:val="single"/>
        </w:rPr>
        <w:t>WAIVER OF JURY TRIAL</w:t>
      </w:r>
      <w:r>
        <w:rPr>
          <w:b/>
          <w:sz w:val="20"/>
        </w:rPr>
        <w:t xml:space="preserve">. </w:t>
      </w:r>
      <w:r>
        <w:rPr>
          <w:b/>
          <w:sz w:val="20"/>
          <w:u w:val="single"/>
        </w:rPr>
        <w:t xml:space="preserve">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 </w:t>
      </w:r>
    </w:p>
    <w:p>
      <w:pPr>
        <w:pStyle w:val="TextBody"/>
        <w:bidi w:val="0"/>
        <w:spacing w:before="0" w:after="0"/>
        <w:ind w:left="0" w:right="0" w:firstLine="720"/>
        <w:jc w:val="both"/>
        <w:rPr/>
      </w:pPr>
      <w:r>
        <w:rPr/>
        <w:t> </w:t>
      </w:r>
    </w:p>
    <w:p>
      <w:pPr>
        <w:pStyle w:val="TextBody"/>
        <w:bidi w:val="0"/>
        <w:spacing w:before="0" w:after="0"/>
        <w:ind w:left="0" w:right="0" w:hanging="0"/>
        <w:jc w:val="center"/>
        <w:rPr>
          <w:i/>
          <w:sz w:val="20"/>
        </w:rPr>
      </w:pPr>
      <w:r>
        <w:rPr>
          <w:i/>
          <w:sz w:val="20"/>
        </w:rPr>
        <w:t>(Signature Pages Follow)</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pPr>
      <w:r>
        <w:rPr/>
        <w:t> </w:t>
      </w:r>
    </w:p>
    <w:tbl>
      <w:tblPr>
        <w:tblW w:w="7485" w:type="dxa"/>
        <w:jc w:val="left"/>
        <w:tblInd w:w="0" w:type="dxa"/>
        <w:tblLayout w:type="fixed"/>
        <w:tblCellMar>
          <w:top w:w="0" w:type="dxa"/>
          <w:left w:w="0" w:type="dxa"/>
          <w:bottom w:w="0" w:type="dxa"/>
          <w:right w:w="0" w:type="dxa"/>
        </w:tblCellMar>
      </w:tblPr>
      <w:tblGrid>
        <w:gridCol w:w="650"/>
        <w:gridCol w:w="4715"/>
        <w:gridCol w:w="60"/>
        <w:gridCol w:w="2060"/>
      </w:tblGrid>
      <w:tr>
        <w:trPr/>
        <w:tc>
          <w:tcPr>
            <w:tcW w:w="5365" w:type="dxa"/>
            <w:gridSpan w:val="2"/>
            <w:tcBorders/>
            <w:vAlign w:val="center"/>
          </w:tcPr>
          <w:p>
            <w:pPr>
              <w:pStyle w:val="TableContents"/>
              <w:bidi w:val="0"/>
              <w:spacing w:before="0" w:after="283"/>
              <w:jc w:val="left"/>
              <w:rPr>
                <w:b/>
              </w:rPr>
            </w:pPr>
            <w:r>
              <w:rPr>
                <w:b/>
              </w:rPr>
              <w:t>SONO GROUP N.V.</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Address for Notice:</w:t>
            </w:r>
          </w:p>
        </w:tc>
      </w:tr>
      <w:tr>
        <w:trPr/>
        <w:tc>
          <w:tcPr>
            <w:tcW w:w="650" w:type="dxa"/>
            <w:tcBorders/>
            <w:vAlign w:val="center"/>
          </w:tcPr>
          <w:p>
            <w:pPr>
              <w:pStyle w:val="TableContents"/>
              <w:bidi w:val="0"/>
              <w:spacing w:before="0" w:after="283"/>
              <w:jc w:val="left"/>
              <w:rPr/>
            </w:pPr>
            <w:r>
              <w:rPr/>
              <w:t>By:</w:t>
            </w:r>
          </w:p>
        </w:tc>
        <w:tc>
          <w:tcPr>
            <w:tcW w:w="4715" w:type="dxa"/>
            <w:tcBorders>
              <w:bottom w:val="single" w:sz="8" w:space="0" w:color="000000"/>
            </w:tcBorders>
            <w:tcMar>
              <w:bottom w:w="28"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/s/ Kevin McGurn</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Name:</w:t>
            </w:r>
          </w:p>
        </w:tc>
        <w:tc>
          <w:tcPr>
            <w:tcW w:w="4715" w:type="dxa"/>
            <w:tcBorders/>
            <w:vAlign w:val="center"/>
          </w:tcPr>
          <w:p>
            <w:pPr>
              <w:pStyle w:val="TableContents"/>
              <w:bidi w:val="0"/>
              <w:spacing w:before="0" w:after="283"/>
              <w:jc w:val="left"/>
              <w:rPr/>
            </w:pPr>
            <w:r>
              <w:rPr/>
              <w:t>Kevin McGurn</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Waldmeisterstraße 93</w:t>
            </w:r>
          </w:p>
        </w:tc>
      </w:tr>
      <w:tr>
        <w:trPr/>
        <w:tc>
          <w:tcPr>
            <w:tcW w:w="650" w:type="dxa"/>
            <w:tcBorders/>
            <w:vAlign w:val="center"/>
          </w:tcPr>
          <w:p>
            <w:pPr>
              <w:pStyle w:val="TableContents"/>
              <w:bidi w:val="0"/>
              <w:spacing w:before="0" w:after="283"/>
              <w:jc w:val="left"/>
              <w:rPr/>
            </w:pPr>
            <w:r>
              <w:rPr/>
              <w:t>Title:</w:t>
            </w:r>
          </w:p>
        </w:tc>
        <w:tc>
          <w:tcPr>
            <w:tcW w:w="4715" w:type="dxa"/>
            <w:tcBorders/>
            <w:vAlign w:val="center"/>
          </w:tcPr>
          <w:p>
            <w:pPr>
              <w:pStyle w:val="TableContents"/>
              <w:bidi w:val="0"/>
              <w:spacing w:before="0" w:after="283"/>
              <w:jc w:val="left"/>
              <w:rPr/>
            </w:pPr>
            <w:r>
              <w:rPr/>
              <w:t>Chief Executive Officer and Managing Director</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80935 Munich</w:t>
            </w:r>
          </w:p>
        </w:tc>
      </w:tr>
      <w:tr>
        <w:trPr/>
        <w:tc>
          <w:tcPr>
            <w:tcW w:w="65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Germany</w:t>
            </w:r>
          </w:p>
        </w:tc>
      </w:tr>
      <w:tr>
        <w:trPr/>
        <w:tc>
          <w:tcPr>
            <w:tcW w:w="65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283"/>
              <w:jc w:val="left"/>
              <w:rPr/>
            </w:pPr>
            <w:r>
              <w:rPr/>
              <w:t>With a copy to (which shall not constitute notice):</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Email: [***]</w:t>
            </w:r>
          </w:p>
        </w:tc>
      </w:tr>
      <w:tr>
        <w:trPr/>
        <w:tc>
          <w:tcPr>
            <w:tcW w:w="65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283"/>
              <w:jc w:val="left"/>
              <w:rPr/>
            </w:pPr>
            <w:r>
              <w:rPr/>
              <w:t>DLA Piper LLP (US)</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283"/>
              <w:jc w:val="left"/>
              <w:rPr/>
            </w:pPr>
            <w:r>
              <w:rPr/>
              <w:t>555 Mission Street, Unit 2400</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283"/>
              <w:jc w:val="left"/>
              <w:rPr/>
            </w:pPr>
            <w:r>
              <w:rPr/>
              <w:t>San Francisco, CA 94105</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sz w:val="20"/>
        </w:rPr>
      </w:pPr>
      <w:r>
        <w:rPr>
          <w:sz w:val="20"/>
        </w:rPr>
        <w:t>[REMAINDER OF PAGE INTENTIONALLY LEFT BLANK</w:t>
      </w:r>
    </w:p>
    <w:p>
      <w:pPr>
        <w:pStyle w:val="TextBody"/>
        <w:bidi w:val="0"/>
        <w:spacing w:before="0" w:after="0"/>
        <w:ind w:left="0" w:right="0" w:hanging="0"/>
        <w:jc w:val="center"/>
        <w:rPr>
          <w:sz w:val="20"/>
        </w:rPr>
      </w:pPr>
      <w:r>
        <w:rPr>
          <w:sz w:val="20"/>
        </w:rPr>
        <w:t>SIGNATURE PAGE FOR PURCHASER FOLLOWS]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sz w:val="20"/>
        </w:rPr>
      </w:pPr>
      <w:r>
        <w:rPr>
          <w:sz w:val="20"/>
        </w:rPr>
        <w:t>[PURCHASER SIGNATURE PAGES TO SECURITIES PURCHASE AGREEMENT]</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Name of Purchaser: YA II PN, Ltd.</w:t>
      </w:r>
    </w:p>
    <w:p>
      <w:pPr>
        <w:pStyle w:val="TextBody"/>
        <w:bidi w:val="0"/>
        <w:spacing w:before="0" w:after="0"/>
        <w:ind w:left="0" w:right="0" w:hanging="0"/>
        <w:jc w:val="both"/>
        <w:rPr/>
      </w:pPr>
      <w:r>
        <w:rPr/>
        <w:t> </w:t>
      </w:r>
    </w:p>
    <w:tbl>
      <w:tblPr>
        <w:tblW w:w="6550" w:type="dxa"/>
        <w:jc w:val="left"/>
        <w:tblInd w:w="0" w:type="dxa"/>
        <w:tblLayout w:type="fixed"/>
        <w:tblCellMar>
          <w:top w:w="0" w:type="dxa"/>
          <w:left w:w="0" w:type="dxa"/>
          <w:bottom w:w="0" w:type="dxa"/>
          <w:right w:w="0" w:type="dxa"/>
        </w:tblCellMar>
      </w:tblPr>
      <w:tblGrid>
        <w:gridCol w:w="4610"/>
        <w:gridCol w:w="60"/>
        <w:gridCol w:w="1880"/>
      </w:tblGrid>
      <w:tr>
        <w:trPr/>
        <w:tc>
          <w:tcPr>
            <w:tcW w:w="4610" w:type="dxa"/>
            <w:tcBorders/>
            <w:vAlign w:val="center"/>
          </w:tcPr>
          <w:p>
            <w:pPr>
              <w:pStyle w:val="TableContents"/>
              <w:bidi w:val="0"/>
              <w:spacing w:before="0" w:after="283"/>
              <w:jc w:val="left"/>
              <w:rPr/>
            </w:pPr>
            <w:r>
              <w:rPr>
                <w:i/>
              </w:rPr>
              <w:t>Signature of Authorized Signatory of Purchaser</w:t>
            </w:r>
            <w:r>
              <w:rPr/>
              <w:t>:</w:t>
            </w:r>
          </w:p>
        </w:tc>
        <w:tc>
          <w:tcPr>
            <w:tcW w:w="60" w:type="dxa"/>
            <w:tcBorders/>
            <w:vAlign w:val="center"/>
          </w:tcPr>
          <w:p>
            <w:pPr>
              <w:pStyle w:val="TableContents"/>
              <w:bidi w:val="0"/>
              <w:spacing w:before="0" w:after="283"/>
              <w:jc w:val="left"/>
              <w:rPr/>
            </w:pPr>
            <w:r>
              <w:rPr/>
              <w:t> </w:t>
            </w:r>
          </w:p>
        </w:tc>
        <w:tc>
          <w:tcPr>
            <w:tcW w:w="1880" w:type="dxa"/>
            <w:tcBorders>
              <w:bottom w:val="single" w:sz="8" w:space="0" w:color="000000"/>
            </w:tcBorders>
            <w:tcMar>
              <w:bottom w:w="28" w:type="dxa"/>
            </w:tcMar>
            <w:vAlign w:val="center"/>
          </w:tcPr>
          <w:p>
            <w:pPr>
              <w:pStyle w:val="TableContents"/>
              <w:bidi w:val="0"/>
              <w:spacing w:before="0" w:after="283"/>
              <w:jc w:val="left"/>
              <w:rPr/>
            </w:pPr>
            <w:r>
              <w:rPr/>
              <w:t>/s/ Michael Rosselli</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Name of Authorized Signatory: Michael Rosselli</w:t>
      </w:r>
    </w:p>
    <w:p>
      <w:pPr>
        <w:pStyle w:val="TextBody"/>
        <w:bidi w:val="0"/>
        <w:spacing w:before="0" w:after="0"/>
        <w:ind w:left="0" w:right="0" w:hanging="0"/>
        <w:jc w:val="left"/>
        <w:rPr/>
      </w:pPr>
      <w:r>
        <w:rPr/>
        <w:t> </w:t>
      </w:r>
    </w:p>
    <w:p>
      <w:pPr>
        <w:pStyle w:val="TextBody"/>
        <w:bidi w:val="0"/>
        <w:spacing w:before="0" w:after="0"/>
        <w:ind w:left="4050" w:right="0" w:hanging="4050"/>
        <w:jc w:val="left"/>
        <w:rPr>
          <w:sz w:val="20"/>
        </w:rPr>
      </w:pPr>
      <w:r>
        <w:rPr>
          <w:sz w:val="20"/>
        </w:rPr>
        <w:t>Email Address of Authorized Signatory: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Address for Notice to Purchaser: 1012 Springfield Ave., Mountainside, NJ 07092</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Address for Delivery of Securities to Purchaser (if not same as address for notice):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Subscription Amount: $2,000,004.29</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Pre-Funded Warrant Shares: 283,367</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EIN Number: 98-0615462</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sz w:val="20"/>
        </w:rPr>
      </w:pPr>
      <w:r>
        <w:rPr>
          <w:sz w:val="20"/>
        </w:rPr>
        <w:t>[SIGNATURE PAGES CONTINUE]</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EXHIBIT A</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Form of Registration Rights Agreement</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(attached hereto)</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EXHIBIT B</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Form of Pre-Funded Warrant</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(attached hereto)</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0"/>
        <w:ind w:left="0" w:right="0" w:hanging="0"/>
        <w:jc w:val="right"/>
        <w:rPr>
          <w:b/>
          <w:sz w:val="20"/>
        </w:rPr>
      </w:pPr>
      <w:bookmarkStart w:id="28" w:name="exh_102.htm"/>
      <w:bookmarkStart w:id="29" w:name="ksexh_102"/>
      <w:bookmarkEnd w:id="28"/>
      <w:bookmarkEnd w:id="29"/>
      <w:r>
        <w:rPr>
          <w:b/>
          <w:sz w:val="20"/>
        </w:rPr>
        <w:t>Exhibit 10.2</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REGISTRATION RIGHTS AGREEMENT</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This Registration Rights Agreement (this “</w:t>
      </w:r>
      <w:r>
        <w:rPr>
          <w:sz w:val="20"/>
          <w:u w:val="single"/>
        </w:rPr>
        <w:t>Agreement</w:t>
      </w:r>
      <w:r>
        <w:rPr>
          <w:sz w:val="20"/>
        </w:rPr>
        <w:t>”) is made and entered into as of March 10, 2026, between Sono Group N.V., a Dutch public limited liability company (the “</w:t>
      </w:r>
      <w:r>
        <w:rPr>
          <w:sz w:val="20"/>
          <w:u w:val="single"/>
        </w:rPr>
        <w:t>Company</w:t>
      </w:r>
      <w:r>
        <w:rPr>
          <w:sz w:val="20"/>
        </w:rPr>
        <w:t>”), and YA II PN, Ltd. (the “</w:t>
      </w:r>
      <w:r>
        <w:rPr>
          <w:sz w:val="20"/>
          <w:u w:val="single"/>
        </w:rPr>
        <w:t>Purchaser</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Agreement is made pursuant to the Pre-Funded Warrant Securities Purchase Agreement, dated as of the date hereof, between the Company and the Purchaser (the “</w:t>
      </w:r>
      <w:r>
        <w:rPr>
          <w:sz w:val="20"/>
          <w:u w:val="single"/>
        </w:rPr>
        <w:t>Purchase Agreement</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and the Purchaser hereby agree as follows: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1.             </w:t>
      </w:r>
      <w:r>
        <w:rPr>
          <w:sz w:val="20"/>
          <w:u w:val="single"/>
        </w:rPr>
        <w:t>Definitions</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b/>
          <w:sz w:val="20"/>
        </w:rPr>
        <w:t>Capitalized terms used and not otherwise defined herein that are defined in the Purchase Agreement shall have the meanings given such terms in the Purchase Agreement</w:t>
      </w:r>
      <w:r>
        <w:rPr>
          <w:sz w:val="20"/>
        </w:rPr>
        <w:t>. As used in this Agreement, the following terms shall have the following meanings: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t>“</w:t>
      </w:r>
      <w:r>
        <w:rPr>
          <w:sz w:val="20"/>
          <w:u w:val="single"/>
        </w:rPr>
        <w:t>Advice</w:t>
      </w:r>
      <w:r>
        <w:rPr>
          <w:sz w:val="20"/>
        </w:rPr>
        <w:t xml:space="preserve">” shall have the meaning set forth in </w:t>
      </w:r>
      <w:r>
        <w:rPr>
          <w:sz w:val="20"/>
          <w:u w:val="single"/>
        </w:rPr>
        <w:t>Section 6(b)</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Effectiveness Date</w:t>
      </w:r>
      <w:r>
        <w:rPr>
          <w:sz w:val="20"/>
        </w:rPr>
        <w:t xml:space="preserve">” means, with respect to the Initial Registration Statement required to be filed hereunder, the 90th calendar day following the date hereof (or, in the event of a “full review” by the Commission, the 120th calendar day following the date hereof) and with respect to any additional Registration Statements which may be required pursuant to </w:t>
      </w:r>
      <w:r>
        <w:rPr>
          <w:sz w:val="20"/>
          <w:u w:val="single"/>
        </w:rPr>
        <w:t>Section 2(c)</w:t>
      </w:r>
      <w:r>
        <w:rPr>
          <w:sz w:val="20"/>
        </w:rPr>
        <w:t xml:space="preserve"> or </w:t>
      </w:r>
      <w:r>
        <w:rPr>
          <w:sz w:val="20"/>
          <w:u w:val="single"/>
        </w:rPr>
        <w:t>Section 3(c)</w:t>
      </w:r>
      <w:r>
        <w:rPr>
          <w:sz w:val="20"/>
        </w:rPr>
        <w:t xml:space="preserve">, the 60th calendar day following the date on which an additional Registration Statement is required to be filed hereunder (or, in the event of a “full review” by the Commission, the 90th calendar day following the date such additional Registration Statement is required to be filed hereunder); </w:t>
      </w:r>
      <w:r>
        <w:rPr>
          <w:sz w:val="20"/>
          <w:u w:val="single"/>
        </w:rPr>
        <w:t>provided</w:t>
      </w:r>
      <w:r>
        <w:rPr>
          <w:sz w:val="20"/>
        </w:rPr>
        <w:t xml:space="preserve">, </w:t>
      </w:r>
      <w:r>
        <w:rPr>
          <w:sz w:val="20"/>
          <w:u w:val="single"/>
        </w:rPr>
        <w:t>however</w:t>
      </w:r>
      <w:r>
        <w:rPr>
          <w:sz w:val="20"/>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Effectiveness Period</w:t>
      </w:r>
      <w:r>
        <w:rPr>
          <w:sz w:val="20"/>
        </w:rPr>
        <w:t xml:space="preserve">” shall have the meaning set forth in </w:t>
      </w:r>
      <w:r>
        <w:rPr>
          <w:sz w:val="20"/>
          <w:u w:val="single"/>
        </w:rPr>
        <w:t>Section 2(a)</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Event</w:t>
      </w:r>
      <w:r>
        <w:rPr>
          <w:sz w:val="20"/>
        </w:rPr>
        <w:t xml:space="preserve">” shall have the meaning set forth in </w:t>
      </w:r>
      <w:r>
        <w:rPr>
          <w:sz w:val="20"/>
          <w:u w:val="single"/>
        </w:rPr>
        <w:t>Section 2(d)</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Event Date</w:t>
      </w:r>
      <w:r>
        <w:rPr>
          <w:sz w:val="20"/>
        </w:rPr>
        <w:t xml:space="preserve">” shall have the meaning set forth in </w:t>
      </w:r>
      <w:r>
        <w:rPr>
          <w:sz w:val="20"/>
          <w:u w:val="single"/>
        </w:rPr>
        <w:t>Section 2(d)</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Filing Date</w:t>
      </w:r>
      <w:r>
        <w:rPr>
          <w:sz w:val="20"/>
        </w:rPr>
        <w:t xml:space="preserve">” means, with respect to the Initial Registration Statement required hereunder, the 30th calendar day following the date hereof and, with respect to any additional Registration Statements which may be required pursuant to </w:t>
      </w:r>
      <w:r>
        <w:rPr>
          <w:sz w:val="20"/>
          <w:u w:val="single"/>
        </w:rPr>
        <w:t>Section 2(c)</w:t>
      </w:r>
      <w:r>
        <w:rPr>
          <w:sz w:val="20"/>
        </w:rPr>
        <w:t xml:space="preserve"> or </w:t>
      </w:r>
      <w:r>
        <w:rPr>
          <w:sz w:val="20"/>
          <w:u w:val="single"/>
        </w:rPr>
        <w:t>Section 3(c)</w:t>
      </w:r>
      <w:r>
        <w:rPr>
          <w:sz w:val="20"/>
        </w:rPr>
        <w:t>, the earliest reasonably practical date on which the Company is permitted by SEC Guidance to file such additional Registration Statement related to the Registrable Securities.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Holder</w:t>
      </w:r>
      <w:r>
        <w:rPr>
          <w:sz w:val="20"/>
        </w:rPr>
        <w:t>” or “</w:t>
      </w:r>
      <w:r>
        <w:rPr>
          <w:sz w:val="20"/>
          <w:u w:val="single"/>
        </w:rPr>
        <w:t>Holders</w:t>
      </w:r>
      <w:r>
        <w:rPr>
          <w:sz w:val="20"/>
        </w:rPr>
        <w:t>” means the holder or holders, as the case may be, from time to time of Registrable Securities.</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t>“</w:t>
      </w:r>
      <w:r>
        <w:rPr>
          <w:sz w:val="20"/>
          <w:u w:val="single"/>
        </w:rPr>
        <w:t>Indemnified Party</w:t>
      </w:r>
      <w:r>
        <w:rPr>
          <w:sz w:val="20"/>
        </w:rPr>
        <w:t xml:space="preserve">” shall have the meaning set forth in </w:t>
      </w:r>
      <w:r>
        <w:rPr>
          <w:sz w:val="20"/>
          <w:u w:val="single"/>
        </w:rPr>
        <w:t>Section 5(c)</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Indemnifying Party</w:t>
      </w:r>
      <w:r>
        <w:rPr>
          <w:sz w:val="20"/>
        </w:rPr>
        <w:t xml:space="preserve">” shall have the meaning set forth in </w:t>
      </w:r>
      <w:r>
        <w:rPr>
          <w:sz w:val="20"/>
          <w:u w:val="single"/>
        </w:rPr>
        <w:t>Section 5(c)</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Initial Registration Statement</w:t>
      </w:r>
      <w:r>
        <w:rPr>
          <w:sz w:val="20"/>
        </w:rPr>
        <w:t>” means the initial Registration Statement filed pursuant to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Losses</w:t>
      </w:r>
      <w:r>
        <w:rPr>
          <w:sz w:val="20"/>
        </w:rPr>
        <w:t xml:space="preserve">” shall have the meaning set forth in </w:t>
      </w:r>
      <w:r>
        <w:rPr>
          <w:sz w:val="20"/>
          <w:u w:val="single"/>
        </w:rPr>
        <w:t>Section 5(a)</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Plan of Distribution</w:t>
      </w:r>
      <w:r>
        <w:rPr>
          <w:sz w:val="20"/>
        </w:rPr>
        <w:t xml:space="preserve">” shall have the meaning set forth in </w:t>
      </w:r>
      <w:r>
        <w:rPr>
          <w:sz w:val="20"/>
          <w:u w:val="single"/>
        </w:rPr>
        <w:t>Section 2(a)</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Prospectus</w:t>
      </w:r>
      <w:r>
        <w:rPr>
          <w:sz w:val="20"/>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Registrable Securities</w:t>
      </w:r>
      <w:r>
        <w:rPr>
          <w:sz w:val="20"/>
        </w:rPr>
        <w:t xml:space="preserve">” means, as of any date of determination, (a) all Warrant Shares then issued and issuable upon exercise of the Pre-Funded Warrant (assuming on such date the Pre-Funded Warrant is exercised in full without regard to any exercise limitations therein), (b) any additional Ordinary Shares issued and issuable in connection with any anti-dilution provisions in the Pre-Funded Warrant (without giving effect to any limitations on exercise set forth in the Pre-Funded Warrant) and (c) any securities issued or then issuable upon any stock split, dividend or other distribution, recapitalization or similar event with respect to the foregoing; </w:t>
      </w:r>
      <w:r>
        <w:rPr>
          <w:sz w:val="20"/>
          <w:u w:val="single"/>
        </w:rPr>
        <w:t>provided</w:t>
      </w:r>
      <w:r>
        <w:rPr>
          <w:sz w:val="20"/>
        </w:rPr>
        <w:t xml:space="preserve">, </w:t>
      </w:r>
      <w:r>
        <w:rPr>
          <w:sz w:val="20"/>
          <w:u w:val="single"/>
        </w:rPr>
        <w:t>however</w:t>
      </w:r>
      <w:r>
        <w:rPr>
          <w:sz w:val="20"/>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and the Pre-Funded Warrant is exercised by “cashless exercise” as provided in Section 2(c) of the Pre-Funded Warrant), as reasonably determined by the Company.</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t>“</w:t>
      </w:r>
      <w:r>
        <w:rPr>
          <w:sz w:val="20"/>
          <w:u w:val="single"/>
        </w:rPr>
        <w:t>Registration Statement</w:t>
      </w:r>
      <w:r>
        <w:rPr>
          <w:sz w:val="20"/>
        </w:rPr>
        <w:t xml:space="preserve">” means any registration statement required to be filed hereunder pursuant to </w:t>
      </w:r>
      <w:r>
        <w:rPr>
          <w:sz w:val="20"/>
          <w:u w:val="single"/>
        </w:rPr>
        <w:t>Section 2(a)</w:t>
      </w:r>
      <w:r>
        <w:rPr>
          <w:sz w:val="20"/>
        </w:rPr>
        <w:t xml:space="preserve"> and any additional registration statements contemplated by </w:t>
      </w:r>
      <w:r>
        <w:rPr>
          <w:sz w:val="20"/>
          <w:u w:val="single"/>
        </w:rPr>
        <w:t>Section 2(c)</w:t>
      </w:r>
      <w:r>
        <w:rPr>
          <w:sz w:val="20"/>
        </w:rPr>
        <w:t xml:space="preserve"> or </w:t>
      </w:r>
      <w:r>
        <w:rPr>
          <w:sz w:val="20"/>
          <w:u w:val="single"/>
        </w:rPr>
        <w:t>Section 3(c)</w:t>
      </w:r>
      <w:r>
        <w:rPr>
          <w:sz w:val="20"/>
        </w:rPr>
        <w:t>,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Rule 415</w:t>
      </w:r>
      <w:r>
        <w:rPr>
          <w:sz w:val="20"/>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Rule 424</w:t>
      </w:r>
      <w:r>
        <w:rPr>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Selling Securitiesholder Questionnaire</w:t>
      </w:r>
      <w:r>
        <w:rPr>
          <w:sz w:val="20"/>
        </w:rPr>
        <w:t xml:space="preserve">” shall have the meaning set forth in </w:t>
      </w:r>
      <w:r>
        <w:rPr>
          <w:sz w:val="20"/>
          <w:u w:val="single"/>
        </w:rPr>
        <w:t>Section 3(a)</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sz w:val="20"/>
          <w:u w:val="single"/>
        </w:rPr>
        <w:t>SEC Guidance</w:t>
      </w:r>
      <w:r>
        <w:rPr>
          <w:sz w:val="20"/>
        </w:rPr>
        <w:t>” means (i) any publicly-available written or oral guidance of the Commission staff, or any comments, requirements or requests of the Commission staff and (ii) the Securities Act.</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 xml:space="preserve">2.             </w:t>
      </w:r>
      <w:r>
        <w:rPr>
          <w:sz w:val="20"/>
          <w:u w:val="single"/>
        </w:rPr>
        <w:t>Shelf Registration</w:t>
      </w:r>
      <w:r>
        <w:rPr>
          <w:sz w:val="20"/>
        </w:rPr>
        <w:t>.</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(a)               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S-1 (except if the Company is then eligible to register for resale the Registrable Securities on Form S-3, in which case such registration shall be on Form S-3) and shall contain (unless otherwise directed by at least 85% in interest of the Holders) substantially the “</w:t>
      </w:r>
      <w:r>
        <w:rPr>
          <w:sz w:val="20"/>
          <w:u w:val="single"/>
        </w:rPr>
        <w:t>Plan of Distribution</w:t>
      </w:r>
      <w:r>
        <w:rPr>
          <w:sz w:val="20"/>
        </w:rPr>
        <w:t xml:space="preserve">” attached hereto as </w:t>
      </w:r>
      <w:r>
        <w:rPr>
          <w:sz w:val="20"/>
          <w:u w:val="single"/>
        </w:rPr>
        <w:t>Annex A</w:t>
      </w:r>
      <w:r>
        <w:rPr>
          <w:sz w:val="20"/>
        </w:rPr>
        <w:t xml:space="preserve"> and substantially the “</w:t>
      </w:r>
      <w:r>
        <w:rPr>
          <w:sz w:val="20"/>
          <w:u w:val="single"/>
        </w:rPr>
        <w:t>Selling Securitiesholder</w:t>
      </w:r>
      <w:r>
        <w:rPr>
          <w:sz w:val="20"/>
        </w:rPr>
        <w:t xml:space="preserve">” section attached hereto as </w:t>
      </w:r>
      <w:r>
        <w:rPr>
          <w:sz w:val="20"/>
          <w:u w:val="single"/>
        </w:rPr>
        <w:t>Annex B</w:t>
      </w:r>
      <w:r>
        <w:rPr>
          <w:sz w:val="20"/>
        </w:rPr>
        <w:t xml:space="preserve">; </w:t>
      </w:r>
      <w:r>
        <w:rPr>
          <w:sz w:val="20"/>
          <w:u w:val="single"/>
        </w:rPr>
        <w:t>provided</w:t>
      </w:r>
      <w:r>
        <w:rPr>
          <w:sz w:val="20"/>
        </w:rPr>
        <w:t xml:space="preserve">, </w:t>
      </w:r>
      <w:r>
        <w:rPr>
          <w:sz w:val="20"/>
          <w:u w:val="single"/>
        </w:rPr>
        <w:t>however</w:t>
      </w:r>
      <w:r>
        <w:rPr>
          <w:sz w:val="20"/>
        </w:rPr>
        <w:t xml:space="preserve">, that no Holder shall be required to be named as an “underwriter” without such Holder’s express prior written consent. Subject to the terms of this Agreement, the Company shall use its reasonable best efforts to cause a Registration Statement to be filed under this Agreement (including, without limitation, under </w:t>
      </w:r>
      <w:r>
        <w:rPr>
          <w:sz w:val="20"/>
          <w:u w:val="single"/>
        </w:rPr>
        <w:t>Section 3(c)</w:t>
      </w:r>
      <w:r>
        <w:rPr>
          <w:sz w:val="20"/>
        </w:rPr>
        <w:t>) and to cause such Registration Statement to be declared effective under the Securities Act as promptly as practicable after the filing thereof, but in any event no later than the applicable Effectiveness Date, and shall use its reasonable best efforts to keep such Registration Statement continuously effective under the Securities Act until the date as of which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sz w:val="20"/>
          <w:u w:val="single"/>
        </w:rPr>
        <w:t>Effectiveness Period</w:t>
      </w:r>
      <w:r>
        <w:rPr>
          <w:sz w:val="20"/>
        </w:rPr>
        <w:t xml:space="preserve">”). The Company shall request effectiveness of a Registration Statement as of 5:00 p.m. (New York City time) on a Trading Day. The Company shall immediately notify the Holders via e-mail of the effectiveness of a Registration Statement on the same Trading Day on which such Registration Statement is declared effective. The Company shall, by 9:30 a.m. (New York City time) on the Trading Day after the effective date of such Registration Statement, file a final Prospectus with the Commission as required by Rule 424. Failure to so notify the Holder within two (2) Trading Days of such notification of effectiveness or failure to file a final Prospectus as foresaid shall be deemed an Event under </w:t>
      </w:r>
      <w:r>
        <w:rPr>
          <w:sz w:val="20"/>
          <w:u w:val="single"/>
        </w:rPr>
        <w:t>Section 2(d)</w:t>
      </w:r>
      <w:r>
        <w:rPr>
          <w:sz w:val="20"/>
        </w:rPr>
        <w:t>.</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 xml:space="preserve">(b)               Notwithstanding the registration obligations set forth in </w:t>
      </w:r>
      <w:r>
        <w:rPr>
          <w:sz w:val="20"/>
          <w:u w:val="single"/>
        </w:rPr>
        <w:t>Section 2(a)</w:t>
      </w:r>
      <w:r>
        <w:rPr>
          <w:sz w:val="20"/>
        </w:rPr>
        <w:t xml:space="preserve">,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reasonable best efforts to file amendments to the Initial Registration Statement as required by the Commission, covering the maximum number of Registrable Securities permitted to be registered by the Commission, on Form S-1 or Form S-3 or such other form available to register for resale the Registrable Securities as a secondary offering, subject to the provisions of </w:t>
      </w:r>
      <w:r>
        <w:rPr>
          <w:sz w:val="20"/>
          <w:u w:val="single"/>
        </w:rPr>
        <w:t>Section 2(d)</w:t>
      </w:r>
      <w:r>
        <w:rPr>
          <w:sz w:val="20"/>
        </w:rPr>
        <w:t xml:space="preserve"> with respect to the payment of liquidated damages; </w:t>
      </w:r>
      <w:r>
        <w:rPr>
          <w:sz w:val="20"/>
          <w:u w:val="single"/>
        </w:rPr>
        <w:t>provided</w:t>
      </w:r>
      <w:r>
        <w:rPr>
          <w:sz w:val="20"/>
        </w:rPr>
        <w:t xml:space="preserve">, </w:t>
      </w:r>
      <w:r>
        <w:rPr>
          <w:sz w:val="20"/>
          <w:u w:val="single"/>
        </w:rPr>
        <w:t>however</w:t>
      </w:r>
      <w:r>
        <w:rPr>
          <w:sz w:val="20"/>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(c)               Notwithstanding any other provision of this Agreement and subject to the payment of liquidated damages pursuant to </w:t>
      </w:r>
      <w:r>
        <w:rPr>
          <w:sz w:val="20"/>
          <w:u w:val="single"/>
        </w:rPr>
        <w:t>Section 2(d)</w:t>
      </w:r>
      <w:r>
        <w:rPr>
          <w:sz w:val="20"/>
        </w:rPr>
        <w:t>,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pStyle w:val="TextBody"/>
        <w:bidi w:val="0"/>
        <w:spacing w:before="0" w:after="0"/>
        <w:ind w:left="0" w:right="0" w:firstLine="720"/>
        <w:jc w:val="both"/>
        <w:rPr/>
      </w:pPr>
      <w:r>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First, the Company shall reduce or eliminate any securities to be included other than Registrable Securities;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Second, the Company shall reduce Registrable Securities represented by Warrant Shares (applied, in the case that some Warrant Shares may be registered, to the Holders on a pro rata basis based on the total number of unregistered Warrant Shares held by such Holders).</w:t>
            </w:r>
          </w:p>
        </w:tc>
      </w:tr>
    </w:tbl>
    <w:p>
      <w:pPr>
        <w:pStyle w:val="TextBody"/>
        <w:bidi w:val="0"/>
        <w:spacing w:before="0" w:after="0"/>
        <w:jc w:val="left"/>
        <w:rPr/>
      </w:pPr>
      <w:r>
        <w:rPr/>
        <w:t> </w:t>
      </w:r>
    </w:p>
    <w:p>
      <w:pPr>
        <w:pStyle w:val="TextBody"/>
        <w:bidi w:val="0"/>
        <w:spacing w:before="0" w:after="0"/>
        <w:ind w:left="0" w:right="0" w:hanging="0"/>
        <w:jc w:val="both"/>
        <w:rPr>
          <w:sz w:val="20"/>
        </w:rPr>
      </w:pPr>
      <w:r>
        <w:rPr>
          <w:sz w:val="20"/>
        </w:rPr>
        <w:t>In the event of a cutback hereunder, the Company shall give the Holder at least three (3) Trading Days prior written notice along with the calculations as to such Holder’s allotment. In the event the Company amends the Initial Registration Statement in accordance with the foregoing, the Company will use its commercially reasonable efforts to file with the Commission, as promptly as allowed by the Commission or SEC Guidance provided to the Company or to registrants of securities in general, one or more registration statements on Form S-1 or Form S-3 or such other form available to register for resale those Registrable Securities that were not registered for resale on the Initial Registration Statement, as amended.</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 xml:space="preserve">(d)               If: (i) the Initial Registration Statement is not filed on or prior to its Filing Date (if the Company files the Initial Registration Statement without affording the Holders the opportunity to review and comment on the same as required by </w:t>
      </w:r>
      <w:r>
        <w:rPr>
          <w:sz w:val="20"/>
          <w:u w:val="single"/>
        </w:rPr>
        <w:t>Section 3(a)</w:t>
      </w:r>
      <w:r>
        <w:rPr>
          <w:sz w:val="20"/>
        </w:rPr>
        <w:t xml:space="preserve"> herein, the Company shall be deemed to have not satisfied this clause as of the Filing Date (i)), or (ii) the Company fails to file with the Commission a request for acceleration of a Registration Statement in accordance with Rule 461 promulgated by the Commission pursuant to the Securities Act, within three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twenty (20)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Initial Registration Statement (provided if the Registration Statement does not allow for the resale of Registrable Securities at prevailing market prices (i.e., only allows for fixed price sales), the Company shall have been deemed to have not satisfied this clause)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ten (10) consecutive calendar days or more than an aggregate of twenty (20) calendar days (which need not be consecutive calendar days) during any 12-month period (any such failure or breach being referred to as an “</w:t>
      </w:r>
      <w:r>
        <w:rPr>
          <w:sz w:val="20"/>
          <w:u w:val="single"/>
        </w:rPr>
        <w:t>Event</w:t>
      </w:r>
      <w:r>
        <w:rPr>
          <w:sz w:val="20"/>
        </w:rPr>
        <w:t>”, and for purposes of clauses (i) and (iv), the date on which such Event occurs, and for purpose of clause (ii) the date on which such five (5) Trading Day period is exceeded, and for purpose of clause (iii) the date which such twenty (20) calendar day period is exceeded, and for purpose of clause (v) the date on which such ten (10) or twenty (20) calendar day period, as applicable, is exceeded being referred to as “</w:t>
      </w:r>
      <w:r>
        <w:rPr>
          <w:sz w:val="20"/>
          <w:u w:val="single"/>
        </w:rPr>
        <w:t>Event Date</w:t>
      </w:r>
      <w:r>
        <w:rPr>
          <w:sz w:val="20"/>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1% multiplied by the aggregate Subscription Amount paid by such Holder pursuant to the Purchase Agreement. If the Company fails to pay any partial liquidated damages pursuant to this Section in full within seven days after the date payable, the Company will pay interest thereon at a rate of 8.0%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(e)               Notwithstanding anything to the contrary contained herein, in no event shall the Company be permitted to name any Holder or affiliate of a Holder as any “underwriter” without the prior written consent of such Holder.</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 xml:space="preserve">3.             </w:t>
      </w:r>
      <w:r>
        <w:rPr>
          <w:sz w:val="20"/>
          <w:u w:val="single"/>
        </w:rPr>
        <w:t>Registration Procedures</w:t>
      </w:r>
      <w:r>
        <w:rPr>
          <w:sz w:val="20"/>
        </w:rPr>
        <w:t>. In connection with the Company’s registration obligations hereunder:</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 xml:space="preserve">(a)               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three (3)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sz w:val="20"/>
          <w:u w:val="single"/>
        </w:rPr>
        <w:t>Annex C</w:t>
      </w:r>
      <w:r>
        <w:rPr>
          <w:sz w:val="20"/>
        </w:rPr>
        <w:t xml:space="preserve"> (a “</w:t>
      </w:r>
      <w:r>
        <w:rPr>
          <w:sz w:val="20"/>
          <w:u w:val="single"/>
        </w:rPr>
        <w:t>Selling Securitiesholder Questionnaire</w:t>
      </w:r>
      <w:r>
        <w:rPr>
          <w:sz w:val="20"/>
        </w:rPr>
        <w:t>”) on a date that is not less than two (2) Trading Days prior to the Filing Date or by the end of the third (3rd) Trading Day following the date on which such Holder receives draft materials in accordance with this Section.</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(b)               The Company shall (i)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practicable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(c)               If during the Effectiveness Period, the number of Registrable Securities at any time exceeds 100% of the number of Ordinary Shares then registered in a Registration Statement, then the Company shall file as soon as reasonably possible, but in any case prior to the applicable Filing Date, an additional Registration Statement covering the resale by the Holders of not less than the number of such excess Registrable Securities.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(d)               The Company shall 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for amendments or supplements to a Registration Statement or Prospectus, (iii) of the issuance by the Commission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sz w:val="20"/>
          <w:u w:val="single"/>
        </w:rPr>
        <w:t>provided</w:t>
      </w:r>
      <w:r>
        <w:rPr>
          <w:sz w:val="20"/>
        </w:rPr>
        <w:t xml:space="preserve">, </w:t>
      </w:r>
      <w:r>
        <w:rPr>
          <w:sz w:val="20"/>
          <w:u w:val="single"/>
        </w:rPr>
        <w:t>however</w:t>
      </w:r>
      <w:r>
        <w:rPr>
          <w:sz w:val="20"/>
        </w:rPr>
        <w:t>, that in no event shall any such notice contain any information which would constitute material, non-public information regarding the Company or any of its Subsidiaries, and the Company agrees that the Holders shall not have any duty of confidentiality to the Company or any of its Subsidiaries and shall not have any duty to the Company or any of its Subsidiaries not to trade on the basis of such information.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(e)               Use its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(f)                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(g)               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w:t>
      </w:r>
      <w:r>
        <w:rPr>
          <w:sz w:val="20"/>
          <w:u w:val="single"/>
        </w:rPr>
        <w:t>Section 3(d)</w:t>
      </w:r>
      <w:r>
        <w:rPr>
          <w:sz w:val="20"/>
        </w:rPr>
        <w:t>.</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(h)               Prior to any resale of Registrable Securities by a Holder, use its reasonable best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(i)                 If requested by a Holder, cooperate with such Holder to facilitate the timely preparation and delivery of certificates (or arrange for book entry transfer of securities in the case of uncertificated securities)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(j)                 Upon the occurrence of any event contemplated by </w:t>
      </w:r>
      <w:r>
        <w:rPr>
          <w:sz w:val="20"/>
          <w:u w:val="single"/>
        </w:rPr>
        <w:t>Section 3(d)</w:t>
      </w:r>
      <w:r>
        <w:rPr>
          <w:sz w:val="20"/>
        </w:rPr>
        <w:t xml:space="preserve">, if required to do so, as promptly as reasonably possible under the circumstances taking into account the Company’s good faith assessment of any adverse consequences to the Company and its shareholders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w:t>
      </w:r>
      <w:r>
        <w:rPr>
          <w:sz w:val="20"/>
          <w:u w:val="single"/>
        </w:rPr>
        <w:t>Section 3(d)</w:t>
      </w:r>
      <w:r>
        <w:rPr>
          <w:sz w:val="20"/>
        </w:rPr>
        <w:t xml:space="preserve"> above to suspend the use of any Prospectus until the requisite changes to such Prospectus have been made, then the Holders shall suspend use of such Prospectus. The Company will use its reasonable best efforts to ensure that the use of the Prospectus may be resumed as promptly as is practicable. The Company shall be entitled to exercise its right under this </w:t>
      </w:r>
      <w:r>
        <w:rPr>
          <w:sz w:val="20"/>
          <w:u w:val="single"/>
        </w:rPr>
        <w:t>Section 3(j)</w:t>
      </w:r>
      <w:r>
        <w:rPr>
          <w:sz w:val="20"/>
        </w:rPr>
        <w:t xml:space="preserve"> to suspend the availability of a Registration Statement and Prospectus, subject to the payment of partial liquidated damages otherwise required pursuant to </w:t>
      </w:r>
      <w:r>
        <w:rPr>
          <w:sz w:val="20"/>
          <w:u w:val="single"/>
        </w:rPr>
        <w:t>Section 2(d)</w:t>
      </w:r>
      <w:r>
        <w:rPr>
          <w:sz w:val="20"/>
        </w:rPr>
        <w:t>, for a period not to exceed 60 calendar days (which need not be consecutive days) in any 12-month period.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(k)               Otherwise use reasonable best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(l)                 The Company shall use its reasonable best efforts to obtain and/or maintain eligibility for use of Form S-3 (or any successor form thereto) for the registration of the resale of Registrable Securities.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(m)             The Company may require each selling Holder to furnish to the Company a certified statement as to the number of Ordinary Shares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4.             </w:t>
      </w:r>
      <w:r>
        <w:rPr>
          <w:sz w:val="20"/>
          <w:u w:val="single"/>
        </w:rPr>
        <w:t>Registration Expenses</w:t>
      </w:r>
      <w:r>
        <w:rPr>
          <w:sz w:val="20"/>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Ordinary Shares are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any legal fees or other costs of the Holders.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5.             </w:t>
      </w:r>
      <w:r>
        <w:rPr>
          <w:sz w:val="20"/>
          <w:u w:val="single"/>
        </w:rPr>
        <w:t>Indemnification</w:t>
      </w:r>
      <w:r>
        <w:rPr>
          <w:sz w:val="20"/>
        </w:rPr>
        <w:t>.</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 xml:space="preserve">(a)               </w:t>
      </w:r>
      <w:r>
        <w:rPr>
          <w:sz w:val="20"/>
          <w:u w:val="single"/>
        </w:rPr>
        <w:t>Indemnification by the Company</w:t>
      </w:r>
      <w:r>
        <w:rPr>
          <w:sz w:val="20"/>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Ordinary Shares),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shareholders, partners,</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sz w:val="20"/>
          <w:u w:val="single"/>
        </w:rPr>
        <w:t>Losses</w:t>
      </w:r>
      <w:r>
        <w:rPr>
          <w:sz w:val="20"/>
        </w:rPr>
        <w:t xml:space="preserve">”),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w:t>
      </w:r>
      <w:r>
        <w:rPr>
          <w:sz w:val="20"/>
          <w:u w:val="single"/>
        </w:rPr>
        <w:t>Annex A</w:t>
      </w:r>
      <w:r>
        <w:rPr>
          <w:sz w:val="20"/>
        </w:rPr>
        <w:t xml:space="preserve"> hereto for this purpose) or (ii) in the case of an occurrence of an event of the type specified in </w:t>
      </w:r>
      <w:r>
        <w:rPr>
          <w:sz w:val="20"/>
          <w:u w:val="single"/>
        </w:rPr>
        <w:t>Section 3(d)(iii)-(vi)</w:t>
      </w:r>
      <w:r>
        <w:rPr>
          <w:sz w:val="20"/>
        </w:rPr>
        <w:t xml:space="preserve">,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w:t>
      </w:r>
      <w:r>
        <w:rPr>
          <w:sz w:val="20"/>
          <w:u w:val="single"/>
        </w:rPr>
        <w:t>Section 6(b)</w:t>
      </w:r>
      <w:r>
        <w:rPr>
          <w:sz w:val="20"/>
        </w:rPr>
        <w:t xml:space="preserve">.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w:t>
      </w:r>
      <w:r>
        <w:rPr>
          <w:sz w:val="20"/>
          <w:u w:val="single"/>
        </w:rPr>
        <w:t>Section 6(e)</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(b)               </w:t>
      </w:r>
      <w:r>
        <w:rPr>
          <w:sz w:val="20"/>
          <w:u w:val="single"/>
        </w:rPr>
        <w:t>Indemnification by Holders</w:t>
      </w:r>
      <w:r>
        <w:rPr>
          <w:sz w:val="20"/>
        </w:rPr>
        <w:t xml:space="preserve">.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(and any other Persons with a functionally equivalent role of a Person holding such titles, notwithstanding a lack of such title or any other title),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Securitiesholder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w:t>
      </w:r>
      <w:r>
        <w:rPr>
          <w:sz w:val="20"/>
          <w:u w:val="single"/>
        </w:rPr>
        <w:t>Section 5</w:t>
      </w:r>
      <w:r>
        <w:rPr>
          <w:sz w:val="20"/>
        </w:rPr>
        <w:t xml:space="preserve">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 xml:space="preserve">(c)               </w:t>
      </w:r>
      <w:r>
        <w:rPr>
          <w:sz w:val="20"/>
          <w:u w:val="single"/>
        </w:rPr>
        <w:t>Conduct of Indemnification Proceedings</w:t>
      </w:r>
      <w:r>
        <w:rPr>
          <w:sz w:val="20"/>
        </w:rPr>
        <w:t>. If any Proceeding shall be brought or asserted against any Person entitled to indemnity hereunder (an “</w:t>
      </w:r>
      <w:r>
        <w:rPr>
          <w:sz w:val="20"/>
          <w:u w:val="single"/>
        </w:rPr>
        <w:t>Indemnified Party</w:t>
      </w:r>
      <w:r>
        <w:rPr>
          <w:sz w:val="20"/>
        </w:rPr>
        <w:t>”), such Indemnified Party shall promptly notify the Person from whom indemnity is sought (the “</w:t>
      </w:r>
      <w:r>
        <w:rPr>
          <w:sz w:val="20"/>
          <w:u w:val="single"/>
        </w:rPr>
        <w:t>Indemnifying Party</w:t>
      </w:r>
      <w:r>
        <w:rPr>
          <w:sz w:val="20"/>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 xml:space="preserve">(d)               </w:t>
      </w:r>
      <w:r>
        <w:rPr>
          <w:sz w:val="20"/>
          <w:u w:val="single"/>
        </w:rPr>
        <w:t>Contribution</w:t>
      </w:r>
      <w:r>
        <w:rPr>
          <w:sz w:val="20"/>
        </w:rPr>
        <w:t xml:space="preserve">. If the indemnification under </w:t>
      </w:r>
      <w:r>
        <w:rPr>
          <w:sz w:val="20"/>
          <w:u w:val="single"/>
        </w:rPr>
        <w:t>Section 5(a)</w:t>
      </w:r>
      <w:r>
        <w:rPr>
          <w:sz w:val="20"/>
        </w:rPr>
        <w:t xml:space="preserve"> or </w:t>
      </w:r>
      <w:r>
        <w:rPr>
          <w:sz w:val="20"/>
          <w:u w:val="single"/>
        </w:rPr>
        <w:t>5(b)</w:t>
      </w:r>
      <w:r>
        <w:rPr>
          <w:sz w:val="20"/>
        </w:rPr>
        <w:t xml:space="preserve">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 xml:space="preserve">The parties hereto agree that it would not be just and equitable if contribution pursuant to this </w:t>
      </w:r>
      <w:r>
        <w:rPr>
          <w:sz w:val="20"/>
          <w:u w:val="single"/>
        </w:rPr>
        <w:t>Section 5(d)</w:t>
      </w:r>
      <w:r>
        <w:rPr>
          <w:sz w:val="20"/>
        </w:rPr>
        <w:t xml:space="preserve">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w:t>
      </w:r>
      <w:r>
        <w:rPr>
          <w:sz w:val="20"/>
          <w:u w:val="single"/>
        </w:rPr>
        <w:t>Section 5</w:t>
      </w:r>
      <w:r>
        <w:rPr>
          <w:sz w:val="20"/>
        </w:rPr>
        <w:t xml:space="preserve">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indemnity and contribution agreements contained in this Section are in addition to any liability that the Indemnifying Parties may have to the Indemnified Parties.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6.             </w:t>
      </w:r>
      <w:r>
        <w:rPr>
          <w:sz w:val="20"/>
          <w:u w:val="single"/>
        </w:rPr>
        <w:t>Miscellaneous</w:t>
      </w:r>
      <w:r>
        <w:rPr>
          <w:sz w:val="20"/>
        </w:rPr>
        <w:t>.</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 xml:space="preserve">(a)               </w:t>
      </w:r>
      <w:r>
        <w:rPr>
          <w:sz w:val="20"/>
          <w:u w:val="single"/>
        </w:rPr>
        <w:t>Remedies</w:t>
      </w:r>
      <w:r>
        <w:rPr>
          <w:sz w:val="20"/>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 xml:space="preserve">(b)               </w:t>
      </w:r>
      <w:r>
        <w:rPr>
          <w:sz w:val="20"/>
          <w:u w:val="single"/>
        </w:rPr>
        <w:t>Discontinued Disposition</w:t>
      </w:r>
      <w:r>
        <w:rPr>
          <w:sz w:val="20"/>
        </w:rPr>
        <w:t xml:space="preserve">. By its acquisition of Registrable Securities, each Holder agrees that, upon receipt of a notice from the Company of the occurrence of any event of the kind described in </w:t>
      </w:r>
      <w:r>
        <w:rPr>
          <w:sz w:val="20"/>
          <w:u w:val="single"/>
        </w:rPr>
        <w:t>Section 3(d)(iii)</w:t>
      </w:r>
      <w:r>
        <w:rPr>
          <w:sz w:val="20"/>
        </w:rPr>
        <w:t xml:space="preserve"> through </w:t>
      </w:r>
      <w:r>
        <w:rPr>
          <w:sz w:val="20"/>
          <w:u w:val="single"/>
        </w:rPr>
        <w:t>(vi)</w:t>
      </w:r>
      <w:r>
        <w:rPr>
          <w:sz w:val="20"/>
        </w:rPr>
        <w:t>, such Holder will forthwith discontinue disposition of such Registrable Securities under a Registration Statement until it is advised in writing (the “</w:t>
      </w:r>
      <w:r>
        <w:rPr>
          <w:sz w:val="20"/>
          <w:u w:val="single"/>
        </w:rPr>
        <w:t>Advice</w:t>
      </w:r>
      <w:r>
        <w:rPr>
          <w:sz w:val="20"/>
        </w:rPr>
        <w:t xml:space="preserve">”) by the Company that the use of the applicable Prospectus (as it may have been supplemented or amended) may be resumed. The Company will use its reasonable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w:t>
      </w:r>
      <w:r>
        <w:rPr>
          <w:sz w:val="20"/>
          <w:u w:val="single"/>
        </w:rPr>
        <w:t>Section 2(d)</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(c)               </w:t>
      </w:r>
      <w:r>
        <w:rPr>
          <w:sz w:val="20"/>
          <w:u w:val="single"/>
        </w:rPr>
        <w:t>Piggy-Back Registrations</w:t>
      </w:r>
      <w:r>
        <w:rPr>
          <w:sz w:val="20"/>
        </w:rPr>
        <w:t>. If, at any time during the Effectiveness Period, there is not an effective Registration Statement covering all of the Registrable Securities and the Company shall determine to prepare and file with the Commission a registration statement relating to an offering for its own account or the account of others under the Securities Act of any of its equity securities, other than on Form S-4 or Form S-8 (each as promulgated under the Securities Act) or their then equivalents relating to equity securities to be issued solely in connection with any acquisition of any entity or business or equity securities issuable in connection with the Company’s stock option or other employee benefit plans, then the Company shall deliver to each Holder a written notice of such determination and, if within fifteen days after the date of the delivery of such notice, any such Holder shall so request in writing, the Company shall include in such registration statement all or any part of such Registrable Securities such Holder requests to be registered; provided, however, that the Company shall not be required to register any Registrable Securities pursuant to this Section 6(c) that are eligible for resale pursuant to Rule 144 (without volume restrictions or current public information requirements) promulgated by the Commission pursuant to the Securities Act or that are the subject of a then effective Registration Statement that is available for resales or other dispositions by such Holder.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(d)               </w:t>
      </w:r>
      <w:r>
        <w:rPr>
          <w:sz w:val="20"/>
          <w:u w:val="single"/>
        </w:rPr>
        <w:t>Amendments and Waivers</w:t>
      </w:r>
      <w:r>
        <w:rPr>
          <w:sz w:val="20"/>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sz w:val="20"/>
          <w:u w:val="single"/>
        </w:rPr>
        <w:t>provided</w:t>
      </w:r>
      <w:r>
        <w:rPr>
          <w:sz w:val="20"/>
        </w:rPr>
        <w:t xml:space="preserve">, </w:t>
      </w:r>
      <w:r>
        <w:rPr>
          <w:sz w:val="20"/>
          <w:u w:val="single"/>
        </w:rPr>
        <w:t>however</w:t>
      </w:r>
      <w:r>
        <w:rPr>
          <w:sz w:val="20"/>
        </w:rPr>
        <w:t xml:space="preserve">, that the provisions of this sentence may not be amended, modified, or supplemented except in accordance with the provisions of the first sentence of this </w:t>
      </w:r>
      <w:r>
        <w:rPr>
          <w:sz w:val="20"/>
          <w:u w:val="single"/>
        </w:rPr>
        <w:t>Section 6(d)</w:t>
      </w:r>
      <w:r>
        <w:rPr>
          <w:sz w:val="20"/>
        </w:rPr>
        <w:t>. No consideration shall be offered or paid to any Person to amend or consent to a waiver or modification of any provision of this Agreement unless the same consideration also is offered to all of the parties to this Agreement.</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 xml:space="preserve">(e)               </w:t>
      </w:r>
      <w:r>
        <w:rPr>
          <w:sz w:val="20"/>
          <w:u w:val="single"/>
        </w:rPr>
        <w:t>Notices</w:t>
      </w:r>
      <w:r>
        <w:rPr>
          <w:sz w:val="20"/>
        </w:rPr>
        <w:t>. Any and all notices or other communications or deliveries required or permitted to be provided hereunder shall be delivered as set forth in the Purchase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(f)                </w:t>
      </w:r>
      <w:r>
        <w:rPr>
          <w:sz w:val="20"/>
          <w:u w:val="single"/>
        </w:rPr>
        <w:t>Successors and Assigns</w:t>
      </w:r>
      <w:r>
        <w:rPr>
          <w:sz w:val="20"/>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(g)               </w:t>
      </w:r>
      <w:r>
        <w:rPr>
          <w:sz w:val="20"/>
          <w:u w:val="single"/>
        </w:rPr>
        <w:t>No Inconsistent Agreements</w:t>
      </w:r>
      <w:r>
        <w:rPr>
          <w:sz w:val="20"/>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Except as disclosed in the SEC Reports, neither the Company nor any of its Subsidiaries has previously entered into any agreement granting any registration rights with respect to any of its securities to any Person that have not been satisfied in full.</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(h)               </w:t>
      </w:r>
      <w:r>
        <w:rPr>
          <w:sz w:val="20"/>
          <w:u w:val="single"/>
        </w:rPr>
        <w:t>Execution and Counterparts</w:t>
      </w:r>
      <w:r>
        <w:rPr>
          <w:sz w:val="20"/>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(i)                 </w:t>
      </w:r>
      <w:r>
        <w:rPr>
          <w:sz w:val="20"/>
          <w:u w:val="single"/>
        </w:rPr>
        <w:t>Governing Law</w:t>
      </w:r>
      <w:r>
        <w:rPr>
          <w:sz w:val="20"/>
        </w:rPr>
        <w:t>. All questions concerning the construction, validity, enforcement and interpretation of this Agreement shall be determined in accordance with the provisions of the Purchase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(j)                 </w:t>
      </w:r>
      <w:r>
        <w:rPr>
          <w:sz w:val="20"/>
          <w:u w:val="single"/>
        </w:rPr>
        <w:t>Cumulative Remedies</w:t>
      </w:r>
      <w:r>
        <w:rPr>
          <w:sz w:val="20"/>
        </w:rPr>
        <w:t>. The remedies provided herein are cumulative and not exclusive of any other remedies provided by law.</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(k)               </w:t>
      </w:r>
      <w:r>
        <w:rPr>
          <w:sz w:val="20"/>
          <w:u w:val="single"/>
        </w:rPr>
        <w:t>Severability</w:t>
      </w:r>
      <w:r>
        <w:rPr>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reasonable best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 xml:space="preserve">(l)                 </w:t>
      </w:r>
      <w:r>
        <w:rPr>
          <w:sz w:val="20"/>
          <w:u w:val="single"/>
        </w:rPr>
        <w:t>Headings</w:t>
      </w:r>
      <w:r>
        <w:rPr>
          <w:sz w:val="20"/>
        </w:rPr>
        <w:t>. The headings in this Agreement are for convenience only, do not constitute a part of the Agreement and shall not be deemed to limit or affect any of the provisions hereof.</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(m)             </w:t>
      </w:r>
      <w:r>
        <w:rPr>
          <w:sz w:val="20"/>
          <w:u w:val="single"/>
        </w:rPr>
        <w:t>Independent Nature of Holders’ Obligations and Rights</w:t>
      </w:r>
      <w:r>
        <w:rPr>
          <w:sz w:val="20"/>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herein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w:t>
      </w:r>
    </w:p>
    <w:p>
      <w:pPr>
        <w:pStyle w:val="TextBody"/>
        <w:bidi w:val="0"/>
        <w:spacing w:before="0" w:after="0"/>
        <w:ind w:left="0" w:right="0" w:hanging="0"/>
        <w:jc w:val="center"/>
        <w:rPr/>
      </w:pPr>
      <w:r>
        <w:rPr/>
        <w:t> </w:t>
      </w:r>
    </w:p>
    <w:p>
      <w:pPr>
        <w:pStyle w:val="TextBody"/>
        <w:bidi w:val="0"/>
        <w:spacing w:before="0" w:after="0"/>
        <w:ind w:left="0" w:right="0" w:hanging="0"/>
        <w:jc w:val="center"/>
        <w:rPr>
          <w:i/>
          <w:sz w:val="20"/>
        </w:rPr>
      </w:pPr>
      <w:r>
        <w:rPr>
          <w:i/>
          <w:sz w:val="20"/>
        </w:rPr>
        <w:t>(Signature Pages Follow)</w:t>
      </w:r>
    </w:p>
    <w:p>
      <w:pPr>
        <w:pStyle w:val="TextBody"/>
        <w:bidi w:val="0"/>
        <w:spacing w:before="0" w:after="0"/>
        <w:ind w:left="0" w:right="0" w:hanging="0"/>
        <w:jc w:val="center"/>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WITNESS WHEREOF, the parties have executed this Registration Rights Agreement as of the date first written above.</w:t>
      </w:r>
    </w:p>
    <w:p>
      <w:pPr>
        <w:pStyle w:val="TextBody"/>
        <w:bidi w:val="0"/>
        <w:spacing w:before="0" w:after="0"/>
        <w:ind w:left="0" w:right="0" w:hanging="0"/>
        <w:jc w:val="both"/>
        <w:rPr/>
      </w:pPr>
      <w:r>
        <w:rPr/>
        <w:t> </w:t>
      </w:r>
    </w:p>
    <w:tbl>
      <w:tblPr>
        <w:tblW w:w="4505" w:type="dxa"/>
        <w:jc w:val="left"/>
        <w:tblInd w:w="0" w:type="dxa"/>
        <w:tblLayout w:type="fixed"/>
        <w:tblCellMar>
          <w:top w:w="0" w:type="dxa"/>
          <w:left w:w="0" w:type="dxa"/>
          <w:bottom w:w="0" w:type="dxa"/>
          <w:right w:w="0" w:type="dxa"/>
        </w:tblCellMar>
      </w:tblPr>
      <w:tblGrid>
        <w:gridCol w:w="75"/>
        <w:gridCol w:w="4430"/>
      </w:tblGrid>
      <w:tr>
        <w:trPr/>
        <w:tc>
          <w:tcPr>
            <w:tcW w:w="75"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both"/>
              <w:rPr>
                <w:sz w:val="20"/>
              </w:rPr>
            </w:pPr>
            <w:r>
              <w:rPr>
                <w:sz w:val="20"/>
              </w:rPr>
              <w:t>SONO GROUP N.V.</w:t>
            </w:r>
          </w:p>
        </w:tc>
      </w:tr>
      <w:tr>
        <w:trPr/>
        <w:tc>
          <w:tcPr>
            <w:tcW w:w="75"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 xml:space="preserve">By: </w:t>
            </w:r>
            <w:r>
              <w:rPr>
                <w:sz w:val="20"/>
                <w:u w:val="single"/>
              </w:rPr>
              <w:t>/s/ Kevin McGurn                                   </w:t>
            </w:r>
          </w:p>
        </w:tc>
      </w:tr>
      <w:tr>
        <w:trPr/>
        <w:tc>
          <w:tcPr>
            <w:tcW w:w="75"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both"/>
              <w:rPr>
                <w:sz w:val="20"/>
              </w:rPr>
            </w:pPr>
            <w:r>
              <w:rPr>
                <w:sz w:val="20"/>
              </w:rPr>
              <w:t>Name:  Kevin McGurn</w:t>
            </w:r>
          </w:p>
        </w:tc>
      </w:tr>
      <w:tr>
        <w:trPr/>
        <w:tc>
          <w:tcPr>
            <w:tcW w:w="75"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both"/>
              <w:rPr>
                <w:sz w:val="20"/>
              </w:rPr>
            </w:pPr>
            <w:r>
              <w:rPr>
                <w:sz w:val="20"/>
              </w:rPr>
              <w:t>Title:  Chief Executive Officer and Managing Director</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i w:val="false"/>
          <w:caps w:val="false"/>
          <w:smallCaps w:val="false"/>
          <w:sz w:val="20"/>
        </w:rPr>
      </w:pPr>
      <w:r>
        <w:rPr>
          <w:i w:val="false"/>
          <w:caps w:val="false"/>
          <w:smallCaps w:val="false"/>
          <w:sz w:val="20"/>
        </w:rPr>
        <w:t>[SIGNATURE PAGE OF HOLDERS FOLLOWS]</w:t>
      </w:r>
    </w:p>
    <w:p>
      <w:pPr>
        <w:pStyle w:val="TextBody"/>
        <w:bidi w:val="0"/>
        <w:spacing w:before="0" w:after="0"/>
        <w:ind w:left="0" w:right="0" w:hanging="0"/>
        <w:jc w:val="center"/>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WITNESS WHEREOF, the parties have executed this Registration Rights Agreement as of the date first written above.</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Name of Holder: YA II PN, LTD.</w:t>
      </w:r>
    </w:p>
    <w:p>
      <w:pPr>
        <w:pStyle w:val="TextBody"/>
        <w:bidi w:val="0"/>
        <w:spacing w:before="0" w:after="0"/>
        <w:ind w:left="0" w:right="0" w:hanging="0"/>
        <w:jc w:val="both"/>
        <w:rPr/>
      </w:pPr>
      <w:r>
        <w:rPr/>
        <w:t> </w:t>
      </w:r>
    </w:p>
    <w:p>
      <w:pPr>
        <w:pStyle w:val="TextBody"/>
        <w:bidi w:val="0"/>
        <w:spacing w:before="0" w:after="0"/>
        <w:ind w:left="360" w:right="3240" w:hanging="360"/>
        <w:jc w:val="both"/>
        <w:rPr>
          <w:i/>
          <w:sz w:val="20"/>
        </w:rPr>
      </w:pPr>
      <w:r>
        <w:rPr>
          <w:i/>
          <w:sz w:val="20"/>
        </w:rPr>
        <w:t>Signature of Holder, or if Holder is an entity,</w:t>
      </w:r>
    </w:p>
    <w:p>
      <w:pPr>
        <w:pStyle w:val="TextBody"/>
        <w:bidi w:val="0"/>
        <w:spacing w:before="0" w:after="0"/>
        <w:ind w:left="1440" w:right="720" w:hanging="0"/>
        <w:jc w:val="both"/>
        <w:rPr>
          <w:sz w:val="20"/>
        </w:rPr>
      </w:pPr>
      <w:r>
        <w:rPr>
          <w:i/>
          <w:sz w:val="20"/>
        </w:rPr>
        <w:t>Authorized Signatory of Holder</w:t>
      </w:r>
      <w:r>
        <w:rPr>
          <w:sz w:val="20"/>
        </w:rPr>
        <w:t xml:space="preserve">: </w:t>
      </w:r>
      <w:r>
        <w:rPr>
          <w:sz w:val="20"/>
          <w:u w:val="single"/>
        </w:rPr>
        <w:t>/s/ Michael Rosselli                                   </w:t>
      </w:r>
    </w:p>
    <w:p>
      <w:pPr>
        <w:pStyle w:val="TextBody"/>
        <w:bidi w:val="0"/>
        <w:spacing w:before="0" w:after="0"/>
        <w:ind w:left="1440" w:right="720" w:hanging="0"/>
        <w:jc w:val="both"/>
        <w:rPr/>
      </w:pPr>
      <w:r>
        <w:rPr/>
        <w:t> </w:t>
      </w:r>
    </w:p>
    <w:p>
      <w:pPr>
        <w:pStyle w:val="TextBody"/>
        <w:bidi w:val="0"/>
        <w:spacing w:before="0" w:after="0"/>
        <w:ind w:left="0" w:right="0" w:hanging="0"/>
        <w:jc w:val="both"/>
        <w:rPr>
          <w:sz w:val="20"/>
        </w:rPr>
      </w:pPr>
      <w:r>
        <w:rPr>
          <w:sz w:val="20"/>
        </w:rPr>
        <w:t>Name of Authorized Signatory if not the same as Holder: Michael Rosselli</w:t>
      </w:r>
    </w:p>
    <w:p>
      <w:pPr>
        <w:pStyle w:val="TextBody"/>
        <w:bidi w:val="0"/>
        <w:spacing w:before="0" w:after="0"/>
        <w:ind w:left="0" w:right="0" w:hanging="0"/>
        <w:jc w:val="both"/>
        <w:rPr/>
      </w:pPr>
      <w:r>
        <w:rPr/>
        <w:t> </w:t>
      </w:r>
    </w:p>
    <w:p>
      <w:pPr>
        <w:pStyle w:val="TextBody"/>
        <w:bidi w:val="0"/>
        <w:spacing w:before="0" w:after="0"/>
        <w:ind w:left="0" w:right="0" w:hanging="0"/>
        <w:jc w:val="center"/>
        <w:rPr>
          <w:i w:val="false"/>
          <w:caps w:val="false"/>
          <w:smallCaps w:val="false"/>
          <w:sz w:val="20"/>
        </w:rPr>
      </w:pPr>
      <w:r>
        <w:rPr>
          <w:i w:val="false"/>
          <w:caps w:val="false"/>
          <w:smallCaps w:val="false"/>
          <w:sz w:val="20"/>
        </w:rPr>
        <w:t xml:space="preserve">[SIGNATURE PAGES CONTINUE]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b/>
          <w:sz w:val="20"/>
          <w:u w:val="single"/>
        </w:rPr>
      </w:pPr>
      <w:r>
        <w:rPr>
          <w:b/>
          <w:sz w:val="20"/>
          <w:u w:val="single"/>
        </w:rPr>
        <w:t>Annex A</w:t>
      </w:r>
    </w:p>
    <w:p>
      <w:pPr>
        <w:pStyle w:val="TextBody"/>
        <w:bidi w:val="0"/>
        <w:spacing w:before="0" w:after="0"/>
        <w:ind w:left="0" w:right="0" w:hanging="0"/>
        <w:jc w:val="center"/>
        <w:rPr/>
      </w:pPr>
      <w:r>
        <w:rPr/>
        <w:t> </w:t>
      </w:r>
    </w:p>
    <w:p>
      <w:pPr>
        <w:pStyle w:val="TextBody"/>
        <w:bidi w:val="0"/>
        <w:spacing w:before="0" w:after="0"/>
        <w:ind w:left="0" w:right="0" w:hanging="0"/>
        <w:jc w:val="center"/>
        <w:rPr>
          <w:i w:val="false"/>
          <w:caps w:val="false"/>
          <w:smallCaps w:val="false"/>
          <w:sz w:val="20"/>
          <w:u w:val="single"/>
        </w:rPr>
      </w:pPr>
      <w:r>
        <w:rPr>
          <w:i w:val="false"/>
          <w:caps w:val="false"/>
          <w:smallCaps w:val="false"/>
          <w:sz w:val="20"/>
          <w:u w:val="single"/>
        </w:rPr>
        <w:t>Plan of Distribution</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The Selling Securitiesholder (the “</w:t>
      </w:r>
      <w:r>
        <w:rPr>
          <w:sz w:val="20"/>
          <w:u w:val="single"/>
        </w:rPr>
        <w:t>Selling Securitiesholder</w:t>
      </w:r>
      <w:r>
        <w:rPr>
          <w:sz w:val="20"/>
        </w:rPr>
        <w:t>”) of the securities covered hereby and any of its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Securitiesholder may use any one or more of the following methods when selling securities:</w:t>
      </w:r>
    </w:p>
    <w:p>
      <w:pPr>
        <w:pStyle w:val="TextBody"/>
        <w:bidi w:val="0"/>
        <w:spacing w:before="0" w:after="0"/>
        <w:ind w:left="0" w:right="0" w:firstLine="720"/>
        <w:jc w:val="both"/>
        <w:rPr/>
      </w:pPr>
      <w:r>
        <w:rPr/>
        <w:t> </w:t>
      </w:r>
    </w:p>
    <w:tbl>
      <w:tblPr>
        <w:tblW w:w="5000" w:type="pct"/>
        <w:jc w:val="left"/>
        <w:tblInd w:w="0" w:type="dxa"/>
        <w:tblLayout w:type="fixed"/>
        <w:tblCellMar>
          <w:top w:w="0" w:type="dxa"/>
          <w:left w:w="0" w:type="dxa"/>
          <w:bottom w:w="0" w:type="dxa"/>
          <w:right w:w="0" w:type="dxa"/>
        </w:tblCellMar>
      </w:tblPr>
      <w:tblGrid>
        <w:gridCol w:w="42"/>
        <w:gridCol w:w="123"/>
        <w:gridCol w:w="10040"/>
      </w:tblGrid>
      <w:tr>
        <w:trPr/>
        <w:tc>
          <w:tcPr>
            <w:tcW w:w="4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pPr>
            <w:r>
              <w:rPr/>
              <w:t>•</w:t>
            </w:r>
          </w:p>
        </w:tc>
        <w:tc>
          <w:tcPr>
            <w:tcW w:w="10040" w:type="dxa"/>
            <w:tcBorders/>
            <w:vAlign w:val="center"/>
          </w:tcPr>
          <w:p>
            <w:pPr>
              <w:pStyle w:val="TableContents"/>
              <w:bidi w:val="0"/>
              <w:spacing w:before="0" w:after="283"/>
              <w:jc w:val="both"/>
              <w:rPr/>
            </w:pPr>
            <w:r>
              <w:rPr/>
              <w:t>ordinary brokerage transactions and transactions in which the broker-dealer solicits purchasers;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block trades in which the broker-dealer will attempt to sell the securities as agent but may position and resell a portion of the block as principal to facilitate the transaction;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
        <w:gridCol w:w="133"/>
        <w:gridCol w:w="10027"/>
      </w:tblGrid>
      <w:tr>
        <w:trPr/>
        <w:tc>
          <w:tcPr>
            <w:tcW w:w="4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purchases by a broker-dealer as principal and resale by the broker-dealer for its account;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
        <w:gridCol w:w="143"/>
        <w:gridCol w:w="10013"/>
      </w:tblGrid>
      <w:tr>
        <w:trPr/>
        <w:tc>
          <w:tcPr>
            <w:tcW w:w="4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w:t>
            </w:r>
          </w:p>
        </w:tc>
        <w:tc>
          <w:tcPr>
            <w:tcW w:w="10013" w:type="dxa"/>
            <w:tcBorders/>
            <w:vAlign w:val="center"/>
          </w:tcPr>
          <w:p>
            <w:pPr>
              <w:pStyle w:val="TableContents"/>
              <w:bidi w:val="0"/>
              <w:spacing w:before="0" w:after="283"/>
              <w:jc w:val="both"/>
              <w:rPr/>
            </w:pPr>
            <w:r>
              <w:rPr/>
              <w:t>an exchange distribution in accordance with the rules of the applicable exchange;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8"/>
        <w:gridCol w:w="343"/>
        <w:gridCol w:w="9744"/>
      </w:tblGrid>
      <w:tr>
        <w:trPr/>
        <w:tc>
          <w:tcPr>
            <w:tcW w:w="11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w:t>
            </w:r>
          </w:p>
        </w:tc>
        <w:tc>
          <w:tcPr>
            <w:tcW w:w="9744" w:type="dxa"/>
            <w:tcBorders/>
            <w:vAlign w:val="center"/>
          </w:tcPr>
          <w:p>
            <w:pPr>
              <w:pStyle w:val="TableContents"/>
              <w:bidi w:val="0"/>
              <w:spacing w:before="0" w:after="283"/>
              <w:jc w:val="both"/>
              <w:rPr/>
            </w:pPr>
            <w:r>
              <w:rPr/>
              <w:t>privately negotiated transactions;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56"/>
        <w:gridCol w:w="453"/>
        <w:gridCol w:w="9596"/>
      </w:tblGrid>
      <w:tr>
        <w:trPr/>
        <w:tc>
          <w:tcPr>
            <w:tcW w:w="15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pPr>
            <w:r>
              <w:rPr/>
              <w:t>•</w:t>
            </w:r>
          </w:p>
        </w:tc>
        <w:tc>
          <w:tcPr>
            <w:tcW w:w="9596" w:type="dxa"/>
            <w:tcBorders/>
            <w:vAlign w:val="center"/>
          </w:tcPr>
          <w:p>
            <w:pPr>
              <w:pStyle w:val="TableContents"/>
              <w:bidi w:val="0"/>
              <w:spacing w:before="0" w:after="283"/>
              <w:jc w:val="both"/>
              <w:rPr/>
            </w:pPr>
            <w:r>
              <w:rPr/>
              <w:t>settlement of short sales;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in transactions through broker-dealers that agree with the Selling Securitiesholder to sell a specified number of such securities at a stipulated price per security;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through the writing or settlement of options or other hedging transactions, whether through an options exchange or otherwise;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5"/>
        <w:gridCol w:w="249"/>
        <w:gridCol w:w="9871"/>
      </w:tblGrid>
      <w:tr>
        <w:trPr/>
        <w:tc>
          <w:tcPr>
            <w:tcW w:w="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w:t>
            </w:r>
          </w:p>
        </w:tc>
        <w:tc>
          <w:tcPr>
            <w:tcW w:w="9871" w:type="dxa"/>
            <w:tcBorders/>
            <w:vAlign w:val="center"/>
          </w:tcPr>
          <w:p>
            <w:pPr>
              <w:pStyle w:val="TableContents"/>
              <w:bidi w:val="0"/>
              <w:spacing w:before="0" w:after="283"/>
              <w:jc w:val="both"/>
              <w:rPr/>
            </w:pPr>
            <w:r>
              <w:rPr/>
              <w:t>a combination of any such methods of sale; 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2"/>
        <w:gridCol w:w="208"/>
        <w:gridCol w:w="9925"/>
      </w:tblGrid>
      <w:tr>
        <w:trPr/>
        <w:tc>
          <w:tcPr>
            <w:tcW w:w="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w:t>
            </w:r>
          </w:p>
        </w:tc>
        <w:tc>
          <w:tcPr>
            <w:tcW w:w="9925" w:type="dxa"/>
            <w:tcBorders/>
            <w:vAlign w:val="center"/>
          </w:tcPr>
          <w:p>
            <w:pPr>
              <w:pStyle w:val="TableContents"/>
              <w:bidi w:val="0"/>
              <w:spacing w:before="0" w:after="283"/>
              <w:jc w:val="both"/>
              <w:rPr/>
            </w:pPr>
            <w:r>
              <w:rPr/>
              <w:t>any other method permitted pursuant to applicable law.</w:t>
            </w:r>
          </w:p>
        </w:tc>
      </w:tr>
    </w:tbl>
    <w:p>
      <w:pPr>
        <w:pStyle w:val="TextBody"/>
        <w:bidi w:val="0"/>
        <w:spacing w:before="0" w:after="0"/>
        <w:jc w:val="left"/>
        <w:rPr/>
      </w:pPr>
      <w:r>
        <w:rPr/>
        <w:t> </w:t>
      </w:r>
    </w:p>
    <w:p>
      <w:pPr>
        <w:pStyle w:val="TextBody"/>
        <w:bidi w:val="0"/>
        <w:spacing w:before="0" w:after="0"/>
        <w:ind w:left="0" w:right="0" w:firstLine="720"/>
        <w:jc w:val="both"/>
        <w:rPr>
          <w:sz w:val="20"/>
        </w:rPr>
      </w:pPr>
      <w:r>
        <w:rPr>
          <w:sz w:val="20"/>
        </w:rPr>
        <w:t>The Selling Securitiesholder may also sell securities under Rule 144 or any other exemption from registration under the Securities Act of 1933, as amended (the “</w:t>
      </w:r>
      <w:r>
        <w:rPr>
          <w:sz w:val="20"/>
          <w:u w:val="single"/>
        </w:rPr>
        <w:t>Securities Act</w:t>
      </w:r>
      <w:r>
        <w:rPr>
          <w:sz w:val="20"/>
        </w:rPr>
        <w:t>”), if available, rather than under this prospectus.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Broker-dealers engaged by the Selling Securitiesholder may arrange for other broker-dealers to participate in sales. Broker-dealers may receive commissions or discounts from the Selling Securitiesholder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In connection with the sale of the securities or interests therein, the Selling Securitiesholder may enter into hedging transactions with broker-dealers or other financial institutions, which may in turn engage in short sales of the securities in the course of hedging the positions they assume. The Selling Securitiesholder may also sell securities short and deliver these securities to close out their short positions, or loan or pledge the securities to broker-dealers that in turn may sell these securities. The Selling Securitiesholder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ind w:left="0" w:right="0" w:firstLine="720"/>
        <w:jc w:val="both"/>
        <w:rPr/>
      </w:pPr>
      <w:r>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The Selling Securitiesholder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Securitiesholder has informed the Company that it does not have any written or oral agreement or understanding, directly or indirectly, with any person to distribute the securities.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Company is required to pay certain fees and expenses incurred by the Company incident to the registration of the securities. The Company has agreed to indemnify the Selling Securitiesholder against certain losses, claims, damages and liabilities, including liabilities under the Securities Act.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We agreed to keep this prospectus effective until the earlier of (i) the date on which the securities may be resold by the Selling Securitiesholder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or (ii) the date on which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Under applicable rules and regulations under the Exchange Act, any person engaged in the distribution of the resale securities may not simultaneously engage in market making activities with respect to the Ordinary Shares for the applicable restricted period, as defined in Regulation M, prior to the commencement of the distribution. In addition, the Selling Securitiesholder will be subject to applicable provisions of the Exchange Act and the rules and regulations thereunder, including Regulation M, which may limit the timing of purchases and sales of the Ordinary Shares by the Selling Securitiesholder or any other person. We will make copies of this prospectus available to the Selling Securitiesholder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firstLine="720"/>
        <w:jc w:val="both"/>
        <w:rPr/>
      </w:pPr>
      <w:r>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b/>
          <w:sz w:val="20"/>
          <w:u w:val="single"/>
        </w:rPr>
      </w:pPr>
      <w:r>
        <w:rPr>
          <w:b/>
          <w:sz w:val="20"/>
          <w:u w:val="single"/>
        </w:rPr>
        <w:t>Annex B</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r>
        <w:rPr>
          <w:b/>
          <w:sz w:val="20"/>
        </w:rPr>
        <w:t>SELLING SECURITIESHOLDER</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The Ordinary Shares being offered by the selling securitiesholder are those previously issued to the selling securitiesholder as a result of the exercise of Pre-Funded Warrants. For additional information regarding the issuances of those Ordinary Shares, see “Private Placement of Pre-Funded Warrants” above. We are registering the Ordinary Shares underlying the Pre-Funded Warrants in order to permit the selling securitiesholder to offer the shares for resale from time to time.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table below lists the selling securitiesholder and other information regarding the beneficial ownership of the Ordinary Shares held by the selling securitiesholder. The second column lists the number of Ordinary Shares beneficially owned by the selling securitiesholder, based on its ownership of the Ordinary Shares (including Pre-Funded Warrants that are exercisable into Ordinary Shares, as of ________, 2026.</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third column lists the Ordinary Shares being offered by this prospectus by the selling securitiesholder.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In accordance with the terms of a registration rights agreement with the selling securitiesholder, this prospectus generally covers the resale of the number of Ordinary Shares issuable upon exercise of Pre-Funded Warrants issued to the selling securitiesholder in the “Private Placement of Pre-Funded Warrants” described above. The fourth column assumes the sale of all of the shares offered by the selling securitiesholder pursuant to this prospectus.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selling securitiesholder may sell all, some or none of their shares in this offering. See “Plan of Distribution.”</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6123" w:type="dxa"/>
        <w:jc w:val="center"/>
        <w:tblInd w:w="0" w:type="dxa"/>
        <w:tblLayout w:type="fixed"/>
        <w:tblCellMar>
          <w:top w:w="0" w:type="dxa"/>
          <w:left w:w="0" w:type="dxa"/>
          <w:bottom w:w="0" w:type="dxa"/>
          <w:right w:w="0" w:type="dxa"/>
        </w:tblCellMar>
      </w:tblPr>
      <w:tblGrid>
        <w:gridCol w:w="1415"/>
        <w:gridCol w:w="1212"/>
        <w:gridCol w:w="442"/>
        <w:gridCol w:w="1385"/>
        <w:gridCol w:w="1201"/>
        <w:gridCol w:w="468"/>
      </w:tblGrid>
      <w:tr>
        <w:trPr/>
        <w:tc>
          <w:tcPr>
            <w:tcW w:w="1415" w:type="dxa"/>
            <w:vMerge w:val="restart"/>
            <w:tcBorders/>
            <w:vAlign w:val="center"/>
          </w:tcPr>
          <w:p>
            <w:pPr>
              <w:pStyle w:val="TableContents"/>
              <w:bidi w:val="0"/>
              <w:jc w:val="center"/>
              <w:rPr>
                <w:b/>
                <w:sz w:val="20"/>
              </w:rPr>
            </w:pPr>
            <w:r>
              <w:rPr>
                <w:b/>
                <w:sz w:val="20"/>
              </w:rPr>
              <w:t>Name of Selling</w:t>
            </w:r>
          </w:p>
          <w:p>
            <w:pPr>
              <w:pStyle w:val="TableContents"/>
              <w:bidi w:val="0"/>
              <w:spacing w:before="0" w:after="283"/>
              <w:jc w:val="center"/>
              <w:rPr>
                <w:b/>
                <w:sz w:val="20"/>
              </w:rPr>
            </w:pPr>
            <w:r>
              <w:rPr>
                <w:b/>
                <w:sz w:val="20"/>
              </w:rPr>
              <w:t>Securitiesholder</w:t>
            </w:r>
          </w:p>
        </w:tc>
        <w:tc>
          <w:tcPr>
            <w:tcW w:w="1654" w:type="dxa"/>
            <w:gridSpan w:val="2"/>
            <w:tcBorders>
              <w:bottom w:val="single" w:sz="8" w:space="0" w:color="000000"/>
            </w:tcBorders>
            <w:tcMar>
              <w:bottom w:w="28" w:type="dxa"/>
            </w:tcMar>
            <w:vAlign w:val="center"/>
          </w:tcPr>
          <w:p>
            <w:pPr>
              <w:pStyle w:val="TableContents"/>
              <w:bidi w:val="0"/>
              <w:spacing w:before="0" w:after="0"/>
              <w:ind w:left="0" w:right="0" w:hanging="0"/>
              <w:jc w:val="center"/>
              <w:rPr>
                <w:b/>
                <w:sz w:val="20"/>
              </w:rPr>
            </w:pPr>
            <w:r>
              <w:rPr>
                <w:b/>
                <w:sz w:val="20"/>
              </w:rPr>
              <w:t>Shares Beneficially</w:t>
            </w:r>
          </w:p>
          <w:p>
            <w:pPr>
              <w:pStyle w:val="TableContents"/>
              <w:bidi w:val="0"/>
              <w:spacing w:before="0" w:after="0"/>
              <w:ind w:left="0" w:right="0" w:hanging="0"/>
              <w:jc w:val="center"/>
              <w:rPr>
                <w:b/>
                <w:sz w:val="20"/>
              </w:rPr>
            </w:pPr>
            <w:r>
              <w:rPr>
                <w:b/>
                <w:sz w:val="20"/>
              </w:rPr>
              <w:t>Owned Prior to</w:t>
            </w:r>
          </w:p>
          <w:p>
            <w:pPr>
              <w:pStyle w:val="TableContents"/>
              <w:bidi w:val="0"/>
              <w:spacing w:before="0" w:after="0"/>
              <w:ind w:left="0" w:right="0" w:hanging="0"/>
              <w:jc w:val="center"/>
              <w:rPr>
                <w:b/>
                <w:sz w:val="20"/>
              </w:rPr>
            </w:pPr>
            <w:r>
              <w:rPr>
                <w:b/>
                <w:sz w:val="20"/>
              </w:rPr>
              <w:t>the Offering</w:t>
            </w:r>
          </w:p>
        </w:tc>
        <w:tc>
          <w:tcPr>
            <w:tcW w:w="1385" w:type="dxa"/>
            <w:vMerge w:val="restart"/>
            <w:tcBorders/>
            <w:vAlign w:val="center"/>
          </w:tcPr>
          <w:p>
            <w:pPr>
              <w:pStyle w:val="TableContents"/>
              <w:bidi w:val="0"/>
              <w:spacing w:before="0" w:after="0"/>
              <w:ind w:left="0" w:right="0" w:hanging="0"/>
              <w:jc w:val="center"/>
              <w:rPr>
                <w:b/>
                <w:sz w:val="20"/>
              </w:rPr>
            </w:pPr>
            <w:r>
              <w:rPr>
                <w:b/>
                <w:sz w:val="20"/>
              </w:rPr>
              <w:t>Warrant Shares</w:t>
            </w:r>
          </w:p>
          <w:p>
            <w:pPr>
              <w:pStyle w:val="TableContents"/>
              <w:bidi w:val="0"/>
              <w:spacing w:before="0" w:after="0"/>
              <w:ind w:left="0" w:right="0" w:hanging="0"/>
              <w:jc w:val="center"/>
              <w:rPr>
                <w:b/>
                <w:sz w:val="20"/>
              </w:rPr>
            </w:pPr>
            <w:r>
              <w:rPr>
                <w:b/>
                <w:sz w:val="20"/>
              </w:rPr>
              <w:t>Being</w:t>
            </w:r>
          </w:p>
          <w:p>
            <w:pPr>
              <w:pStyle w:val="TableContents"/>
              <w:bidi w:val="0"/>
              <w:spacing w:before="0" w:after="0"/>
              <w:ind w:left="0" w:right="0" w:hanging="0"/>
              <w:jc w:val="center"/>
              <w:rPr>
                <w:b/>
                <w:sz w:val="20"/>
              </w:rPr>
            </w:pPr>
            <w:r>
              <w:rPr>
                <w:b/>
                <w:sz w:val="20"/>
              </w:rPr>
              <w:t>Offered</w:t>
            </w:r>
          </w:p>
        </w:tc>
        <w:tc>
          <w:tcPr>
            <w:tcW w:w="1669" w:type="dxa"/>
            <w:gridSpan w:val="2"/>
            <w:tcBorders>
              <w:bottom w:val="single" w:sz="8" w:space="0" w:color="000000"/>
            </w:tcBorders>
            <w:tcMar>
              <w:bottom w:w="28" w:type="dxa"/>
            </w:tcMar>
            <w:vAlign w:val="center"/>
          </w:tcPr>
          <w:p>
            <w:pPr>
              <w:pStyle w:val="TableContents"/>
              <w:bidi w:val="0"/>
              <w:spacing w:before="0" w:after="0"/>
              <w:ind w:left="0" w:right="0" w:hanging="0"/>
              <w:jc w:val="center"/>
              <w:rPr>
                <w:b/>
                <w:sz w:val="20"/>
              </w:rPr>
            </w:pPr>
            <w:r>
              <w:rPr>
                <w:b/>
                <w:sz w:val="20"/>
              </w:rPr>
              <w:t>Shares Beneficially</w:t>
            </w:r>
          </w:p>
          <w:p>
            <w:pPr>
              <w:pStyle w:val="TableContents"/>
              <w:bidi w:val="0"/>
              <w:spacing w:before="0" w:after="0"/>
              <w:ind w:left="0" w:right="0" w:hanging="0"/>
              <w:jc w:val="center"/>
              <w:rPr>
                <w:b/>
                <w:sz w:val="20"/>
              </w:rPr>
            </w:pPr>
            <w:r>
              <w:rPr>
                <w:b/>
                <w:sz w:val="20"/>
              </w:rPr>
              <w:t>Owned After</w:t>
            </w:r>
          </w:p>
          <w:p>
            <w:pPr>
              <w:pStyle w:val="TableContents"/>
              <w:bidi w:val="0"/>
              <w:spacing w:before="0" w:after="0"/>
              <w:ind w:left="0" w:right="0" w:hanging="0"/>
              <w:jc w:val="center"/>
              <w:rPr>
                <w:b/>
                <w:sz w:val="20"/>
              </w:rPr>
            </w:pPr>
            <w:r>
              <w:rPr>
                <w:b/>
                <w:sz w:val="20"/>
              </w:rPr>
              <w:t>the Offering</w:t>
            </w:r>
          </w:p>
        </w:tc>
      </w:tr>
      <w:tr>
        <w:trPr/>
        <w:tc>
          <w:tcPr>
            <w:tcW w:w="1415" w:type="dxa"/>
            <w:vMerge w:val="continue"/>
            <w:tcBorders/>
            <w:vAlign w:val="center"/>
          </w:tcPr>
          <w:p>
            <w:pPr>
              <w:pStyle w:val="Normal"/>
              <w:bidi w:val="0"/>
              <w:jc w:val="left"/>
              <w:rPr/>
            </w:pPr>
            <w:r>
              <w:rPr/>
            </w:r>
          </w:p>
        </w:tc>
        <w:tc>
          <w:tcPr>
            <w:tcW w:w="1212" w:type="dxa"/>
            <w:tcBorders/>
            <w:vAlign w:val="center"/>
          </w:tcPr>
          <w:p>
            <w:pPr>
              <w:pStyle w:val="TableContents"/>
              <w:bidi w:val="0"/>
              <w:spacing w:before="0" w:after="283"/>
              <w:jc w:val="center"/>
              <w:rPr>
                <w:b/>
                <w:sz w:val="20"/>
                <w:u w:val="single"/>
              </w:rPr>
            </w:pPr>
            <w:r>
              <w:rPr>
                <w:b/>
                <w:sz w:val="20"/>
                <w:u w:val="single"/>
              </w:rPr>
              <w:t>Shares</w:t>
            </w:r>
          </w:p>
        </w:tc>
        <w:tc>
          <w:tcPr>
            <w:tcW w:w="442" w:type="dxa"/>
            <w:tcBorders/>
            <w:vAlign w:val="center"/>
          </w:tcPr>
          <w:p>
            <w:pPr>
              <w:pStyle w:val="TableContents"/>
              <w:bidi w:val="0"/>
              <w:spacing w:before="0" w:after="283"/>
              <w:jc w:val="center"/>
              <w:rPr>
                <w:b/>
                <w:sz w:val="20"/>
                <w:u w:val="single"/>
              </w:rPr>
            </w:pPr>
            <w:r>
              <w:rPr>
                <w:b/>
                <w:sz w:val="20"/>
                <w:u w:val="single"/>
              </w:rPr>
              <w:t>%</w:t>
            </w:r>
          </w:p>
        </w:tc>
        <w:tc>
          <w:tcPr>
            <w:tcW w:w="1385" w:type="dxa"/>
            <w:vMerge w:val="continue"/>
            <w:tcBorders/>
            <w:vAlign w:val="center"/>
          </w:tcPr>
          <w:p>
            <w:pPr>
              <w:pStyle w:val="Normal"/>
              <w:bidi w:val="0"/>
              <w:jc w:val="left"/>
              <w:rPr/>
            </w:pPr>
            <w:r>
              <w:rPr/>
            </w:r>
          </w:p>
        </w:tc>
        <w:tc>
          <w:tcPr>
            <w:tcW w:w="1201" w:type="dxa"/>
            <w:tcBorders/>
            <w:vAlign w:val="center"/>
          </w:tcPr>
          <w:p>
            <w:pPr>
              <w:pStyle w:val="TableContents"/>
              <w:bidi w:val="0"/>
              <w:spacing w:before="0" w:after="283"/>
              <w:jc w:val="center"/>
              <w:rPr>
                <w:b/>
                <w:sz w:val="20"/>
                <w:u w:val="single"/>
              </w:rPr>
            </w:pPr>
            <w:r>
              <w:rPr>
                <w:b/>
                <w:sz w:val="20"/>
                <w:u w:val="single"/>
              </w:rPr>
              <w:t>Shares</w:t>
            </w:r>
          </w:p>
        </w:tc>
        <w:tc>
          <w:tcPr>
            <w:tcW w:w="468" w:type="dxa"/>
            <w:tcBorders/>
            <w:vAlign w:val="center"/>
          </w:tcPr>
          <w:p>
            <w:pPr>
              <w:pStyle w:val="TableContents"/>
              <w:bidi w:val="0"/>
              <w:spacing w:before="0" w:after="283"/>
              <w:jc w:val="center"/>
              <w:rPr>
                <w:b/>
                <w:sz w:val="20"/>
                <w:u w:val="single"/>
              </w:rPr>
            </w:pPr>
            <w:r>
              <w:rPr>
                <w:b/>
                <w:sz w:val="20"/>
                <w:u w:val="single"/>
              </w:rPr>
              <w:t>%</w:t>
            </w:r>
          </w:p>
        </w:tc>
      </w:tr>
      <w:tr>
        <w:trPr/>
        <w:tc>
          <w:tcPr>
            <w:tcW w:w="1415" w:type="dxa"/>
            <w:tcBorders/>
            <w:vAlign w:val="center"/>
          </w:tcPr>
          <w:p>
            <w:pPr>
              <w:pStyle w:val="TableContents"/>
              <w:bidi w:val="0"/>
              <w:spacing w:before="0" w:after="0"/>
              <w:ind w:left="0" w:right="0" w:hanging="0"/>
              <w:jc w:val="left"/>
              <w:rPr/>
            </w:pPr>
            <w:r>
              <w:rPr/>
              <w:t> </w:t>
            </w:r>
          </w:p>
        </w:tc>
        <w:tc>
          <w:tcPr>
            <w:tcW w:w="1212"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b/>
          <w:sz w:val="20"/>
          <w:u w:val="single"/>
        </w:rPr>
      </w:pPr>
      <w:r>
        <w:rPr>
          <w:b/>
          <w:sz w:val="20"/>
          <w:u w:val="single"/>
        </w:rPr>
        <w:t>Annex C</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r>
        <w:rPr>
          <w:b/>
          <w:sz w:val="20"/>
        </w:rPr>
        <w:t>SONO GROUP N.V.</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Selling Securitiesholder Notice and Questionnaire</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The undersigned beneficial owner of Pre-Funded Warrants (the “</w:t>
      </w:r>
      <w:r>
        <w:rPr>
          <w:sz w:val="20"/>
          <w:u w:val="single"/>
        </w:rPr>
        <w:t>Registrable Securities</w:t>
      </w:r>
      <w:r>
        <w:rPr>
          <w:sz w:val="20"/>
        </w:rPr>
        <w:t>”) of Sono Group N.V., a Dutch public limited liability company (the “</w:t>
      </w:r>
      <w:r>
        <w:rPr>
          <w:sz w:val="20"/>
          <w:u w:val="single"/>
        </w:rPr>
        <w:t>Company</w:t>
      </w:r>
      <w:r>
        <w:rPr>
          <w:sz w:val="20"/>
        </w:rPr>
        <w:t>”), understands that the Company has filed or intends to file with the Securities and Exchange Commission (the “</w:t>
      </w:r>
      <w:r>
        <w:rPr>
          <w:sz w:val="20"/>
          <w:u w:val="single"/>
        </w:rPr>
        <w:t>Commission</w:t>
      </w:r>
      <w:r>
        <w:rPr>
          <w:sz w:val="20"/>
        </w:rPr>
        <w:t>”) a registration statement (the “</w:t>
      </w:r>
      <w:r>
        <w:rPr>
          <w:sz w:val="20"/>
          <w:u w:val="single"/>
        </w:rPr>
        <w:t>Registration Statement</w:t>
      </w:r>
      <w:r>
        <w:rPr>
          <w:sz w:val="20"/>
        </w:rPr>
        <w:t>”) for the registration and resale under Rule 415 of the Securities Act of 1933, as amended (the “</w:t>
      </w:r>
      <w:r>
        <w:rPr>
          <w:sz w:val="20"/>
          <w:u w:val="single"/>
        </w:rPr>
        <w:t>Securities Act</w:t>
      </w:r>
      <w:r>
        <w:rPr>
          <w:sz w:val="20"/>
        </w:rPr>
        <w:t>”), of the Registrable Securities, in accordance with the terms of the Registration Rights Agreement (the “</w:t>
      </w:r>
      <w:r>
        <w:rPr>
          <w:sz w:val="20"/>
          <w:u w:val="single"/>
        </w:rPr>
        <w:t>Registration Rights Agreement</w:t>
      </w:r>
      <w:r>
        <w:rPr>
          <w:sz w:val="20"/>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Certain legal consequences arise from being named as a selling securitiesholder in the Registration Statement and the related prospectus. Accordingly, holders and beneficial owners of Registrable Securities are advised to consult their own securities law counsel regarding the consequences of being named or not being named as a selling securitiesholder in the Registration Statement and the related prospectus.</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NOTICE</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The undersigned beneficial owner (the “</w:t>
      </w:r>
      <w:r>
        <w:rPr>
          <w:sz w:val="20"/>
          <w:u w:val="single"/>
        </w:rPr>
        <w:t>Selling Securitiesholder</w:t>
      </w:r>
      <w:r>
        <w:rPr>
          <w:sz w:val="20"/>
        </w:rPr>
        <w:t>”) of Registrable Securities hereby elects to include the Registrable Securities owned by it in the Registration Statement.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undersigned hereby provides the following information to the Company and represents and warrants that such information is accurate:</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QUESTIONNAIRE</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ind w:left="0" w:right="0" w:hanging="702"/>
              <w:jc w:val="left"/>
              <w:rPr>
                <w:b/>
              </w:rPr>
            </w:pPr>
            <w:r>
              <w:rPr>
                <w:b/>
              </w:rPr>
              <w:t>1.</w:t>
            </w:r>
          </w:p>
        </w:tc>
        <w:tc>
          <w:tcPr>
            <w:tcW w:w="9994" w:type="dxa"/>
            <w:tcBorders/>
            <w:vAlign w:val="center"/>
          </w:tcPr>
          <w:p>
            <w:pPr>
              <w:pStyle w:val="TableContents"/>
              <w:bidi w:val="0"/>
              <w:spacing w:before="0" w:after="283"/>
              <w:jc w:val="both"/>
              <w:rPr>
                <w:b/>
                <w:sz w:val="20"/>
              </w:rPr>
            </w:pPr>
            <w:r>
              <w:rPr>
                <w:b/>
                <w:sz w:val="20"/>
              </w:rPr>
              <w:t>Name.</w:t>
            </w:r>
          </w:p>
        </w:tc>
      </w:tr>
      <w:tr>
        <w:trPr/>
        <w:tc>
          <w:tcPr>
            <w:tcW w:w="211" w:type="dxa"/>
            <w:tcBorders/>
            <w:vAlign w:val="center"/>
          </w:tcPr>
          <w:p>
            <w:pPr>
              <w:pStyle w:val="TableContents"/>
              <w:bidi w:val="0"/>
              <w:spacing w:before="0" w:after="283"/>
              <w:ind w:left="0" w:right="0" w:hanging="702"/>
              <w:jc w:val="left"/>
              <w:rPr/>
            </w:pPr>
            <w:r>
              <w:rPr/>
              <w:t> </w:t>
            </w:r>
          </w:p>
        </w:tc>
        <w:tc>
          <w:tcPr>
            <w:tcW w:w="9994" w:type="dxa"/>
            <w:tcBorders/>
            <w:vAlign w:val="center"/>
          </w:tcPr>
          <w:p>
            <w:pPr>
              <w:pStyle w:val="TableContents"/>
              <w:bidi w:val="0"/>
              <w:spacing w:before="0" w:after="283"/>
              <w:jc w:val="both"/>
              <w:rPr/>
            </w:pPr>
            <w:r>
              <w:rPr/>
              <w:t> </w:t>
            </w:r>
          </w:p>
        </w:tc>
      </w:tr>
      <w:tr>
        <w:trPr/>
        <w:tc>
          <w:tcPr>
            <w:tcW w:w="211" w:type="dxa"/>
            <w:tcBorders/>
            <w:vAlign w:val="center"/>
          </w:tcPr>
          <w:p>
            <w:pPr>
              <w:pStyle w:val="TableContents"/>
              <w:bidi w:val="0"/>
              <w:spacing w:before="0" w:after="283"/>
              <w:ind w:left="0" w:right="0" w:hanging="702"/>
              <w:jc w:val="left"/>
              <w:rPr/>
            </w:pPr>
            <w:r>
              <w:rPr/>
              <w:t>(a)</w:t>
            </w:r>
          </w:p>
        </w:tc>
        <w:tc>
          <w:tcPr>
            <w:tcW w:w="9994" w:type="dxa"/>
            <w:tcBorders/>
            <w:vAlign w:val="center"/>
          </w:tcPr>
          <w:p>
            <w:pPr>
              <w:pStyle w:val="TableContents"/>
              <w:bidi w:val="0"/>
              <w:spacing w:before="0" w:after="283"/>
              <w:jc w:val="both"/>
              <w:rPr>
                <w:sz w:val="20"/>
              </w:rPr>
            </w:pPr>
            <w:r>
              <w:rPr>
                <w:sz w:val="20"/>
              </w:rPr>
              <w:t>Full Legal Name of Selling Securitiesholder</w:t>
            </w:r>
          </w:p>
        </w:tc>
      </w:tr>
      <w:tr>
        <w:trPr/>
        <w:tc>
          <w:tcPr>
            <w:tcW w:w="211" w:type="dxa"/>
            <w:tcBorders/>
            <w:vAlign w:val="center"/>
          </w:tcPr>
          <w:p>
            <w:pPr>
              <w:pStyle w:val="TableContents"/>
              <w:bidi w:val="0"/>
              <w:spacing w:before="0" w:after="283"/>
              <w:ind w:left="0" w:right="0" w:hanging="702"/>
              <w:jc w:val="left"/>
              <w:rPr/>
            </w:pPr>
            <w:r>
              <w:rPr/>
              <w:t> </w:t>
            </w:r>
          </w:p>
        </w:tc>
        <w:tc>
          <w:tcPr>
            <w:tcW w:w="9994"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211" w:type="dxa"/>
            <w:tcBorders/>
            <w:vAlign w:val="center"/>
          </w:tcPr>
          <w:p>
            <w:pPr>
              <w:pStyle w:val="TableContents"/>
              <w:bidi w:val="0"/>
              <w:spacing w:before="0" w:after="283"/>
              <w:ind w:left="0" w:right="0" w:hanging="702"/>
              <w:jc w:val="left"/>
              <w:rPr/>
            </w:pPr>
            <w:r>
              <w:rPr/>
              <w:t> </w:t>
            </w:r>
          </w:p>
        </w:tc>
        <w:tc>
          <w:tcPr>
            <w:tcW w:w="9994" w:type="dxa"/>
            <w:tcBorders/>
            <w:vAlign w:val="center"/>
          </w:tcPr>
          <w:p>
            <w:pPr>
              <w:pStyle w:val="TableContents"/>
              <w:bidi w:val="0"/>
              <w:spacing w:before="0" w:after="283"/>
              <w:jc w:val="both"/>
              <w:rPr/>
            </w:pPr>
            <w:r>
              <w:rPr/>
              <w:t> </w:t>
            </w:r>
          </w:p>
        </w:tc>
      </w:tr>
      <w:tr>
        <w:trPr/>
        <w:tc>
          <w:tcPr>
            <w:tcW w:w="211" w:type="dxa"/>
            <w:tcBorders/>
            <w:vAlign w:val="center"/>
          </w:tcPr>
          <w:p>
            <w:pPr>
              <w:pStyle w:val="TableContents"/>
              <w:bidi w:val="0"/>
              <w:spacing w:before="0" w:after="283"/>
              <w:ind w:left="0" w:right="0" w:hanging="702"/>
              <w:jc w:val="left"/>
              <w:rPr/>
            </w:pPr>
            <w:r>
              <w:rPr/>
              <w:t>(b)</w:t>
            </w:r>
          </w:p>
        </w:tc>
        <w:tc>
          <w:tcPr>
            <w:tcW w:w="9994" w:type="dxa"/>
            <w:tcBorders/>
            <w:vAlign w:val="center"/>
          </w:tcPr>
          <w:p>
            <w:pPr>
              <w:pStyle w:val="TableContents"/>
              <w:bidi w:val="0"/>
              <w:spacing w:before="0" w:after="283"/>
              <w:jc w:val="both"/>
              <w:rPr>
                <w:sz w:val="20"/>
              </w:rPr>
            </w:pPr>
            <w:r>
              <w:rPr>
                <w:sz w:val="20"/>
              </w:rPr>
              <w:t>Full Legal Name of Registered Holder (if not the same as (a) above) through which Registrable Securities are held:</w:t>
            </w:r>
          </w:p>
        </w:tc>
      </w:tr>
      <w:tr>
        <w:trPr/>
        <w:tc>
          <w:tcPr>
            <w:tcW w:w="211" w:type="dxa"/>
            <w:tcBorders/>
            <w:vAlign w:val="center"/>
          </w:tcPr>
          <w:p>
            <w:pPr>
              <w:pStyle w:val="TableContents"/>
              <w:bidi w:val="0"/>
              <w:spacing w:before="0" w:after="283"/>
              <w:ind w:left="0" w:right="0" w:hanging="702"/>
              <w:jc w:val="left"/>
              <w:rPr/>
            </w:pPr>
            <w:r>
              <w:rPr/>
              <w:t> </w:t>
            </w:r>
          </w:p>
        </w:tc>
        <w:tc>
          <w:tcPr>
            <w:tcW w:w="9994"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211" w:type="dxa"/>
            <w:tcBorders/>
            <w:vAlign w:val="center"/>
          </w:tcPr>
          <w:p>
            <w:pPr>
              <w:pStyle w:val="TableContents"/>
              <w:bidi w:val="0"/>
              <w:spacing w:before="0" w:after="283"/>
              <w:ind w:left="0" w:right="0" w:hanging="702"/>
              <w:jc w:val="left"/>
              <w:rPr/>
            </w:pPr>
            <w:r>
              <w:rPr/>
              <w:t> </w:t>
            </w:r>
          </w:p>
        </w:tc>
        <w:tc>
          <w:tcPr>
            <w:tcW w:w="9994" w:type="dxa"/>
            <w:tcBorders/>
            <w:vAlign w:val="center"/>
          </w:tcPr>
          <w:p>
            <w:pPr>
              <w:pStyle w:val="TableContents"/>
              <w:bidi w:val="0"/>
              <w:spacing w:before="0" w:after="283"/>
              <w:jc w:val="both"/>
              <w:rPr/>
            </w:pPr>
            <w:r>
              <w:rPr/>
              <w:t> </w:t>
            </w:r>
          </w:p>
        </w:tc>
      </w:tr>
      <w:tr>
        <w:trPr/>
        <w:tc>
          <w:tcPr>
            <w:tcW w:w="211" w:type="dxa"/>
            <w:tcBorders/>
            <w:vAlign w:val="center"/>
          </w:tcPr>
          <w:p>
            <w:pPr>
              <w:pStyle w:val="TableContents"/>
              <w:bidi w:val="0"/>
              <w:spacing w:before="0" w:after="283"/>
              <w:ind w:left="0" w:right="0" w:hanging="702"/>
              <w:jc w:val="left"/>
              <w:rPr/>
            </w:pPr>
            <w:r>
              <w:rPr/>
              <w:t>(c)</w:t>
            </w:r>
          </w:p>
        </w:tc>
        <w:tc>
          <w:tcPr>
            <w:tcW w:w="9994" w:type="dxa"/>
            <w:tcBorders/>
            <w:vAlign w:val="center"/>
          </w:tcPr>
          <w:p>
            <w:pPr>
              <w:pStyle w:val="TableContents"/>
              <w:bidi w:val="0"/>
              <w:spacing w:before="0" w:after="283"/>
              <w:jc w:val="both"/>
              <w:rPr>
                <w:sz w:val="20"/>
              </w:rPr>
            </w:pPr>
            <w:r>
              <w:rPr>
                <w:sz w:val="20"/>
              </w:rPr>
              <w:t>Full Legal Name of Natural Control Person (which means a natural person who directly or indirectly alone or with others has power to vote or dispose of the securities covered by this Questionnaire):</w:t>
            </w:r>
          </w:p>
        </w:tc>
      </w:tr>
      <w:tr>
        <w:trPr/>
        <w:tc>
          <w:tcPr>
            <w:tcW w:w="211" w:type="dxa"/>
            <w:tcBorders/>
            <w:vAlign w:val="center"/>
          </w:tcPr>
          <w:p>
            <w:pPr>
              <w:pStyle w:val="TableContents"/>
              <w:bidi w:val="0"/>
              <w:spacing w:before="0" w:after="283"/>
              <w:ind w:left="0" w:right="0" w:firstLine="3"/>
              <w:jc w:val="left"/>
              <w:rPr/>
            </w:pPr>
            <w:r>
              <w:rPr/>
              <w:t> </w:t>
            </w:r>
          </w:p>
        </w:tc>
        <w:tc>
          <w:tcPr>
            <w:tcW w:w="9994"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211" w:type="dxa"/>
            <w:tcBorders/>
            <w:vAlign w:val="center"/>
          </w:tcPr>
          <w:p>
            <w:pPr>
              <w:pStyle w:val="TableContents"/>
              <w:bidi w:val="0"/>
              <w:spacing w:before="0" w:after="283"/>
              <w:ind w:left="0" w:right="0" w:firstLine="3"/>
              <w:jc w:val="left"/>
              <w:rPr/>
            </w:pPr>
            <w:r>
              <w:rPr/>
              <w:t> </w:t>
            </w:r>
          </w:p>
        </w:tc>
        <w:tc>
          <w:tcPr>
            <w:tcW w:w="9994" w:type="dxa"/>
            <w:tcBorders/>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ind w:left="0" w:right="0" w:hanging="702"/>
              <w:jc w:val="left"/>
              <w:rPr>
                <w:b/>
              </w:rPr>
            </w:pPr>
            <w:r>
              <w:rPr>
                <w:b/>
              </w:rPr>
              <w:t>2.</w:t>
            </w:r>
          </w:p>
        </w:tc>
        <w:tc>
          <w:tcPr>
            <w:tcW w:w="9865" w:type="dxa"/>
            <w:tcBorders/>
            <w:vAlign w:val="center"/>
          </w:tcPr>
          <w:p>
            <w:pPr>
              <w:pStyle w:val="TableContents"/>
              <w:bidi w:val="0"/>
              <w:spacing w:before="0" w:after="283"/>
              <w:jc w:val="both"/>
              <w:rPr>
                <w:b/>
                <w:sz w:val="20"/>
              </w:rPr>
            </w:pPr>
            <w:r>
              <w:rPr>
                <w:b/>
                <w:sz w:val="20"/>
              </w:rPr>
              <w:t>Address for Notices to Selling Securitiesholder:</w:t>
            </w:r>
          </w:p>
        </w:tc>
      </w:tr>
      <w:tr>
        <w:trPr/>
        <w:tc>
          <w:tcPr>
            <w:tcW w:w="340" w:type="dxa"/>
            <w:tcBorders/>
            <w:vAlign w:val="center"/>
          </w:tcPr>
          <w:p>
            <w:pPr>
              <w:pStyle w:val="TableContents"/>
              <w:bidi w:val="0"/>
              <w:spacing w:before="0" w:after="283"/>
              <w:ind w:left="0" w:right="0" w:hanging="702"/>
              <w:jc w:val="left"/>
              <w:rPr/>
            </w:pPr>
            <w:r>
              <w:rPr/>
              <w:t> </w:t>
            </w:r>
          </w:p>
        </w:tc>
        <w:tc>
          <w:tcPr>
            <w:tcW w:w="9865" w:type="dxa"/>
            <w:tcBorders/>
            <w:vAlign w:val="center"/>
          </w:tcPr>
          <w:p>
            <w:pPr>
              <w:pStyle w:val="TableContents"/>
              <w:bidi w:val="0"/>
              <w:spacing w:before="0" w:after="283"/>
              <w:jc w:val="both"/>
              <w:rPr/>
            </w:pPr>
            <w:r>
              <w:rPr/>
              <w:t> </w:t>
            </w:r>
          </w:p>
        </w:tc>
      </w:tr>
      <w:tr>
        <w:trPr/>
        <w:tc>
          <w:tcPr>
            <w:tcW w:w="340" w:type="dxa"/>
            <w:tcBorders/>
            <w:vAlign w:val="center"/>
          </w:tcPr>
          <w:p>
            <w:pPr>
              <w:pStyle w:val="TableContents"/>
              <w:bidi w:val="0"/>
              <w:spacing w:before="0" w:after="283"/>
              <w:ind w:left="0" w:right="0" w:firstLine="3"/>
              <w:jc w:val="left"/>
              <w:rPr/>
            </w:pPr>
            <w:r>
              <w:rPr/>
              <w:t> </w:t>
            </w:r>
          </w:p>
        </w:tc>
        <w:tc>
          <w:tcPr>
            <w:tcW w:w="986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40" w:type="dxa"/>
            <w:tcBorders/>
            <w:vAlign w:val="center"/>
          </w:tcPr>
          <w:p>
            <w:pPr>
              <w:pStyle w:val="TableContents"/>
              <w:bidi w:val="0"/>
              <w:spacing w:before="0" w:after="283"/>
              <w:ind w:left="0" w:right="0" w:firstLine="3"/>
              <w:jc w:val="left"/>
              <w:rPr/>
            </w:pPr>
            <w:r>
              <w:rPr/>
              <w:t> </w:t>
            </w:r>
          </w:p>
        </w:tc>
        <w:tc>
          <w:tcPr>
            <w:tcW w:w="986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40" w:type="dxa"/>
            <w:tcBorders/>
            <w:vAlign w:val="center"/>
          </w:tcPr>
          <w:p>
            <w:pPr>
              <w:pStyle w:val="TableContents"/>
              <w:bidi w:val="0"/>
              <w:spacing w:before="0" w:after="283"/>
              <w:ind w:left="0" w:right="0" w:firstLine="3"/>
              <w:jc w:val="left"/>
              <w:rPr/>
            </w:pPr>
            <w:r>
              <w:rPr/>
              <w:t> </w:t>
            </w:r>
          </w:p>
        </w:tc>
        <w:tc>
          <w:tcPr>
            <w:tcW w:w="986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40" w:type="dxa"/>
            <w:tcBorders/>
            <w:vAlign w:val="center"/>
          </w:tcPr>
          <w:p>
            <w:pPr>
              <w:pStyle w:val="TableContents"/>
              <w:bidi w:val="0"/>
              <w:spacing w:before="0" w:after="283"/>
              <w:ind w:left="0" w:right="0" w:firstLine="3"/>
              <w:jc w:val="left"/>
              <w:rPr/>
            </w:pPr>
            <w:r>
              <w:rPr/>
              <w:t> </w:t>
            </w:r>
          </w:p>
        </w:tc>
        <w:tc>
          <w:tcPr>
            <w:tcW w:w="9865" w:type="dxa"/>
            <w:tcBorders/>
            <w:vAlign w:val="center"/>
          </w:tcPr>
          <w:p>
            <w:pPr>
              <w:pStyle w:val="TableContents"/>
              <w:bidi w:val="0"/>
              <w:spacing w:before="0" w:after="283"/>
              <w:jc w:val="left"/>
              <w:rPr>
                <w:sz w:val="20"/>
              </w:rPr>
            </w:pPr>
            <w:r>
              <w:rPr>
                <w:sz w:val="20"/>
              </w:rPr>
              <w:t>Telephone:</w:t>
            </w:r>
          </w:p>
        </w:tc>
      </w:tr>
      <w:tr>
        <w:trPr/>
        <w:tc>
          <w:tcPr>
            <w:tcW w:w="340" w:type="dxa"/>
            <w:tcBorders/>
            <w:vAlign w:val="center"/>
          </w:tcPr>
          <w:p>
            <w:pPr>
              <w:pStyle w:val="TableContents"/>
              <w:bidi w:val="0"/>
              <w:spacing w:before="0" w:after="283"/>
              <w:ind w:left="0" w:right="0" w:firstLine="3"/>
              <w:jc w:val="left"/>
              <w:rPr/>
            </w:pPr>
            <w:r>
              <w:rPr/>
              <w:t> </w:t>
            </w:r>
          </w:p>
        </w:tc>
        <w:tc>
          <w:tcPr>
            <w:tcW w:w="9865" w:type="dxa"/>
            <w:tcBorders/>
            <w:vAlign w:val="center"/>
          </w:tcPr>
          <w:p>
            <w:pPr>
              <w:pStyle w:val="TableContents"/>
              <w:bidi w:val="0"/>
              <w:spacing w:before="0" w:after="283"/>
              <w:jc w:val="both"/>
              <w:rPr>
                <w:sz w:val="20"/>
              </w:rPr>
            </w:pPr>
            <w:r>
              <w:rPr>
                <w:sz w:val="20"/>
              </w:rPr>
              <w:t>E-Mail:</w:t>
            </w:r>
          </w:p>
        </w:tc>
      </w:tr>
      <w:tr>
        <w:trPr/>
        <w:tc>
          <w:tcPr>
            <w:tcW w:w="340" w:type="dxa"/>
            <w:tcBorders/>
            <w:vAlign w:val="center"/>
          </w:tcPr>
          <w:p>
            <w:pPr>
              <w:pStyle w:val="TableContents"/>
              <w:bidi w:val="0"/>
              <w:spacing w:before="0" w:after="283"/>
              <w:ind w:left="0" w:right="0" w:firstLine="3"/>
              <w:jc w:val="left"/>
              <w:rPr/>
            </w:pPr>
            <w:r>
              <w:rPr/>
              <w:t> </w:t>
            </w:r>
          </w:p>
        </w:tc>
        <w:tc>
          <w:tcPr>
            <w:tcW w:w="9865" w:type="dxa"/>
            <w:tcBorders/>
            <w:vAlign w:val="center"/>
          </w:tcPr>
          <w:p>
            <w:pPr>
              <w:pStyle w:val="TableContents"/>
              <w:bidi w:val="0"/>
              <w:spacing w:before="0" w:after="283"/>
              <w:jc w:val="both"/>
              <w:rPr>
                <w:sz w:val="20"/>
              </w:rPr>
            </w:pPr>
            <w:r>
              <w:rPr>
                <w:sz w:val="20"/>
              </w:rPr>
              <w:t>Contact Person:</w:t>
            </w:r>
          </w:p>
        </w:tc>
      </w:tr>
      <w:tr>
        <w:trPr/>
        <w:tc>
          <w:tcPr>
            <w:tcW w:w="340" w:type="dxa"/>
            <w:tcBorders/>
            <w:vAlign w:val="center"/>
          </w:tcPr>
          <w:p>
            <w:pPr>
              <w:pStyle w:val="TableContents"/>
              <w:bidi w:val="0"/>
              <w:spacing w:before="0" w:after="283"/>
              <w:ind w:left="0" w:right="0" w:hanging="702"/>
              <w:jc w:val="left"/>
              <w:rPr/>
            </w:pPr>
            <w:r>
              <w:rPr/>
              <w:t> </w:t>
            </w:r>
          </w:p>
        </w:tc>
        <w:tc>
          <w:tcPr>
            <w:tcW w:w="9865" w:type="dxa"/>
            <w:tcBorders/>
            <w:vAlign w:val="center"/>
          </w:tcPr>
          <w:p>
            <w:pPr>
              <w:pStyle w:val="TableContents"/>
              <w:bidi w:val="0"/>
              <w:spacing w:before="0" w:after="283"/>
              <w:jc w:val="both"/>
              <w:rPr/>
            </w:pPr>
            <w:r>
              <w:rPr/>
              <w:t> </w:t>
            </w:r>
          </w:p>
        </w:tc>
      </w:tr>
      <w:tr>
        <w:trPr/>
        <w:tc>
          <w:tcPr>
            <w:tcW w:w="340" w:type="dxa"/>
            <w:tcBorders/>
            <w:vAlign w:val="center"/>
          </w:tcPr>
          <w:p>
            <w:pPr>
              <w:pStyle w:val="TableContents"/>
              <w:bidi w:val="0"/>
              <w:spacing w:before="0" w:after="283"/>
              <w:ind w:left="0" w:right="0" w:hanging="702"/>
              <w:jc w:val="left"/>
              <w:rPr/>
            </w:pPr>
            <w:r>
              <w:rPr>
                <w:b/>
              </w:rPr>
              <w:t>3</w:t>
            </w:r>
            <w:r>
              <w:rPr/>
              <w:t>.</w:t>
            </w:r>
          </w:p>
        </w:tc>
        <w:tc>
          <w:tcPr>
            <w:tcW w:w="9865" w:type="dxa"/>
            <w:tcBorders/>
            <w:vAlign w:val="center"/>
          </w:tcPr>
          <w:p>
            <w:pPr>
              <w:pStyle w:val="TableContents"/>
              <w:bidi w:val="0"/>
              <w:spacing w:before="0" w:after="283"/>
              <w:jc w:val="both"/>
              <w:rPr>
                <w:b/>
                <w:sz w:val="20"/>
              </w:rPr>
            </w:pPr>
            <w:r>
              <w:rPr>
                <w:b/>
                <w:sz w:val="20"/>
              </w:rPr>
              <w:t>Broker-Dealer Status:</w:t>
            </w:r>
          </w:p>
        </w:tc>
      </w:tr>
      <w:tr>
        <w:trPr/>
        <w:tc>
          <w:tcPr>
            <w:tcW w:w="340" w:type="dxa"/>
            <w:tcBorders/>
            <w:vAlign w:val="center"/>
          </w:tcPr>
          <w:p>
            <w:pPr>
              <w:pStyle w:val="TableContents"/>
              <w:bidi w:val="0"/>
              <w:spacing w:before="0" w:after="283"/>
              <w:ind w:left="0" w:right="0" w:hanging="702"/>
              <w:jc w:val="left"/>
              <w:rPr/>
            </w:pPr>
            <w:r>
              <w:rPr/>
              <w:t> </w:t>
            </w:r>
          </w:p>
        </w:tc>
        <w:tc>
          <w:tcPr>
            <w:tcW w:w="9865" w:type="dxa"/>
            <w:tcBorders/>
            <w:vAlign w:val="center"/>
          </w:tcPr>
          <w:p>
            <w:pPr>
              <w:pStyle w:val="TableContents"/>
              <w:bidi w:val="0"/>
              <w:spacing w:before="0" w:after="283"/>
              <w:jc w:val="both"/>
              <w:rPr/>
            </w:pPr>
            <w:r>
              <w:rPr/>
              <w:t> </w:t>
            </w:r>
          </w:p>
        </w:tc>
      </w:tr>
      <w:tr>
        <w:trPr/>
        <w:tc>
          <w:tcPr>
            <w:tcW w:w="340" w:type="dxa"/>
            <w:tcBorders/>
            <w:vAlign w:val="center"/>
          </w:tcPr>
          <w:p>
            <w:pPr>
              <w:pStyle w:val="TableContents"/>
              <w:bidi w:val="0"/>
              <w:spacing w:before="0" w:after="283"/>
              <w:ind w:left="0" w:right="0" w:hanging="702"/>
              <w:jc w:val="left"/>
              <w:rPr/>
            </w:pPr>
            <w:r>
              <w:rPr/>
              <w:t xml:space="preserve">(a) </w:t>
            </w:r>
          </w:p>
        </w:tc>
        <w:tc>
          <w:tcPr>
            <w:tcW w:w="9865" w:type="dxa"/>
            <w:tcBorders/>
            <w:vAlign w:val="center"/>
          </w:tcPr>
          <w:p>
            <w:pPr>
              <w:pStyle w:val="TableContents"/>
              <w:bidi w:val="0"/>
              <w:spacing w:before="0" w:after="283"/>
              <w:jc w:val="both"/>
              <w:rPr>
                <w:sz w:val="20"/>
              </w:rPr>
            </w:pPr>
            <w:r>
              <w:rPr>
                <w:sz w:val="20"/>
              </w:rPr>
              <w:t>Are you a broker-dealer?</w:t>
            </w:r>
          </w:p>
        </w:tc>
      </w:tr>
      <w:tr>
        <w:trPr/>
        <w:tc>
          <w:tcPr>
            <w:tcW w:w="340" w:type="dxa"/>
            <w:tcBorders/>
            <w:vAlign w:val="center"/>
          </w:tcPr>
          <w:p>
            <w:pPr>
              <w:pStyle w:val="TableContents"/>
              <w:bidi w:val="0"/>
              <w:spacing w:before="0" w:after="283"/>
              <w:ind w:left="0" w:right="0" w:hanging="702"/>
              <w:jc w:val="left"/>
              <w:rPr/>
            </w:pPr>
            <w:r>
              <w:rPr/>
              <w:t> </w:t>
            </w:r>
          </w:p>
        </w:tc>
        <w:tc>
          <w:tcPr>
            <w:tcW w:w="9865" w:type="dxa"/>
            <w:tcBorders/>
            <w:vAlign w:val="center"/>
          </w:tcPr>
          <w:p>
            <w:pPr>
              <w:pStyle w:val="TableContents"/>
              <w:bidi w:val="0"/>
              <w:spacing w:before="0" w:after="283"/>
              <w:jc w:val="both"/>
              <w:rPr/>
            </w:pPr>
            <w:r>
              <w:rPr/>
              <w:t> </w:t>
            </w:r>
          </w:p>
        </w:tc>
      </w:tr>
      <w:tr>
        <w:trPr/>
        <w:tc>
          <w:tcPr>
            <w:tcW w:w="340" w:type="dxa"/>
            <w:tcBorders/>
            <w:vAlign w:val="center"/>
          </w:tcPr>
          <w:p>
            <w:pPr>
              <w:pStyle w:val="TableContents"/>
              <w:bidi w:val="0"/>
              <w:spacing w:before="0" w:after="283"/>
              <w:ind w:left="0" w:right="0" w:firstLine="3"/>
              <w:jc w:val="left"/>
              <w:rPr/>
            </w:pPr>
            <w:r>
              <w:rPr/>
              <w:t> </w:t>
            </w:r>
          </w:p>
        </w:tc>
        <w:tc>
          <w:tcPr>
            <w:tcW w:w="9865" w:type="dxa"/>
            <w:tcBorders/>
            <w:vAlign w:val="center"/>
          </w:tcPr>
          <w:p>
            <w:pPr>
              <w:pStyle w:val="TableContents"/>
              <w:bidi w:val="0"/>
              <w:spacing w:before="0" w:after="283"/>
              <w:jc w:val="both"/>
              <w:rPr>
                <w:sz w:val="20"/>
              </w:rPr>
            </w:pPr>
            <w:r>
              <w:rPr>
                <w:sz w:val="20"/>
              </w:rPr>
              <w:t>Yes □ No □</w:t>
            </w:r>
          </w:p>
        </w:tc>
      </w:tr>
      <w:tr>
        <w:trPr/>
        <w:tc>
          <w:tcPr>
            <w:tcW w:w="340" w:type="dxa"/>
            <w:tcBorders/>
            <w:vAlign w:val="center"/>
          </w:tcPr>
          <w:p>
            <w:pPr>
              <w:pStyle w:val="TableContents"/>
              <w:bidi w:val="0"/>
              <w:spacing w:before="0" w:after="283"/>
              <w:ind w:left="0" w:right="0" w:hanging="702"/>
              <w:jc w:val="left"/>
              <w:rPr/>
            </w:pPr>
            <w:r>
              <w:rPr/>
              <w:t> </w:t>
            </w:r>
          </w:p>
        </w:tc>
        <w:tc>
          <w:tcPr>
            <w:tcW w:w="9865" w:type="dxa"/>
            <w:tcBorders/>
            <w:vAlign w:val="center"/>
          </w:tcPr>
          <w:p>
            <w:pPr>
              <w:pStyle w:val="TableContents"/>
              <w:bidi w:val="0"/>
              <w:spacing w:before="0" w:after="283"/>
              <w:jc w:val="both"/>
              <w:rPr/>
            </w:pPr>
            <w:r>
              <w:rPr/>
              <w:t> </w:t>
            </w:r>
          </w:p>
        </w:tc>
      </w:tr>
      <w:tr>
        <w:trPr/>
        <w:tc>
          <w:tcPr>
            <w:tcW w:w="340" w:type="dxa"/>
            <w:tcBorders/>
            <w:vAlign w:val="center"/>
          </w:tcPr>
          <w:p>
            <w:pPr>
              <w:pStyle w:val="TableContents"/>
              <w:bidi w:val="0"/>
              <w:spacing w:before="0" w:after="283"/>
              <w:ind w:left="0" w:right="0" w:hanging="702"/>
              <w:jc w:val="left"/>
              <w:rPr/>
            </w:pPr>
            <w:r>
              <w:rPr/>
              <w:t xml:space="preserve">(b) </w:t>
            </w:r>
          </w:p>
        </w:tc>
        <w:tc>
          <w:tcPr>
            <w:tcW w:w="9865" w:type="dxa"/>
            <w:tcBorders/>
            <w:vAlign w:val="center"/>
          </w:tcPr>
          <w:p>
            <w:pPr>
              <w:pStyle w:val="TableContents"/>
              <w:bidi w:val="0"/>
              <w:spacing w:before="0" w:after="283"/>
              <w:jc w:val="both"/>
              <w:rPr>
                <w:sz w:val="20"/>
              </w:rPr>
            </w:pPr>
            <w:r>
              <w:rPr>
                <w:sz w:val="20"/>
              </w:rPr>
              <w:t>If “yes” to Section 3(a), did you receive your Registrable Securities as compensation for investment banking services to the Company?</w:t>
            </w:r>
          </w:p>
        </w:tc>
      </w:tr>
      <w:tr>
        <w:trPr/>
        <w:tc>
          <w:tcPr>
            <w:tcW w:w="340" w:type="dxa"/>
            <w:tcBorders/>
            <w:vAlign w:val="center"/>
          </w:tcPr>
          <w:p>
            <w:pPr>
              <w:pStyle w:val="TableContents"/>
              <w:bidi w:val="0"/>
              <w:spacing w:before="0" w:after="283"/>
              <w:ind w:left="0" w:right="0" w:hanging="702"/>
              <w:jc w:val="left"/>
              <w:rPr/>
            </w:pPr>
            <w:r>
              <w:rPr/>
              <w:t> </w:t>
            </w:r>
          </w:p>
        </w:tc>
        <w:tc>
          <w:tcPr>
            <w:tcW w:w="9865" w:type="dxa"/>
            <w:tcBorders/>
            <w:vAlign w:val="center"/>
          </w:tcPr>
          <w:p>
            <w:pPr>
              <w:pStyle w:val="TableContents"/>
              <w:bidi w:val="0"/>
              <w:spacing w:before="0" w:after="283"/>
              <w:jc w:val="both"/>
              <w:rPr/>
            </w:pPr>
            <w:r>
              <w:rPr/>
              <w:t> </w:t>
            </w:r>
          </w:p>
        </w:tc>
      </w:tr>
      <w:tr>
        <w:trPr/>
        <w:tc>
          <w:tcPr>
            <w:tcW w:w="340" w:type="dxa"/>
            <w:tcBorders/>
            <w:vAlign w:val="center"/>
          </w:tcPr>
          <w:p>
            <w:pPr>
              <w:pStyle w:val="TableContents"/>
              <w:bidi w:val="0"/>
              <w:spacing w:before="0" w:after="283"/>
              <w:ind w:left="0" w:right="0" w:firstLine="3"/>
              <w:jc w:val="left"/>
              <w:rPr/>
            </w:pPr>
            <w:r>
              <w:rPr/>
              <w:t> </w:t>
            </w:r>
          </w:p>
        </w:tc>
        <w:tc>
          <w:tcPr>
            <w:tcW w:w="9865" w:type="dxa"/>
            <w:tcBorders/>
            <w:vAlign w:val="center"/>
          </w:tcPr>
          <w:p>
            <w:pPr>
              <w:pStyle w:val="TableContents"/>
              <w:bidi w:val="0"/>
              <w:spacing w:before="0" w:after="283"/>
              <w:jc w:val="both"/>
              <w:rPr>
                <w:sz w:val="20"/>
              </w:rPr>
            </w:pPr>
            <w:r>
              <w:rPr>
                <w:sz w:val="20"/>
              </w:rPr>
              <w:t>Yes □ No □</w:t>
            </w:r>
          </w:p>
        </w:tc>
      </w:tr>
      <w:tr>
        <w:trPr/>
        <w:tc>
          <w:tcPr>
            <w:tcW w:w="340" w:type="dxa"/>
            <w:tcBorders/>
            <w:vAlign w:val="center"/>
          </w:tcPr>
          <w:p>
            <w:pPr>
              <w:pStyle w:val="TableContents"/>
              <w:bidi w:val="0"/>
              <w:spacing w:before="0" w:after="283"/>
              <w:ind w:left="0" w:right="0" w:hanging="702"/>
              <w:jc w:val="left"/>
              <w:rPr/>
            </w:pPr>
            <w:r>
              <w:rPr/>
              <w:t> </w:t>
            </w:r>
          </w:p>
        </w:tc>
        <w:tc>
          <w:tcPr>
            <w:tcW w:w="9865" w:type="dxa"/>
            <w:tcBorders/>
            <w:vAlign w:val="center"/>
          </w:tcPr>
          <w:p>
            <w:pPr>
              <w:pStyle w:val="TableContents"/>
              <w:bidi w:val="0"/>
              <w:spacing w:before="0" w:after="283"/>
              <w:jc w:val="both"/>
              <w:rPr/>
            </w:pPr>
            <w:r>
              <w:rPr/>
              <w:t> </w:t>
            </w:r>
          </w:p>
        </w:tc>
      </w:tr>
      <w:tr>
        <w:trPr/>
        <w:tc>
          <w:tcPr>
            <w:tcW w:w="340" w:type="dxa"/>
            <w:tcBorders/>
            <w:vAlign w:val="center"/>
          </w:tcPr>
          <w:p>
            <w:pPr>
              <w:pStyle w:val="TableContents"/>
              <w:bidi w:val="0"/>
              <w:spacing w:before="0" w:after="283"/>
              <w:ind w:left="0" w:right="0" w:hanging="702"/>
              <w:jc w:val="left"/>
              <w:rPr/>
            </w:pPr>
            <w:r>
              <w:rPr/>
              <w:t>Note:</w:t>
            </w:r>
          </w:p>
        </w:tc>
        <w:tc>
          <w:tcPr>
            <w:tcW w:w="9865" w:type="dxa"/>
            <w:tcBorders/>
            <w:vAlign w:val="center"/>
          </w:tcPr>
          <w:p>
            <w:pPr>
              <w:pStyle w:val="TableContents"/>
              <w:bidi w:val="0"/>
              <w:spacing w:before="0" w:after="283"/>
              <w:jc w:val="both"/>
              <w:rPr>
                <w:sz w:val="20"/>
              </w:rPr>
            </w:pPr>
            <w:r>
              <w:rPr>
                <w:sz w:val="20"/>
              </w:rPr>
              <w:t>If “no” to Section 3(b), the Commission’s staff has indicated that you should be identified as an underwriter in the Registration Statement.</w:t>
            </w:r>
          </w:p>
        </w:tc>
      </w:tr>
      <w:tr>
        <w:trPr/>
        <w:tc>
          <w:tcPr>
            <w:tcW w:w="340" w:type="dxa"/>
            <w:tcBorders/>
            <w:vAlign w:val="center"/>
          </w:tcPr>
          <w:p>
            <w:pPr>
              <w:pStyle w:val="TableContents"/>
              <w:bidi w:val="0"/>
              <w:spacing w:before="0" w:after="283"/>
              <w:ind w:left="0" w:right="0" w:hanging="702"/>
              <w:jc w:val="left"/>
              <w:rPr/>
            </w:pPr>
            <w:r>
              <w:rPr/>
              <w:t> </w:t>
            </w:r>
          </w:p>
        </w:tc>
        <w:tc>
          <w:tcPr>
            <w:tcW w:w="9865" w:type="dxa"/>
            <w:tcBorders/>
            <w:vAlign w:val="center"/>
          </w:tcPr>
          <w:p>
            <w:pPr>
              <w:pStyle w:val="TableContents"/>
              <w:bidi w:val="0"/>
              <w:spacing w:before="0" w:after="283"/>
              <w:jc w:val="both"/>
              <w:rPr/>
            </w:pPr>
            <w:r>
              <w:rPr/>
              <w:t> </w:t>
            </w:r>
          </w:p>
        </w:tc>
      </w:tr>
      <w:tr>
        <w:trPr/>
        <w:tc>
          <w:tcPr>
            <w:tcW w:w="340" w:type="dxa"/>
            <w:tcBorders/>
            <w:vAlign w:val="center"/>
          </w:tcPr>
          <w:p>
            <w:pPr>
              <w:pStyle w:val="TableContents"/>
              <w:bidi w:val="0"/>
              <w:spacing w:before="0" w:after="283"/>
              <w:ind w:left="0" w:right="0" w:hanging="702"/>
              <w:jc w:val="left"/>
              <w:rPr/>
            </w:pPr>
            <w:r>
              <w:rPr/>
              <w:t>(c)</w:t>
            </w:r>
          </w:p>
        </w:tc>
        <w:tc>
          <w:tcPr>
            <w:tcW w:w="9865" w:type="dxa"/>
            <w:tcBorders/>
            <w:vAlign w:val="center"/>
          </w:tcPr>
          <w:p>
            <w:pPr>
              <w:pStyle w:val="TableContents"/>
              <w:bidi w:val="0"/>
              <w:spacing w:before="0" w:after="283"/>
              <w:jc w:val="both"/>
              <w:rPr>
                <w:sz w:val="20"/>
              </w:rPr>
            </w:pPr>
            <w:r>
              <w:rPr>
                <w:sz w:val="20"/>
              </w:rPr>
              <w:t>Are you an affiliate of a broker-dealer?</w:t>
            </w:r>
          </w:p>
        </w:tc>
      </w:tr>
      <w:tr>
        <w:trPr/>
        <w:tc>
          <w:tcPr>
            <w:tcW w:w="340" w:type="dxa"/>
            <w:tcBorders/>
            <w:vAlign w:val="center"/>
          </w:tcPr>
          <w:p>
            <w:pPr>
              <w:pStyle w:val="TableContents"/>
              <w:bidi w:val="0"/>
              <w:spacing w:before="0" w:after="283"/>
              <w:ind w:left="0" w:right="0" w:hanging="702"/>
              <w:jc w:val="left"/>
              <w:rPr/>
            </w:pPr>
            <w:r>
              <w:rPr/>
              <w:t> </w:t>
            </w:r>
          </w:p>
        </w:tc>
        <w:tc>
          <w:tcPr>
            <w:tcW w:w="9865" w:type="dxa"/>
            <w:tcBorders/>
            <w:vAlign w:val="center"/>
          </w:tcPr>
          <w:p>
            <w:pPr>
              <w:pStyle w:val="TableContents"/>
              <w:bidi w:val="0"/>
              <w:spacing w:before="0" w:after="283"/>
              <w:jc w:val="both"/>
              <w:rPr/>
            </w:pPr>
            <w:r>
              <w:rPr/>
              <w:t> </w:t>
            </w:r>
          </w:p>
        </w:tc>
      </w:tr>
      <w:tr>
        <w:trPr/>
        <w:tc>
          <w:tcPr>
            <w:tcW w:w="340" w:type="dxa"/>
            <w:tcBorders/>
            <w:vAlign w:val="center"/>
          </w:tcPr>
          <w:p>
            <w:pPr>
              <w:pStyle w:val="TableContents"/>
              <w:bidi w:val="0"/>
              <w:spacing w:before="0" w:after="283"/>
              <w:ind w:left="0" w:right="0" w:firstLine="3"/>
              <w:jc w:val="left"/>
              <w:rPr/>
            </w:pPr>
            <w:r>
              <w:rPr/>
              <w:t> </w:t>
            </w:r>
          </w:p>
        </w:tc>
        <w:tc>
          <w:tcPr>
            <w:tcW w:w="9865" w:type="dxa"/>
            <w:tcBorders/>
            <w:vAlign w:val="center"/>
          </w:tcPr>
          <w:p>
            <w:pPr>
              <w:pStyle w:val="TableContents"/>
              <w:bidi w:val="0"/>
              <w:spacing w:before="0" w:after="283"/>
              <w:jc w:val="both"/>
              <w:rPr>
                <w:sz w:val="20"/>
              </w:rPr>
            </w:pPr>
            <w:r>
              <w:rPr>
                <w:sz w:val="20"/>
              </w:rPr>
              <w:t>Yes □ No □</w:t>
            </w:r>
          </w:p>
        </w:tc>
      </w:tr>
      <w:tr>
        <w:trPr/>
        <w:tc>
          <w:tcPr>
            <w:tcW w:w="340" w:type="dxa"/>
            <w:tcBorders/>
            <w:vAlign w:val="center"/>
          </w:tcPr>
          <w:p>
            <w:pPr>
              <w:pStyle w:val="TableContents"/>
              <w:bidi w:val="0"/>
              <w:spacing w:before="0" w:after="283"/>
              <w:ind w:left="0" w:right="0" w:hanging="702"/>
              <w:jc w:val="left"/>
              <w:rPr/>
            </w:pPr>
            <w:r>
              <w:rPr/>
              <w:t> </w:t>
            </w:r>
          </w:p>
        </w:tc>
        <w:tc>
          <w:tcPr>
            <w:tcW w:w="9865" w:type="dxa"/>
            <w:tcBorders/>
            <w:vAlign w:val="center"/>
          </w:tcPr>
          <w:p>
            <w:pPr>
              <w:pStyle w:val="TableContents"/>
              <w:bidi w:val="0"/>
              <w:spacing w:before="0" w:after="283"/>
              <w:jc w:val="both"/>
              <w:rPr/>
            </w:pPr>
            <w:r>
              <w:rPr/>
              <w:t> </w:t>
            </w:r>
          </w:p>
        </w:tc>
      </w:tr>
      <w:tr>
        <w:trPr/>
        <w:tc>
          <w:tcPr>
            <w:tcW w:w="340" w:type="dxa"/>
            <w:tcBorders/>
            <w:vAlign w:val="center"/>
          </w:tcPr>
          <w:p>
            <w:pPr>
              <w:pStyle w:val="TableContents"/>
              <w:bidi w:val="0"/>
              <w:spacing w:before="0" w:after="283"/>
              <w:jc w:val="left"/>
              <w:rPr/>
            </w:pPr>
            <w:r>
              <w:rPr/>
              <w:t>(d)</w:t>
            </w:r>
          </w:p>
        </w:tc>
        <w:tc>
          <w:tcPr>
            <w:tcW w:w="9865" w:type="dxa"/>
            <w:tcBorders/>
            <w:vAlign w:val="center"/>
          </w:tcPr>
          <w:p>
            <w:pPr>
              <w:pStyle w:val="TableContents"/>
              <w:bidi w:val="0"/>
              <w:spacing w:before="0" w:after="283"/>
              <w:jc w:val="both"/>
              <w:rPr>
                <w:sz w:val="20"/>
              </w:rPr>
            </w:pPr>
            <w:r>
              <w:rPr>
                <w:sz w:val="20"/>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tc>
      </w:tr>
      <w:tr>
        <w:trPr/>
        <w:tc>
          <w:tcPr>
            <w:tcW w:w="340" w:type="dxa"/>
            <w:tcBorders/>
            <w:vAlign w:val="center"/>
          </w:tcPr>
          <w:p>
            <w:pPr>
              <w:pStyle w:val="TableContents"/>
              <w:bidi w:val="0"/>
              <w:spacing w:before="0" w:after="283"/>
              <w:ind w:left="0" w:right="0" w:hanging="702"/>
              <w:jc w:val="left"/>
              <w:rPr/>
            </w:pPr>
            <w:r>
              <w:rPr/>
              <w:t> </w:t>
            </w:r>
          </w:p>
        </w:tc>
        <w:tc>
          <w:tcPr>
            <w:tcW w:w="9865" w:type="dxa"/>
            <w:tcBorders/>
            <w:vAlign w:val="center"/>
          </w:tcPr>
          <w:p>
            <w:pPr>
              <w:pStyle w:val="TableContents"/>
              <w:bidi w:val="0"/>
              <w:spacing w:before="0" w:after="283"/>
              <w:jc w:val="both"/>
              <w:rPr/>
            </w:pPr>
            <w:r>
              <w:rPr/>
              <w:t> </w:t>
            </w:r>
          </w:p>
        </w:tc>
      </w:tr>
      <w:tr>
        <w:trPr/>
        <w:tc>
          <w:tcPr>
            <w:tcW w:w="340" w:type="dxa"/>
            <w:tcBorders/>
            <w:vAlign w:val="center"/>
          </w:tcPr>
          <w:p>
            <w:pPr>
              <w:pStyle w:val="TableContents"/>
              <w:bidi w:val="0"/>
              <w:spacing w:before="0" w:after="283"/>
              <w:ind w:left="0" w:right="0" w:firstLine="3"/>
              <w:jc w:val="left"/>
              <w:rPr/>
            </w:pPr>
            <w:r>
              <w:rPr/>
              <w:t> </w:t>
            </w:r>
          </w:p>
        </w:tc>
        <w:tc>
          <w:tcPr>
            <w:tcW w:w="9865" w:type="dxa"/>
            <w:tcBorders/>
            <w:vAlign w:val="center"/>
          </w:tcPr>
          <w:p>
            <w:pPr>
              <w:pStyle w:val="TableContents"/>
              <w:bidi w:val="0"/>
              <w:spacing w:before="0" w:after="283"/>
              <w:jc w:val="both"/>
              <w:rPr>
                <w:sz w:val="20"/>
              </w:rPr>
            </w:pPr>
            <w:r>
              <w:rPr>
                <w:sz w:val="20"/>
              </w:rPr>
              <w:t>Yes □ No □</w:t>
            </w:r>
          </w:p>
        </w:tc>
      </w:tr>
      <w:tr>
        <w:trPr/>
        <w:tc>
          <w:tcPr>
            <w:tcW w:w="340" w:type="dxa"/>
            <w:tcBorders/>
            <w:vAlign w:val="center"/>
          </w:tcPr>
          <w:p>
            <w:pPr>
              <w:pStyle w:val="TableContents"/>
              <w:bidi w:val="0"/>
              <w:spacing w:before="0" w:after="283"/>
              <w:ind w:left="0" w:right="0" w:hanging="702"/>
              <w:jc w:val="left"/>
              <w:rPr/>
            </w:pPr>
            <w:r>
              <w:rPr/>
              <w:t> </w:t>
            </w:r>
          </w:p>
        </w:tc>
        <w:tc>
          <w:tcPr>
            <w:tcW w:w="9865" w:type="dxa"/>
            <w:tcBorders/>
            <w:vAlign w:val="center"/>
          </w:tcPr>
          <w:p>
            <w:pPr>
              <w:pStyle w:val="TableContents"/>
              <w:bidi w:val="0"/>
              <w:spacing w:before="0" w:after="283"/>
              <w:jc w:val="both"/>
              <w:rPr/>
            </w:pPr>
            <w:r>
              <w:rPr/>
              <w:t> </w:t>
            </w:r>
          </w:p>
        </w:tc>
      </w:tr>
      <w:tr>
        <w:trPr/>
        <w:tc>
          <w:tcPr>
            <w:tcW w:w="340" w:type="dxa"/>
            <w:tcBorders/>
            <w:vAlign w:val="center"/>
          </w:tcPr>
          <w:p>
            <w:pPr>
              <w:pStyle w:val="TableContents"/>
              <w:bidi w:val="0"/>
              <w:spacing w:before="0" w:after="283"/>
              <w:ind w:left="0" w:right="0" w:hanging="702"/>
              <w:jc w:val="left"/>
              <w:rPr/>
            </w:pPr>
            <w:r>
              <w:rPr/>
              <w:t>Note:</w:t>
            </w:r>
          </w:p>
        </w:tc>
        <w:tc>
          <w:tcPr>
            <w:tcW w:w="9865" w:type="dxa"/>
            <w:tcBorders/>
            <w:vAlign w:val="center"/>
          </w:tcPr>
          <w:p>
            <w:pPr>
              <w:pStyle w:val="TableContents"/>
              <w:bidi w:val="0"/>
              <w:spacing w:before="0" w:after="283"/>
              <w:jc w:val="both"/>
              <w:rPr>
                <w:sz w:val="20"/>
              </w:rPr>
            </w:pPr>
            <w:r>
              <w:rPr>
                <w:sz w:val="20"/>
              </w:rPr>
              <w:t>If “no” to Section 3(d), the Commission’s staff has indicated that you should be identified as an underwriter in the Registration Statement.</w:t>
            </w:r>
          </w:p>
        </w:tc>
      </w:tr>
    </w:tbl>
    <w:p>
      <w:pPr>
        <w:pStyle w:val="TextBody"/>
        <w:bidi w:val="0"/>
        <w:spacing w:before="0" w:after="283"/>
        <w:jc w:val="left"/>
        <w:rPr/>
      </w:pPr>
      <w:r>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ind w:left="0" w:right="0" w:hanging="702"/>
              <w:jc w:val="left"/>
              <w:rPr/>
            </w:pPr>
            <w:r>
              <w:rPr/>
              <w:t>4.</w:t>
            </w:r>
          </w:p>
        </w:tc>
        <w:tc>
          <w:tcPr>
            <w:tcW w:w="10058" w:type="dxa"/>
            <w:tcBorders/>
            <w:vAlign w:val="center"/>
          </w:tcPr>
          <w:p>
            <w:pPr>
              <w:pStyle w:val="TableContents"/>
              <w:bidi w:val="0"/>
              <w:spacing w:before="0" w:after="283"/>
              <w:jc w:val="both"/>
              <w:rPr>
                <w:b/>
                <w:sz w:val="20"/>
              </w:rPr>
            </w:pPr>
            <w:r>
              <w:rPr>
                <w:b/>
                <w:sz w:val="20"/>
              </w:rPr>
              <w:t>Beneficial Ownership of Securities of the Company Owned by the Selling Securitiesholder.</w:t>
            </w:r>
          </w:p>
        </w:tc>
      </w:tr>
      <w:tr>
        <w:trPr/>
        <w:tc>
          <w:tcPr>
            <w:tcW w:w="147" w:type="dxa"/>
            <w:tcBorders/>
            <w:vAlign w:val="center"/>
          </w:tcPr>
          <w:p>
            <w:pPr>
              <w:pStyle w:val="TableContents"/>
              <w:bidi w:val="0"/>
              <w:spacing w:before="0" w:after="283"/>
              <w:ind w:left="0" w:right="0" w:hanging="702"/>
              <w:jc w:val="left"/>
              <w:rPr/>
            </w:pPr>
            <w:r>
              <w:rPr/>
              <w:t> </w:t>
            </w:r>
          </w:p>
        </w:tc>
        <w:tc>
          <w:tcPr>
            <w:tcW w:w="10058" w:type="dxa"/>
            <w:tcBorders/>
            <w:vAlign w:val="center"/>
          </w:tcPr>
          <w:p>
            <w:pPr>
              <w:pStyle w:val="TableContents"/>
              <w:bidi w:val="0"/>
              <w:spacing w:before="0" w:after="283"/>
              <w:jc w:val="both"/>
              <w:rPr/>
            </w:pPr>
            <w:r>
              <w:rPr/>
              <w:t> </w:t>
            </w:r>
          </w:p>
        </w:tc>
      </w:tr>
      <w:tr>
        <w:trPr/>
        <w:tc>
          <w:tcPr>
            <w:tcW w:w="147" w:type="dxa"/>
            <w:tcBorders/>
            <w:vAlign w:val="center"/>
          </w:tcPr>
          <w:p>
            <w:pPr>
              <w:pStyle w:val="TableContents"/>
              <w:bidi w:val="0"/>
              <w:spacing w:before="0" w:after="283"/>
              <w:ind w:left="0" w:right="0" w:firstLine="3"/>
              <w:jc w:val="left"/>
              <w:rPr/>
            </w:pPr>
            <w:r>
              <w:rPr/>
              <w:t> </w:t>
            </w:r>
          </w:p>
        </w:tc>
        <w:tc>
          <w:tcPr>
            <w:tcW w:w="10058" w:type="dxa"/>
            <w:tcBorders/>
            <w:vAlign w:val="center"/>
          </w:tcPr>
          <w:p>
            <w:pPr>
              <w:pStyle w:val="TableContents"/>
              <w:bidi w:val="0"/>
              <w:spacing w:before="0" w:after="283"/>
              <w:jc w:val="both"/>
              <w:rPr>
                <w:i/>
                <w:sz w:val="20"/>
              </w:rPr>
            </w:pPr>
            <w:r>
              <w:rPr>
                <w:i/>
                <w:sz w:val="20"/>
              </w:rPr>
              <w:t>Except as set forth below in this Item 4, the undersigned is not the beneficial or registered owner of any securities of the Company other than the securities issuable pursuant to the Purchase Agreement.</w:t>
            </w:r>
          </w:p>
        </w:tc>
      </w:tr>
      <w:tr>
        <w:trPr/>
        <w:tc>
          <w:tcPr>
            <w:tcW w:w="147" w:type="dxa"/>
            <w:tcBorders/>
            <w:vAlign w:val="center"/>
          </w:tcPr>
          <w:p>
            <w:pPr>
              <w:pStyle w:val="TableContents"/>
              <w:bidi w:val="0"/>
              <w:spacing w:before="0" w:after="283"/>
              <w:ind w:left="0" w:right="0" w:hanging="702"/>
              <w:jc w:val="left"/>
              <w:rPr/>
            </w:pPr>
            <w:r>
              <w:rPr/>
              <w:t> </w:t>
            </w:r>
          </w:p>
        </w:tc>
        <w:tc>
          <w:tcPr>
            <w:tcW w:w="10058" w:type="dxa"/>
            <w:tcBorders/>
            <w:vAlign w:val="center"/>
          </w:tcPr>
          <w:p>
            <w:pPr>
              <w:pStyle w:val="TableContents"/>
              <w:bidi w:val="0"/>
              <w:spacing w:before="0" w:after="283"/>
              <w:jc w:val="both"/>
              <w:rPr/>
            </w:pPr>
            <w:r>
              <w:rPr/>
              <w:t> </w:t>
            </w:r>
          </w:p>
        </w:tc>
      </w:tr>
      <w:tr>
        <w:trPr/>
        <w:tc>
          <w:tcPr>
            <w:tcW w:w="147" w:type="dxa"/>
            <w:tcBorders/>
            <w:vAlign w:val="center"/>
          </w:tcPr>
          <w:p>
            <w:pPr>
              <w:pStyle w:val="TableContents"/>
              <w:bidi w:val="0"/>
              <w:spacing w:before="0" w:after="283"/>
              <w:ind w:left="0" w:right="0" w:hanging="702"/>
              <w:jc w:val="left"/>
              <w:rPr/>
            </w:pPr>
            <w:r>
              <w:rPr/>
              <w:t>(a)</w:t>
            </w:r>
          </w:p>
        </w:tc>
        <w:tc>
          <w:tcPr>
            <w:tcW w:w="10058" w:type="dxa"/>
            <w:tcBorders/>
            <w:vAlign w:val="center"/>
          </w:tcPr>
          <w:p>
            <w:pPr>
              <w:pStyle w:val="TableContents"/>
              <w:bidi w:val="0"/>
              <w:spacing w:before="0" w:after="283"/>
              <w:jc w:val="both"/>
              <w:rPr>
                <w:sz w:val="20"/>
              </w:rPr>
            </w:pPr>
            <w:r>
              <w:rPr>
                <w:sz w:val="20"/>
              </w:rPr>
              <w:t>Type and Amount of other securities beneficially owned by the Selling Securitiesholder:</w:t>
            </w:r>
          </w:p>
        </w:tc>
      </w:tr>
      <w:tr>
        <w:trPr/>
        <w:tc>
          <w:tcPr>
            <w:tcW w:w="147" w:type="dxa"/>
            <w:tcBorders/>
            <w:vAlign w:val="center"/>
          </w:tcPr>
          <w:p>
            <w:pPr>
              <w:pStyle w:val="TableContents"/>
              <w:bidi w:val="0"/>
              <w:spacing w:before="0" w:after="283"/>
              <w:ind w:left="0" w:right="0" w:hanging="702"/>
              <w:jc w:val="left"/>
              <w:rPr/>
            </w:pPr>
            <w:r>
              <w:rPr/>
              <w:t> </w:t>
            </w:r>
          </w:p>
        </w:tc>
        <w:tc>
          <w:tcPr>
            <w:tcW w:w="10058" w:type="dxa"/>
            <w:tcBorders/>
            <w:vAlign w:val="center"/>
          </w:tcPr>
          <w:p>
            <w:pPr>
              <w:pStyle w:val="TableContents"/>
              <w:bidi w:val="0"/>
              <w:spacing w:before="0" w:after="283"/>
              <w:jc w:val="both"/>
              <w:rPr/>
            </w:pPr>
            <w:r>
              <w:rPr/>
              <w:t> </w:t>
            </w:r>
          </w:p>
        </w:tc>
      </w:tr>
      <w:tr>
        <w:trPr/>
        <w:tc>
          <w:tcPr>
            <w:tcW w:w="147" w:type="dxa"/>
            <w:tcBorders/>
            <w:vAlign w:val="center"/>
          </w:tcPr>
          <w:p>
            <w:pPr>
              <w:pStyle w:val="TableContents"/>
              <w:bidi w:val="0"/>
              <w:spacing w:before="0" w:after="283"/>
              <w:ind w:left="0" w:right="0" w:firstLine="3"/>
              <w:jc w:val="left"/>
              <w:rPr/>
            </w:pPr>
            <w:r>
              <w:rPr/>
              <w:t> </w:t>
            </w:r>
          </w:p>
        </w:tc>
        <w:tc>
          <w:tcPr>
            <w:tcW w:w="100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47" w:type="dxa"/>
            <w:tcBorders/>
            <w:vAlign w:val="center"/>
          </w:tcPr>
          <w:p>
            <w:pPr>
              <w:pStyle w:val="TableContents"/>
              <w:bidi w:val="0"/>
              <w:spacing w:before="0" w:after="283"/>
              <w:ind w:left="0" w:right="0" w:firstLine="3"/>
              <w:jc w:val="left"/>
              <w:rPr/>
            </w:pPr>
            <w:r>
              <w:rPr/>
              <w:t> </w:t>
            </w:r>
          </w:p>
        </w:tc>
        <w:tc>
          <w:tcPr>
            <w:tcW w:w="100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47" w:type="dxa"/>
            <w:tcBorders/>
            <w:vAlign w:val="center"/>
          </w:tcPr>
          <w:p>
            <w:pPr>
              <w:pStyle w:val="TableContents"/>
              <w:bidi w:val="0"/>
              <w:spacing w:before="0" w:after="283"/>
              <w:ind w:left="0" w:right="0" w:hanging="702"/>
              <w:jc w:val="left"/>
              <w:rPr/>
            </w:pPr>
            <w:r>
              <w:rPr/>
              <w:t> </w:t>
            </w:r>
          </w:p>
        </w:tc>
        <w:tc>
          <w:tcPr>
            <w:tcW w:w="10058" w:type="dxa"/>
            <w:tcBorders/>
            <w:vAlign w:val="center"/>
          </w:tcPr>
          <w:p>
            <w:pPr>
              <w:pStyle w:val="TableContents"/>
              <w:bidi w:val="0"/>
              <w:spacing w:before="0" w:after="283"/>
              <w:jc w:val="both"/>
              <w:rPr/>
            </w:pPr>
            <w:r>
              <w:rPr/>
              <w:t> </w:t>
            </w:r>
          </w:p>
        </w:tc>
      </w:tr>
      <w:tr>
        <w:trPr/>
        <w:tc>
          <w:tcPr>
            <w:tcW w:w="147" w:type="dxa"/>
            <w:tcBorders/>
            <w:vAlign w:val="center"/>
          </w:tcPr>
          <w:p>
            <w:pPr>
              <w:pStyle w:val="TableContents"/>
              <w:bidi w:val="0"/>
              <w:spacing w:before="0" w:after="283"/>
              <w:ind w:left="0" w:right="0" w:hanging="702"/>
              <w:jc w:val="left"/>
              <w:rPr>
                <w:b/>
              </w:rPr>
            </w:pPr>
            <w:r>
              <w:rPr>
                <w:b/>
              </w:rPr>
              <w:t>5.</w:t>
            </w:r>
          </w:p>
        </w:tc>
        <w:tc>
          <w:tcPr>
            <w:tcW w:w="10058" w:type="dxa"/>
            <w:tcBorders/>
            <w:vAlign w:val="center"/>
          </w:tcPr>
          <w:p>
            <w:pPr>
              <w:pStyle w:val="TableContents"/>
              <w:bidi w:val="0"/>
              <w:spacing w:before="0" w:after="283"/>
              <w:jc w:val="both"/>
              <w:rPr>
                <w:b/>
                <w:sz w:val="20"/>
              </w:rPr>
            </w:pPr>
            <w:r>
              <w:rPr>
                <w:b/>
                <w:sz w:val="20"/>
              </w:rPr>
              <w:t>Relationships with the Company:</w:t>
            </w:r>
          </w:p>
        </w:tc>
      </w:tr>
      <w:tr>
        <w:trPr/>
        <w:tc>
          <w:tcPr>
            <w:tcW w:w="147" w:type="dxa"/>
            <w:tcBorders/>
            <w:vAlign w:val="center"/>
          </w:tcPr>
          <w:p>
            <w:pPr>
              <w:pStyle w:val="TableContents"/>
              <w:bidi w:val="0"/>
              <w:spacing w:before="0" w:after="283"/>
              <w:ind w:left="0" w:right="0" w:hanging="702"/>
              <w:jc w:val="left"/>
              <w:rPr/>
            </w:pPr>
            <w:r>
              <w:rPr/>
              <w:t> </w:t>
            </w:r>
          </w:p>
        </w:tc>
        <w:tc>
          <w:tcPr>
            <w:tcW w:w="10058" w:type="dxa"/>
            <w:tcBorders/>
            <w:vAlign w:val="center"/>
          </w:tcPr>
          <w:p>
            <w:pPr>
              <w:pStyle w:val="TableContents"/>
              <w:bidi w:val="0"/>
              <w:spacing w:before="0" w:after="283"/>
              <w:jc w:val="both"/>
              <w:rPr/>
            </w:pPr>
            <w:r>
              <w:rPr/>
              <w:t> </w:t>
            </w:r>
          </w:p>
        </w:tc>
      </w:tr>
      <w:tr>
        <w:trPr/>
        <w:tc>
          <w:tcPr>
            <w:tcW w:w="147" w:type="dxa"/>
            <w:tcBorders/>
            <w:vAlign w:val="center"/>
          </w:tcPr>
          <w:p>
            <w:pPr>
              <w:pStyle w:val="TableContents"/>
              <w:bidi w:val="0"/>
              <w:spacing w:before="0" w:after="283"/>
              <w:ind w:left="0" w:right="0" w:firstLine="3"/>
              <w:jc w:val="left"/>
              <w:rPr/>
            </w:pPr>
            <w:r>
              <w:rPr/>
              <w:t> </w:t>
            </w:r>
          </w:p>
        </w:tc>
        <w:tc>
          <w:tcPr>
            <w:tcW w:w="10058" w:type="dxa"/>
            <w:tcBorders/>
            <w:vAlign w:val="center"/>
          </w:tcPr>
          <w:p>
            <w:pPr>
              <w:pStyle w:val="TableContents"/>
              <w:bidi w:val="0"/>
              <w:spacing w:before="0" w:after="283"/>
              <w:jc w:val="both"/>
              <w:rPr>
                <w:i/>
                <w:sz w:val="20"/>
              </w:rPr>
            </w:pPr>
            <w:r>
              <w:rPr>
                <w:i/>
                <w:sz w:val="20"/>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tc>
      </w:tr>
      <w:tr>
        <w:trPr/>
        <w:tc>
          <w:tcPr>
            <w:tcW w:w="147" w:type="dxa"/>
            <w:tcBorders/>
            <w:vAlign w:val="center"/>
          </w:tcPr>
          <w:p>
            <w:pPr>
              <w:pStyle w:val="TableContents"/>
              <w:bidi w:val="0"/>
              <w:spacing w:before="0" w:after="283"/>
              <w:ind w:left="0" w:right="0" w:hanging="702"/>
              <w:jc w:val="left"/>
              <w:rPr/>
            </w:pPr>
            <w:r>
              <w:rPr/>
              <w:t> </w:t>
            </w:r>
          </w:p>
        </w:tc>
        <w:tc>
          <w:tcPr>
            <w:tcW w:w="10058" w:type="dxa"/>
            <w:tcBorders/>
            <w:vAlign w:val="center"/>
          </w:tcPr>
          <w:p>
            <w:pPr>
              <w:pStyle w:val="TableContents"/>
              <w:bidi w:val="0"/>
              <w:spacing w:before="0" w:after="283"/>
              <w:jc w:val="both"/>
              <w:rPr/>
            </w:pPr>
            <w:r>
              <w:rPr/>
              <w:t> </w:t>
            </w:r>
          </w:p>
        </w:tc>
      </w:tr>
      <w:tr>
        <w:trPr/>
        <w:tc>
          <w:tcPr>
            <w:tcW w:w="10205" w:type="dxa"/>
            <w:gridSpan w:val="2"/>
            <w:tcBorders/>
            <w:vAlign w:val="center"/>
          </w:tcPr>
          <w:p>
            <w:pPr>
              <w:pStyle w:val="TableContents"/>
              <w:bidi w:val="0"/>
              <w:spacing w:before="0" w:after="283"/>
              <w:jc w:val="left"/>
              <w:rPr/>
            </w:pPr>
            <w:r>
              <w:rPr/>
              <w:t>State any exceptions here:</w:t>
            </w:r>
          </w:p>
        </w:tc>
      </w:tr>
      <w:tr>
        <w:trPr/>
        <w:tc>
          <w:tcPr>
            <w:tcW w:w="147" w:type="dxa"/>
            <w:tcBorders/>
            <w:vAlign w:val="center"/>
          </w:tcPr>
          <w:p>
            <w:pPr>
              <w:pStyle w:val="TableContents"/>
              <w:bidi w:val="0"/>
              <w:spacing w:before="0" w:after="283"/>
              <w:ind w:left="0" w:right="0" w:firstLine="3"/>
              <w:jc w:val="left"/>
              <w:rPr/>
            </w:pPr>
            <w:r>
              <w:rPr/>
              <w:t> </w:t>
            </w:r>
          </w:p>
        </w:tc>
        <w:tc>
          <w:tcPr>
            <w:tcW w:w="100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47" w:type="dxa"/>
            <w:tcBorders/>
            <w:vAlign w:val="center"/>
          </w:tcPr>
          <w:p>
            <w:pPr>
              <w:pStyle w:val="TableContents"/>
              <w:bidi w:val="0"/>
              <w:spacing w:before="0" w:after="283"/>
              <w:ind w:left="0" w:right="0" w:firstLine="3"/>
              <w:jc w:val="left"/>
              <w:rPr/>
            </w:pPr>
            <w:r>
              <w:rPr/>
              <w:t> </w:t>
            </w:r>
          </w:p>
        </w:tc>
        <w:tc>
          <w:tcPr>
            <w:tcW w:w="100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47" w:type="dxa"/>
            <w:tcBorders/>
            <w:vAlign w:val="center"/>
          </w:tcPr>
          <w:p>
            <w:pPr>
              <w:pStyle w:val="TableContents"/>
              <w:bidi w:val="0"/>
              <w:spacing w:before="0" w:after="283"/>
              <w:jc w:val="left"/>
              <w:rPr/>
            </w:pPr>
            <w:r>
              <w:rPr/>
              <w:t> </w:t>
            </w:r>
          </w:p>
        </w:tc>
        <w:tc>
          <w:tcPr>
            <w:tcW w:w="10058"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120"/>
        <w:ind w:left="0" w:right="0" w:firstLine="400"/>
        <w:jc w:val="both"/>
        <w:rPr/>
      </w:pPr>
      <w:r>
        <w:rPr/>
        <w:t> </w:t>
      </w:r>
    </w:p>
    <w:p>
      <w:pPr>
        <w:pStyle w:val="TextBody"/>
        <w:bidi w:val="0"/>
        <w:spacing w:before="0" w:after="0"/>
        <w:ind w:left="0" w:right="0" w:firstLine="720"/>
        <w:jc w:val="both"/>
        <w:rPr>
          <w:sz w:val="20"/>
        </w:rPr>
      </w:pPr>
      <w:r>
        <w:rPr>
          <w:sz w:val="20"/>
        </w:rPr>
        <w:t>IN WITNESS WHEREOF the undersigned, by authority duly given, has caused this Notice and Questionnaire to be executed and delivered either in person or by its duly authorized agent.</w:t>
      </w:r>
    </w:p>
    <w:p>
      <w:pPr>
        <w:pStyle w:val="TextBody"/>
        <w:bidi w:val="0"/>
        <w:spacing w:before="0" w:after="0"/>
        <w:ind w:left="0" w:right="0" w:firstLine="720"/>
        <w:jc w:val="both"/>
        <w:rPr/>
      </w:pPr>
      <w:r>
        <w:rPr/>
        <w:t> </w:t>
      </w:r>
    </w:p>
    <w:tbl>
      <w:tblPr>
        <w:tblW w:w="2619" w:type="dxa"/>
        <w:jc w:val="left"/>
        <w:tblInd w:w="0" w:type="dxa"/>
        <w:tblLayout w:type="fixed"/>
        <w:tblCellMar>
          <w:top w:w="0" w:type="dxa"/>
          <w:left w:w="0" w:type="dxa"/>
          <w:bottom w:w="0" w:type="dxa"/>
          <w:right w:w="0" w:type="dxa"/>
        </w:tblCellMar>
      </w:tblPr>
      <w:tblGrid>
        <w:gridCol w:w="599"/>
        <w:gridCol w:w="65"/>
        <w:gridCol w:w="60"/>
        <w:gridCol w:w="1820"/>
        <w:gridCol w:w="75"/>
      </w:tblGrid>
      <w:tr>
        <w:trPr/>
        <w:tc>
          <w:tcPr>
            <w:tcW w:w="599" w:type="dxa"/>
            <w:tcBorders/>
            <w:vAlign w:val="center"/>
          </w:tcPr>
          <w:p>
            <w:pPr>
              <w:pStyle w:val="TableContents"/>
              <w:bidi w:val="0"/>
              <w:spacing w:before="0" w:after="283"/>
              <w:jc w:val="left"/>
              <w:rPr/>
            </w:pPr>
            <w:r>
              <w:rPr/>
              <w:t>Date:</w:t>
            </w:r>
          </w:p>
        </w:tc>
        <w:tc>
          <w:tcPr>
            <w:tcW w:w="6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Beneficial Owner: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vAlign w:val="center"/>
          </w:tcPr>
          <w:p>
            <w:pPr>
              <w:pStyle w:val="TableContents"/>
              <w:bidi w:val="0"/>
              <w:spacing w:before="0" w:after="283"/>
              <w:jc w:val="left"/>
              <w:rPr/>
            </w:pPr>
            <w:r>
              <w:rPr/>
              <w:t> </w:t>
            </w:r>
          </w:p>
        </w:tc>
      </w:tr>
      <w:tr>
        <w:trPr/>
        <w:tc>
          <w:tcPr>
            <w:tcW w:w="66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vAlign w:val="center"/>
          </w:tcPr>
          <w:p>
            <w:pPr>
              <w:pStyle w:val="TableContents"/>
              <w:bidi w:val="0"/>
              <w:spacing w:before="0" w:after="283"/>
              <w:jc w:val="left"/>
              <w:rPr/>
            </w:pPr>
            <w:r>
              <w:rPr/>
              <w:t> </w:t>
            </w:r>
          </w:p>
        </w:tc>
      </w:tr>
      <w:tr>
        <w:trPr/>
        <w:tc>
          <w:tcPr>
            <w:tcW w:w="664" w:type="dxa"/>
            <w:gridSpan w:val="2"/>
            <w:tcBorders/>
            <w:vAlign w:val="center"/>
          </w:tcPr>
          <w:p>
            <w:pPr>
              <w:pStyle w:val="TableContents"/>
              <w:bidi w:val="0"/>
              <w:spacing w:before="0" w:after="283"/>
              <w:jc w:val="left"/>
              <w:rPr/>
            </w:pPr>
            <w:r>
              <w:rPr/>
              <w:t xml:space="preserve">By:   </w:t>
            </w:r>
          </w:p>
        </w:tc>
        <w:tc>
          <w:tcPr>
            <w:tcW w:w="60" w:type="dxa"/>
            <w:tcBorders/>
            <w:vAlign w:val="center"/>
          </w:tcPr>
          <w:p>
            <w:pPr>
              <w:pStyle w:val="TableContents"/>
              <w:bidi w:val="0"/>
              <w:spacing w:before="0" w:after="283"/>
              <w:jc w:val="left"/>
              <w:rPr/>
            </w:pPr>
            <w:r>
              <w:rPr/>
              <w:t> </w:t>
            </w:r>
          </w:p>
        </w:tc>
        <w:tc>
          <w:tcPr>
            <w:tcW w:w="1895" w:type="dxa"/>
            <w:gridSpan w:val="2"/>
            <w:tcBorders/>
            <w:vAlign w:val="center"/>
          </w:tcPr>
          <w:p>
            <w:pPr>
              <w:pStyle w:val="TableContents"/>
              <w:bidi w:val="0"/>
              <w:spacing w:before="0" w:after="283"/>
              <w:jc w:val="left"/>
              <w:rPr/>
            </w:pPr>
            <w:r>
              <w:rPr/>
              <w:t> </w:t>
            </w:r>
          </w:p>
        </w:tc>
      </w:tr>
      <w:tr>
        <w:trPr/>
        <w:tc>
          <w:tcPr>
            <w:tcW w:w="664" w:type="dxa"/>
            <w:gridSpan w:val="2"/>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895" w:type="dxa"/>
            <w:gridSpan w:val="2"/>
            <w:tcBorders/>
            <w:vAlign w:val="center"/>
          </w:tcPr>
          <w:p>
            <w:pPr>
              <w:pStyle w:val="TableContents"/>
              <w:bidi w:val="0"/>
              <w:spacing w:before="0" w:after="283"/>
              <w:jc w:val="left"/>
              <w:rPr/>
            </w:pPr>
            <w:r>
              <w:rPr/>
              <w:t> </w:t>
            </w:r>
          </w:p>
        </w:tc>
      </w:tr>
      <w:tr>
        <w:trPr/>
        <w:tc>
          <w:tcPr>
            <w:tcW w:w="664" w:type="dxa"/>
            <w:gridSpan w:val="2"/>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1895"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PLEASE EMAIL A .PDF COPY OF THE COMPLETED AND EXECUTED NOTICE AND QUESTIONNAIRE TO:</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spacing w:before="0" w:after="0"/>
        <w:ind w:left="0" w:right="0" w:hanging="0"/>
        <w:jc w:val="right"/>
        <w:rPr/>
      </w:pPr>
      <w:bookmarkStart w:id="30" w:name="exh_103.htm"/>
      <w:bookmarkStart w:id="31" w:name="ksexh_103"/>
      <w:bookmarkEnd w:id="30"/>
      <w:bookmarkEnd w:id="31"/>
      <w:r>
        <w:rPr/>
        <w:t> </w:t>
      </w:r>
      <w:r>
        <w:rPr>
          <w:b/>
          <w:sz w:val="20"/>
        </w:rPr>
        <w:t>Exhibit 10.3</w:t>
      </w:r>
      <w:r>
        <w:br w:type="page"/>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NEITHER THIS DEBENTURE NOR THE SECURITIES INTO WHICH THIS DEBENTURE IS CONVERTIBLE HAVE BEEN REGISTERED WITH THE SECURITIES AND EXCHANGE COMMISSION OR THE SECURITIES COMMISSION OF ANY STATE. THESE SECURITIES HAVE BEEN SOLD IN RELIANCE UPON AN EXEMPTION FROM REGISTRATION UNDER THE SECURITIES ACT OF 1933, AS AMENDED (THE “</w:t>
      </w:r>
      <w:r>
        <w:rPr>
          <w:b/>
          <w:sz w:val="20"/>
          <w:u w:val="single"/>
        </w:rPr>
        <w:t>SECURITIES ACT</w:t>
      </w:r>
      <w:r>
        <w:rPr>
          <w:b/>
          <w:sz w:val="20"/>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pStyle w:val="TextBody"/>
        <w:bidi w:val="0"/>
        <w:spacing w:before="0" w:after="0"/>
        <w:ind w:left="0" w:right="0" w:hanging="0"/>
        <w:jc w:val="both"/>
        <w:rPr/>
      </w:pPr>
      <w:r>
        <w:rPr/>
        <w:t> </w:t>
      </w:r>
    </w:p>
    <w:p>
      <w:pPr>
        <w:pStyle w:val="TextBody"/>
        <w:bidi w:val="0"/>
        <w:spacing w:before="0" w:after="0"/>
        <w:ind w:left="0" w:right="0" w:hanging="0"/>
        <w:jc w:val="center"/>
        <w:rPr>
          <w:b/>
          <w:smallCaps/>
          <w:sz w:val="24"/>
        </w:rPr>
      </w:pPr>
      <w:r>
        <w:rPr>
          <w:b/>
          <w:smallCaps/>
          <w:sz w:val="24"/>
        </w:rPr>
        <w:t>sono group n.v.</w:t>
      </w:r>
    </w:p>
    <w:p>
      <w:pPr>
        <w:pStyle w:val="TextBody"/>
        <w:bidi w:val="0"/>
        <w:spacing w:before="0" w:after="0"/>
        <w:ind w:left="0" w:right="0" w:hanging="0"/>
        <w:jc w:val="center"/>
        <w:rPr>
          <w:b/>
          <w:smallCaps/>
          <w:sz w:val="20"/>
        </w:rPr>
      </w:pPr>
      <w:r>
        <w:rPr>
          <w:b/>
          <w:smallCaps/>
          <w:sz w:val="20"/>
        </w:rPr>
        <w:t>Convertible Debenture</w:t>
      </w:r>
    </w:p>
    <w:p>
      <w:pPr>
        <w:pStyle w:val="TextBody"/>
        <w:bidi w:val="0"/>
        <w:spacing w:before="0" w:after="0"/>
        <w:ind w:left="0" w:right="0" w:hanging="0"/>
        <w:jc w:val="center"/>
        <w:rPr/>
      </w:pPr>
      <w:r>
        <w:rPr/>
        <w:t> </w:t>
      </w:r>
    </w:p>
    <w:tbl>
      <w:tblPr>
        <w:tblW w:w="2600" w:type="dxa"/>
        <w:jc w:val="left"/>
        <w:tblInd w:w="0" w:type="dxa"/>
        <w:tblLayout w:type="fixed"/>
        <w:tblCellMar>
          <w:top w:w="0" w:type="dxa"/>
          <w:left w:w="0" w:type="dxa"/>
          <w:bottom w:w="0" w:type="dxa"/>
          <w:right w:w="0" w:type="dxa"/>
        </w:tblCellMar>
      </w:tblPr>
      <w:tblGrid>
        <w:gridCol w:w="2600"/>
      </w:tblGrid>
      <w:tr>
        <w:trPr/>
        <w:tc>
          <w:tcPr>
            <w:tcW w:w="2600" w:type="dxa"/>
            <w:tcBorders/>
            <w:vAlign w:val="center"/>
          </w:tcPr>
          <w:p>
            <w:pPr>
              <w:pStyle w:val="TableContents"/>
              <w:bidi w:val="0"/>
              <w:spacing w:before="0" w:after="283"/>
              <w:jc w:val="both"/>
              <w:rPr>
                <w:b/>
                <w:sz w:val="20"/>
              </w:rPr>
            </w:pPr>
            <w:r>
              <w:rPr>
                <w:b/>
                <w:sz w:val="20"/>
              </w:rPr>
              <w:t>Principal Amount: $3,000,000</w:t>
            </w:r>
          </w:p>
        </w:tc>
      </w:tr>
    </w:tbl>
    <w:p>
      <w:pPr>
        <w:pStyle w:val="TextBody"/>
        <w:bidi w:val="0"/>
        <w:spacing w:before="0" w:after="0"/>
        <w:ind w:left="0" w:right="0" w:hanging="0"/>
        <w:jc w:val="both"/>
        <w:rPr>
          <w:b/>
          <w:sz w:val="20"/>
        </w:rPr>
      </w:pPr>
      <w:r>
        <w:rPr>
          <w:b/>
          <w:sz w:val="20"/>
        </w:rPr>
        <w:t>Debenture Issuance Date: March 10, 2026</w:t>
      </w:r>
    </w:p>
    <w:p>
      <w:pPr>
        <w:pStyle w:val="TextBody"/>
        <w:bidi w:val="0"/>
        <w:spacing w:before="0" w:after="0"/>
        <w:ind w:left="0" w:right="0" w:hanging="0"/>
        <w:jc w:val="both"/>
        <w:rPr>
          <w:b/>
          <w:sz w:val="20"/>
        </w:rPr>
      </w:pPr>
      <w:r>
        <w:rPr>
          <w:b/>
          <w:sz w:val="20"/>
        </w:rPr>
        <w:t>Debenture Number: SEV-10</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b/>
          <w:sz w:val="20"/>
        </w:rPr>
        <w:t>FOR VALUE RECEIVED, SONO GROUP N.V.</w:t>
      </w:r>
      <w:r>
        <w:rPr>
          <w:sz w:val="20"/>
        </w:rPr>
        <w:t>, a Dutch public limited liability company (the “</w:t>
      </w:r>
      <w:r>
        <w:rPr>
          <w:sz w:val="20"/>
          <w:u w:val="single"/>
        </w:rPr>
        <w:t>Company</w:t>
      </w:r>
      <w:r>
        <w:rPr>
          <w:sz w:val="20"/>
        </w:rPr>
        <w:t xml:space="preserve">”), hereby promises to pay to the order of </w:t>
      </w:r>
      <w:r>
        <w:rPr>
          <w:b/>
          <w:sz w:val="20"/>
        </w:rPr>
        <w:t>YA II PN, Ltd.</w:t>
      </w:r>
      <w:r>
        <w:rPr>
          <w:sz w:val="20"/>
        </w:rPr>
        <w:t>, or its registered assigns (the “</w:t>
      </w:r>
      <w:r>
        <w:rPr>
          <w:sz w:val="20"/>
          <w:u w:val="single"/>
        </w:rPr>
        <w:t>Holder</w:t>
      </w:r>
      <w:r>
        <w:rPr>
          <w:sz w:val="20"/>
        </w:rPr>
        <w:t>”), the amount set out above as the principal amount (as reduced or increased pursuant to the terms hereof pursuant to redemption, conversion or otherwise, the “</w:t>
      </w:r>
      <w:r>
        <w:rPr>
          <w:sz w:val="20"/>
          <w:u w:val="single"/>
        </w:rPr>
        <w:t>Principal</w:t>
      </w:r>
      <w:r>
        <w:rPr>
          <w:sz w:val="20"/>
        </w:rPr>
        <w:t>”) when due, whether upon the Maturity Date (as defined below), acceleration, redemption or otherwise (in each case in accordance with the terms hereof) and to pay interest (“</w:t>
      </w:r>
      <w:r>
        <w:rPr>
          <w:sz w:val="20"/>
          <w:u w:val="single"/>
        </w:rPr>
        <w:t>Interest</w:t>
      </w:r>
      <w:r>
        <w:rPr>
          <w:sz w:val="20"/>
        </w:rPr>
        <w:t>”) on any outstanding Principal at the applicable Interest Rate from the date set out above as the Debenture Issuance Date (the “</w:t>
      </w:r>
      <w:r>
        <w:rPr>
          <w:sz w:val="20"/>
          <w:u w:val="single"/>
        </w:rPr>
        <w:t>Issuance Date</w:t>
      </w:r>
      <w:r>
        <w:rPr>
          <w:sz w:val="20"/>
        </w:rPr>
        <w:t>”) until the same becomes due and payable, whether upon the Maturity Date or acceleration, conversion, redemption or otherwise (in each case in accordance with the terms hereof). The term “</w:t>
      </w:r>
      <w:r>
        <w:rPr>
          <w:sz w:val="20"/>
          <w:u w:val="single"/>
        </w:rPr>
        <w:t>Debenture</w:t>
      </w:r>
      <w:r>
        <w:rPr>
          <w:sz w:val="20"/>
        </w:rPr>
        <w:t>” used herein shall mean this convertible debenture and any debenture issued in replacement thereof. Certain capitalized terms used herein are defined in Section 14.</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(1)           </w:t>
      </w:r>
      <w:r>
        <w:rPr>
          <w:sz w:val="20"/>
          <w:u w:val="single"/>
        </w:rPr>
        <w:t>GENERAL TERMS</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 xml:space="preserve">(a)             </w:t>
      </w:r>
      <w:r>
        <w:rPr>
          <w:sz w:val="20"/>
          <w:u w:val="single"/>
        </w:rPr>
        <w:t>Funding</w:t>
      </w:r>
      <w:r>
        <w:rPr>
          <w:sz w:val="20"/>
        </w:rPr>
        <w:t>. On the Issuance Date, upon the execution and delivery of this Debenture and the closing statement executed by the Company, the Holder shall pay to the Company the Principal Amount set forth above in immediately available funds to an account designated by the Company in writing in the closing statement, and the Company shall deliver this Debenture to the Holder with a Principal amount equal to the full Principal Amount set forth above, duly executed on behalf of the Company.</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(b)            </w:t>
      </w:r>
      <w:r>
        <w:rPr>
          <w:sz w:val="20"/>
          <w:u w:val="single"/>
        </w:rPr>
        <w:t>Maturity Date</w:t>
      </w:r>
      <w:r>
        <w:rPr>
          <w:sz w:val="20"/>
        </w:rPr>
        <w:t>. On the Maturity Date, the Company shall pay to the Holder an amount in cash representing all outstanding Principal, accrued and unpaid Interest, and any other amounts outstanding pursuant to the terms of this Debenture. The “</w:t>
      </w:r>
      <w:r>
        <w:rPr>
          <w:sz w:val="20"/>
          <w:u w:val="single"/>
        </w:rPr>
        <w:t>Maturity Date</w:t>
      </w:r>
      <w:r>
        <w:rPr>
          <w:sz w:val="20"/>
        </w:rPr>
        <w:t>” shall be March 10, 2027, as may be extended at the option of the Holder. Other than as specifically permitted by this Debenture, the Company may not prepay or redeem any portion of the outstanding Principal and accrued and unpaid Interest</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(c)            </w:t>
      </w:r>
      <w:r>
        <w:rPr>
          <w:sz w:val="20"/>
          <w:u w:val="single"/>
        </w:rPr>
        <w:t>Interest Rate and Payment of Interest</w:t>
      </w:r>
      <w:r>
        <w:rPr>
          <w:sz w:val="20"/>
        </w:rPr>
        <w:t>. Interest shall accrue on the outstanding Principal balance hereof at an annual rate equal to 12% (“</w:t>
      </w:r>
      <w:r>
        <w:rPr>
          <w:sz w:val="20"/>
          <w:u w:val="single"/>
        </w:rPr>
        <w:t>Interest Rate</w:t>
      </w:r>
      <w:r>
        <w:rPr>
          <w:sz w:val="20"/>
        </w:rPr>
        <w:t>”), which Interest Rate shall increase to an annual rate of 18% upon an Event of Default for so long as it remains uncured. Interest shall be calculated based on a 365-day year and the actual number of days elapsed, to the extent permitted by applicable law.</w:t>
      </w:r>
    </w:p>
    <w:p>
      <w:pPr>
        <w:pStyle w:val="TextBody"/>
        <w:bidi w:val="0"/>
        <w:spacing w:before="0" w:after="0"/>
        <w:ind w:left="0" w:right="0" w:firstLine="2160"/>
        <w:jc w:val="both"/>
        <w:rPr/>
      </w:pPr>
      <w:r>
        <w:rPr/>
        <w:t> </w:t>
      </w:r>
    </w:p>
    <w:p>
      <w:pPr>
        <w:pStyle w:val="TextBody"/>
        <w:bidi w:val="0"/>
        <w:spacing w:before="0" w:after="0"/>
        <w:ind w:left="0" w:right="0" w:firstLine="1440"/>
        <w:jc w:val="both"/>
        <w:rPr>
          <w:sz w:val="20"/>
        </w:rPr>
      </w:pPr>
      <w:r>
        <w:rPr>
          <w:sz w:val="20"/>
        </w:rPr>
        <w:t>(2)           </w:t>
      </w:r>
      <w:r>
        <w:rPr>
          <w:sz w:val="20"/>
          <w:u w:val="single"/>
        </w:rPr>
        <w:t>PAYMENTS</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(a)            </w:t>
      </w:r>
      <w:r>
        <w:rPr>
          <w:sz w:val="20"/>
          <w:u w:val="single"/>
        </w:rPr>
        <w:t>RESERVED</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(b)            </w:t>
      </w:r>
      <w:r>
        <w:rPr>
          <w:sz w:val="20"/>
          <w:u w:val="single"/>
        </w:rPr>
        <w:t>Early Redemption</w:t>
      </w:r>
      <w:r>
        <w:rPr>
          <w:sz w:val="20"/>
        </w:rPr>
        <w:t>. The Company at its option shall have the right, but not the obligation, to redeem (“</w:t>
      </w:r>
      <w:r>
        <w:rPr>
          <w:sz w:val="20"/>
          <w:u w:val="single"/>
        </w:rPr>
        <w:t>Optional Redemption</w:t>
      </w:r>
      <w:r>
        <w:rPr>
          <w:sz w:val="20"/>
        </w:rPr>
        <w:t xml:space="preserve">”) early a portion or all amounts outstanding under this Debenture as described in this Section; </w:t>
      </w:r>
      <w:r>
        <w:rPr>
          <w:i/>
          <w:sz w:val="20"/>
        </w:rPr>
        <w:t>provided</w:t>
      </w:r>
      <w:r>
        <w:rPr>
          <w:sz w:val="20"/>
        </w:rPr>
        <w:t xml:space="preserve"> that (i) the trading price of the Ordinary Shares is less than the Fixed Conversion Price and (ii) the Company provides the Holder with at least five (5) Business Days’ prior written notice (each, a “</w:t>
      </w:r>
      <w:r>
        <w:rPr>
          <w:sz w:val="20"/>
          <w:u w:val="single"/>
        </w:rPr>
        <w:t>Redemption Notice</w:t>
      </w:r>
      <w:r>
        <w:rPr>
          <w:sz w:val="20"/>
        </w:rPr>
        <w:t>”) of its desire to exercise an Optional Redemption. Each Redemption Notice shall be irrevocable and shall specify the outstanding balance of the Convertible Debenture to be redeemed and the applicable Redemption Premium. The “</w:t>
      </w:r>
      <w:r>
        <w:rPr>
          <w:sz w:val="20"/>
          <w:u w:val="single"/>
        </w:rPr>
        <w:t>Redemption Amount</w:t>
      </w:r>
      <w:r>
        <w:rPr>
          <w:sz w:val="20"/>
        </w:rPr>
        <w:t>” shall be equal to the outstanding Principal balance being redeemed by the Company, plus the applicable Redemption Premium, plus all accrued and unpaid interest. After receipt of the Redemption Notice, the Holder shall have five (5) Business Days to elect to convert all or any portion of the Debenture. On the 6th Business Day after the Redemption Notice, the Company shall deliver to the Holder the Redemption Amount with respect to the Principal amount redeemed after giving effect to conversions effected during the five (5) Business Day period.</w:t>
      </w:r>
    </w:p>
    <w:p>
      <w:pPr>
        <w:pStyle w:val="TextBody"/>
        <w:bidi w:val="0"/>
        <w:spacing w:before="0" w:after="0"/>
        <w:ind w:left="0" w:right="0" w:firstLine="2160"/>
        <w:jc w:val="both"/>
        <w:rPr/>
      </w:pPr>
      <w:r>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(3)            </w:t>
      </w:r>
      <w:r>
        <w:rPr>
          <w:sz w:val="20"/>
          <w:u w:val="single"/>
        </w:rPr>
        <w:t>EVENTS OF DEFAULT</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(a)            An “</w:t>
      </w:r>
      <w:r>
        <w:rPr>
          <w:sz w:val="20"/>
          <w:u w:val="single"/>
        </w:rPr>
        <w:t>Event of Default</w:t>
      </w:r>
      <w:r>
        <w:rPr>
          <w:sz w:val="20"/>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w:t>
      </w:r>
    </w:p>
    <w:p>
      <w:pPr>
        <w:pStyle w:val="TextBody"/>
        <w:bidi w:val="0"/>
        <w:spacing w:before="0" w:after="0"/>
        <w:ind w:left="0" w:right="0" w:hanging="0"/>
        <w:jc w:val="both"/>
        <w:rPr/>
      </w:pPr>
      <w:r>
        <w:rPr/>
        <w:t> </w:t>
      </w:r>
    </w:p>
    <w:p>
      <w:pPr>
        <w:pStyle w:val="TextBody"/>
        <w:bidi w:val="0"/>
        <w:spacing w:before="0" w:after="0"/>
        <w:ind w:left="0" w:right="0" w:firstLine="2880"/>
        <w:jc w:val="both"/>
        <w:rPr>
          <w:sz w:val="20"/>
        </w:rPr>
      </w:pPr>
      <w:r>
        <w:rPr>
          <w:sz w:val="20"/>
        </w:rPr>
        <w:t>(i)               the Company’s or any Guarantor’s failure to pay to the Holder any amount of Principal, Redemption Premium, Interest, or other amounts when and as due under this Debenture or any other Transaction Document;</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(ii)              The Company, any Subsidiary of the Company, or there shall be commenced against the Company, any Subsidiary of the Company under any applicable bankruptcy or insolvency laws as now or hereafter in effect or any successor thereto, or the Company, any Subsidiary of the Company commences any other proceeding under any reorganization, arrangement, adjustment of debt, relief of debtors, dissolution, insolvency or liquidation or similar law of any jurisdiction whether now or hereafter in effect relating to the Company, any Subsidiary of the Company and any such bankruptcy, insolvency or other proceeding which remains undismissed for a period of sixty one (61) days; or the Company, any Subsidiary of the Company is adjudicated insolvent or bankrupt; or any order of relief or other order approving any such case or proceeding is entered; or the Company, any Subsidiary of the Company suffers any appointment of any custodian, private or court appointed receiver or the like for it or all or substantially all of its property which continues undischarged or unstayed for a period of sixty one (61) days; or the Company, any Subsidiary of the Company makes a general assignment of all or substantially all of its assets for the benefit of creditors; or the Company, any Subsidiary of the Company shall fail to pay, or shall state that it is unable to pay, or shall be unable to pay, its debts generally as they become due; or the Company, any Subsidiary of the Company shall call a meeting of its creditors with a view to arranging a composition, adjustment or restructuring of its debts; or the Company, any Subsidiary of the Company shall by any act or failure to act expressly indicate its consent to, approval of or acquiescence in any of the foregoing; or any corporate or other action is taken by the Company, any Subsidiary of the Company for the purpose of effecting any of the foregoing;</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(iii)             The Company, any Subsidiary of the Company shall default in any of its obligations under any obligation or any promissory note,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any Subsidiary of the Company in an amount exceeding EUR 200,000, whether such indebtedness now exists or shall hereafter be created and such default shall result in such indebtedness becoming or being declared due and payable and such default is not thereafter cured within five (5) Business Days;</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(iv)              The Company, any Subsidiary of the Company shall be a party to any Change of Control Transaction (as defined in Section 14) unless in connection with such Change of Control Transaction this Debenture is retired;</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(v)             The Company’s (A) failure to issue and deliver the required number of Ordinary Shares to the Holder within four (4) Business Days after the applicable Share Delivery Date or (B) notice, written or oral, to any holder of the Debenture, including by way of public announcement, at any time, of its intention not to comply with a request for conversion of the Debenture into Ordinary Shares that is tendered in accordance with the provisions of the Debenture, other than pursuant to Section 4(c);</w:t>
      </w:r>
    </w:p>
    <w:p>
      <w:pPr>
        <w:pStyle w:val="TextBody"/>
        <w:bidi w:val="0"/>
        <w:spacing w:before="0" w:after="0"/>
        <w:ind w:left="0" w:right="0" w:firstLine="2880"/>
        <w:jc w:val="both"/>
        <w:rPr/>
      </w:pPr>
      <w:r>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2880"/>
        <w:jc w:val="both"/>
        <w:rPr>
          <w:sz w:val="20"/>
        </w:rPr>
      </w:pPr>
      <w:r>
        <w:rPr>
          <w:sz w:val="20"/>
        </w:rPr>
        <w:t>(vi)            The Company shall fail for any reason to deliver the payment in cash pursuant to a Buy-In (as defined in Section 4(b)(ii) herein) within five Business Days after such payment is due;</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(vii)           The Company’s failure to timely file with the Commission any Periodic Report on or before the due date of such filing as established by the Commission, it being understood, for the avoidance of doubt, that due date includes any permitted filing deadline extension under Rule 12b-25 under the Exchange Act . For purposes hereof, “</w:t>
      </w:r>
      <w:r>
        <w:rPr>
          <w:sz w:val="20"/>
          <w:u w:val="single"/>
        </w:rPr>
        <w:t>Periodic Reports</w:t>
      </w:r>
      <w:r>
        <w:rPr>
          <w:sz w:val="20"/>
        </w:rPr>
        <w:t xml:space="preserve">” means the Company’s (i) Annual Report on Form 10-K for the fiscal year ending December 31, 2024, (ii) any current report to be filed on Form 8-K, and (iii) all other reports required to be filed by the Company with the Commission under applicable laws and regulations (including, without limitation, Regulation S-K) for so long as any amounts are outstanding under this Debenture; </w:t>
      </w:r>
      <w:r>
        <w:rPr>
          <w:i/>
          <w:sz w:val="20"/>
        </w:rPr>
        <w:t>provided</w:t>
      </w:r>
      <w:r>
        <w:rPr>
          <w:sz w:val="20"/>
        </w:rPr>
        <w:t xml:space="preserve"> that all such Periodic Reports shall include, when filed, all information, financial statements, audit reports (when applicable) and other information required to be included in such Periodic Reports in compliance with all applicable laws and regulations;</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(viii)              Any representation or warranty made or deemed made by the Company, any Subsidiary of the Company in any Transaction Document shall prove to have been incorrect in any material respect (or, in the case of any such representation or warranty already qualified by materiality, such representation or warranty shall prove to have been incorrect) when made or deemed made;</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(ix)               Any material provision of any Transaction Document, at any time after its execution and delivery and for any reason other than as expressly permitted hereunder or thereunder or satisfaction in full of all Obligations, ceases to be in full force and effect; or the Company or any other Person contests in writing the validity or enforceability of any provision of any Transaction Document; or the Company or any Guarantor denies in writing that it has any or further liability or obligation under any Transaction Document, or purports in writing to revoke, terminate (other than in line with the relevant termination provisions) or rescind any Transaction Document;</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(x)             The Company shall fail to observe or perform any material covenant, agreement or warranty contained in, or otherwise commit any material breach or default of any provision of this Debenture (except as may be covered by Section (3)(a)(i) through (3)(a)(ix) hereof) or any other Transaction Document (as defined in Section 14) which is not cured or remedied within the time prescribed (if any);</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(xi)        Any Event of Default (as defined in the Other Debentures or in any Transaction Document other than this Debenture) occurs respect to any Other Debentures held by the Holder or any breach of any material term of any other debenture, note, or instrument held by the Holder in the Company or any agreement between or among the Company and the Holder; or</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(xii)       RESERVED</w:t>
      </w:r>
    </w:p>
    <w:p>
      <w:pPr>
        <w:pStyle w:val="TextBody"/>
        <w:bidi w:val="0"/>
        <w:spacing w:before="0" w:after="0"/>
        <w:ind w:left="0" w:right="0" w:firstLine="2880"/>
        <w:jc w:val="both"/>
        <w:rPr/>
      </w:pPr>
      <w:r>
        <w:rPr/>
        <w:t>  </w:t>
      </w:r>
    </w:p>
    <w:p>
      <w:pPr>
        <w:pStyle w:val="TextBody"/>
        <w:bidi w:val="0"/>
        <w:spacing w:before="0" w:after="0"/>
        <w:ind w:left="0" w:right="0" w:firstLine="2160"/>
        <w:jc w:val="both"/>
        <w:rPr>
          <w:sz w:val="20"/>
        </w:rPr>
      </w:pPr>
      <w:r>
        <w:rPr>
          <w:sz w:val="20"/>
        </w:rPr>
        <w:t xml:space="preserve">(b)           During the time that any portion of this Debenture is outstanding, if any Event of Default has occurred and has not been cured within the applicable cure period, if any, (other than an event with respect to the Company described in Section 3(a)(ii)) the full unpaid Principal amount of this Debenture, together with interest and other amounts owing in respect thereof and other Obligations accrued hereunder and under any other Transaction Document, to the date of acceleration shall become at the Holder's election given by notice pursuant to Section 7, immediately due and payable in cash; </w:t>
      </w:r>
      <w:r>
        <w:rPr>
          <w:sz w:val="20"/>
          <w:u w:val="single"/>
        </w:rPr>
        <w:t>provided</w:t>
      </w:r>
      <w:r>
        <w:rPr>
          <w:sz w:val="20"/>
        </w:rPr>
        <w:t xml:space="preserve"> that, in case of any event with respect to the Company described in Section 3(a)(ii), the full unpaid Principal amount of this Debenture, together with interest and other amounts owing in respect thereof and other Obligations accrued hereunder and under any other Transaction Document, to the date of acceleration, shall automatically become due and payable, in each case without presentment, demand, protest or other notice of any kind, all of which are hereby waived by the Company. Furthermore, in addition to any other remedies, the Holder shall have the right (but not the obligation) to convert, at the Conversion Rate, on one or more occasions all or part of the Conversion Amount in accordance with Section 4 hereof (subject to the beneficial ownership limitations set out in Section (4)(c)) at any time after (x) an Event of Default (provided that such Event of Default is continuing) or (y) the Maturity Date. The Holder need not provide, and the Company hereby waives, any presentment, demand, protest or other notice of any kind (other than required notice of conversion) and the Holder may immediately enforce any and all of its rights and remedies hereunder and all other remedies available to it under applicable law. Such declaration may be rescinded and annulled by the Holder in writing at any time prior to payment hereunder. No such rescission or annulment shall affect any subsequent Event of Default or impair any right consequent thereon.</w:t>
      </w:r>
    </w:p>
    <w:p>
      <w:pPr>
        <w:pStyle w:val="TextBody"/>
        <w:bidi w:val="0"/>
        <w:spacing w:before="0" w:after="0"/>
        <w:ind w:left="0" w:right="0" w:hanging="0"/>
        <w:jc w:val="both"/>
        <w:rPr/>
      </w:pPr>
      <w:r>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(4)           </w:t>
      </w:r>
      <w:r>
        <w:rPr>
          <w:sz w:val="20"/>
          <w:u w:val="single"/>
        </w:rPr>
        <w:t>CONVERSION OF DEBENTURE</w:t>
      </w:r>
      <w:r>
        <w:rPr>
          <w:sz w:val="20"/>
        </w:rPr>
        <w:t>. This Debenture shall be convertible into Ordinary Shares, on the terms and conditions set forth in this Section 4.</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(a)            </w:t>
      </w:r>
      <w:r>
        <w:rPr>
          <w:sz w:val="20"/>
          <w:u w:val="single"/>
        </w:rPr>
        <w:t>Conversion Right</w:t>
      </w:r>
      <w:r>
        <w:rPr>
          <w:sz w:val="20"/>
        </w:rPr>
        <w:t>. Subject to the limitations of Section (4)(c), at any time or times on or after the Issuance Date, the Holder shall be entitled to convert any portion of the outstanding and unpaid Conversion Amount (as defined below) into fully paid and non-assessable (meaning that the holders of the Ordinary Shares will not by reason of merely being such a holder, be subject to assessment or calls by the Company or its creditors for further payment on such Ordinary Shares) Ordinary Shares in accordance with Section (4)(b), at the Conversion Rate (as defined below). The number of Ordinary Shares issuable upon conversion of any Conversion Amount pursuant to this Section (4)(a) shall be determined by dividing (x) such Conversion Amount by (y) the Conversion Price (the “</w:t>
      </w:r>
      <w:r>
        <w:rPr>
          <w:sz w:val="20"/>
          <w:u w:val="single"/>
        </w:rPr>
        <w:t>Conversion Rate</w:t>
      </w:r>
      <w:r>
        <w:rPr>
          <w:sz w:val="20"/>
        </w:rPr>
        <w:t>”). The Company shall not issue any fraction of an Ordinary Share upon any conversion. If the issuance would result in the issuance of a fraction of an Ordinary Share, the Company shall round such fraction of an Ordinary Share up to the nearest whole share. The Company shall pay any and all issuance tax, stamp duties and similar documentary taxes that may be payable with respect to the issuance and delivery of Ordinary Shares upon conversion of any Conversion Amount.</w:t>
      </w:r>
    </w:p>
    <w:p>
      <w:pPr>
        <w:pStyle w:val="TextBody"/>
        <w:bidi w:val="0"/>
        <w:spacing w:before="0" w:after="0"/>
        <w:ind w:left="0" w:right="0" w:firstLine="2160"/>
        <w:jc w:val="both"/>
        <w:rPr/>
      </w:pPr>
      <w:r>
        <w:rPr/>
        <w:t> </w:t>
      </w:r>
    </w:p>
    <w:p>
      <w:pPr>
        <w:pStyle w:val="TextBody"/>
        <w:bidi w:val="0"/>
        <w:spacing w:before="0" w:after="0"/>
        <w:ind w:left="0" w:right="0" w:firstLine="2880"/>
        <w:jc w:val="left"/>
        <w:rPr/>
      </w:pPr>
      <w:r>
        <w:rPr/>
        <w:t> </w:t>
      </w:r>
      <w:r>
        <w:rPr>
          <w:sz w:val="20"/>
        </w:rPr>
        <w:t>(i)          “</w:t>
      </w:r>
      <w:r>
        <w:rPr>
          <w:sz w:val="20"/>
          <w:u w:val="single"/>
        </w:rPr>
        <w:t>Conversion Amount</w:t>
      </w:r>
      <w:r>
        <w:rPr>
          <w:sz w:val="20"/>
        </w:rPr>
        <w:t>” means the portion of the Principal and/or accrued Interest to be converted, redeemed or otherwise with respect to which this determination is being made.</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(ii)           “</w:t>
      </w:r>
      <w:r>
        <w:rPr>
          <w:sz w:val="20"/>
          <w:u w:val="single"/>
        </w:rPr>
        <w:t>Conversion Price</w:t>
      </w:r>
      <w:r>
        <w:rPr>
          <w:sz w:val="20"/>
        </w:rPr>
        <w:t>” means, as of any Conversion Date (as defined below) or other date of determination the lower of (i) a price per Ordinary Share equal to USD 18.75 (the “</w:t>
      </w:r>
      <w:r>
        <w:rPr>
          <w:sz w:val="20"/>
          <w:u w:val="single"/>
        </w:rPr>
        <w:t>Fixed Conversion Price</w:t>
      </w:r>
      <w:r>
        <w:rPr>
          <w:sz w:val="20"/>
        </w:rPr>
        <w:t>”), or (ii) 85% of the lowest daily VWAP of the Ordinary Shares during the seven (7) consecutive Trading Days immediately preceding the Conversion Date or other date of determination (the “</w:t>
      </w:r>
      <w:r>
        <w:rPr>
          <w:sz w:val="20"/>
          <w:u w:val="single"/>
        </w:rPr>
        <w:t>Variable Conversion Price</w:t>
      </w:r>
      <w:r>
        <w:rPr>
          <w:sz w:val="20"/>
        </w:rPr>
        <w:t>”), provided that the Variable Conversion Price shall not be lower than the Floor Price then in effect; provided, further, that under no circumstances, will the Conversion Price per Ordinary Share be less than the nominal value of one Ordinary Share (translated into USD on the applicable Share Delivery Date (as defined below)). The Conversion Price shall be adjusted from time to time pursuant to the other terms and conditions of this Debenture.</w:t>
      </w:r>
    </w:p>
    <w:p>
      <w:pPr>
        <w:pStyle w:val="TextBody"/>
        <w:bidi w:val="0"/>
        <w:spacing w:before="0" w:after="0"/>
        <w:ind w:left="0" w:right="0" w:firstLine="2880"/>
        <w:jc w:val="both"/>
        <w:rPr/>
      </w:pPr>
      <w:r>
        <w:rPr/>
        <w:t> </w:t>
      </w:r>
    </w:p>
    <w:p>
      <w:pPr>
        <w:pStyle w:val="TextBody"/>
        <w:bidi w:val="0"/>
        <w:spacing w:before="0" w:after="0"/>
        <w:ind w:left="0" w:right="0" w:firstLine="2160"/>
        <w:jc w:val="both"/>
        <w:rPr>
          <w:sz w:val="20"/>
        </w:rPr>
      </w:pPr>
      <w:r>
        <w:rPr>
          <w:sz w:val="20"/>
        </w:rPr>
        <w:t>(b)            </w:t>
      </w:r>
      <w:r>
        <w:rPr>
          <w:sz w:val="20"/>
          <w:u w:val="single"/>
        </w:rPr>
        <w:t>Mechanics of Conversion</w:t>
      </w:r>
      <w:r>
        <w:rPr>
          <w:sz w:val="20"/>
        </w:rPr>
        <w:t>.</w:t>
      </w:r>
    </w:p>
    <w:p>
      <w:pPr>
        <w:pStyle w:val="TextBody"/>
        <w:bidi w:val="0"/>
        <w:spacing w:before="0" w:after="0"/>
        <w:ind w:left="0" w:right="0" w:firstLine="2160"/>
        <w:jc w:val="both"/>
        <w:rPr/>
      </w:pPr>
      <w:r>
        <w:rPr/>
        <w:t> </w:t>
      </w:r>
    </w:p>
    <w:p>
      <w:pPr>
        <w:pStyle w:val="TextBody"/>
        <w:bidi w:val="0"/>
        <w:spacing w:before="0" w:after="0"/>
        <w:ind w:left="0" w:right="0" w:firstLine="2880"/>
        <w:jc w:val="both"/>
        <w:rPr>
          <w:sz w:val="20"/>
        </w:rPr>
      </w:pPr>
      <w:r>
        <w:rPr>
          <w:sz w:val="20"/>
        </w:rPr>
        <w:t xml:space="preserve">(i)               </w:t>
      </w:r>
      <w:r>
        <w:rPr>
          <w:sz w:val="20"/>
          <w:u w:val="single"/>
        </w:rPr>
        <w:t>Optional Conversion</w:t>
      </w:r>
      <w:r>
        <w:rPr>
          <w:sz w:val="20"/>
        </w:rPr>
        <w:t>. To convert any Conversion Amount into Ordinary Shares on any date (a “</w:t>
      </w:r>
      <w:r>
        <w:rPr>
          <w:sz w:val="20"/>
          <w:u w:val="single"/>
        </w:rPr>
        <w:t>Conversion Date</w:t>
      </w:r>
      <w:r>
        <w:rPr>
          <w:sz w:val="20"/>
        </w:rPr>
        <w:t xml:space="preserve">”), the Holder shall (A) transmit by email (or otherwise deliver), for receipt on or prior to 11:59 p.m., New York Time, on such date, a copy of an executed notice of conversion in the form attached hereto as </w:t>
      </w:r>
      <w:r>
        <w:rPr>
          <w:sz w:val="20"/>
          <w:u w:val="single"/>
        </w:rPr>
        <w:t>Exhibit I</w:t>
      </w:r>
      <w:r>
        <w:rPr>
          <w:sz w:val="20"/>
        </w:rPr>
        <w:t xml:space="preserve"> (the “</w:t>
      </w:r>
      <w:r>
        <w:rPr>
          <w:sz w:val="20"/>
          <w:u w:val="single"/>
        </w:rPr>
        <w:t>Conversion Notice</w:t>
      </w:r>
      <w:r>
        <w:rPr>
          <w:sz w:val="20"/>
        </w:rPr>
        <w:t>”) to the Company and (B) if required by Section (4)(b)(iii), surrender this Debenture to a nationally recognized overnight delivery service for delivery to the Company (or an indemnification undertaking reasonably satisfactory to the Company with respect to this Debenture in the case of its loss, theft or destruction). On or before the third (3rd) Trading Day following the date of receipt of a Conversion Notice (the “</w:t>
      </w:r>
      <w:r>
        <w:rPr>
          <w:sz w:val="20"/>
          <w:u w:val="single"/>
        </w:rPr>
        <w:t>Share Delivery Date</w:t>
      </w:r>
      <w:r>
        <w:rPr>
          <w:sz w:val="20"/>
        </w:rPr>
        <w:t>”), the Company shall (X) if legends are not required to be placed on certificates of Ordinary Shares and provided that the Transfer Agent is participating in the Depository Trust Company's (“</w:t>
      </w:r>
      <w:r>
        <w:rPr>
          <w:sz w:val="20"/>
          <w:u w:val="single"/>
        </w:rPr>
        <w:t>DTC</w:t>
      </w:r>
      <w:r>
        <w:rPr>
          <w:sz w:val="20"/>
        </w:rPr>
        <w:t>”) Fast Automated Securities Transfer Program, credit such aggregate number of Ordinary Shares to which the Holder shall be entitled to the Holder's or its designee's balance account with DTC through its Deposit Withdrawal Agent Commission system or (Y) if the Transfer Agent is not participating in the DTC Fast Automated Securities Transfer Program, issue and deliver to the address as specified in the Conversion Notice, a certificate, registered Ordinary Shares in the name of the Holder or its designee, for the number of Ordinary Shares to which the Holder shall be entitled which certificates shall not bear any restrictive legends unless required pursuant to rules and regulations of the Commission. If this Debenture is physically surrendered for conversion and the outstanding Principal of this Debenture is greater than the Principal portion of the Conversion Amount being converted, then the Company shall as soon as practicable and in no event later than three (3) Business Days after receipt of this Debenture and at its own expense, issue and deliver to the holder a new Debenture representing the outstanding Principal not converted. The Person or Persons entitled to receive the Ordinary Shares issuable upon a conversion of this Debenture shall be treated for all purposes as the record holder or holders of such Ordinary Shares upon the transmission of a Conversion Notice. In connection with any conversion of a Conversion Amount into Ordinary Shares on a Conversion Date, the Company shall, on the relevant Share Delivery Date, set off (</w:t>
      </w:r>
      <w:r>
        <w:rPr>
          <w:i/>
          <w:sz w:val="20"/>
        </w:rPr>
        <w:t>verrekenen</w:t>
      </w:r>
      <w:r>
        <w:rPr>
          <w:sz w:val="20"/>
        </w:rPr>
        <w:t>) its debt under the relevant Debenture(s) to pay such Conversion Amount against its receivable from the Holder to pay up in full, and satisfy the issue price, for the relevant Ordinary Shares issuable upon such conversion (and, for that purpose, such issue price shall be the same amount as the Conversion Amount).</w:t>
      </w:r>
    </w:p>
    <w:p>
      <w:pPr>
        <w:pStyle w:val="TextBody"/>
        <w:bidi w:val="0"/>
        <w:spacing w:before="0" w:after="0"/>
        <w:ind w:left="0" w:right="0" w:hanging="0"/>
        <w:jc w:val="both"/>
        <w:rPr/>
      </w:pPr>
      <w:r>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2880"/>
        <w:jc w:val="both"/>
        <w:rPr>
          <w:sz w:val="20"/>
        </w:rPr>
      </w:pPr>
      <w:r>
        <w:rPr>
          <w:sz w:val="20"/>
        </w:rPr>
        <w:t xml:space="preserve">(ii)              </w:t>
      </w:r>
      <w:r>
        <w:rPr>
          <w:sz w:val="20"/>
          <w:u w:val="single"/>
        </w:rPr>
        <w:t>Company's Failure to Timely Convert</w:t>
      </w:r>
      <w:r>
        <w:rPr>
          <w:sz w:val="20"/>
        </w:rPr>
        <w:t>. If within three (3) Trading Days after the Company's receipt of an email copy of a Conversion Notice the Company shall fail to issue and deliver a certificate to the Holder or credit the Holder's balance account with DTC for the number of Ordinary Shares to which the Holder is entitled upon its conversion of any Conversion Amount, and if on or after such Trading Day the Holder purchases (in an open market transaction or otherwise) Ordinary Shares to deliver in satisfaction of a sale by the Holder of Ordinary Shares issuable upon such conversion that the Holder anticipated receiving from the Company (a “</w:t>
      </w:r>
      <w:r>
        <w:rPr>
          <w:sz w:val="20"/>
          <w:u w:val="single"/>
        </w:rPr>
        <w:t>Buy-In</w:t>
      </w:r>
      <w:r>
        <w:rPr>
          <w:sz w:val="20"/>
        </w:rPr>
        <w:t>”), then the Company shall, within three (3) Business Days after the Holder's request and in the Holder's discretion, either (i) pay cash to the Holder in an amount equal to the Holder's total purchase price (including brokerage commissions and other out of pocket expenses, if any) for the Ordinary Shares so purchased (the “</w:t>
      </w:r>
      <w:r>
        <w:rPr>
          <w:sz w:val="20"/>
          <w:u w:val="single"/>
        </w:rPr>
        <w:t>Buy-In Price</w:t>
      </w:r>
      <w:r>
        <w:rPr>
          <w:sz w:val="20"/>
        </w:rPr>
        <w:t>”), at which point the Company's obligation to deliver such certificate (and to issue such Ordinary Shares) shall terminate, or (ii) promptly honor its obligation to deliver to the Holder a certificate or certificates representing such Ordinary Shares and pay cash to the Holder in an amount equal to the excess (if any) of the Buy-In Price over the product of (A) such number of Ordinary Shares, times (B) the Closing Price on the Conversion Date.</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 xml:space="preserve">(iii)             </w:t>
      </w:r>
      <w:r>
        <w:rPr>
          <w:sz w:val="20"/>
          <w:u w:val="single"/>
        </w:rPr>
        <w:t>Book-Entry</w:t>
      </w:r>
      <w:r>
        <w:rPr>
          <w:sz w:val="20"/>
        </w:rPr>
        <w:t>. Notwithstanding anything to the contrary set forth herein, upon conversion of any portion of this Debenture in accordance with the terms hereof, the Holder shall not be required to physically surrender this Debenture to the Company unless (A) the full Conversion Amount represented by this Debenture is being converted or (B) the Holder has provided the Company with prior written notice (which notice may be included in a Conversion Notice) requesting reissuance of this Debenture upon physical surrender of this Debenture. The Holder and the Company shall maintain records showing the Principal and Interest converted and the dates of such conversions or shall use such other method, reasonably satisfactory to the Holder and the Company, so as not to require physical surrender of this Debenture upon conversion.</w:t>
      </w:r>
    </w:p>
    <w:p>
      <w:pPr>
        <w:pStyle w:val="TextBody"/>
        <w:bidi w:val="0"/>
        <w:spacing w:before="0" w:after="0"/>
        <w:ind w:left="0" w:right="0" w:hanging="0"/>
        <w:jc w:val="both"/>
        <w:rPr/>
      </w:pPr>
      <w:r>
        <w:rPr/>
        <w:t> </w:t>
      </w:r>
    </w:p>
    <w:p>
      <w:pPr>
        <w:pStyle w:val="TextBody"/>
        <w:bidi w:val="0"/>
        <w:spacing w:before="0" w:after="0"/>
        <w:ind w:left="0" w:right="0" w:firstLine="2160"/>
        <w:jc w:val="left"/>
        <w:rPr>
          <w:sz w:val="20"/>
        </w:rPr>
      </w:pPr>
      <w:r>
        <w:rPr>
          <w:sz w:val="20"/>
        </w:rPr>
        <w:t>(c)            </w:t>
      </w:r>
      <w:r>
        <w:rPr>
          <w:sz w:val="20"/>
          <w:u w:val="single"/>
        </w:rPr>
        <w:t>Limitations on Conversions</w:t>
      </w:r>
      <w:r>
        <w:rPr>
          <w:sz w:val="20"/>
        </w:rPr>
        <w:t>.</w:t>
      </w:r>
    </w:p>
    <w:p>
      <w:pPr>
        <w:pStyle w:val="TextBody"/>
        <w:bidi w:val="0"/>
        <w:spacing w:before="0" w:after="0"/>
        <w:ind w:left="0" w:right="0" w:firstLine="2160"/>
        <w:jc w:val="left"/>
        <w:rPr/>
      </w:pPr>
      <w:r>
        <w:rPr/>
        <w:t> </w:t>
      </w:r>
    </w:p>
    <w:p>
      <w:pPr>
        <w:pStyle w:val="TextBody"/>
        <w:bidi w:val="0"/>
        <w:spacing w:before="0" w:after="0"/>
        <w:ind w:left="0" w:right="0" w:firstLine="2880"/>
        <w:jc w:val="both"/>
        <w:rPr>
          <w:sz w:val="20"/>
        </w:rPr>
      </w:pPr>
      <w:r>
        <w:rPr>
          <w:sz w:val="20"/>
        </w:rPr>
        <w:t xml:space="preserve">(i)               </w:t>
      </w:r>
      <w:r>
        <w:rPr>
          <w:sz w:val="20"/>
          <w:u w:val="single"/>
        </w:rPr>
        <w:t>Beneficial Ownership</w:t>
      </w:r>
      <w:r>
        <w:rPr>
          <w:sz w:val="20"/>
        </w:rPr>
        <w:t>. The Holder shall not have the right to convert any portion of this Debenture or receive Ordinary Shares hereunder to the extent that after giving effect to such conversion or receipt of such Ordinary Shares, the Holder, together with any affiliate thereof, would beneficially own (as determined in accordance with Section 13(d) of the Exchange Act and the rules promulgated thereunder) in excess of 4.99% of the number of Ordinary Shares outstanding immediately after giving effect to such conversion or receipt of shares as payment of interest. Since the Holder will not be obligated to report to the Company the number of Ordinary Shares it may hold at the time of a conversion hereunder, unless the conversion at issue would result in the issuance of Ordinary Shares in excess of 4.99% of the then outstanding Ordinary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Debenture is convertible shall be the responsibility and obligation of the Holder. If the Holder has delivered a Conversion Notice for a Principal amount of this Debenture that, without regard to any other shares that the Holder or its affiliates may beneficially own, would result in the issuance in excess of the permitted amount hereunder, the Company shall notify the Holder of this fact and shall honor the conversion for the maximum Principal amount permitted to be converted on such Conversion Date in accordance with Section (4)(a) and, any Principal amount tendered for conversion in excess of the permitted amount hereunder shall remain outstanding under this Debenture. The provisions of this Section may be waived by the Holder upon not less than 65 days prior notice to the Company.</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(ii)              </w:t>
      </w:r>
      <w:r>
        <w:rPr>
          <w:sz w:val="20"/>
          <w:u w:val="single"/>
        </w:rPr>
        <w:t>Compliance with Rules of Principal Market</w:t>
      </w:r>
      <w:r>
        <w:rPr>
          <w:sz w:val="20"/>
        </w:rPr>
        <w:t>. Notwithstanding anything to the contrary herein, the Company shall not issue any Ordinary Shares under this Debenture to the extent (but only to the extent) that after giving effect to such issuance the aggregate number of Ordinary Shares issued under this Debenture would exceed 19.99% of the aggregate number of Ordinary Shares issued and outstanding as of the Issuance Date of this Debenture, which number shall be reduced, on a share-for-share basis, by the number of Ordinary Shares issued or issuable pursuant to any transaction or series of transactions that may be aggregated with the transactions contemplated by this Note under the applicable rules of the rules or regulations of the Nasdaq Stock Market LLC (the “</w:t>
      </w:r>
      <w:r>
        <w:rPr>
          <w:sz w:val="20"/>
          <w:u w:val="single"/>
        </w:rPr>
        <w:t>Nasdaq</w:t>
      </w:r>
      <w:r>
        <w:rPr>
          <w:sz w:val="20"/>
        </w:rPr>
        <w:t>”) (such maximum number of shares, the “</w:t>
      </w:r>
      <w:r>
        <w:rPr>
          <w:sz w:val="20"/>
          <w:u w:val="single"/>
        </w:rPr>
        <w:t>Exchange Cap</w:t>
      </w:r>
      <w:r>
        <w:rPr>
          <w:sz w:val="20"/>
        </w:rPr>
        <w:t>”) unless the Company’s stockholders have approved the issuance of Common Shares pursuant to this Note in excess of the Exchange Cap, or the Company is exempt from such requirements, in accordance with the applicable rules of the Nasdaq.</w:t>
      </w:r>
    </w:p>
    <w:p>
      <w:pPr>
        <w:pStyle w:val="TextBody"/>
        <w:bidi w:val="0"/>
        <w:spacing w:before="0" w:after="0"/>
        <w:ind w:left="0" w:right="0" w:firstLine="2880"/>
        <w:jc w:val="both"/>
        <w:rPr/>
      </w:pPr>
      <w:r>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2160"/>
        <w:jc w:val="left"/>
        <w:rPr>
          <w:sz w:val="20"/>
        </w:rPr>
      </w:pPr>
      <w:r>
        <w:rPr>
          <w:sz w:val="20"/>
        </w:rPr>
        <w:t xml:space="preserve">(d)            </w:t>
      </w:r>
      <w:r>
        <w:rPr>
          <w:sz w:val="20"/>
          <w:u w:val="single"/>
        </w:rPr>
        <w:t>Other Provisions</w:t>
      </w:r>
      <w:r>
        <w:rPr>
          <w:sz w:val="20"/>
        </w:rPr>
        <w:t>.</w:t>
      </w:r>
    </w:p>
    <w:p>
      <w:pPr>
        <w:pStyle w:val="TextBody"/>
        <w:bidi w:val="0"/>
        <w:spacing w:before="0" w:after="0"/>
        <w:ind w:left="0" w:right="0" w:firstLine="2160"/>
        <w:jc w:val="left"/>
        <w:rPr/>
      </w:pPr>
      <w:r>
        <w:rPr/>
        <w:t> </w:t>
      </w:r>
    </w:p>
    <w:p>
      <w:pPr>
        <w:pStyle w:val="TextBody"/>
        <w:bidi w:val="0"/>
        <w:spacing w:before="0" w:after="0"/>
        <w:ind w:left="0" w:right="0" w:firstLine="2880"/>
        <w:jc w:val="both"/>
        <w:rPr>
          <w:sz w:val="20"/>
        </w:rPr>
      </w:pPr>
      <w:r>
        <w:rPr>
          <w:sz w:val="20"/>
        </w:rPr>
        <w:t>(i)                All calculations under this Section (4) shall be rounded to the nearest $0.0001 or whole share.</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(ii)              The Company covenants that the number of Ordinary Shares comprised in the Company's authorized share capital but unissued and not otherwise reserved for issuance (including (i) in relation to equity or debt securities convertible into or exchangeable or exercisable for or that can be settled in Ordinary Shares (other than the Debenture and the Other Debentures) and (ii) Ordinary Shares remaining available for issuance under the Company's equity incentive plans) shall be not less than the maximum number of Ordinary Shares issuable upon conversion of this Debenture and the Other Debentures (assuming for purposes hereof that (x) each debenture is convertible at the Floor Price stated therein as of the date of determination, (y) any such conversion shall not take into account any limitations on the conversion of each debenture set forth herein, including the Floor Price (the “</w:t>
      </w:r>
      <w:r>
        <w:rPr>
          <w:sz w:val="20"/>
          <w:u w:val="single"/>
        </w:rPr>
        <w:t>Required Reserve Amount</w:t>
      </w:r>
      <w:r>
        <w:rPr>
          <w:sz w:val="20"/>
        </w:rPr>
        <w:t>”), provided that at no time shall the number of Ordinary Shares reserved pursuant to this section 4(d)(ii) be reduced other than proportionally with respect to all Ordinary Shares in connection with any conversion (other than pursuant to the conversion of this Debenture and the Other Debentures in accordance with their terms) and/or cancellation, or reverse stock split. If at any time the number of Ordinary Shares reserved pursuant to this section 4(d)(ii) becomes less than the Required Reserve Amount, the Company will promptly take all corporate action necessary to propose to its general meeting of shareholders an increase of its authorized share capital necessary to meet the Company's obligations pursuant to this Debenture, recommending that shareholders vote in favor of such an increase. The Company covenants that, upon issuance in accordance with conversion of this Debenture in accordance with its terms, the Ordinary Shares, when issued, will be validly issued, fully paid and non-assessable (meaning that the holders of the Ordinary Shares will not by reason of merely being such a holder, be subject to assessment or calls by the Company or its creditors for further payment on such Ordinary Shares).</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(iii)              Nothing herein shall limit the Holder's right to pursue actual damages or declare an Event of Default pursuant to Section (3) herein for the Company’s failure to deliver certificates representing Ordinary Shares upon conversion within the period specified herein and the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 xml:space="preserve">(iv)             </w:t>
      </w:r>
      <w:r>
        <w:rPr>
          <w:sz w:val="20"/>
          <w:u w:val="single"/>
        </w:rPr>
        <w:t>Legal Opinions</w:t>
      </w:r>
      <w:r>
        <w:rPr>
          <w:sz w:val="20"/>
        </w:rPr>
        <w:t>. The Company is obligated to cause its legal counsel to deliver legal opinions to the Company’s transfer agent or registrar, as may be required in connection with any legend removal upon the expiration of any holding period or other requirement for which the Underlying Shares may bear legends restricting the transfer thereof.</w:t>
      </w:r>
    </w:p>
    <w:p>
      <w:pPr>
        <w:pStyle w:val="TextBody"/>
        <w:bidi w:val="0"/>
        <w:spacing w:before="0" w:after="0"/>
        <w:ind w:left="0" w:right="0" w:firstLine="2880"/>
        <w:jc w:val="both"/>
        <w:rPr/>
      </w:pPr>
      <w:r>
        <w:rPr/>
        <w:t> </w:t>
      </w:r>
    </w:p>
    <w:p>
      <w:pPr>
        <w:pStyle w:val="TextBody"/>
        <w:bidi w:val="0"/>
        <w:spacing w:before="0" w:after="0"/>
        <w:ind w:left="0" w:right="0" w:firstLine="2160"/>
        <w:jc w:val="both"/>
        <w:rPr>
          <w:sz w:val="20"/>
        </w:rPr>
      </w:pPr>
      <w:r>
        <w:rPr>
          <w:sz w:val="20"/>
        </w:rPr>
        <w:t>(e)            </w:t>
      </w:r>
      <w:r>
        <w:rPr>
          <w:sz w:val="20"/>
          <w:u w:val="single"/>
        </w:rPr>
        <w:t>Adjustment of Conversion Price upon Subdivision or Combination of Ordinary Shares</w:t>
      </w:r>
      <w:r>
        <w:rPr>
          <w:sz w:val="20"/>
        </w:rPr>
        <w:t>. If the Company, at any time while this Debenture is outstanding, shall (a) pay a stock dividend or otherwise make a distribution or distributions on its Ordinary Shares or any other equity or equity equivalent securities payable in Ordinary Shares, (b) subdivide outstanding Ordinary Shares into a larger number of shares, (c) combine (including by way of reverse stock split) outstanding Ordinary Shares into a smaller number of shares, or (d) issue by reclassification of shares of the Ordinary Shares any shares of capital stock of the Company, then each of the Fixed Conversion Price and the Floor Price shall be multiplied by a fraction of which the numerator shall be the number of Ordinary Shares (excluding treasury shares, if any) outstanding before such event and of which the denominator shall be the number of Ordinary Shares outstanding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both"/>
        <w:rPr/>
      </w:pPr>
      <w:r>
        <w:rPr/>
        <w:t>  </w:t>
      </w:r>
    </w:p>
    <w:p>
      <w:pPr>
        <w:pStyle w:val="TextBody"/>
        <w:bidi w:val="0"/>
        <w:spacing w:before="0" w:after="0"/>
        <w:ind w:left="0" w:right="0" w:firstLine="2160"/>
        <w:jc w:val="both"/>
        <w:rPr>
          <w:sz w:val="20"/>
        </w:rPr>
      </w:pPr>
      <w:r>
        <w:rPr>
          <w:sz w:val="20"/>
        </w:rPr>
        <w:t>(f)             </w:t>
      </w:r>
      <w:r>
        <w:rPr>
          <w:sz w:val="20"/>
          <w:u w:val="single"/>
        </w:rPr>
        <w:t>Other Corporate Events</w:t>
      </w:r>
      <w:r>
        <w:rPr>
          <w:sz w:val="20"/>
        </w:rPr>
        <w:t>. In addition to and not in substitution for any other rights hereunder, prior to the consummation of any Fundamental Transaction pursuant to which holders of Ordinary Shares are entitled to receive securities or other assets with respect to or in exchange for Ordinary Shares (a “</w:t>
      </w:r>
      <w:r>
        <w:rPr>
          <w:sz w:val="20"/>
          <w:u w:val="single"/>
        </w:rPr>
        <w:t>Corporate Event</w:t>
      </w:r>
      <w:r>
        <w:rPr>
          <w:sz w:val="20"/>
        </w:rPr>
        <w:t>”), the Company shall make appropriate provision to ensure that the Holder will thereafter have the right to receive upon a conversion of this Debenture, at the Holder's option, (i) in addition to the Ordinary Shares receivable upon such conversion, such securities or other assets to which the Holder would have been entitled with respect to such Ordinary Shares had such Ordinary Shares been held by the Holder upon the consummation of such Corporate Event (without taking into account any limitations or restrictions on the convertibility of this Debenture) or (ii) in lieu of the Ordinary Shares otherwise receivable upon such conversion, such securities or other assets received by the holders of Ordinary Shares in connection with the consummation of such Corporate Event in such amounts as the Holder would have been entitled to receive had this Debenture initially been issued with conversion rights for the form of such consideration (as opposed to Ordinary Shares) at a conversion rate for such consideration commensurate with the Conversion Rate. Provision made pursuant to the preceding sentence shall be in a form and substance satisfactory to the Holder. The provisions of this Section shall apply similarly and equally to successive Corporate Events and shall be applied without regard to any limitations on the conversion or redemption of this Debenture. Notwithstanding the foregoing, the Company shall have the right to pay in cash the Principal amount of this Debenture, together with interest and other amounts owing in respect thereof, immediately prior to the consummation of the Fundamental Transaction in accordance with the early redemption provisions set forth in Section 2(b).</w:t>
      </w:r>
    </w:p>
    <w:p>
      <w:pPr>
        <w:pStyle w:val="TextBody"/>
        <w:bidi w:val="0"/>
        <w:spacing w:before="0" w:after="0"/>
        <w:ind w:left="0" w:right="0" w:firstLine="2160"/>
        <w:jc w:val="both"/>
        <w:rPr/>
      </w:pPr>
      <w:r>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2160"/>
        <w:jc w:val="both"/>
        <w:rPr>
          <w:sz w:val="20"/>
        </w:rPr>
      </w:pPr>
      <w:r>
        <w:rPr>
          <w:sz w:val="20"/>
        </w:rPr>
        <w:t>(g)            Whenever the Conversion Price is adjusted pursuant to Section 4 hereof, the Company shall promptly provide the Holder with a written notice setting forth the Conversion Price after such adjustment and setting forth a brief statement of the facts requiring such adjustment.</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(h)            In case of any (1) merger or consolidation of the Company or any Subsidiary of the Company with or into another Person, or (2) sale by the Company or any Subsidiary of the Company of more than one-half of the assets of the Company in one or a series of related transactions, the Holder shall have the right to (A) exercise any rights under Section (3)(b), (B) convert the aggregate amount of this Debenture then outstanding into the shares of stock and other securities, cash and property receivable upon or deemed to be held by holders of Ordinary Shares following such merger, consolidation or sale, and the Holder shall be entitled upon such event or series of related events to receive such amount of securities, cash and property as the Ordinary Shares into which such aggregate outstanding amount of this Debenture could have been converted immediately prior to such merger, consolidation or sales, would have been entitled to receive, or (C) in the case of a merger or consolidation, require the surviving entity to issue to the Holder a convertible Debenture with a Principal amount equal to the aggregate Principal amount of this Debenture then held by the Holder, plus all accrued and unpaid interest and other amounts owing thereon, which such newly issued convertible Debenture shall have terms identical (including with respect to conversion) to the terms of this Debenture, and shall be entitled to all of the rights and privileges of the Holder of this Debenture set forth herein and the agreements pursuant to which this Debenture was issued. In the case of clause (C), the conversion price applicable for the newly issued shares of convertible preferred stock or convertible debentures shall be based upon the amount of securities, cash and property that each share of Ordinary Shares would receive in such transaction and the Conversion Price in effect immediately prior to the effectiveness or closing date for such transaction.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(5)           </w:t>
      </w:r>
      <w:r>
        <w:rPr>
          <w:sz w:val="20"/>
          <w:u w:val="single"/>
        </w:rPr>
        <w:t>REISSUANCE OF THIS DEBENTURE</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(a)            </w:t>
      </w:r>
      <w:r>
        <w:rPr>
          <w:sz w:val="20"/>
          <w:u w:val="single"/>
        </w:rPr>
        <w:t>Transfer</w:t>
      </w:r>
      <w:r>
        <w:rPr>
          <w:sz w:val="20"/>
        </w:rPr>
        <w:t>. If this Debenture is to be transferred, the Holder shall surrender this Debenture to the Company, whereupon the Company will forthwith issue and deliver upon the order of the Holder a new Debenture (in accordance with Section (7)(d)), registered in the name of the registered transferee or assignee, representing the outstanding Principal being transferred by the Holder (along with any accrued and unpaid interest thereof) and, if less than the entire outstanding Principal is being transferred, a new Debenture (in accordance with Section (7)(d)) to the Holder representing the outstanding Principal not being transferred. The Holder and any assignee, by acceptance of this Debenture, acknowledge and agree that, by reason of the provisions of Section (4)(b)(iii) following conversion or redemption of any portion of this Debenture, the outstanding Principal represented by this Debenture may be less than the Principal stated on the face of this Debenture.</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(b)            </w:t>
      </w:r>
      <w:r>
        <w:rPr>
          <w:sz w:val="20"/>
          <w:u w:val="single"/>
        </w:rPr>
        <w:t>Lost, Stolen or Mutilated Debenture</w:t>
      </w:r>
      <w:r>
        <w:rPr>
          <w:sz w:val="20"/>
        </w:rPr>
        <w:t>. Upon receipt by the Company of evidence reasonably satisfactory to the Company of the loss, theft, destruction or mutilation of this Debenture, and, in the case of loss, theft or destruction, of any indemnification undertaking by the Holder to the Company in customary form and, in the case of mutilation, upon surrender and cancellation of this Debenture, the Company shall execute and deliver to the Holder a new Debenture (in accordance with Section (5)(d)) representing the outstanding Principal.</w:t>
      </w:r>
    </w:p>
    <w:p>
      <w:pPr>
        <w:pStyle w:val="TextBody"/>
        <w:bidi w:val="0"/>
        <w:spacing w:before="0" w:after="0"/>
        <w:ind w:left="0" w:right="0" w:firstLine="2160"/>
        <w:jc w:val="both"/>
        <w:rPr/>
      </w:pPr>
      <w:r>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2160"/>
        <w:jc w:val="both"/>
        <w:rPr>
          <w:sz w:val="20"/>
        </w:rPr>
      </w:pPr>
      <w:r>
        <w:rPr>
          <w:sz w:val="20"/>
        </w:rPr>
        <w:t>(c)            </w:t>
      </w:r>
      <w:r>
        <w:rPr>
          <w:sz w:val="20"/>
          <w:u w:val="single"/>
        </w:rPr>
        <w:t>Debenture Exchangeable for Different Denominations</w:t>
      </w:r>
      <w:r>
        <w:rPr>
          <w:sz w:val="20"/>
        </w:rPr>
        <w:t>. This Debenture is exchangeable, upon the surrender hereof by the Holder at the principal office of the Company, for a new Debenture or Debentures (in accordance with Section (5)(d)) representing in the aggregate the outstanding Principal of this Debenture, and each such new Debenture will represent such portion of such outstanding Principal as is designated by the Holder at the time of such surrender.</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(d)            </w:t>
      </w:r>
      <w:r>
        <w:rPr>
          <w:sz w:val="20"/>
          <w:u w:val="single"/>
        </w:rPr>
        <w:t>Issuance of New Debentures</w:t>
      </w:r>
      <w:r>
        <w:rPr>
          <w:sz w:val="20"/>
        </w:rPr>
        <w:t>. Whenever the Company is required to issue a new Debenture pursuant to the terms of this Debenture, such new Debenture (i) shall be of like tenor with this Debenture, (ii) shall represent, as indicated on the face of such new Debenture, the Principal remaining outstanding (or in the case of a new Debenture being issued pursuant to Section (5)(a) or Section (5)(c), the Principal designated by the Holder which, when added to the Principal represented by the other new Debentures issued in connection with such issuance, does not exceed the Principal remaining outstanding under this Debenture immediately prior to such issuance of new Debentures), (iii) shall have an issuance date, as indicated on the face of such new Debenture, which is the same as the Issuance Date of this Debenture, (iv) shall have the same rights and conditions as this Debenture, and (v) shall represent accrued and unpaid Interest from the Issuance Date.</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(6)           </w:t>
      </w:r>
      <w:r>
        <w:rPr>
          <w:sz w:val="20"/>
          <w:u w:val="single"/>
        </w:rPr>
        <w:t>NOTICES</w:t>
      </w:r>
      <w:r>
        <w:rPr>
          <w:sz w:val="20"/>
        </w:rPr>
        <w:t>. Any notices, consents, waivers or other communications required or permitted to be given under the terms hereof must be in writing by letter and email and will be deemed to have been delivered: upon the later of (A) either (i) receipt, when delivered personally or (ii) one (1) Business Day after deposit with an express courier service, in each case, properly addressed to the party to receive the same and (B) receipt, when sent by electronic mail. The addresses and e-mail addresses for such communications shall be:</w:t>
      </w:r>
    </w:p>
    <w:p>
      <w:pPr>
        <w:pStyle w:val="TextBody"/>
        <w:bidi w:val="0"/>
        <w:spacing w:before="0" w:after="0"/>
        <w:ind w:left="0" w:right="0" w:firstLine="1440"/>
        <w:jc w:val="both"/>
        <w:rPr/>
      </w:pPr>
      <w:r>
        <w:rPr/>
        <w:t> </w:t>
      </w:r>
    </w:p>
    <w:tbl>
      <w:tblPr>
        <w:tblW w:w="5110" w:type="dxa"/>
        <w:jc w:val="left"/>
        <w:tblInd w:w="0" w:type="dxa"/>
        <w:tblLayout w:type="fixed"/>
        <w:tblCellMar>
          <w:top w:w="0" w:type="dxa"/>
          <w:left w:w="0" w:type="dxa"/>
          <w:bottom w:w="0" w:type="dxa"/>
          <w:right w:w="0" w:type="dxa"/>
        </w:tblCellMar>
      </w:tblPr>
      <w:tblGrid>
        <w:gridCol w:w="2165"/>
        <w:gridCol w:w="2945"/>
      </w:tblGrid>
      <w:tr>
        <w:trPr/>
        <w:tc>
          <w:tcPr>
            <w:tcW w:w="2165" w:type="dxa"/>
            <w:tcBorders/>
            <w:vAlign w:val="center"/>
          </w:tcPr>
          <w:p>
            <w:pPr>
              <w:pStyle w:val="TableContents"/>
              <w:bidi w:val="0"/>
              <w:spacing w:before="0" w:after="283"/>
              <w:jc w:val="left"/>
              <w:rPr/>
            </w:pPr>
            <w:r>
              <w:rPr/>
              <w:t> </w:t>
            </w:r>
            <w:r>
              <w:rPr/>
              <w:t>If to the Company, to:</w:t>
            </w:r>
          </w:p>
        </w:tc>
        <w:tc>
          <w:tcPr>
            <w:tcW w:w="2945" w:type="dxa"/>
            <w:tcBorders/>
            <w:vAlign w:val="center"/>
          </w:tcPr>
          <w:p>
            <w:pPr>
              <w:pStyle w:val="TableContents"/>
              <w:bidi w:val="0"/>
              <w:spacing w:before="0" w:after="283"/>
              <w:jc w:val="left"/>
              <w:rPr/>
            </w:pPr>
            <w:r>
              <w:rPr/>
              <w:t>Sono Group N.V.</w:t>
            </w:r>
          </w:p>
        </w:tc>
      </w:tr>
      <w:tr>
        <w:trPr/>
        <w:tc>
          <w:tcPr>
            <w:tcW w:w="2165"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ind w:left="0" w:right="0" w:hanging="0"/>
              <w:jc w:val="left"/>
              <w:rPr>
                <w:sz w:val="20"/>
              </w:rPr>
            </w:pPr>
            <w:r>
              <w:rPr>
                <w:sz w:val="20"/>
              </w:rPr>
              <w:t>Waldmeisterstra?e 93</w:t>
            </w:r>
          </w:p>
          <w:p>
            <w:pPr>
              <w:pStyle w:val="TableContents"/>
              <w:bidi w:val="0"/>
              <w:spacing w:before="0" w:after="0"/>
              <w:ind w:left="0" w:right="0" w:hanging="0"/>
              <w:jc w:val="left"/>
              <w:rPr>
                <w:sz w:val="20"/>
              </w:rPr>
            </w:pPr>
            <w:r>
              <w:rPr>
                <w:sz w:val="20"/>
              </w:rPr>
              <w:t>80935 Munich</w:t>
            </w:r>
          </w:p>
          <w:p>
            <w:pPr>
              <w:pStyle w:val="TableContents"/>
              <w:bidi w:val="0"/>
              <w:spacing w:before="0" w:after="0"/>
              <w:ind w:left="0" w:right="0" w:hanging="0"/>
              <w:jc w:val="left"/>
              <w:rPr>
                <w:sz w:val="20"/>
              </w:rPr>
            </w:pPr>
            <w:r>
              <w:rPr>
                <w:sz w:val="20"/>
              </w:rPr>
              <w:t>Germany</w:t>
            </w:r>
          </w:p>
        </w:tc>
      </w:tr>
      <w:tr>
        <w:trPr/>
        <w:tc>
          <w:tcPr>
            <w:tcW w:w="2165"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Attn:  Kevin McGurn</w:t>
            </w:r>
          </w:p>
        </w:tc>
      </w:tr>
      <w:tr>
        <w:trPr/>
        <w:tc>
          <w:tcPr>
            <w:tcW w:w="2165"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Email: [***]</w:t>
            </w:r>
          </w:p>
        </w:tc>
      </w:tr>
      <w:tr>
        <w:trPr/>
        <w:tc>
          <w:tcPr>
            <w:tcW w:w="2165"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If to the Holder:</w:t>
            </w:r>
          </w:p>
        </w:tc>
        <w:tc>
          <w:tcPr>
            <w:tcW w:w="2945" w:type="dxa"/>
            <w:tcBorders/>
            <w:vAlign w:val="center"/>
          </w:tcPr>
          <w:p>
            <w:pPr>
              <w:pStyle w:val="TableContents"/>
              <w:bidi w:val="0"/>
              <w:spacing w:before="0" w:after="283"/>
              <w:jc w:val="left"/>
              <w:rPr/>
            </w:pPr>
            <w:r>
              <w:rPr/>
              <w:t>YA II PN, Ltd</w:t>
            </w:r>
          </w:p>
        </w:tc>
      </w:tr>
      <w:tr>
        <w:trPr/>
        <w:tc>
          <w:tcPr>
            <w:tcW w:w="2165"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ind w:left="0" w:right="0" w:hanging="0"/>
              <w:jc w:val="left"/>
              <w:rPr>
                <w:sz w:val="20"/>
              </w:rPr>
            </w:pPr>
            <w:r>
              <w:rPr>
                <w:sz w:val="20"/>
              </w:rPr>
              <w:t>c/o Yorkville Advisors Global, LLC</w:t>
            </w:r>
          </w:p>
          <w:p>
            <w:pPr>
              <w:pStyle w:val="TableContents"/>
              <w:bidi w:val="0"/>
              <w:spacing w:before="0" w:after="0"/>
              <w:ind w:left="0" w:right="0" w:hanging="0"/>
              <w:jc w:val="left"/>
              <w:rPr>
                <w:sz w:val="20"/>
              </w:rPr>
            </w:pPr>
            <w:r>
              <w:rPr>
                <w:sz w:val="20"/>
              </w:rPr>
              <w:t>1012 Springfield Avenue</w:t>
            </w:r>
          </w:p>
        </w:tc>
      </w:tr>
      <w:tr>
        <w:trPr/>
        <w:tc>
          <w:tcPr>
            <w:tcW w:w="2165"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Mountainside, NJ 07092</w:t>
            </w:r>
          </w:p>
        </w:tc>
      </w:tr>
      <w:tr>
        <w:trPr/>
        <w:tc>
          <w:tcPr>
            <w:tcW w:w="2165"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Attention: Mark Angelo</w:t>
            </w:r>
          </w:p>
        </w:tc>
      </w:tr>
      <w:tr>
        <w:trPr/>
        <w:tc>
          <w:tcPr>
            <w:tcW w:w="2165"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Telephone: [***]</w:t>
            </w:r>
          </w:p>
        </w:tc>
      </w:tr>
      <w:tr>
        <w:trPr/>
        <w:tc>
          <w:tcPr>
            <w:tcW w:w="2165"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Email: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or at such other address and/or email and/or to the attention of such other person as the recipient party has specified by written notice given to each other party three (3)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receipt by email or receipt from a nationally recognized overnight delivery service in accordance with clause (i), (ii) or (iii) above, respectively.</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(7)           Except as expressly provided herein, no provision of this Debenture shall alter or impair the obligations of the Company, which are absolute and unconditional, to pay the Principal of, interest and other charges (if any) on, this Debenture at the time, place, and rate, and in the coin or currency, herein prescribed. This Debenture is a direct obligation of the Company. As long as this Debenture is outstanding, the Company shall not and shall cause its Subsidiaries not to, without the consent of the Holder, (i) amend its articles of association so as to materially and adversely affect any rights of the Holder; (ii) repay, repurchase or offer to repay, repurchase or otherwise acquire Ordinary Shares or other equity securities; or (iii) enter into any agreement with respect to any of the foregoing.</w:t>
      </w:r>
    </w:p>
    <w:p>
      <w:pPr>
        <w:pStyle w:val="TextBody"/>
        <w:bidi w:val="0"/>
        <w:spacing w:before="0" w:after="0"/>
        <w:ind w:left="0" w:right="0" w:firstLine="1440"/>
        <w:jc w:val="both"/>
        <w:rPr/>
      </w:pPr>
      <w:r>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(8)           This Debenture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Ordinary Shares in accordance with the terms hereof.</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(9)           After the Issuance Date, without the Holder’s consent, the Company will not and will not permit any of its Subsidiaries to, directly or indirectly, enter into, create, incur, assume or suffer to exist any indebtedness or any security interests or liens of any kind, on or with respect to any of its property or assets now owned or hereafter acquired or any interest therein or any income or profits therefrom.</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(10) </w:t>
      </w:r>
      <w:r>
        <w:rPr>
          <w:sz w:val="20"/>
          <w:u w:val="single"/>
        </w:rPr>
        <w:t>CHOICE OF LAW; VENUE</w:t>
      </w:r>
      <w:r>
        <w:rPr>
          <w:sz w:val="20"/>
        </w:rPr>
        <w:t>. This Debenture shall be governed by and construed in accordance with the laws of the State of New York, without giving effect to conflicts of laws thereof. Each of the parties consents to the jurisdiction of the Supreme Court of the State of New York located in the City of New York, Borough of Manhattan, and the U.S. District Court for the Southern District of New York in connection with any dispute arising under this Debenture and hereby waives, to the maximum extent permitted by law, any objection, including any objection based on forum non conveniens to the bringing of any such proceeding in such jurisdictions. THE PARTIES HEREBY KNOWINGLY, VOLUNTARILY AND INTENTIONALLY WAIVE THE RIGHT ANY OF THEM MAY HAVE TO A TRIAL BY JURY IN RESPECT OF ANY LITIGATION BASED HEREON OR ARISING OUT OF, UNDER OR IN CONNECTION WITH THIS AGREEMENT OR ANY TRANSACTION DOCUMENT OR ANY COURSE OF CONDUCT, COURSE OF DEALING, STATEMENTS (WHETHER VERBAL OR WRITTEN) OR ACTIONS OF ANY PARTY. THIS PROVISION IS A MATERIAL INDUCEMENT FOR THE PARTIES’ ACCEPTANCE OF THIS AGREEMENT.</w:t>
      </w:r>
    </w:p>
    <w:p>
      <w:pPr>
        <w:pStyle w:val="TextBody"/>
        <w:bidi w:val="0"/>
        <w:spacing w:before="0" w:after="0"/>
        <w:ind w:left="0" w:right="0" w:firstLine="2880"/>
        <w:jc w:val="both"/>
        <w:rPr/>
      </w:pPr>
      <w:r>
        <w:rPr/>
        <w:t> </w:t>
      </w:r>
    </w:p>
    <w:p>
      <w:pPr>
        <w:pStyle w:val="TextBody"/>
        <w:bidi w:val="0"/>
        <w:spacing w:before="0" w:after="0"/>
        <w:ind w:left="0" w:right="0" w:firstLine="1440"/>
        <w:jc w:val="both"/>
        <w:rPr>
          <w:sz w:val="20"/>
        </w:rPr>
      </w:pPr>
      <w:r>
        <w:rPr>
          <w:sz w:val="20"/>
        </w:rPr>
        <w:t>(11)         If the Company or any Guarantor fails to materially comply with the terms of this Debenture and/or any other Transaction Documents, then, to the extent reasonably incurred and documented, the Company shall reimburse the Holder for all fees, costs and expenses, including, without limitation, attorneys’ fees and expenses incurred by the Holder in any action in connection with this Debenture and/or any other Transaction Document, including, without limitation, those incurred: (i) 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(12)         Any waiver by the Holder of a breach of any provision of this Debenture shall not operate as or be construed to be a waiver of any other breach of such provision or of any breach of any other provision of this Debenture. The failure of the Holder to insist upon strict adherence to any term of this Debenture on one or more occasions shall not be considered a waiver or deprive that party of the right thereafter to insist upon strict adherence to that term or any other term of this Debenture. Any waiver must be in writing.</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(13)         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Debenture as contemplated herein, wherever enacted, now or at any time hereafter in force, or which may affect the covenants or the performance of this indenture, and the Company (to the extent it may lawfully do so) hereby expressly waives all benefits or advantage of any such law, and covenants that it will not, by resort to any such law, hinder, delay or impeded the execution of any power herein granted to the Holder, but will suffer and permit the execution of every such as though no such law has been enacted.</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(14)         Whenever any payment or other obligation hereunder shall be due on a day other than a Business Day, such payment shall be made on the next succeeding Business Day.</w:t>
      </w:r>
    </w:p>
    <w:p>
      <w:pPr>
        <w:pStyle w:val="TextBody"/>
        <w:bidi w:val="0"/>
        <w:spacing w:before="0" w:after="0"/>
        <w:ind w:left="0" w:right="0" w:firstLine="1440"/>
        <w:jc w:val="both"/>
        <w:rPr/>
      </w:pPr>
      <w:r>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(15)         </w:t>
      </w:r>
      <w:r>
        <w:rPr>
          <w:sz w:val="20"/>
          <w:u w:val="single"/>
        </w:rPr>
        <w:t>CERTAIN DEFINITIONS.</w:t>
      </w:r>
      <w:r>
        <w:rPr>
          <w:sz w:val="20"/>
        </w:rPr>
        <w:t xml:space="preserve"> For purposes of this Debenture, the following terms shall have the following meanings:</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(a)             “</w:t>
      </w:r>
      <w:r>
        <w:rPr>
          <w:sz w:val="20"/>
          <w:u w:val="single"/>
        </w:rPr>
        <w:t>Bloomberg</w:t>
      </w:r>
      <w:r>
        <w:rPr>
          <w:sz w:val="20"/>
        </w:rPr>
        <w:t>” means Bloomberg Financial Markets.</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(b)            “</w:t>
      </w:r>
      <w:r>
        <w:rPr>
          <w:sz w:val="20"/>
          <w:u w:val="single"/>
        </w:rPr>
        <w:t>Business Day</w:t>
      </w:r>
      <w:r>
        <w:rPr>
          <w:sz w:val="20"/>
        </w:rPr>
        <w:t>” means any day except Saturday, Sunday and any day which shall be a federal legal holiday in the United States or a day on which banking institutions are authorized or required by law or other government action to close.</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(c)            “</w:t>
      </w:r>
      <w:r>
        <w:rPr>
          <w:sz w:val="20"/>
          <w:u w:val="single"/>
        </w:rPr>
        <w:t>Change of Control Transaction</w:t>
      </w:r>
      <w:r>
        <w:rPr>
          <w:sz w:val="20"/>
        </w:rPr>
        <w:t>” means the occurrence of (a)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a replacement at one time or over time of more than one-half of the members of the management board or supervisory board of the Company (other than as due to the death or disability of a member of the management board or supervisory board) which is not approved by a majority of those individuals who are members of the management board or supervisory board on the date hereof (or by those individuals who are serving as members of the board of directors on any date whose nomination to the management board or supervisory board was approved by a majority of the members of the management board or supervisory board who are members on the date hereof), (c) the merger, consolidation or sale of fifty percent (50%) or more of the assets of the Company or any Subsidiary of the Company in one or a series of related transactions with or into another entity, or (d) the execution by the Company of an agreement to which the Company is a party or by which it is bound, providing for any of the events set forth above in (a), (b) or (c). No transfer to a wholly-owned Subsidiary shall be deemed a Change of Control Transaction under this provision.</w:t>
      </w:r>
    </w:p>
    <w:p>
      <w:pPr>
        <w:pStyle w:val="TextBody"/>
        <w:bidi w:val="0"/>
        <w:spacing w:before="0" w:after="0"/>
        <w:ind w:left="0" w:right="0" w:hanging="0"/>
        <w:jc w:val="both"/>
        <w:rPr/>
      </w:pPr>
      <w:r>
        <w:rPr/>
        <w:t> </w:t>
      </w:r>
    </w:p>
    <w:p>
      <w:pPr>
        <w:pStyle w:val="TextBody"/>
        <w:bidi w:val="0"/>
        <w:spacing w:before="0" w:after="0"/>
        <w:ind w:left="0" w:right="0" w:firstLine="2160"/>
        <w:jc w:val="both"/>
        <w:rPr>
          <w:sz w:val="20"/>
        </w:rPr>
      </w:pPr>
      <w:r>
        <w:rPr>
          <w:sz w:val="20"/>
        </w:rPr>
        <w:t>(d)          “</w:t>
      </w:r>
      <w:r>
        <w:rPr>
          <w:sz w:val="20"/>
          <w:u w:val="single"/>
        </w:rPr>
        <w:t>Closing Price</w:t>
      </w:r>
      <w:r>
        <w:rPr>
          <w:sz w:val="20"/>
        </w:rPr>
        <w:t>” means the price per share in the last reported trade of the Ordinary Shares on a Primary Market or on the exchange or over-the-counter market on which the Ordinary Shares is then listed as quoted by Bloomberg.</w:t>
      </w:r>
    </w:p>
    <w:p>
      <w:pPr>
        <w:pStyle w:val="TextBody"/>
        <w:bidi w:val="0"/>
        <w:spacing w:before="0" w:after="0"/>
        <w:ind w:left="0" w:right="0" w:hanging="0"/>
        <w:jc w:val="both"/>
        <w:rPr/>
      </w:pPr>
      <w:r>
        <w:rPr/>
        <w:t> </w:t>
      </w:r>
    </w:p>
    <w:p>
      <w:pPr>
        <w:pStyle w:val="TextBody"/>
        <w:bidi w:val="0"/>
        <w:spacing w:before="0" w:after="0"/>
        <w:ind w:left="0" w:right="0" w:firstLine="2160"/>
        <w:jc w:val="both"/>
        <w:rPr>
          <w:sz w:val="20"/>
        </w:rPr>
      </w:pPr>
      <w:r>
        <w:rPr>
          <w:sz w:val="20"/>
        </w:rPr>
        <w:t>(e)          “</w:t>
      </w:r>
      <w:r>
        <w:rPr>
          <w:sz w:val="20"/>
          <w:u w:val="single"/>
        </w:rPr>
        <w:t>Commission</w:t>
      </w:r>
      <w:r>
        <w:rPr>
          <w:sz w:val="20"/>
        </w:rPr>
        <w:t>” means the Securities and Exchange Commission.</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(f)           “</w:t>
      </w:r>
      <w:r>
        <w:rPr>
          <w:sz w:val="20"/>
          <w:u w:val="single"/>
        </w:rPr>
        <w:t>Exchange Act</w:t>
      </w:r>
      <w:r>
        <w:rPr>
          <w:sz w:val="20"/>
        </w:rPr>
        <w:t>” means the Securities Exchange Act of 1934, as amended.</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(g)          “</w:t>
      </w:r>
      <w:r>
        <w:rPr>
          <w:sz w:val="20"/>
          <w:u w:val="single"/>
        </w:rPr>
        <w:t>Floor Price</w:t>
      </w:r>
      <w:r>
        <w:rPr>
          <w:sz w:val="20"/>
        </w:rPr>
        <w:t>” solely with respect to the Variable Conversion Price, shall mean a price per share equal to 20% of the Closing Price on the Trading Day immediately prior to the Issuance Date of this Debenture.</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(h)           “</w:t>
      </w:r>
      <w:r>
        <w:rPr>
          <w:sz w:val="20"/>
          <w:u w:val="single"/>
        </w:rPr>
        <w:t>Fundamental Transaction</w:t>
      </w:r>
      <w:r>
        <w:rPr>
          <w:sz w:val="20"/>
        </w:rPr>
        <w:t xml:space="preserve">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Ordinary Shares are permitted to tender or exchange their shares for other securities, cash or property, or (4) the Company effects any reclassification of the Ordinary Shares or any compulsory share exchange pursuant to which the Ordinary Shares is effectively converted into or exchanged for other securities, cash or property.</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           “</w:t>
      </w:r>
      <w:r>
        <w:rPr>
          <w:sz w:val="20"/>
          <w:u w:val="single"/>
        </w:rPr>
        <w:t>Guarantor</w:t>
      </w:r>
      <w:r>
        <w:rPr>
          <w:sz w:val="20"/>
        </w:rPr>
        <w:t>” means Sono Group N.V. Florida LLC.</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(j)             RESERVED</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(k)            “</w:t>
      </w:r>
      <w:r>
        <w:rPr>
          <w:sz w:val="20"/>
          <w:u w:val="single"/>
        </w:rPr>
        <w:t>Obligations</w:t>
      </w:r>
      <w:r>
        <w:rPr>
          <w:sz w:val="20"/>
        </w:rPr>
        <w:t>” means all of the Company’s and each Guarantor’s now existing and hereafter created or arising obligations, indebtedness and liabilities of any kind (whether primary or secondary, conditional or unconditional, contingent or noncontingent, joint or several) owed to the Holder, whether existing, created, incurred or arising in the Company’s or such Guarantor’s capacity as a borrower, guarantor, indemnitor, customer, purchaser, lessee, licensee, applicant, counterparty, debtor or other obligor, including (a) any loan amount, principal, interest (including interest accruing during the pendency of any bankruptcy, insolvency, receivership or other similar proceeding, regardless of whether allowed or allowable in such proceeding), fee, charge, indemnification obligation, reimbursement obligation, royalty, premium, cost, expense, price, rent or other amount owed by the Company or such Guarantor to the Holder at any time, including future advances, protective advances and other financial accommodations, (b) any obligations, indebtedness or liabilities of the Company and the Guarantors to the Holder under any Transaction Document at any time, and (c) any of the foregoing that may have been, or that may be, acquired by the Holder from any third party, the Company or any Guarantor at any time.</w:t>
      </w:r>
    </w:p>
    <w:p>
      <w:pPr>
        <w:pStyle w:val="TextBody"/>
        <w:bidi w:val="0"/>
        <w:spacing w:before="0" w:after="0"/>
        <w:ind w:left="0" w:right="0" w:firstLine="2160"/>
        <w:jc w:val="both"/>
        <w:rPr/>
      </w:pPr>
      <w:r>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2160"/>
        <w:jc w:val="both"/>
        <w:rPr>
          <w:sz w:val="20"/>
        </w:rPr>
      </w:pPr>
      <w:r>
        <w:rPr>
          <w:sz w:val="20"/>
        </w:rPr>
        <w:t>(l)            “</w:t>
      </w:r>
      <w:r>
        <w:rPr>
          <w:sz w:val="20"/>
          <w:u w:val="single"/>
        </w:rPr>
        <w:t>Ordinary Shares</w:t>
      </w:r>
      <w:r>
        <w:rPr>
          <w:sz w:val="20"/>
        </w:rPr>
        <w:t>” means the Ordinary Shares, nominal value €0.01, of the Company and shares of any other class into which such shares may hereafter be changed or reclassified.</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(m)          “</w:t>
      </w:r>
      <w:r>
        <w:rPr>
          <w:sz w:val="20"/>
          <w:u w:val="single"/>
        </w:rPr>
        <w:t>Other Debentures</w:t>
      </w:r>
      <w:r>
        <w:rPr>
          <w:sz w:val="20"/>
        </w:rPr>
        <w:t>” means any other convertible debentures, promissory notes, or other forms of indebtedness issued by the Holder to the Company after the date hereof.</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(m)          “</w:t>
      </w:r>
      <w:r>
        <w:rPr>
          <w:sz w:val="20"/>
          <w:u w:val="single"/>
        </w:rPr>
        <w:t>Person</w:t>
      </w:r>
      <w:r>
        <w:rPr>
          <w:sz w:val="20"/>
        </w:rPr>
        <w:t>” means a corporation, an association, a partnership, organization, a business, an individual, a government or political subdivision thereof or a governmental agency.</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(n)            RESERVED</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(o)           “</w:t>
      </w:r>
      <w:r>
        <w:rPr>
          <w:sz w:val="20"/>
          <w:u w:val="single"/>
        </w:rPr>
        <w:t>Primary Market</w:t>
      </w:r>
      <w:r>
        <w:rPr>
          <w:sz w:val="20"/>
        </w:rPr>
        <w:t>” means any of the Nasdaq Global Market, the Nasdaq Global Select Market, the Nasdaq Capital Market, The New York Stock Exchange, and any successor to any of the foregoing markets or exchanges.</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(p)           “</w:t>
      </w:r>
      <w:r>
        <w:rPr>
          <w:sz w:val="20"/>
          <w:u w:val="single"/>
        </w:rPr>
        <w:t>Redemption Premium</w:t>
      </w:r>
      <w:r>
        <w:rPr>
          <w:sz w:val="20"/>
        </w:rPr>
        <w:t>” means four percent (4%) of the Principal amount being redeemed or paid.</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(q)           “</w:t>
      </w:r>
      <w:r>
        <w:rPr>
          <w:sz w:val="20"/>
          <w:u w:val="single"/>
        </w:rPr>
        <w:t>Securities Act</w:t>
      </w:r>
      <w:r>
        <w:rPr>
          <w:sz w:val="20"/>
        </w:rPr>
        <w:t>” means the Securities Act of 1933, as amended, and the rules and regulations promulgated thereunder.</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(r)             RESERVED</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(s)            RESERVED</w:t>
      </w:r>
    </w:p>
    <w:p>
      <w:pPr>
        <w:pStyle w:val="TextBody"/>
        <w:bidi w:val="0"/>
        <w:spacing w:before="0" w:after="0"/>
        <w:ind w:left="0" w:right="0" w:hanging="0"/>
        <w:jc w:val="both"/>
        <w:rPr/>
      </w:pPr>
      <w:r>
        <w:rPr/>
        <w:t> </w:t>
      </w:r>
    </w:p>
    <w:p>
      <w:pPr>
        <w:pStyle w:val="TextBody"/>
        <w:bidi w:val="0"/>
        <w:spacing w:before="0" w:after="0"/>
        <w:ind w:left="0" w:right="0" w:firstLine="2160"/>
        <w:jc w:val="both"/>
        <w:rPr>
          <w:sz w:val="20"/>
        </w:rPr>
      </w:pPr>
      <w:r>
        <w:rPr>
          <w:sz w:val="20"/>
        </w:rPr>
        <w:t>(t)           “</w:t>
      </w:r>
      <w:r>
        <w:rPr>
          <w:sz w:val="20"/>
          <w:u w:val="single"/>
        </w:rPr>
        <w:t>Subsidiary</w:t>
      </w:r>
      <w:r>
        <w:rPr>
          <w:sz w:val="20"/>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(u)           “</w:t>
      </w:r>
      <w:r>
        <w:rPr>
          <w:sz w:val="20"/>
          <w:u w:val="single"/>
        </w:rPr>
        <w:t>Trading Day</w:t>
      </w:r>
      <w:r>
        <w:rPr>
          <w:sz w:val="20"/>
        </w:rPr>
        <w:t>” means a day on which the Ordinary Shares are quoted or traded on a Primary Market on which the Ordinary Shares are then quoted or listed; provided, that in the event that the Ordinary Shares are not listed or quoted, then Trading Day shall mean a Business Day.</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(v)           “</w:t>
      </w:r>
      <w:r>
        <w:rPr>
          <w:sz w:val="20"/>
          <w:u w:val="single"/>
        </w:rPr>
        <w:t>Transaction Document</w:t>
      </w:r>
      <w:r>
        <w:rPr>
          <w:sz w:val="20"/>
        </w:rPr>
        <w:t>” means, each of this Debenture, any Other Debentures, and any and all documents, agreements, instruments or other items executed or delivered in connection with any of the foregoing.</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(w)          “</w:t>
      </w:r>
      <w:r>
        <w:rPr>
          <w:sz w:val="20"/>
          <w:u w:val="single"/>
        </w:rPr>
        <w:t>Underlying Shares</w:t>
      </w:r>
      <w:r>
        <w:rPr>
          <w:sz w:val="20"/>
        </w:rPr>
        <w:t>” means the Ordinary Shares issuable upon conversion of this Debenture or as payment of interest in accordance with the terms hereof.</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(x)          “</w:t>
      </w:r>
      <w:r>
        <w:rPr>
          <w:sz w:val="20"/>
          <w:u w:val="single"/>
        </w:rPr>
        <w:t>VWAP</w:t>
      </w:r>
      <w:r>
        <w:rPr>
          <w:sz w:val="20"/>
        </w:rPr>
        <w:t>” means, for any security as of any date, the daily dollar volume-weighted average price for such security on the Primary Market during regular trading hours as reported by Bloomberg through its “Historical Prices - Px Table with Average Daily Volume” functions.</w:t>
      </w:r>
    </w:p>
    <w:p>
      <w:pPr>
        <w:pStyle w:val="TextBody"/>
        <w:bidi w:val="0"/>
        <w:spacing w:before="0" w:after="0"/>
        <w:ind w:left="0" w:right="0" w:firstLine="2160"/>
        <w:jc w:val="both"/>
        <w:rPr/>
      </w:pPr>
      <w:r>
        <w:rPr/>
        <w:t> </w:t>
      </w:r>
    </w:p>
    <w:p>
      <w:pPr>
        <w:pStyle w:val="TextBody"/>
        <w:bidi w:val="0"/>
        <w:spacing w:before="0" w:after="0"/>
        <w:ind w:left="0" w:right="0" w:hanging="0"/>
        <w:jc w:val="center"/>
        <w:rPr>
          <w:b/>
          <w:sz w:val="20"/>
        </w:rPr>
      </w:pPr>
      <w:r>
        <w:rPr>
          <w:b/>
          <w:sz w:val="20"/>
        </w:rPr>
        <w:t>[Signature Page Follows]</w:t>
      </w:r>
    </w:p>
    <w:p>
      <w:pPr>
        <w:pStyle w:val="TextBody"/>
        <w:bidi w:val="0"/>
        <w:spacing w:before="0" w:after="0"/>
        <w:ind w:left="0" w:right="0" w:hanging="0"/>
        <w:jc w:val="both"/>
        <w:rPr/>
      </w:pPr>
      <w:r>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b/>
          <w:sz w:val="20"/>
        </w:rPr>
        <w:t>IN WITNESS WHEREOF</w:t>
      </w:r>
      <w:r>
        <w:rPr>
          <w:sz w:val="20"/>
        </w:rPr>
        <w:t>, the Company has caused this Convertible Debenture to be duly executed by a duly authorized officer as of the date set forth above.</w:t>
      </w:r>
    </w:p>
    <w:p>
      <w:pPr>
        <w:pStyle w:val="TextBody"/>
        <w:bidi w:val="0"/>
        <w:spacing w:before="0" w:after="0"/>
        <w:ind w:left="0" w:right="0" w:firstLine="720"/>
        <w:jc w:val="both"/>
        <w:rPr/>
      </w:pPr>
      <w:r>
        <w:rPr/>
        <w:t> </w:t>
      </w:r>
    </w:p>
    <w:tbl>
      <w:tblPr>
        <w:tblW w:w="2260" w:type="dxa"/>
        <w:jc w:val="left"/>
        <w:tblInd w:w="0" w:type="dxa"/>
        <w:tblLayout w:type="fixed"/>
        <w:tblCellMar>
          <w:top w:w="0" w:type="dxa"/>
          <w:left w:w="0" w:type="dxa"/>
          <w:bottom w:w="0" w:type="dxa"/>
          <w:right w:w="0" w:type="dxa"/>
        </w:tblCellMar>
      </w:tblPr>
      <w:tblGrid>
        <w:gridCol w:w="80"/>
        <w:gridCol w:w="2180"/>
      </w:tblGrid>
      <w:tr>
        <w:trPr/>
        <w:tc>
          <w:tcPr>
            <w:tcW w:w="8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b/>
              </w:rPr>
            </w:pPr>
            <w:r>
              <w:rPr>
                <w:b/>
              </w:rPr>
              <w:t>COMPANY:</w:t>
            </w:r>
          </w:p>
        </w:tc>
      </w:tr>
      <w:tr>
        <w:trPr/>
        <w:tc>
          <w:tcPr>
            <w:tcW w:w="8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b/>
              </w:rPr>
            </w:pPr>
            <w:r>
              <w:rPr>
                <w:b/>
              </w:rPr>
              <w:t>SONO GROUP N.V.</w:t>
            </w:r>
          </w:p>
        </w:tc>
      </w:tr>
    </w:tbl>
    <w:p>
      <w:pPr>
        <w:pStyle w:val="TextBody"/>
        <w:bidi w:val="0"/>
        <w:spacing w:before="0" w:after="0"/>
        <w:ind w:left="0" w:right="0" w:hanging="0"/>
        <w:jc w:val="left"/>
        <w:rPr/>
      </w:pPr>
      <w:r>
        <w:rPr/>
        <w:t> </w:t>
      </w:r>
    </w:p>
    <w:tbl>
      <w:tblPr>
        <w:tblW w:w="2305" w:type="dxa"/>
        <w:jc w:val="left"/>
        <w:tblInd w:w="0" w:type="dxa"/>
        <w:tblLayout w:type="fixed"/>
        <w:tblCellMar>
          <w:top w:w="0" w:type="dxa"/>
          <w:left w:w="0" w:type="dxa"/>
          <w:bottom w:w="0" w:type="dxa"/>
          <w:right w:w="0" w:type="dxa"/>
        </w:tblCellMar>
      </w:tblPr>
      <w:tblGrid>
        <w:gridCol w:w="75"/>
        <w:gridCol w:w="365"/>
        <w:gridCol w:w="186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1865" w:type="dxa"/>
            <w:tcBorders>
              <w:bottom w:val="single" w:sz="8" w:space="0" w:color="000000"/>
            </w:tcBorders>
            <w:tcMar>
              <w:bottom w:w="28" w:type="dxa"/>
            </w:tcMar>
            <w:vAlign w:val="center"/>
          </w:tcPr>
          <w:p>
            <w:pPr>
              <w:pStyle w:val="TableContents"/>
              <w:bidi w:val="0"/>
              <w:spacing w:before="0" w:after="283"/>
              <w:jc w:val="both"/>
              <w:rPr/>
            </w:pPr>
            <w:r>
              <w:rPr/>
              <w:t xml:space="preserve">  </w:t>
            </w:r>
            <w:r>
              <w:rPr/>
              <w:t>/s/ Kevin McGurn</w:t>
            </w:r>
          </w:p>
        </w:tc>
      </w:tr>
    </w:tbl>
    <w:p>
      <w:pPr>
        <w:pStyle w:val="TextBody"/>
        <w:bidi w:val="0"/>
        <w:spacing w:before="0" w:after="0"/>
        <w:ind w:left="0" w:right="0" w:hanging="0"/>
        <w:jc w:val="left"/>
        <w:rPr/>
      </w:pPr>
      <w:r>
        <w:rPr/>
        <w:t> </w:t>
      </w:r>
    </w:p>
    <w:tbl>
      <w:tblPr>
        <w:tblW w:w="3550" w:type="dxa"/>
        <w:jc w:val="left"/>
        <w:tblInd w:w="0" w:type="dxa"/>
        <w:tblLayout w:type="fixed"/>
        <w:tblCellMar>
          <w:top w:w="0" w:type="dxa"/>
          <w:left w:w="0" w:type="dxa"/>
          <w:bottom w:w="0" w:type="dxa"/>
          <w:right w:w="0" w:type="dxa"/>
        </w:tblCellMar>
      </w:tblPr>
      <w:tblGrid>
        <w:gridCol w:w="80"/>
        <w:gridCol w:w="3470"/>
      </w:tblGrid>
      <w:tr>
        <w:trPr/>
        <w:tc>
          <w:tcPr>
            <w:tcW w:w="8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Name: Kevin McGurn</w:t>
            </w:r>
          </w:p>
        </w:tc>
      </w:tr>
      <w:tr>
        <w:trPr/>
        <w:tc>
          <w:tcPr>
            <w:tcW w:w="8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Title:   CEO and Managing Director</w:t>
            </w:r>
          </w:p>
        </w:tc>
      </w:tr>
    </w:tbl>
    <w:p>
      <w:pPr>
        <w:pStyle w:val="TextBody"/>
        <w:bidi w:val="0"/>
        <w:spacing w:before="0" w:after="0"/>
        <w:ind w:left="0" w:right="0" w:hanging="0"/>
        <w:jc w:val="left"/>
        <w:rPr/>
      </w:pPr>
      <w:r>
        <w:rPr/>
        <w:t> </w:t>
      </w:r>
    </w:p>
    <w:p>
      <w:pPr>
        <w:pStyle w:val="TextBody"/>
        <w:bidi w:val="0"/>
        <w:spacing w:before="0" w:after="0"/>
        <w:ind w:left="0" w:right="0" w:hanging="0"/>
        <w:jc w:val="left"/>
        <w:rPr>
          <w:b/>
          <w:color w:val="000000"/>
          <w:sz w:val="20"/>
          <w:bdr w:val="single" w:sz="8" w:space="1" w:color="E5E7EB"/>
        </w:rPr>
      </w:pPr>
      <w:r>
        <w:rPr>
          <w:b/>
          <w:color w:val="000000"/>
          <w:sz w:val="20"/>
          <w:bdr w:val="single" w:sz="8" w:space="1" w:color="E5E7EB"/>
        </w:rPr>
        <w:t>GUARANTY OF PAYMENT</w:t>
      </w:r>
    </w:p>
    <w:p>
      <w:pPr>
        <w:pStyle w:val="TextBody"/>
        <w:bidi w:val="0"/>
        <w:spacing w:before="0" w:after="0"/>
        <w:ind w:left="0" w:right="0" w:hanging="0"/>
        <w:jc w:val="both"/>
        <w:rPr>
          <w:bdr w:val="single" w:sz="8" w:space="1" w:color="E5E7EB"/>
        </w:rPr>
      </w:pPr>
      <w:r>
        <w:rPr>
          <w:bdr w:val="single" w:sz="8" w:space="1" w:color="E5E7EB"/>
        </w:rPr>
        <w:t> </w:t>
      </w:r>
    </w:p>
    <w:p>
      <w:pPr>
        <w:pStyle w:val="TextBody"/>
        <w:bidi w:val="0"/>
        <w:spacing w:before="0" w:after="0"/>
        <w:ind w:left="0" w:right="0" w:hanging="0"/>
        <w:jc w:val="both"/>
        <w:rPr>
          <w:sz w:val="20"/>
          <w:bdr w:val="single" w:sz="8" w:space="1" w:color="E5E7EB"/>
        </w:rPr>
      </w:pPr>
      <w:r>
        <w:rPr>
          <w:sz w:val="20"/>
          <w:bdr w:val="single" w:sz="8" w:space="1" w:color="E5E7EB"/>
        </w:rPr>
        <w:t xml:space="preserve">For good and valuable consideration, the receipt and sufficiency of which are hereby acknowledged, </w:t>
      </w:r>
      <w:r>
        <w:rPr>
          <w:b/>
          <w:sz w:val="20"/>
          <w:bdr w:val="single" w:sz="8" w:space="1" w:color="E5E7EB"/>
        </w:rPr>
        <w:t>Sono Group N.V. Florida LLC</w:t>
      </w:r>
      <w:r>
        <w:rPr>
          <w:sz w:val="20"/>
          <w:bdr w:val="single" w:sz="8" w:space="1" w:color="E5E7EB"/>
        </w:rPr>
        <w:t>, a Florida limited liability company (the “</w:t>
      </w:r>
      <w:r>
        <w:rPr>
          <w:b/>
          <w:sz w:val="20"/>
          <w:bdr w:val="single" w:sz="8" w:space="1" w:color="E5E7EB"/>
        </w:rPr>
        <w:t>Guarantor</w:t>
      </w:r>
      <w:r>
        <w:rPr>
          <w:sz w:val="20"/>
          <w:bdr w:val="single" w:sz="8" w:space="1" w:color="E5E7EB"/>
        </w:rPr>
        <w:t>”), hereby absolutely, unconditionally and irrevocably guarantees to the Holder the full and prompt payment when due (whether at stated maturity, by acceleration, redemption, conversion settlement, or otherwise) of all Obligations of Sono Group N.V. under this Convertible Debenture (</w:t>
      </w:r>
      <w:r>
        <w:rPr>
          <w:b/>
          <w:sz w:val="20"/>
          <w:bdr w:val="single" w:sz="8" w:space="1" w:color="E5E7EB"/>
        </w:rPr>
        <w:t>Debenture Number SEV-10, dated March 10, 2026)</w:t>
      </w:r>
      <w:r>
        <w:rPr>
          <w:sz w:val="20"/>
          <w:bdr w:val="single" w:sz="8" w:space="1" w:color="E5E7EB"/>
        </w:rPr>
        <w:t> (as amended, restated, supplemented or otherwise modified from time to time).</w:t>
      </w:r>
    </w:p>
    <w:p>
      <w:pPr>
        <w:pStyle w:val="TextBody"/>
        <w:bidi w:val="0"/>
        <w:spacing w:before="0" w:after="0"/>
        <w:ind w:left="0" w:right="0" w:hanging="0"/>
        <w:jc w:val="left"/>
        <w:rPr>
          <w:bdr w:val="single" w:sz="8" w:space="1" w:color="E5E7EB"/>
        </w:rPr>
      </w:pPr>
      <w:r>
        <w:rPr>
          <w:bdr w:val="single" w:sz="8" w:space="1" w:color="E5E7EB"/>
        </w:rPr>
        <w:t> </w:t>
      </w:r>
    </w:p>
    <w:p>
      <w:pPr>
        <w:pStyle w:val="TextBody"/>
        <w:bidi w:val="0"/>
        <w:spacing w:before="0" w:after="0"/>
        <w:ind w:left="0" w:right="0" w:hanging="0"/>
        <w:jc w:val="left"/>
        <w:rPr>
          <w:sz w:val="20"/>
          <w:bdr w:val="single" w:sz="8" w:space="1" w:color="E5E7EB"/>
        </w:rPr>
      </w:pPr>
      <w:r>
        <w:rPr>
          <w:sz w:val="20"/>
          <w:bdr w:val="single" w:sz="8" w:space="1" w:color="E5E7EB"/>
        </w:rPr>
        <w:t xml:space="preserve">IN WITNESS WHEREOF, the Guarantor has executed this Guaranty as of </w:t>
      </w:r>
      <w:r>
        <w:rPr>
          <w:b/>
          <w:sz w:val="20"/>
          <w:bdr w:val="single" w:sz="8" w:space="1" w:color="E5E7EB"/>
        </w:rPr>
        <w:t>March 10, 2026</w:t>
      </w:r>
      <w:r>
        <w:rPr>
          <w:sz w:val="20"/>
          <w:bdr w:val="single" w:sz="8" w:space="1" w:color="E5E7EB"/>
        </w:rPr>
        <w:t>.</w:t>
      </w:r>
    </w:p>
    <w:p>
      <w:pPr>
        <w:pStyle w:val="TextBody"/>
        <w:bidi w:val="0"/>
        <w:spacing w:before="0" w:after="0"/>
        <w:ind w:left="0" w:right="0" w:hanging="0"/>
        <w:jc w:val="left"/>
        <w:rPr>
          <w:bdr w:val="single" w:sz="8" w:space="1" w:color="E5E7EB"/>
        </w:rPr>
      </w:pPr>
      <w:r>
        <w:rPr>
          <w:bdr w:val="single" w:sz="8" w:space="1" w:color="E5E7EB"/>
        </w:rPr>
        <w:t> </w:t>
      </w:r>
    </w:p>
    <w:p>
      <w:pPr>
        <w:pStyle w:val="TextBody"/>
        <w:bidi w:val="0"/>
        <w:spacing w:before="0" w:after="0"/>
        <w:ind w:left="0" w:right="0" w:hanging="0"/>
        <w:jc w:val="left"/>
        <w:rPr>
          <w:sz w:val="20"/>
          <w:bdr w:val="single" w:sz="8" w:space="1" w:color="E5E7EB"/>
        </w:rPr>
      </w:pPr>
      <w:r>
        <w:rPr>
          <w:b/>
          <w:sz w:val="20"/>
          <w:bdr w:val="single" w:sz="8" w:space="1" w:color="E5E7EB"/>
        </w:rPr>
        <w:t>GUARANTOR:</w:t>
      </w:r>
      <w:r>
        <w:rPr>
          <w:sz w:val="20"/>
          <w:bdr w:val="single" w:sz="8" w:space="1" w:color="E5E7EB"/>
        </w:rPr>
        <w:br/>
      </w:r>
      <w:r>
        <w:rPr>
          <w:b/>
          <w:sz w:val="20"/>
          <w:bdr w:val="single" w:sz="8" w:space="1" w:color="E5E7EB"/>
        </w:rPr>
        <w:t>SONO GROUP N.V. FLORIDA LLC</w:t>
      </w:r>
    </w:p>
    <w:p>
      <w:pPr>
        <w:pStyle w:val="TextBody"/>
        <w:bidi w:val="0"/>
        <w:spacing w:before="0" w:after="0"/>
        <w:ind w:left="0" w:right="0" w:hanging="0"/>
        <w:jc w:val="left"/>
        <w:rPr>
          <w:bdr w:val="single" w:sz="8" w:space="1" w:color="E5E7EB"/>
        </w:rPr>
      </w:pPr>
      <w:r>
        <w:rPr>
          <w:bdr w:val="single" w:sz="8" w:space="1" w:color="E5E7EB"/>
        </w:rPr>
        <w:t> </w:t>
      </w:r>
    </w:p>
    <w:p>
      <w:pPr>
        <w:pStyle w:val="TextBody"/>
        <w:bidi w:val="0"/>
        <w:spacing w:before="0" w:after="0"/>
        <w:ind w:left="0" w:right="0" w:hanging="0"/>
        <w:jc w:val="left"/>
        <w:rPr>
          <w:sz w:val="20"/>
          <w:bdr w:val="single" w:sz="8" w:space="1" w:color="E5E7EB"/>
        </w:rPr>
      </w:pPr>
      <w:r>
        <w:rPr>
          <w:sz w:val="20"/>
          <w:bdr w:val="single" w:sz="8" w:space="1" w:color="E5E7EB"/>
        </w:rPr>
        <w:t xml:space="preserve">By: </w:t>
      </w:r>
      <w:r>
        <w:rPr>
          <w:sz w:val="20"/>
          <w:u w:val="single"/>
          <w:bdr w:val="single" w:sz="8" w:space="1" w:color="E5E7EB"/>
        </w:rPr>
        <w:t>   /s/ Kevin McGurn</w:t>
      </w:r>
      <w:r>
        <w:rPr>
          <w:sz w:val="20"/>
          <w:bdr w:val="single" w:sz="8" w:space="1" w:color="E5E7EB"/>
        </w:rPr>
        <w:t>__________________________</w:t>
        <w:br/>
        <w:t>Name: Kevin McGurn</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EXHIBIT I</w:t>
        <w:br/>
      </w:r>
      <w:r>
        <w:rPr>
          <w:b/>
          <w:sz w:val="20"/>
          <w:u w:val="single"/>
        </w:rPr>
        <w:t>CONVERSION NOTICE</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(To be executed by the Holder in order to Convert the Debenture)</w:t>
      </w:r>
    </w:p>
    <w:p>
      <w:pPr>
        <w:pStyle w:val="TextBody"/>
        <w:bidi w:val="0"/>
        <w:spacing w:before="0" w:after="0"/>
        <w:ind w:left="0" w:right="0" w:hanging="0"/>
        <w:jc w:val="center"/>
        <w:rPr/>
      </w:pPr>
      <w:r>
        <w:rPr/>
        <w:t> </w:t>
      </w:r>
    </w:p>
    <w:p>
      <w:pPr>
        <w:pStyle w:val="TextBody"/>
        <w:bidi w:val="0"/>
        <w:spacing w:before="0" w:after="0"/>
        <w:ind w:left="0" w:right="0" w:hanging="0"/>
        <w:jc w:val="left"/>
        <w:rPr>
          <w:b/>
          <w:sz w:val="20"/>
        </w:rPr>
      </w:pPr>
      <w:r>
        <w:rPr>
          <w:b/>
          <w:sz w:val="20"/>
        </w:rPr>
        <w:t>TO: SONO GROUP N.V.</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 xml:space="preserve">Via Email: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The undersigned hereby irrevocably elects to convert a portion of the outstanding and unpaid Conversion Amount of Debenture No. SEV-10 into Ordinary Shares of </w:t>
      </w:r>
      <w:r>
        <w:rPr>
          <w:b/>
          <w:sz w:val="20"/>
        </w:rPr>
        <w:t>SONO GROUP N.V.</w:t>
      </w:r>
      <w:r>
        <w:rPr>
          <w:sz w:val="20"/>
        </w:rPr>
        <w:t>, according to the conditions stated therein, as of the Conversion Date written below.</w:t>
      </w:r>
    </w:p>
    <w:p>
      <w:pPr>
        <w:pStyle w:val="TextBody"/>
        <w:bidi w:val="0"/>
        <w:spacing w:before="0" w:after="0"/>
        <w:ind w:left="0" w:right="0" w:firstLine="720"/>
        <w:jc w:val="both"/>
        <w:rPr/>
      </w:pPr>
      <w:r>
        <w:rPr/>
        <w:t> </w:t>
      </w:r>
    </w:p>
    <w:tbl>
      <w:tblPr>
        <w:tblW w:w="9919" w:type="dxa"/>
        <w:jc w:val="left"/>
        <w:tblInd w:w="0" w:type="dxa"/>
        <w:tblLayout w:type="fixed"/>
        <w:tblCellMar>
          <w:top w:w="0" w:type="dxa"/>
          <w:left w:w="0" w:type="dxa"/>
          <w:bottom w:w="0" w:type="dxa"/>
          <w:right w:w="0" w:type="dxa"/>
        </w:tblCellMar>
      </w:tblPr>
      <w:tblGrid>
        <w:gridCol w:w="9742"/>
        <w:gridCol w:w="177"/>
      </w:tblGrid>
      <w:tr>
        <w:trPr/>
        <w:tc>
          <w:tcPr>
            <w:tcW w:w="9742" w:type="dxa"/>
            <w:tcBorders/>
            <w:vAlign w:val="center"/>
          </w:tcPr>
          <w:p>
            <w:pPr>
              <w:pStyle w:val="TableContents"/>
              <w:bidi w:val="0"/>
              <w:spacing w:before="0" w:after="283"/>
              <w:jc w:val="left"/>
              <w:rPr>
                <w:b/>
              </w:rPr>
            </w:pPr>
            <w:r>
              <w:rPr>
                <w:b/>
              </w:rPr>
              <w:t>Conversion Date:</w:t>
            </w:r>
          </w:p>
        </w:tc>
        <w:tc>
          <w:tcPr>
            <w:tcW w:w="177" w:type="dxa"/>
            <w:tcBorders/>
            <w:vAlign w:val="center"/>
          </w:tcPr>
          <w:p>
            <w:pPr>
              <w:pStyle w:val="TableContents"/>
              <w:bidi w:val="0"/>
              <w:spacing w:before="0" w:after="283"/>
              <w:jc w:val="left"/>
              <w:rPr/>
            </w:pPr>
            <w:r>
              <w:rPr/>
              <w:t> </w:t>
            </w:r>
          </w:p>
        </w:tc>
      </w:tr>
      <w:tr>
        <w:trPr/>
        <w:tc>
          <w:tcPr>
            <w:tcW w:w="974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r>
      <w:tr>
        <w:trPr/>
        <w:tc>
          <w:tcPr>
            <w:tcW w:w="9742" w:type="dxa"/>
            <w:tcBorders/>
            <w:vAlign w:val="center"/>
          </w:tcPr>
          <w:p>
            <w:pPr>
              <w:pStyle w:val="TableContents"/>
              <w:bidi w:val="0"/>
              <w:spacing w:before="0" w:after="283"/>
              <w:jc w:val="left"/>
              <w:rPr>
                <w:b/>
              </w:rPr>
            </w:pPr>
            <w:r>
              <w:rPr>
                <w:b/>
              </w:rPr>
              <w:t>Principal Amount to be Converted:</w:t>
            </w:r>
          </w:p>
        </w:tc>
        <w:tc>
          <w:tcPr>
            <w:tcW w:w="177" w:type="dxa"/>
            <w:tcBorders/>
            <w:vAlign w:val="center"/>
          </w:tcPr>
          <w:p>
            <w:pPr>
              <w:pStyle w:val="TableContents"/>
              <w:bidi w:val="0"/>
              <w:spacing w:before="0" w:after="283"/>
              <w:jc w:val="left"/>
              <w:rPr/>
            </w:pPr>
            <w:r>
              <w:rPr/>
              <w:t> </w:t>
            </w:r>
          </w:p>
        </w:tc>
      </w:tr>
      <w:tr>
        <w:trPr/>
        <w:tc>
          <w:tcPr>
            <w:tcW w:w="974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r>
      <w:tr>
        <w:trPr/>
        <w:tc>
          <w:tcPr>
            <w:tcW w:w="9742" w:type="dxa"/>
            <w:tcBorders/>
            <w:vAlign w:val="center"/>
          </w:tcPr>
          <w:p>
            <w:pPr>
              <w:pStyle w:val="TableContents"/>
              <w:bidi w:val="0"/>
              <w:spacing w:before="0" w:after="283"/>
              <w:jc w:val="left"/>
              <w:rPr>
                <w:b/>
              </w:rPr>
            </w:pPr>
            <w:r>
              <w:rPr>
                <w:b/>
              </w:rPr>
              <w:t>Accrued Interest to be Converted:</w:t>
            </w:r>
          </w:p>
        </w:tc>
        <w:tc>
          <w:tcPr>
            <w:tcW w:w="177" w:type="dxa"/>
            <w:tcBorders/>
            <w:vAlign w:val="center"/>
          </w:tcPr>
          <w:p>
            <w:pPr>
              <w:pStyle w:val="TableContents"/>
              <w:bidi w:val="0"/>
              <w:spacing w:before="0" w:after="283"/>
              <w:jc w:val="left"/>
              <w:rPr/>
            </w:pPr>
            <w:r>
              <w:rPr/>
              <w:t> </w:t>
            </w:r>
          </w:p>
        </w:tc>
      </w:tr>
      <w:tr>
        <w:trPr/>
        <w:tc>
          <w:tcPr>
            <w:tcW w:w="974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r>
      <w:tr>
        <w:trPr/>
        <w:tc>
          <w:tcPr>
            <w:tcW w:w="9742" w:type="dxa"/>
            <w:tcBorders/>
            <w:vAlign w:val="center"/>
          </w:tcPr>
          <w:p>
            <w:pPr>
              <w:pStyle w:val="TableContents"/>
              <w:bidi w:val="0"/>
              <w:spacing w:before="0" w:after="283"/>
              <w:jc w:val="left"/>
              <w:rPr>
                <w:b/>
              </w:rPr>
            </w:pPr>
            <w:r>
              <w:rPr>
                <w:b/>
              </w:rPr>
              <w:t>Total Conversion Amount to be converted:</w:t>
            </w:r>
          </w:p>
        </w:tc>
        <w:tc>
          <w:tcPr>
            <w:tcW w:w="177" w:type="dxa"/>
            <w:tcBorders/>
            <w:vAlign w:val="center"/>
          </w:tcPr>
          <w:p>
            <w:pPr>
              <w:pStyle w:val="TableContents"/>
              <w:bidi w:val="0"/>
              <w:spacing w:before="0" w:after="283"/>
              <w:jc w:val="left"/>
              <w:rPr/>
            </w:pPr>
            <w:r>
              <w:rPr/>
              <w:t> </w:t>
            </w:r>
          </w:p>
        </w:tc>
      </w:tr>
      <w:tr>
        <w:trPr/>
        <w:tc>
          <w:tcPr>
            <w:tcW w:w="974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r>
      <w:tr>
        <w:trPr/>
        <w:tc>
          <w:tcPr>
            <w:tcW w:w="9742" w:type="dxa"/>
            <w:tcBorders/>
            <w:vAlign w:val="center"/>
          </w:tcPr>
          <w:p>
            <w:pPr>
              <w:pStyle w:val="TableContents"/>
              <w:bidi w:val="0"/>
              <w:spacing w:before="0" w:after="283"/>
              <w:jc w:val="left"/>
              <w:rPr>
                <w:b/>
              </w:rPr>
            </w:pPr>
            <w:r>
              <w:rPr>
                <w:b/>
              </w:rPr>
              <w:t xml:space="preserve">Fixed Conversion Price: </w:t>
            </w:r>
          </w:p>
        </w:tc>
        <w:tc>
          <w:tcPr>
            <w:tcW w:w="177" w:type="dxa"/>
            <w:tcBorders/>
            <w:vAlign w:val="center"/>
          </w:tcPr>
          <w:p>
            <w:pPr>
              <w:pStyle w:val="TableContents"/>
              <w:bidi w:val="0"/>
              <w:spacing w:before="0" w:after="283"/>
              <w:jc w:val="left"/>
              <w:rPr/>
            </w:pPr>
            <w:r>
              <w:rPr/>
              <w:t> </w:t>
            </w:r>
          </w:p>
        </w:tc>
      </w:tr>
      <w:tr>
        <w:trPr/>
        <w:tc>
          <w:tcPr>
            <w:tcW w:w="974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r>
      <w:tr>
        <w:trPr/>
        <w:tc>
          <w:tcPr>
            <w:tcW w:w="9742" w:type="dxa"/>
            <w:tcBorders/>
            <w:vAlign w:val="center"/>
          </w:tcPr>
          <w:p>
            <w:pPr>
              <w:pStyle w:val="TableContents"/>
              <w:bidi w:val="0"/>
              <w:spacing w:before="0" w:after="283"/>
              <w:jc w:val="left"/>
              <w:rPr>
                <w:b/>
              </w:rPr>
            </w:pPr>
            <w:r>
              <w:rPr>
                <w:b/>
              </w:rPr>
              <w:t>Variable Conversion Price:</w:t>
            </w:r>
          </w:p>
        </w:tc>
        <w:tc>
          <w:tcPr>
            <w:tcW w:w="177" w:type="dxa"/>
            <w:tcBorders/>
            <w:vAlign w:val="center"/>
          </w:tcPr>
          <w:p>
            <w:pPr>
              <w:pStyle w:val="TableContents"/>
              <w:bidi w:val="0"/>
              <w:spacing w:before="0" w:after="283"/>
              <w:jc w:val="left"/>
              <w:rPr/>
            </w:pPr>
            <w:r>
              <w:rPr/>
              <w:t> </w:t>
            </w:r>
          </w:p>
        </w:tc>
      </w:tr>
      <w:tr>
        <w:trPr/>
        <w:tc>
          <w:tcPr>
            <w:tcW w:w="974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r>
      <w:tr>
        <w:trPr/>
        <w:tc>
          <w:tcPr>
            <w:tcW w:w="9742" w:type="dxa"/>
            <w:tcBorders/>
            <w:vAlign w:val="center"/>
          </w:tcPr>
          <w:p>
            <w:pPr>
              <w:pStyle w:val="TableContents"/>
              <w:bidi w:val="0"/>
              <w:spacing w:before="0" w:after="283"/>
              <w:jc w:val="left"/>
              <w:rPr>
                <w:b/>
              </w:rPr>
            </w:pPr>
            <w:r>
              <w:rPr>
                <w:b/>
              </w:rPr>
              <w:t>Applicable Conversion Price:</w:t>
            </w:r>
          </w:p>
        </w:tc>
        <w:tc>
          <w:tcPr>
            <w:tcW w:w="177" w:type="dxa"/>
            <w:tcBorders/>
            <w:vAlign w:val="center"/>
          </w:tcPr>
          <w:p>
            <w:pPr>
              <w:pStyle w:val="TableContents"/>
              <w:bidi w:val="0"/>
              <w:spacing w:before="0" w:after="283"/>
              <w:jc w:val="left"/>
              <w:rPr/>
            </w:pPr>
            <w:r>
              <w:rPr/>
              <w:t> </w:t>
            </w:r>
          </w:p>
        </w:tc>
      </w:tr>
      <w:tr>
        <w:trPr/>
        <w:tc>
          <w:tcPr>
            <w:tcW w:w="974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r>
      <w:tr>
        <w:trPr/>
        <w:tc>
          <w:tcPr>
            <w:tcW w:w="9742" w:type="dxa"/>
            <w:tcBorders/>
            <w:vAlign w:val="center"/>
          </w:tcPr>
          <w:p>
            <w:pPr>
              <w:pStyle w:val="TableContents"/>
              <w:bidi w:val="0"/>
              <w:spacing w:before="0" w:after="283"/>
              <w:jc w:val="left"/>
              <w:rPr>
                <w:b/>
              </w:rPr>
            </w:pPr>
            <w:r>
              <w:rPr>
                <w:b/>
              </w:rPr>
              <w:t>Number of Ordinary Shares to be issued:</w:t>
            </w:r>
          </w:p>
        </w:tc>
        <w:tc>
          <w:tcPr>
            <w:tcW w:w="177" w:type="dxa"/>
            <w:tcBorders/>
            <w:vAlign w:val="center"/>
          </w:tcPr>
          <w:p>
            <w:pPr>
              <w:pStyle w:val="TableContents"/>
              <w:bidi w:val="0"/>
              <w:spacing w:before="0" w:after="283"/>
              <w:jc w:val="left"/>
              <w:rPr/>
            </w:pPr>
            <w:r>
              <w:rPr/>
              <w:t> </w:t>
            </w:r>
          </w:p>
        </w:tc>
      </w:tr>
      <w:tr>
        <w:trPr/>
        <w:tc>
          <w:tcPr>
            <w:tcW w:w="974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r>
      <w:tr>
        <w:trPr/>
        <w:tc>
          <w:tcPr>
            <w:tcW w:w="9919" w:type="dxa"/>
            <w:gridSpan w:val="2"/>
            <w:tcBorders/>
            <w:vAlign w:val="center"/>
          </w:tcPr>
          <w:p>
            <w:pPr>
              <w:pStyle w:val="TableContents"/>
              <w:bidi w:val="0"/>
              <w:spacing w:before="0" w:after="283"/>
              <w:jc w:val="left"/>
              <w:rPr>
                <w:b/>
              </w:rPr>
            </w:pPr>
            <w:r>
              <w:rPr>
                <w:b/>
              </w:rPr>
              <w:t>Please issue the Ordinary Shares in the following name and deliver them to the following account:</w:t>
            </w:r>
          </w:p>
        </w:tc>
      </w:tr>
    </w:tbl>
    <w:p>
      <w:pPr>
        <w:pStyle w:val="TextBody"/>
        <w:bidi w:val="0"/>
        <w:spacing w:before="0" w:after="0"/>
        <w:ind w:left="0" w:right="0" w:hanging="0"/>
        <w:jc w:val="left"/>
        <w:rPr/>
      </w:pPr>
      <w:r>
        <w:rPr/>
        <w:t> </w:t>
      </w:r>
    </w:p>
    <w:tbl>
      <w:tblPr>
        <w:tblW w:w="3310" w:type="dxa"/>
        <w:jc w:val="left"/>
        <w:tblInd w:w="0" w:type="dxa"/>
        <w:tblLayout w:type="fixed"/>
        <w:tblCellMar>
          <w:top w:w="0" w:type="dxa"/>
          <w:left w:w="0" w:type="dxa"/>
          <w:bottom w:w="0" w:type="dxa"/>
          <w:right w:w="0" w:type="dxa"/>
        </w:tblCellMar>
      </w:tblPr>
      <w:tblGrid>
        <w:gridCol w:w="3230"/>
        <w:gridCol w:w="80"/>
      </w:tblGrid>
      <w:tr>
        <w:trPr/>
        <w:tc>
          <w:tcPr>
            <w:tcW w:w="3230" w:type="dxa"/>
            <w:tcBorders/>
            <w:vAlign w:val="center"/>
          </w:tcPr>
          <w:p>
            <w:pPr>
              <w:pStyle w:val="TableContents"/>
              <w:bidi w:val="0"/>
              <w:spacing w:before="0" w:after="283"/>
              <w:jc w:val="left"/>
              <w:rPr>
                <w:b/>
              </w:rPr>
            </w:pPr>
            <w:r>
              <w:rPr>
                <w:b/>
              </w:rPr>
              <w:t>Issue to:</w:t>
            </w:r>
          </w:p>
        </w:tc>
        <w:tc>
          <w:tcPr>
            <w:tcW w:w="8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b/>
              </w:rPr>
            </w:pPr>
            <w:r>
              <w:rPr>
                <w:b/>
              </w:rPr>
              <w:t>Broker DTC Participant Code:</w:t>
            </w:r>
          </w:p>
        </w:tc>
        <w:tc>
          <w:tcPr>
            <w:tcW w:w="8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b/>
              </w:rPr>
            </w:pPr>
            <w:r>
              <w:rPr>
                <w:b/>
              </w:rPr>
              <w:t>Account Number:</w:t>
            </w:r>
          </w:p>
        </w:tc>
        <w:tc>
          <w:tcPr>
            <w:tcW w:w="8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b/>
              </w:rPr>
            </w:pPr>
            <w:r>
              <w:rPr>
                <w:b/>
              </w:rPr>
              <w:t>Authorized Signature:</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b/>
              </w:rPr>
            </w:pPr>
            <w:r>
              <w:rPr>
                <w:b/>
              </w:rPr>
              <w:t>Name:</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b/>
              </w:rPr>
            </w:pPr>
            <w:r>
              <w:rPr>
                <w:b/>
              </w:rPr>
              <w:t>Title:</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48503</Words>
  <Characters>256101</Characters>
  <CharactersWithSpaces>307850</CharactersWithSpaces>
  <Paragraphs>2018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