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23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333333"/>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September 4, 2025</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25" w:right="339" w:bottom="1440" w:gutter="0" w:footer="0" w:header="0"/>
        </w:sectPr>
      </w:pPr>
    </w:p>
    <w:p>
      <w:pPr>
        <w:spacing w:after="0" w:line="23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333333"/>
        </w:rPr>
        <w:t>The Netherlands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333333"/>
        </w:rPr>
        <w:t>(State or other jurisdiction</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333333"/>
        </w:rPr>
        <w:t>of incorporation)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333333"/>
        </w:rPr>
        <w:t>001-41066</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333333"/>
        </w:rPr>
        <w:t>(Commission File Number)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333333"/>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333333"/>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333333"/>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225" w:right="339" w:bottom="1440" w:gutter="0" w:footer="0" w:header="0"/>
          <w:type w:val="continuous"/>
        </w:sectPr>
      </w:pPr>
    </w:p>
    <w:p>
      <w:pPr>
        <w:spacing w:after="0" w:line="4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333333"/>
        </w:rPr>
        <w:t>Waldmeisterstrasse 93, Munich, Germany</w:t>
      </w:r>
    </w:p>
    <w:p>
      <w:pPr>
        <w:spacing w:after="0" w:line="4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333333"/>
        </w:rPr>
        <w:t>80935</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333333"/>
        </w:rPr>
        <w:t>(Zip Code)</w:t>
      </w:r>
    </w:p>
    <w:p>
      <w:pPr>
        <w:spacing w:after="0" w:line="200" w:lineRule="exact"/>
        <w:rPr>
          <w:sz w:val="24"/>
          <w:szCs w:val="24"/>
          <w:color w:val="auto"/>
        </w:rPr>
      </w:pPr>
    </w:p>
    <w:p>
      <w:pPr>
        <w:sectPr>
          <w:pgSz w:w="11900" w:h="16838" w:orient="portrait"/>
          <w:cols w:equalWidth="0" w:num="2">
            <w:col w:w="7860" w:space="720"/>
            <w:col w:w="2660"/>
          </w:cols>
          <w:pgMar w:left="320" w:top="22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7"/>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16"/>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previously disclosed, Sono Group N.V. (the “Company”) has pursued the uplisting to the Nasdaq Capital Market (“Nasdaq”) of the ordinary shares, par value €0.02 per share, of the Company (“Ordinary Shares”), subject to the Company’s satisfaction of the initial listing requirements.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the Company received notice from Nasdaq that the Ordinary Shares have been approved for listing on Nasdaq. The Ordinary Shares are expected to commence trading on Nasdaq on September 5, 2025 under the ticker symbol “SSM”.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the “safe harbor” provisions of the Private Securities Litigation Reform Act of 1995. Any statements contained herein that are not statements of historical fact may be deemed to be forward-looking statements. In addition, any statements that refer to characterizations of future events or circumstances, including any underlying assumptions, are forward-looking statements. Words such as “expect,” “estimate,” “project,” “budget,” “forecast,” “anticipate,” “intend,” “plan,” “may,” “will,” “could,” “should,” “believes,” “predicts,” “potential,” “continue,” and similar expressions (or their negative) identify certain of these forward-looking statements. These forward-looking statements, include, but are not limited to statements regarding the expected impact of uplisting to the Nasdaq Capital Market and the intentions, beliefs, or current expectations of the Company and its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Company’s ability to uplist to the Nasdaq Capital Market, including meeting the initial and continuous listing requirements; the Company’s ability to satisfy the conditions precedent set forth in its recent securities purchase agreement (“Securities Purchase Agreement”) and exchange agreement (“Exchange Agreement”) entered into with YA II PN, Ltd. (“Yorkville”); the timing of closing the transactions contemplated by the Securities Purchase Agreement and the Exchange Agreement; the impact of the transactions contemplated by the Exchange Agreement and Securities Purchase Agreement on the Company’s operating results; our ability to maintain relationships with creditors, suppliers, service providers, customers, employees and other third parties in light of the performance and credit risks associated with our constrained liquidity position and capital structure; our ability to comply with OTCQB continuing standards;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10-K for the year ended December 31, 2024,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4, 2025</w:t>
            </w:r>
          </w:p>
        </w:tc>
        <w:tc>
          <w:tcPr>
            <w:tcW w:w="2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3760" w:type="dxa"/>
            <w:vAlign w:val="bottom"/>
          </w:tcPr>
          <w:p>
            <w:pPr>
              <w:spacing w:after="0"/>
              <w:rPr>
                <w:sz w:val="16"/>
                <w:szCs w:val="16"/>
                <w:color w:val="auto"/>
              </w:rPr>
            </w:pPr>
          </w:p>
        </w:tc>
        <w:tc>
          <w:tcPr>
            <w:tcW w:w="246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3760" w:type="dxa"/>
            <w:vAlign w:val="bottom"/>
          </w:tcPr>
          <w:p>
            <w:pPr>
              <w:spacing w:after="0"/>
              <w:rPr>
                <w:sz w:val="20"/>
                <w:szCs w:val="20"/>
                <w:color w:val="auto"/>
              </w:rPr>
            </w:pPr>
          </w:p>
        </w:tc>
        <w:tc>
          <w:tcPr>
            <w:tcW w:w="2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2025-09-04T16:32:49Z</dcterms:created>
  <dcterms:modified xsi:type="dcterms:W3CDTF">2025-09-04T16:32:49Z</dcterms:modified>
</cp:coreProperties>
</file>