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39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7"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Waldmeisterstrasse 76</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858520</wp:posOffset>
            </wp:positionV>
            <wp:extent cx="71335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 w:name="page2"/>
    <w:bookmarkEnd w:id="1"/>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t>On January 16, 2024, Sono Group N.V. (the “Company”) convened an extraordinary general meeting of shareholders to be held on January 31, 2024 (the “EGM”). Exhibit 99.1 attached hereto includes a copy of the convening notice, including the agenda (the “Agenda”) and explanatory notes, for the EGM. Exhibit 99.2 attached hereto includes a copy of the voting proxy for the EGM.</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disclosed, the Company and Sono Motors GmbH, the sole subsidiary of the Company. (“Sono GmbH”), entered into investment-related agreements (the “Agreements”) with YA II PN, Ltd. (“Yorkville”) in November 2023. The Agreements contemplate the implementation of certain corporate measures as well as changes in the management and supervisory boards of the Company in connection with the planned investment by Yorkville. Proposals relating to these matters have been included in the Agenda. For more information on the proposals and additional information related thereto, see Exhibit 99.1.</w:t>
      </w:r>
    </w:p>
    <w:p>
      <w:pPr>
        <w:spacing w:after="0" w:line="1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7"/>
          <w:szCs w:val="17"/>
          <w:color w:val="auto"/>
        </w:rPr>
        <w:t>Additional information and background on the planned investment by Yorkville and the respective self-administration proceedings of the Company and Sono GmbH may be found in the Company’s Form 6-Ks submitted to the SEC on May 15, 2023, May 22, 2023, June 12, 2023, September 7, 2023, September 29, 2023, October 30, 2023, November 27, 2023, December 14, 2023 and in the Company’s Form 20-F for the year ended December 31,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7"/>
                <w:szCs w:val="17"/>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8"/>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Convening Notice, including Agenda and Explanatory Notes</w:t>
            </w:r>
          </w:p>
        </w:tc>
        <w:tc>
          <w:tcPr>
            <w:tcW w:w="5600" w:type="dxa"/>
            <w:vAlign w:val="bottom"/>
            <w:gridSpan w:val="5"/>
          </w:tcPr>
          <w:p>
            <w:pPr>
              <w:spacing w:after="0"/>
              <w:rPr>
                <w:sz w:val="24"/>
                <w:szCs w:val="24"/>
                <w:color w:val="auto"/>
              </w:rPr>
            </w:pPr>
          </w:p>
        </w:tc>
      </w:tr>
      <w:tr>
        <w:trPr>
          <w:trHeight w:val="408"/>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Voting Proxy</w:t>
            </w:r>
          </w:p>
        </w:tc>
        <w:tc>
          <w:tcPr>
            <w:tcW w:w="9000" w:type="dxa"/>
            <w:vAlign w:val="bottom"/>
            <w:gridSpan w:val="7"/>
          </w:tcPr>
          <w:p>
            <w:pPr>
              <w:spacing w:after="0"/>
              <w:rPr>
                <w:sz w:val="24"/>
                <w:szCs w:val="24"/>
                <w:color w:val="auto"/>
              </w:rPr>
            </w:pPr>
          </w:p>
        </w:tc>
      </w:tr>
      <w:tr>
        <w:trPr>
          <w:trHeight w:val="408"/>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Proposed amendment of the Company’s articles of association (reverse share split and capital reduction) (English translation)</w:t>
            </w:r>
          </w:p>
        </w:tc>
        <w:tc>
          <w:tcPr>
            <w:tcW w:w="1000" w:type="dxa"/>
            <w:vAlign w:val="bottom"/>
          </w:tcPr>
          <w:p>
            <w:pPr>
              <w:spacing w:after="0"/>
              <w:rPr>
                <w:sz w:val="24"/>
                <w:szCs w:val="24"/>
                <w:color w:val="auto"/>
              </w:rPr>
            </w:pPr>
          </w:p>
        </w:tc>
      </w:tr>
      <w:tr>
        <w:trPr>
          <w:trHeight w:val="40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Wording of each proposed amendment of the Company’s articles of association (authorized capital) (English translation)</w:t>
            </w:r>
          </w:p>
        </w:tc>
      </w:tr>
      <w:tr>
        <w:trPr>
          <w:trHeight w:val="408"/>
        </w:trPr>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5</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Proposed amended Compensation Policy for managing directors</w:t>
            </w:r>
          </w:p>
        </w:tc>
        <w:tc>
          <w:tcPr>
            <w:tcW w:w="4000" w:type="dxa"/>
            <w:vAlign w:val="bottom"/>
            <w:tcBorders>
              <w:top w:val="single" w:sz="8" w:color="0000EE"/>
            </w:tcBorders>
          </w:tcPr>
          <w:p>
            <w:pPr>
              <w:spacing w:after="0"/>
              <w:rPr>
                <w:sz w:val="24"/>
                <w:szCs w:val="24"/>
                <w:color w:val="auto"/>
              </w:rPr>
            </w:pPr>
          </w:p>
        </w:tc>
        <w:tc>
          <w:tcPr>
            <w:tcW w:w="1340" w:type="dxa"/>
            <w:vAlign w:val="bottom"/>
            <w:gridSpan w:val="3"/>
          </w:tcPr>
          <w:p>
            <w:pPr>
              <w:spacing w:after="0"/>
              <w:rPr>
                <w:sz w:val="24"/>
                <w:szCs w:val="24"/>
                <w:color w:val="auto"/>
              </w:rPr>
            </w:pPr>
          </w:p>
        </w:tc>
      </w:tr>
      <w:tr>
        <w:trPr>
          <w:trHeight w:val="40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6</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Proposed amendment of the Company’s articles of association (deleting majority shareholder rights) (English translation)</w:t>
            </w:r>
          </w:p>
        </w:tc>
      </w:tr>
      <w:tr>
        <w:trPr>
          <w:trHeight w:val="663"/>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7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0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0" w:lineRule="exact"/>
        <w:rPr>
          <w:sz w:val="20"/>
          <w:szCs w:val="20"/>
          <w:color w:val="auto"/>
        </w:rPr>
      </w:pPr>
    </w:p>
    <w:tbl>
      <w:tblPr>
        <w:tblLayout w:type="fixed"/>
        <w:tblInd w:w="564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0"/>
                <w:szCs w:val="20"/>
                <w:color w:val="auto"/>
              </w:rPr>
            </w:pP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189"/>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Jona Christians</w:t>
            </w:r>
          </w:p>
        </w:tc>
      </w:tr>
      <w:tr>
        <w:trPr>
          <w:trHeight w:val="233"/>
        </w:trPr>
        <w:tc>
          <w:tcPr>
            <w:tcW w:w="260" w:type="dxa"/>
            <w:vAlign w:val="bottom"/>
          </w:tcPr>
          <w:p>
            <w:pPr>
              <w:spacing w:after="0"/>
              <w:rPr>
                <w:sz w:val="20"/>
                <w:szCs w:val="20"/>
                <w:color w:val="auto"/>
              </w:rPr>
            </w:pPr>
          </w:p>
        </w:tc>
        <w:tc>
          <w:tcPr>
            <w:tcW w:w="5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  Chief Executive Officer and Member of the Management Board</w:t>
            </w:r>
          </w:p>
        </w:tc>
      </w:tr>
      <w:tr>
        <w:trPr>
          <w:trHeight w:val="85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Torsten Kiedel</w:t>
            </w:r>
          </w:p>
        </w:tc>
      </w:tr>
      <w:tr>
        <w:trPr>
          <w:trHeight w:val="189"/>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Torsten Kiedel</w:t>
            </w:r>
          </w:p>
        </w:tc>
      </w:tr>
      <w:tr>
        <w:trPr>
          <w:trHeight w:val="233"/>
        </w:trPr>
        <w:tc>
          <w:tcPr>
            <w:tcW w:w="260" w:type="dxa"/>
            <w:vAlign w:val="bottom"/>
          </w:tcPr>
          <w:p>
            <w:pPr>
              <w:spacing w:after="0"/>
              <w:rPr>
                <w:sz w:val="20"/>
                <w:szCs w:val="20"/>
                <w:color w:val="auto"/>
              </w:rPr>
            </w:pPr>
          </w:p>
        </w:tc>
        <w:tc>
          <w:tcPr>
            <w:tcW w:w="5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  Chief Financial Officer and Member of the Management Board</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2024</w:t>
      </w:r>
    </w:p>
    <w:p>
      <w:pPr>
        <w:sectPr>
          <w:pgSz w:w="11900" w:h="16838" w:orient="portrait"/>
          <w:cols w:equalWidth="0" w:num="1">
            <w:col w:w="11240"/>
          </w:cols>
          <w:pgMar w:left="320" w:top="68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CONVENING NOTICE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00" w:lineRule="exact"/>
        <w:rPr>
          <w:sz w:val="20"/>
          <w:szCs w:val="20"/>
          <w:color w:val="auto"/>
        </w:rPr>
      </w:pPr>
    </w:p>
    <w:p>
      <w:pPr>
        <w:spacing w:after="0" w:line="2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On behalf of the management board of Sono Group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we kindly invite you to the extraordinary general meeting of the Company, to be held on January 31, 2024, at 3.00 p.m. Amsterdam time at the offices of Dentons Europe LLP, fifth floor, Gustav Mahlerplein 2, 1082 MA, Amsterdam, the Netherlands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The EGM shall be held in English.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EGM is as follows:</w:t>
      </w:r>
    </w:p>
    <w:p>
      <w:pPr>
        <w:spacing w:after="0" w:line="221" w:lineRule="exact"/>
        <w:rPr>
          <w:sz w:val="20"/>
          <w:szCs w:val="20"/>
          <w:color w:val="auto"/>
        </w:rPr>
      </w:pPr>
    </w:p>
    <w:p>
      <w:pPr>
        <w:ind w:left="760" w:hanging="753"/>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w:t>
      </w:r>
    </w:p>
    <w:p>
      <w:pPr>
        <w:spacing w:after="0" w:line="217"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Discussion on a proposed restructuring of the Company and its business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(discussion item)</w:t>
      </w:r>
    </w:p>
    <w:p>
      <w:pPr>
        <w:spacing w:after="0" w:line="221" w:lineRule="exact"/>
        <w:rPr>
          <w:rFonts w:ascii="Times New Roman" w:cs="Times New Roman" w:eastAsia="Times New Roman" w:hAnsi="Times New Roman"/>
          <w:sz w:val="18"/>
          <w:szCs w:val="18"/>
          <w:color w:val="auto"/>
        </w:rPr>
      </w:pPr>
    </w:p>
    <w:p>
      <w:pPr>
        <w:jc w:val="both"/>
        <w:ind w:left="760" w:hanging="753"/>
        <w:spacing w:after="0" w:line="265"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to authorize the management board of the Company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xml:space="preserve">) as the corporate body authorized to issue ordinary shares in the capital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and/or high voting shares in the capital of the Company (the </w:t>
      </w:r>
      <w:r>
        <w:rPr>
          <w:rFonts w:ascii="Times New Roman" w:cs="Times New Roman" w:eastAsia="Times New Roman" w:hAnsi="Times New Roman"/>
          <w:sz w:val="18"/>
          <w:szCs w:val="18"/>
          <w:b w:val="1"/>
          <w:bCs w:val="1"/>
          <w:color w:val="auto"/>
        </w:rPr>
        <w:t>High Voting Shares</w:t>
      </w:r>
      <w:r>
        <w:rPr>
          <w:rFonts w:ascii="Times New Roman" w:cs="Times New Roman" w:eastAsia="Times New Roman" w:hAnsi="Times New Roman"/>
          <w:sz w:val="18"/>
          <w:szCs w:val="18"/>
          <w:color w:val="auto"/>
        </w:rPr>
        <w:t>), to effect the Reverse Share Split referred to in agenda item 5 (voting item)</w:t>
      </w:r>
    </w:p>
    <w:p>
      <w:pPr>
        <w:spacing w:after="0" w:line="175" w:lineRule="exact"/>
        <w:rPr>
          <w:rFonts w:ascii="Times New Roman" w:cs="Times New Roman" w:eastAsia="Times New Roman" w:hAnsi="Times New Roman"/>
          <w:sz w:val="18"/>
          <w:szCs w:val="18"/>
          <w:color w:val="auto"/>
        </w:rPr>
      </w:pPr>
    </w:p>
    <w:p>
      <w:pPr>
        <w:ind w:left="760" w:right="20" w:hanging="753"/>
        <w:spacing w:after="0" w:line="278"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authorize the Management Board as the corporate body authorised to exclude or limit pre-emption rights. This authorization is limited to the number of shares that the Management Board may issue under the authorizations mentioned in agenda item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(voting item)</w:t>
      </w:r>
    </w:p>
    <w:p>
      <w:pPr>
        <w:spacing w:after="0" w:line="163"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w:t>
      </w:r>
    </w:p>
    <w:p>
      <w:pPr>
        <w:spacing w:after="0" w:line="221" w:lineRule="exact"/>
        <w:rPr>
          <w:rFonts w:ascii="Times New Roman" w:cs="Times New Roman" w:eastAsia="Times New Roman" w:hAnsi="Times New Roman"/>
          <w:sz w:val="18"/>
          <w:szCs w:val="18"/>
          <w:color w:val="auto"/>
        </w:rPr>
      </w:pPr>
    </w:p>
    <w:p>
      <w:pPr>
        <w:ind w:left="1100" w:hanging="343"/>
        <w:spacing w:after="0" w:line="278" w:lineRule="auto"/>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share split of the Ordinary Shares and the High Voting Shares at an exchange ratio to be determined and established by the Management Board (voting item);</w:t>
      </w:r>
    </w:p>
    <w:p>
      <w:pPr>
        <w:spacing w:after="0" w:line="163" w:lineRule="exact"/>
        <w:rPr>
          <w:rFonts w:ascii="Times New Roman" w:cs="Times New Roman" w:eastAsia="Times New Roman" w:hAnsi="Times New Roman"/>
          <w:sz w:val="18"/>
          <w:szCs w:val="18"/>
          <w:color w:val="auto"/>
        </w:rPr>
      </w:pPr>
    </w:p>
    <w:p>
      <w:pPr>
        <w:ind w:left="1100" w:hanging="343"/>
        <w:spacing w:after="0" w:line="278" w:lineRule="auto"/>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nominal value per Ordinary Share to €0.01 per Ordinary Share (post-reverse share split) without repayment or any other payment by the Company (voting item);</w:t>
      </w:r>
    </w:p>
    <w:p>
      <w:pPr>
        <w:spacing w:after="0" w:line="163" w:lineRule="exact"/>
        <w:rPr>
          <w:rFonts w:ascii="Times New Roman" w:cs="Times New Roman" w:eastAsia="Times New Roman" w:hAnsi="Times New Roman"/>
          <w:sz w:val="18"/>
          <w:szCs w:val="18"/>
          <w:color w:val="auto"/>
        </w:rPr>
      </w:pPr>
    </w:p>
    <w:p>
      <w:pPr>
        <w:ind w:left="1100" w:right="20" w:hanging="343"/>
        <w:spacing w:after="0" w:line="278" w:lineRule="auto"/>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nominal value per High Voting Share to €0.25 per High Voting Share (post-reverse share split) without repayment or any other payment by the Company (voting item); and</w:t>
      </w:r>
    </w:p>
    <w:p>
      <w:pPr>
        <w:spacing w:after="0" w:line="163" w:lineRule="exact"/>
        <w:rPr>
          <w:rFonts w:ascii="Times New Roman" w:cs="Times New Roman" w:eastAsia="Times New Roman" w:hAnsi="Times New Roman"/>
          <w:sz w:val="18"/>
          <w:szCs w:val="18"/>
          <w:color w:val="auto"/>
        </w:rPr>
      </w:pPr>
    </w:p>
    <w:p>
      <w:pPr>
        <w:ind w:left="1100" w:hanging="343"/>
        <w:spacing w:after="0"/>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articles of association to implement the foregoing (voting item)</w:t>
      </w:r>
    </w:p>
    <w:p>
      <w:pPr>
        <w:spacing w:after="0" w:line="221"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w:t>
      </w:r>
    </w:p>
    <w:p>
      <w:pPr>
        <w:spacing w:after="0" w:line="217" w:lineRule="exact"/>
        <w:rPr>
          <w:rFonts w:ascii="Times New Roman" w:cs="Times New Roman" w:eastAsia="Times New Roman" w:hAnsi="Times New Roman"/>
          <w:sz w:val="18"/>
          <w:szCs w:val="18"/>
          <w:color w:val="auto"/>
        </w:rPr>
      </w:pPr>
    </w:p>
    <w:p>
      <w:pPr>
        <w:ind w:left="1100" w:hanging="343"/>
        <w:spacing w:after="0" w:line="283" w:lineRule="auto"/>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the issuance of one or more convertible debenture(s) by the Company (the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to YA II PN, Ltd., which may be converted into Ordinary Shares, in accordance with their terms (voting item);</w:t>
      </w:r>
    </w:p>
    <w:p>
      <w:pPr>
        <w:spacing w:after="0" w:line="154" w:lineRule="exact"/>
        <w:rPr>
          <w:rFonts w:ascii="Times New Roman" w:cs="Times New Roman" w:eastAsia="Times New Roman" w:hAnsi="Times New Roman"/>
          <w:sz w:val="18"/>
          <w:szCs w:val="18"/>
          <w:color w:val="auto"/>
        </w:rPr>
      </w:pPr>
    </w:p>
    <w:p>
      <w:pPr>
        <w:jc w:val="both"/>
        <w:ind w:left="1100" w:hanging="343"/>
        <w:spacing w:after="0" w:line="265" w:lineRule="auto"/>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the rights to subscribe for Ordinary Shares to the holder(s) of the Debentures (the </w:t>
      </w:r>
      <w:r>
        <w:rPr>
          <w:rFonts w:ascii="Times New Roman" w:cs="Times New Roman" w:eastAsia="Times New Roman" w:hAnsi="Times New Roman"/>
          <w:sz w:val="18"/>
          <w:szCs w:val="18"/>
          <w:b w:val="1"/>
          <w:bCs w:val="1"/>
          <w:color w:val="auto"/>
        </w:rPr>
        <w:t>Debenture Shares</w:t>
      </w:r>
      <w:r>
        <w:rPr>
          <w:rFonts w:ascii="Times New Roman" w:cs="Times New Roman" w:eastAsia="Times New Roman" w:hAnsi="Times New Roman"/>
          <w:sz w:val="18"/>
          <w:szCs w:val="18"/>
          <w:color w:val="auto"/>
        </w:rPr>
        <w:t>) whereby the number of Ordinary Shares and the issue price thereof will each time be calculated in accordance with the terms of the Debentures (as amended from time to time in accordance with their terms) (voting item);</w:t>
      </w:r>
    </w:p>
    <w:p>
      <w:pPr>
        <w:spacing w:after="0" w:line="175" w:lineRule="exact"/>
        <w:rPr>
          <w:rFonts w:ascii="Times New Roman" w:cs="Times New Roman" w:eastAsia="Times New Roman" w:hAnsi="Times New Roman"/>
          <w:sz w:val="18"/>
          <w:szCs w:val="18"/>
          <w:color w:val="auto"/>
        </w:rPr>
      </w:pPr>
    </w:p>
    <w:p>
      <w:pPr>
        <w:ind w:left="1100" w:right="20" w:hanging="343"/>
        <w:spacing w:after="0" w:line="278" w:lineRule="auto"/>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and approve the potential issuance of more than 20% of the Company’s outstanding shares upon the conversion of one or more of the Debenture(s), in accordance with the requirement of Nasdaq Listing Rules 5635(b) and 5635(d) (voting item); and</w:t>
      </w:r>
    </w:p>
    <w:p>
      <w:pPr>
        <w:spacing w:after="0" w:line="163" w:lineRule="exact"/>
        <w:rPr>
          <w:rFonts w:ascii="Times New Roman" w:cs="Times New Roman" w:eastAsia="Times New Roman" w:hAnsi="Times New Roman"/>
          <w:sz w:val="18"/>
          <w:szCs w:val="18"/>
          <w:color w:val="auto"/>
        </w:rPr>
      </w:pPr>
    </w:p>
    <w:p>
      <w:pPr>
        <w:ind w:left="1100" w:hanging="343"/>
        <w:spacing w:after="0"/>
        <w:tabs>
          <w:tab w:leader="none" w:pos="11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pre-emption rights in relation to the Debentures and the granting of rights to subscribe for the Debenture Shares (voting item)</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760" w:right="20" w:hanging="753"/>
        <w:spacing w:after="0" w:line="27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amendments to the Company’s articles of association, in such a manner that the authorized capital of the Company is with each amendment amended to facilitate the issue of all Debenture Shares, each time, as the Management Board shall determine (voting item)</w:t>
      </w:r>
    </w:p>
    <w:p>
      <w:pPr>
        <w:spacing w:after="0" w:line="163"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policy of the Company concerning the compensation of Managing Directors (voting item)</w:t>
      </w:r>
    </w:p>
    <w:p>
      <w:pPr>
        <w:spacing w:after="0" w:line="221" w:lineRule="exact"/>
        <w:rPr>
          <w:rFonts w:ascii="Times New Roman" w:cs="Times New Roman" w:eastAsia="Times New Roman" w:hAnsi="Times New Roman"/>
          <w:sz w:val="18"/>
          <w:szCs w:val="18"/>
          <w:color w:val="auto"/>
        </w:rPr>
      </w:pPr>
    </w:p>
    <w:p>
      <w:pPr>
        <w:ind w:left="760" w:hanging="753"/>
        <w:spacing w:after="0" w:line="27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Company’s articles of association, in such a manner that the binding nomination of the current majority shareholders to appoint members of the Supervisory Board is deleted (voting item)</w:t>
      </w:r>
    </w:p>
    <w:p>
      <w:pPr>
        <w:spacing w:after="0" w:line="163"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George O'Leary as member of the Management Board, for a period of one (1) year (voting item)</w:t>
      </w:r>
    </w:p>
    <w:p>
      <w:pPr>
        <w:spacing w:after="0" w:line="221" w:lineRule="exact"/>
        <w:rPr>
          <w:rFonts w:ascii="Times New Roman" w:cs="Times New Roman" w:eastAsia="Times New Roman" w:hAnsi="Times New Roman"/>
          <w:sz w:val="18"/>
          <w:szCs w:val="18"/>
          <w:color w:val="auto"/>
        </w:rPr>
      </w:pPr>
    </w:p>
    <w:p>
      <w:pPr>
        <w:ind w:left="760" w:hanging="753"/>
        <w:spacing w:after="0" w:line="27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resignation of Sandra Vogt-Sasse, Thomas Wiedermann and Martin Sabbione as members of the Supervisory Board (voting item)</w:t>
      </w:r>
    </w:p>
    <w:p>
      <w:pPr>
        <w:spacing w:after="0" w:line="163"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Christopher Schreiber as member of the Supervisory Board, for a period of one (1) year (voting item)</w:t>
      </w:r>
    </w:p>
    <w:p>
      <w:pPr>
        <w:spacing w:after="0" w:line="221"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David Dodge as member of the Supervisory Board, for a period of one (1) year (voting item)</w:t>
      </w:r>
    </w:p>
    <w:p>
      <w:pPr>
        <w:spacing w:after="0" w:line="221"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business shall be voted on at the EGM, except such items as included in the abovementioned agenda.</w:t>
      </w:r>
    </w:p>
    <w:p>
      <w:pPr>
        <w:spacing w:after="0" w:line="21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The procedures for attendance, registration, representation and voting at the EGM are described below and should be read in conjunction with the convening notice.</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record date for the EGM is January 3,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 may attend and, if relevant, vote at the EGM (</w:t>
      </w:r>
      <w:r>
        <w:rPr>
          <w:rFonts w:ascii="Times New Roman" w:cs="Times New Roman" w:eastAsia="Times New Roman" w:hAnsi="Times New Roman"/>
          <w:sz w:val="18"/>
          <w:szCs w:val="18"/>
          <w:b w:val="1"/>
          <w:bCs w:val="1"/>
          <w:color w:val="auto"/>
        </w:rPr>
        <w:t>Persons with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irrespective of changes to their shareholdings or rights after the Record Date.</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Those who beneficially own shares in the Company's capital in an account at a bank, a financial institution, an account holder or other financial intermediary (the </w:t>
      </w: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on the Record Date, must also have their financial intermediary or their agent with whom the underlying shares are on deposit issue a proxy to them which confirms they are authorized to take part in and vote at the EGM.</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Persons with Meeting Rights and Beneficial Owners who wish to attend the EGM, in person or represented by proxy, must notify the Company in writing of their intention to attend the EGM (an </w:t>
      </w:r>
      <w:r>
        <w:rPr>
          <w:rFonts w:ascii="Times New Roman" w:cs="Times New Roman" w:eastAsia="Times New Roman" w:hAnsi="Times New Roman"/>
          <w:sz w:val="18"/>
          <w:szCs w:val="18"/>
          <w:b w:val="1"/>
          <w:bCs w:val="1"/>
          <w:color w:val="auto"/>
        </w:rPr>
        <w:t>Attendance Notice</w:t>
      </w:r>
      <w:r>
        <w:rPr>
          <w:rFonts w:ascii="Times New Roman" w:cs="Times New Roman" w:eastAsia="Times New Roman" w:hAnsi="Times New Roman"/>
          <w:sz w:val="18"/>
          <w:szCs w:val="18"/>
          <w:color w:val="auto"/>
        </w:rPr>
        <w:t xml:space="preserve">) no later than 6:00 a.m. Amsterdam time on the fifth day prior to the meeting, i.e. January 26, 2024 (the </w:t>
      </w:r>
      <w:r>
        <w:rPr>
          <w:rFonts w:ascii="Times New Roman" w:cs="Times New Roman" w:eastAsia="Times New Roman" w:hAnsi="Times New Roman"/>
          <w:sz w:val="18"/>
          <w:szCs w:val="18"/>
          <w:b w:val="1"/>
          <w:bCs w:val="1"/>
          <w:color w:val="auto"/>
        </w:rPr>
        <w:t>Cut-off Time</w:t>
      </w:r>
      <w:r>
        <w:rPr>
          <w:rFonts w:ascii="Times New Roman" w:cs="Times New Roman" w:eastAsia="Times New Roman" w:hAnsi="Times New Roman"/>
          <w:sz w:val="18"/>
          <w:szCs w:val="18"/>
          <w:color w:val="auto"/>
        </w:rPr>
        <w:t xml:space="preserve">). Persons with Meeting Rights and Beneficial Owners must enclose with their Attendance Notice (i) proof of their (beneficial) ownership of the relevant underlying shares in the Company's capital on the Record Date, such as a recent account statement (ii) a proof of identity, (iii) if relevant, a duly signed proxy from the relevant shareholder who is registered in either of the Registers as the holder of those underlying shares on the Record Date, and (iv) if relevant, the duly signed Proxy Form (as defined hereinafter) (collectively, the </w:t>
      </w:r>
      <w:r>
        <w:rPr>
          <w:rFonts w:ascii="Times New Roman" w:cs="Times New Roman" w:eastAsia="Times New Roman" w:hAnsi="Times New Roman"/>
          <w:sz w:val="18"/>
          <w:szCs w:val="18"/>
          <w:b w:val="1"/>
          <w:bCs w:val="1"/>
          <w:color w:val="auto"/>
        </w:rPr>
        <w:t>Entitlement Documents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Persons with Meeting Rights and Beneficial Owners who will not attend in person may also have themselves represented at the EGM through the use of a written or electronically recorded proxy authorizing Mr. J.-M.P. Hermans, civil law notary and partner of Dentons Europe LLP, in Amsterdam, the Netherlands (the </w:t>
      </w:r>
      <w:r>
        <w:rPr>
          <w:rFonts w:ascii="Times New Roman" w:cs="Times New Roman" w:eastAsia="Times New Roman" w:hAnsi="Times New Roman"/>
          <w:sz w:val="18"/>
          <w:szCs w:val="18"/>
          <w:b w:val="1"/>
          <w:bCs w:val="1"/>
          <w:color w:val="auto"/>
        </w:rPr>
        <w:t>Proxy Form</w:t>
      </w:r>
      <w:r>
        <w:rPr>
          <w:rFonts w:ascii="Times New Roman" w:cs="Times New Roman" w:eastAsia="Times New Roman" w:hAnsi="Times New Roman"/>
          <w:sz w:val="18"/>
          <w:szCs w:val="18"/>
          <w:color w:val="auto"/>
        </w:rPr>
        <w:t>). The template Proxy Form can be downloaded from the Company's website (https://ir.sonomotors.com/corporate-governance).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recommends shareholders to vote by Proxy Form.</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Any Attendance Notice and Entitlement Documents to be sent to the Company as part of the procedures described above must be provided via regular mail or e-mail to: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Sono Group N.V.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 D. Lisitsyn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Waldmeisterstrasse 76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80935 Munich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(corporateoffice@sonomotors.com)</w:t>
      </w:r>
    </w:p>
    <w:p>
      <w:pPr>
        <w:spacing w:after="0" w:line="2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Registration for admission to the EGM will take place at the registration desk at the meeting venue between 2.00 p.m. Amsterdam time and the commencement of the EGM on January 31, 2024. It is not possible to register after this time.</w:t>
      </w:r>
    </w:p>
    <w:p>
      <w:pPr>
        <w:spacing w:after="0" w:line="16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Any Attendance Notice and Entitlement Documents received by the Company after the Cut-off Time may be ignored. Persons with Meeting Rights, Beneficial Owners and proxyholders who have not complied with the procedures described above may be refused entry to the EGM.</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16, 2024, the Company has issued 105,667,115 Ordinary Shares, with a par value of €0.06 each, and 3,000,000 High Voting Shares with a par value of €1.50 each. Neither the Company nor any of its subsidiaries holds any shares in the capital of the Company. Each Ordinary Share confers the right to cast one (1) vote. Each High Voting Share confers the right to cast twenty-five (25) votes. The total number of voting rights attached to the issued and outstanding shares that may be exercised at the EGM is 180,667,115.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NOTES TO THE AGENDA</w:t>
      </w:r>
    </w:p>
    <w:p>
      <w:pPr>
        <w:spacing w:after="0" w:line="221" w:lineRule="exact"/>
        <w:rPr>
          <w:sz w:val="20"/>
          <w:szCs w:val="20"/>
          <w:color w:val="auto"/>
        </w:rPr>
      </w:pPr>
    </w:p>
    <w:p>
      <w:pPr>
        <w:ind w:left="760" w:right="1420" w:hanging="753"/>
        <w:spacing w:after="0" w:line="527" w:lineRule="auto"/>
        <w:tabs>
          <w:tab w:leader="none" w:pos="75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Discussion on a proposed restructuring of the Company and its business (the Restructuring) (discussion item) </w:t>
      </w:r>
      <w:r>
        <w:rPr>
          <w:rFonts w:ascii="Times New Roman" w:cs="Times New Roman" w:eastAsia="Times New Roman" w:hAnsi="Times New Roman"/>
          <w:sz w:val="17"/>
          <w:szCs w:val="17"/>
          <w:color w:val="auto"/>
        </w:rPr>
        <w:t>Reference is made to the various public announcements made by the Company, which are available on the Company's website.</w:t>
      </w:r>
    </w:p>
    <w:p>
      <w:pPr>
        <w:jc w:val="both"/>
        <w:ind w:left="7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applied for the opening of self-administration insolvency proceedings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at the insolvency court of Munich, Germany (the Court), on May 15, 2023. By court resolution, preliminary self-administration proceedings (</w:t>
      </w:r>
      <w:r>
        <w:rPr>
          <w:rFonts w:ascii="Times New Roman" w:cs="Times New Roman" w:eastAsia="Times New Roman" w:hAnsi="Times New Roman"/>
          <w:sz w:val="18"/>
          <w:szCs w:val="18"/>
          <w:i w:val="1"/>
          <w:iCs w:val="1"/>
          <w:color w:val="auto"/>
        </w:rPr>
        <w:t>vorläufige Eigenverwaltung)</w:t>
      </w:r>
      <w:r>
        <w:rPr>
          <w:rFonts w:ascii="Times New Roman" w:cs="Times New Roman" w:eastAsia="Times New Roman" w:hAnsi="Times New Roman"/>
          <w:sz w:val="18"/>
          <w:szCs w:val="18"/>
          <w:color w:val="auto"/>
        </w:rPr>
        <w:t xml:space="preserve"> were ordered with effect from May 17, 2023. Further, the Company's 100% subsidiary, Sono Motors GmbH (</w:t>
      </w:r>
      <w:r>
        <w:rPr>
          <w:rFonts w:ascii="Times New Roman" w:cs="Times New Roman" w:eastAsia="Times New Roman" w:hAnsi="Times New Roman"/>
          <w:sz w:val="18"/>
          <w:szCs w:val="18"/>
          <w:b w:val="1"/>
          <w:bCs w:val="1"/>
          <w:color w:val="auto"/>
        </w:rPr>
        <w:t>Sono GmbH</w:t>
      </w:r>
      <w:r>
        <w:rPr>
          <w:rFonts w:ascii="Times New Roman" w:cs="Times New Roman" w:eastAsia="Times New Roman" w:hAnsi="Times New Roman"/>
          <w:sz w:val="18"/>
          <w:szCs w:val="18"/>
          <w:color w:val="auto"/>
        </w:rPr>
        <w:t>), applied for the opening of self-administration proceedings in the form of protective shield proceedings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at the Court on May 15, 2023. By court resolution, preliminary self-administration proceedings were opened for Sono GmbH on May 19, 2023 and the self-administration proceedings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were ordered for Sono GmbH with effect from September 1, 2023.</w:t>
      </w:r>
    </w:p>
    <w:p>
      <w:pPr>
        <w:spacing w:after="0" w:line="183" w:lineRule="exact"/>
        <w:rPr>
          <w:rFonts w:ascii="Times New Roman" w:cs="Times New Roman" w:eastAsia="Times New Roman" w:hAnsi="Times New Roman"/>
          <w:sz w:val="17"/>
          <w:szCs w:val="17"/>
          <w:b w:val="1"/>
          <w:bCs w:val="1"/>
          <w:color w:val="auto"/>
        </w:rPr>
      </w:pPr>
    </w:p>
    <w:p>
      <w:pPr>
        <w:jc w:val="both"/>
        <w:ind w:left="76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As disclosed in its Form 6-Ks submitted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July 18, 2023, September 1, 2023 and December 13, 2023, the Company is currently not in compliance with certain listing requirements under Nasdaq rules, and has received a decision of the Nasdaq Hearings Panel (the </w:t>
      </w:r>
      <w:r>
        <w:rPr>
          <w:rFonts w:ascii="Times New Roman" w:cs="Times New Roman" w:eastAsia="Times New Roman" w:hAnsi="Times New Roman"/>
          <w:sz w:val="18"/>
          <w:szCs w:val="18"/>
          <w:b w:val="1"/>
          <w:bCs w:val="1"/>
          <w:color w:val="auto"/>
        </w:rPr>
        <w:t>Panel</w:t>
      </w:r>
      <w:r>
        <w:rPr>
          <w:rFonts w:ascii="Times New Roman" w:cs="Times New Roman" w:eastAsia="Times New Roman" w:hAnsi="Times New Roman"/>
          <w:sz w:val="18"/>
          <w:szCs w:val="18"/>
          <w:color w:val="auto"/>
        </w:rPr>
        <w:t>) advising the Company that the Panel has determined to delist the Company’s ordinary shares from Nasdaq. Nasdaq informed the Company that Nasdaq will complete the delisting by filing a Form 25 Notification of Delisting with the SEC following the lapse of applicable appeal periods. The Company does not intend to appeal the Panel’s decision.</w:t>
      </w:r>
    </w:p>
    <w:p>
      <w:pPr>
        <w:spacing w:after="0" w:line="181" w:lineRule="exact"/>
        <w:rPr>
          <w:rFonts w:ascii="Times New Roman" w:cs="Times New Roman" w:eastAsia="Times New Roman" w:hAnsi="Times New Roman"/>
          <w:sz w:val="17"/>
          <w:szCs w:val="17"/>
          <w:b w:val="1"/>
          <w:bCs w:val="1"/>
          <w:color w:val="auto"/>
        </w:rPr>
      </w:pPr>
    </w:p>
    <w:p>
      <w:pPr>
        <w:jc w:val="both"/>
        <w:ind w:left="76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December 7, 2022, the Company and Yorkville entered into a securities purchase agreement, pursuant to which Yorkville (as defined below) purchased convertible debentures in an aggregate principal amount of USD 31.1 million. To date, YA II PN, Ltd (</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is amongst the largest creditors of the Company with a due and outstanding amount of approximately USD 21 million.</w:t>
      </w:r>
    </w:p>
    <w:p>
      <w:pPr>
        <w:spacing w:after="0" w:line="172"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Key features of the Restructuring</w:t>
      </w:r>
    </w:p>
    <w:p>
      <w:pPr>
        <w:spacing w:after="0" w:line="221" w:lineRule="exact"/>
        <w:rPr>
          <w:rFonts w:ascii="Times New Roman" w:cs="Times New Roman" w:eastAsia="Times New Roman" w:hAnsi="Times New Roman"/>
          <w:sz w:val="17"/>
          <w:szCs w:val="17"/>
          <w:b w:val="1"/>
          <w:bCs w:val="1"/>
          <w:color w:val="auto"/>
        </w:rPr>
      </w:pPr>
    </w:p>
    <w:p>
      <w:pPr>
        <w:jc w:val="both"/>
        <w:ind w:left="76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To enable the sustainable restructuring of the Company and its group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and to allow the Company and Sono GmbH to withdraw and/or exit from their respective self-administration proceedings, Yorkville and the Company have entered inter alia into a restructuring agreement, dated November 20, 2023, and a funding commitment dated November 17, 2023.</w:t>
      </w:r>
    </w:p>
    <w:p>
      <w:pPr>
        <w:spacing w:after="0" w:line="175" w:lineRule="exact"/>
        <w:rPr>
          <w:rFonts w:ascii="Times New Roman" w:cs="Times New Roman" w:eastAsia="Times New Roman" w:hAnsi="Times New Roman"/>
          <w:sz w:val="17"/>
          <w:szCs w:val="17"/>
          <w:b w:val="1"/>
          <w:bCs w:val="1"/>
          <w:color w:val="auto"/>
        </w:rPr>
      </w:pPr>
    </w:p>
    <w:p>
      <w:pPr>
        <w:jc w:val="both"/>
        <w:ind w:left="7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Under these agreements and subject to fulfilment of certain closing conditions, Yorkville has agreed to provide additional funding of up to EUR 9,000,000 to the Company by way of one or more convertible debentures, to be issued by the Company (the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The funding is intended to finance the business of the Sono Group throughout 2024 in accordance with an agreed budget. In addition, Yorkville has agreed to defer the maturity of its existing debt.</w:t>
      </w:r>
    </w:p>
    <w:p>
      <w:pPr>
        <w:spacing w:after="0" w:line="181" w:lineRule="exact"/>
        <w:rPr>
          <w:rFonts w:ascii="Times New Roman" w:cs="Times New Roman" w:eastAsia="Times New Roman" w:hAnsi="Times New Roman"/>
          <w:sz w:val="17"/>
          <w:szCs w:val="17"/>
          <w:b w:val="1"/>
          <w:bCs w:val="1"/>
          <w:color w:val="auto"/>
        </w:rPr>
      </w:pPr>
    </w:p>
    <w:p>
      <w:pPr>
        <w:jc w:val="both"/>
        <w:ind w:left="76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Part of the Yorkville funding will be made available to Sono GmbH under a letter of comfort, allowing the financing of the operative business of the Sono Group. The Company and Sono GmbH have entered into a Continuation Agreement dated November 20, 2023, inter alia implementing the restructuring and the corresponding financing obligations between the Company and Sono GmbH.</w:t>
      </w:r>
    </w:p>
    <w:p>
      <w:pPr>
        <w:spacing w:after="0" w:line="17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1335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 w:name="page8"/>
    <w:bookmarkEnd w:id="7"/>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agreed restructuring and funding are intended to enable the Company and Sono GmbH to withdraw and/or exit their respective self-administration proceedings and continue their business activities outside of such self-administration proceedings as a going concern. Sono GmbH proposed a plan under the German Insolvency Code to its creditors, and such plan was accepted by the required majority of creditors and approved by the Court on December 21, 2023. If the Court’s confirmation of the plan remains unaffected by appeals or challenges, the plan would enter into force and be implemented by Sono GmbH, and Sono GmbH’s self-administration proceedings would be closed. Furthermore, the Company would be able to withdraw its application for self-administration proceedings, with the effect that both Sono GmbH and the Company would be able to resume business activities outside of insolvency on a debt-free basis (except for the existing and new Yorkville debt).</w:t>
      </w:r>
    </w:p>
    <w:p>
      <w:pPr>
        <w:spacing w:after="0" w:line="186"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18"/>
          <w:szCs w:val="18"/>
          <w:color w:val="auto"/>
        </w:rPr>
        <w:t>As part of the Restructuring, the Company intends to implement a new Management Board and Supervisory Board and take certain (capital restructuring) measures which are intended to enable a potential application for admission of our Ordinary Shares to trading on a stock exchange in the future. Such measures are proposed for resolution in this EGM.</w:t>
      </w:r>
    </w:p>
    <w:p>
      <w:pPr>
        <w:spacing w:after="0" w:line="176"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18"/>
          <w:szCs w:val="18"/>
          <w:color w:val="auto"/>
        </w:rPr>
        <w:t>As part of the Restructuring, it has been agreed with the founding shareholders of the Company that they will surrender part of their Ordinary Shares and all their High Voting Shares to, inter alia, a special purposes vehicle to be held and controlled by (indirectly) new management. Any such transfer of these shares to said special purposes vehicle is expected to occur on or about the date of the EGM.</w:t>
      </w:r>
    </w:p>
    <w:p>
      <w:pPr>
        <w:spacing w:after="0" w:line="176"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18"/>
          <w:szCs w:val="18"/>
          <w:color w:val="auto"/>
        </w:rPr>
        <w:t>This EGM should also be regarded as the general meeting of the Company within the meaning of Section 2:108a of the Dutch Civil Code, informing the shareholders that the equity of the Company has decreased below half of the Company’s issued capital and to discuss measures to be effected in relation thereto.</w:t>
      </w:r>
    </w:p>
    <w:p>
      <w:pPr>
        <w:spacing w:after="0" w:line="172" w:lineRule="exact"/>
        <w:rPr>
          <w:sz w:val="20"/>
          <w:szCs w:val="20"/>
          <w:color w:val="auto"/>
        </w:rPr>
      </w:pPr>
    </w:p>
    <w:p>
      <w:pPr>
        <w:ind w:left="760" w:hanging="753"/>
        <w:spacing w:after="0" w:line="283" w:lineRule="auto"/>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to authorize the Management Board as the corporate body authorised to issue Ordinary Shares and/or High Voting Shares, to effect the Reverse Share Split referred to in agenda item 5 (voting item)</w:t>
      </w:r>
    </w:p>
    <w:p>
      <w:pPr>
        <w:spacing w:after="0" w:line="158" w:lineRule="exact"/>
        <w:rPr>
          <w:rFonts w:ascii="Times New Roman" w:cs="Times New Roman" w:eastAsia="Times New Roman" w:hAnsi="Times New Roman"/>
          <w:sz w:val="18"/>
          <w:szCs w:val="18"/>
          <w:b w:val="1"/>
          <w:bCs w:val="1"/>
          <w:color w:val="auto"/>
        </w:rPr>
      </w:pPr>
    </w:p>
    <w:p>
      <w:pPr>
        <w:jc w:val="both"/>
        <w:ind w:left="7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the Management Board, with approval of the Supervisory Board, proposes to perform a reverse share split, with the aim to increase the price of the Company’s Ordinary Shares and enable a potential application for admission of our Ordinary Shares to trading on a stock exchange in the future. Reference is made to agenda item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proposed resolutions and explanatory notes of the reverse share split. The ratio of the Reverse Share Split (as defined below) as to be determined by the Management Board in accordance with the below formula is dependent on the closing share price of an Ordinary Share on the date prior to the implementation of the Reverse Share Split (as defined below). Consequently, the exact number of Ordinary Shares that will result from the Reverse Share Split (as defined below) is currently unknown. To avoid the situation where, as a result of the ratio of the Reverse Share Split (as defined below), fractional shares are in issue, the Management Board, with approval of the Supervisory Board, proposes to authorize the Management Board as the corporate body of the Company authorised to issue such number of Ordinary Shares and/or High Voting Shares to come to a pre-Reverse Share Split number of issued shares to allow for a reverse share split whereby, on a total issued basis, no fractional Ordinary Shares and/or High Voting Shares are issued.</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8" w:name="page9"/>
    <w:bookmarkEnd w:id="8"/>
    <w:p>
      <w:pPr>
        <w:jc w:val="both"/>
        <w:ind w:left="753" w:hanging="753"/>
        <w:spacing w:after="0" w:line="265" w:lineRule="auto"/>
        <w:tabs>
          <w:tab w:leader="none" w:pos="75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to authorize the Management Board as the corporate body authorised to exclude or limit pre-emption rights. This authorization is limited to the number of shares that the Management Board may issue under the authorizations mentioned in agenda item 3 (voting item)</w:t>
      </w:r>
    </w:p>
    <w:p>
      <w:pPr>
        <w:spacing w:after="0" w:line="175" w:lineRule="exact"/>
        <w:rPr>
          <w:rFonts w:ascii="Times New Roman" w:cs="Times New Roman" w:eastAsia="Times New Roman" w:hAnsi="Times New Roman"/>
          <w:sz w:val="18"/>
          <w:szCs w:val="18"/>
          <w:b w:val="1"/>
          <w:bCs w:val="1"/>
          <w:color w:val="auto"/>
        </w:rPr>
      </w:pPr>
    </w:p>
    <w:p>
      <w:pPr>
        <w:jc w:val="both"/>
        <w:ind w:left="753"/>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proposes, with approval of the Supervisory Board, to designate the Management Board as the corporate body of the Company authorised to limit or exclude any pre-emption rights in relation to the issue of Ordinary Shares and/or High Voting Shares that could be issued by the Management Board pursuant to the authorizations mentioned in agenda item 3.</w:t>
      </w:r>
    </w:p>
    <w:p>
      <w:pPr>
        <w:spacing w:after="0" w:line="176" w:lineRule="exact"/>
        <w:rPr>
          <w:rFonts w:ascii="Times New Roman" w:cs="Times New Roman" w:eastAsia="Times New Roman" w:hAnsi="Times New Roman"/>
          <w:sz w:val="18"/>
          <w:szCs w:val="18"/>
          <w:b w:val="1"/>
          <w:bCs w:val="1"/>
          <w:color w:val="auto"/>
        </w:rPr>
      </w:pPr>
    </w:p>
    <w:p>
      <w:pPr>
        <w:jc w:val="both"/>
        <w:ind w:left="753"/>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articles of association of the Company and Dutch law, if less than one-half of the Company's issued capital is present or represented at the EGM, this proposal can only be adopted with a majority of at least two-thirds of the votes cast. If more than one-half of the issued capital is present or represented, a simple majority is sufficient to adopt this proposal.</w:t>
      </w:r>
    </w:p>
    <w:p>
      <w:pPr>
        <w:spacing w:after="0" w:line="172" w:lineRule="exact"/>
        <w:rPr>
          <w:rFonts w:ascii="Times New Roman" w:cs="Times New Roman" w:eastAsia="Times New Roman" w:hAnsi="Times New Roman"/>
          <w:sz w:val="18"/>
          <w:szCs w:val="18"/>
          <w:b w:val="1"/>
          <w:bCs w:val="1"/>
          <w:color w:val="auto"/>
        </w:rPr>
      </w:pPr>
    </w:p>
    <w:p>
      <w:pPr>
        <w:ind w:left="753" w:hanging="753"/>
        <w:spacing w:after="0"/>
        <w:tabs>
          <w:tab w:leader="none" w:pos="75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to</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b w:val="1"/>
          <w:bCs w:val="1"/>
          <w:color w:val="auto"/>
        </w:rPr>
      </w:pPr>
    </w:p>
    <w:p>
      <w:pPr>
        <w:ind w:left="1273" w:hanging="523"/>
        <w:spacing w:after="0" w:line="283" w:lineRule="auto"/>
        <w:tabs>
          <w:tab w:leader="none" w:pos="1273"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a reverse share split of the Ordinary Shares and the High Voting Shares at an exchange ratio to be determined and established by the Management Board (voting item);</w:t>
      </w:r>
    </w:p>
    <w:p>
      <w:pPr>
        <w:spacing w:after="0" w:line="154" w:lineRule="exact"/>
        <w:rPr>
          <w:rFonts w:ascii="Times New Roman" w:cs="Times New Roman" w:eastAsia="Times New Roman" w:hAnsi="Times New Roman"/>
          <w:sz w:val="18"/>
          <w:szCs w:val="18"/>
          <w:b w:val="1"/>
          <w:bCs w:val="1"/>
          <w:color w:val="auto"/>
        </w:rPr>
      </w:pPr>
    </w:p>
    <w:p>
      <w:pPr>
        <w:ind w:left="1273" w:hanging="523"/>
        <w:spacing w:after="0" w:line="283" w:lineRule="auto"/>
        <w:tabs>
          <w:tab w:leader="none" w:pos="1273"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reduce the nominal value per Ordinary Share to €0.01 per Ordinary Share (post-reverse share split) without repayment or any other payment by the Company (voting item);</w:t>
      </w:r>
    </w:p>
    <w:p>
      <w:pPr>
        <w:spacing w:after="0" w:line="154" w:lineRule="exact"/>
        <w:rPr>
          <w:rFonts w:ascii="Times New Roman" w:cs="Times New Roman" w:eastAsia="Times New Roman" w:hAnsi="Times New Roman"/>
          <w:sz w:val="18"/>
          <w:szCs w:val="18"/>
          <w:b w:val="1"/>
          <w:bCs w:val="1"/>
          <w:color w:val="auto"/>
        </w:rPr>
      </w:pPr>
    </w:p>
    <w:p>
      <w:pPr>
        <w:ind w:left="1273" w:hanging="523"/>
        <w:spacing w:after="0" w:line="283" w:lineRule="auto"/>
        <w:tabs>
          <w:tab w:leader="none" w:pos="1273"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reduce the nominal value per High Voting Share to €0.25 per High Voting Share (post-reverse share split) without repayment or any other payment by the Company (voting item); and</w:t>
      </w:r>
    </w:p>
    <w:p>
      <w:pPr>
        <w:spacing w:after="0" w:line="154" w:lineRule="exact"/>
        <w:rPr>
          <w:rFonts w:ascii="Times New Roman" w:cs="Times New Roman" w:eastAsia="Times New Roman" w:hAnsi="Times New Roman"/>
          <w:sz w:val="18"/>
          <w:szCs w:val="18"/>
          <w:b w:val="1"/>
          <w:bCs w:val="1"/>
          <w:color w:val="auto"/>
        </w:rPr>
      </w:pPr>
    </w:p>
    <w:p>
      <w:pPr>
        <w:ind w:left="1273" w:hanging="523"/>
        <w:spacing w:after="0"/>
        <w:tabs>
          <w:tab w:leader="none" w:pos="1273"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 the Company's articles of association to implement the foregoing (voting item)</w:t>
      </w:r>
    </w:p>
    <w:p>
      <w:pPr>
        <w:spacing w:after="0" w:line="225" w:lineRule="exact"/>
        <w:rPr>
          <w:sz w:val="20"/>
          <w:szCs w:val="20"/>
          <w:color w:val="auto"/>
        </w:rPr>
      </w:pPr>
    </w:p>
    <w:p>
      <w:pPr>
        <w:jc w:val="both"/>
        <w:ind w:left="753"/>
        <w:spacing w:after="0" w:line="255" w:lineRule="auto"/>
        <w:rPr>
          <w:sz w:val="20"/>
          <w:szCs w:val="20"/>
          <w:color w:val="auto"/>
        </w:rPr>
      </w:pPr>
      <w:r>
        <w:rPr>
          <w:rFonts w:ascii="Times New Roman" w:cs="Times New Roman" w:eastAsia="Times New Roman" w:hAnsi="Times New Roman"/>
          <w:sz w:val="18"/>
          <w:szCs w:val="18"/>
          <w:color w:val="auto"/>
        </w:rPr>
        <w:t xml:space="preserve">As part of the Restructuring, it is proposed by the Management Board, with approval of the Supervisory Board, to effect a reverse share split of all of the issued Ordinary Shares and all of the issued High Voting Shares at a ratio to be established and determined by the Management Board (the </w:t>
      </w: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The Management Board and the Supervisory Board believe that the Reverse Share Split should result in a higher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for the Ordinary Shares, which could enable a potential application for admission of our Ordinary Shares to trading on a stock exchange in the future.</w:t>
      </w:r>
    </w:p>
    <w:p>
      <w:pPr>
        <w:spacing w:after="0" w:line="186" w:lineRule="exact"/>
        <w:rPr>
          <w:sz w:val="20"/>
          <w:szCs w:val="20"/>
          <w:color w:val="auto"/>
        </w:rPr>
      </w:pPr>
    </w:p>
    <w:p>
      <w:pPr>
        <w:jc w:val="both"/>
        <w:ind w:left="753"/>
        <w:spacing w:after="0" w:line="258" w:lineRule="auto"/>
        <w:rPr>
          <w:sz w:val="20"/>
          <w:szCs w:val="20"/>
          <w:color w:val="auto"/>
        </w:rPr>
      </w:pPr>
      <w:r>
        <w:rPr>
          <w:rFonts w:ascii="Times New Roman" w:cs="Times New Roman" w:eastAsia="Times New Roman" w:hAnsi="Times New Roman"/>
          <w:sz w:val="18"/>
          <w:szCs w:val="18"/>
          <w:color w:val="auto"/>
        </w:rPr>
        <w:t>The Management Board proposes, with approval of the Supervisory Board, that the Management Board will be authorized to determine the exact ratio of the Reverse Share Split and the date of its implementation. The Management Board will establish the ratio of the Reverse Share Split based on the following formula, taking into account that the expected post-Reverse Share Split trading price of the Ordinary Shares should be in the area of around USD 9 per Ordinary Share.</w:t>
      </w:r>
    </w:p>
    <w:p>
      <w:pPr>
        <w:spacing w:after="0" w:line="181" w:lineRule="exact"/>
        <w:rPr>
          <w:sz w:val="20"/>
          <w:szCs w:val="20"/>
          <w:color w:val="auto"/>
        </w:rPr>
      </w:pPr>
    </w:p>
    <w:p>
      <w:pPr>
        <w:ind w:left="753"/>
        <w:spacing w:after="0"/>
        <w:rPr>
          <w:sz w:val="20"/>
          <w:szCs w:val="20"/>
          <w:color w:val="auto"/>
        </w:rPr>
      </w:pPr>
      <w:r>
        <w:rPr>
          <w:rFonts w:ascii="Times New Roman" w:cs="Times New Roman" w:eastAsia="Times New Roman" w:hAnsi="Times New Roman"/>
          <w:sz w:val="18"/>
          <w:szCs w:val="18"/>
          <w:color w:val="auto"/>
        </w:rPr>
        <w:t>Ratio = (EP / CP) : 1</w:t>
      </w:r>
    </w:p>
    <w:p>
      <w:pPr>
        <w:spacing w:after="0" w:line="221" w:lineRule="exact"/>
        <w:rPr>
          <w:sz w:val="20"/>
          <w:szCs w:val="20"/>
          <w:color w:val="auto"/>
        </w:rPr>
      </w:pPr>
    </w:p>
    <w:p>
      <w:pPr>
        <w:ind w:left="753"/>
        <w:spacing w:after="0"/>
        <w:rPr>
          <w:sz w:val="20"/>
          <w:szCs w:val="20"/>
          <w:color w:val="auto"/>
        </w:rPr>
      </w:pPr>
      <w:r>
        <w:rPr>
          <w:rFonts w:ascii="Times New Roman" w:cs="Times New Roman" w:eastAsia="Times New Roman" w:hAnsi="Times New Roman"/>
          <w:sz w:val="18"/>
          <w:szCs w:val="18"/>
          <w:color w:val="auto"/>
        </w:rPr>
        <w:t>Whereby:</w:t>
      </w:r>
    </w:p>
    <w:p>
      <w:pPr>
        <w:spacing w:after="0" w:line="221" w:lineRule="exact"/>
        <w:rPr>
          <w:sz w:val="20"/>
          <w:szCs w:val="20"/>
          <w:color w:val="auto"/>
        </w:rPr>
      </w:pPr>
    </w:p>
    <w:p>
      <w:pPr>
        <w:ind w:left="753"/>
        <w:spacing w:after="0"/>
        <w:rPr>
          <w:sz w:val="20"/>
          <w:szCs w:val="20"/>
          <w:color w:val="auto"/>
        </w:rPr>
      </w:pPr>
      <w:r>
        <w:rPr>
          <w:rFonts w:ascii="Times New Roman" w:cs="Times New Roman" w:eastAsia="Times New Roman" w:hAnsi="Times New Roman"/>
          <w:sz w:val="18"/>
          <w:szCs w:val="18"/>
          <w:color w:val="auto"/>
        </w:rPr>
        <w:t>EP = envisaged trading price per Ordinary Share post implementation of the Reverse Share Split</w:t>
      </w:r>
    </w:p>
    <w:p>
      <w:pPr>
        <w:spacing w:after="0" w:line="221" w:lineRule="exact"/>
        <w:rPr>
          <w:sz w:val="20"/>
          <w:szCs w:val="20"/>
          <w:color w:val="auto"/>
        </w:rPr>
      </w:pPr>
    </w:p>
    <w:p>
      <w:pPr>
        <w:ind w:left="753"/>
        <w:spacing w:after="0"/>
        <w:rPr>
          <w:sz w:val="20"/>
          <w:szCs w:val="20"/>
          <w:color w:val="auto"/>
        </w:rPr>
      </w:pPr>
      <w:r>
        <w:rPr>
          <w:rFonts w:ascii="Times New Roman" w:cs="Times New Roman" w:eastAsia="Times New Roman" w:hAnsi="Times New Roman"/>
          <w:sz w:val="18"/>
          <w:szCs w:val="18"/>
          <w:color w:val="auto"/>
        </w:rPr>
        <w:t>CP = closing trading price per Ordinary Share on the date prior to the implementation of the Reverse Share Split</w:t>
      </w:r>
    </w:p>
    <w:p>
      <w:pPr>
        <w:spacing w:after="0" w:line="221" w:lineRule="exact"/>
        <w:rPr>
          <w:sz w:val="20"/>
          <w:szCs w:val="20"/>
          <w:color w:val="auto"/>
        </w:rPr>
      </w:pPr>
    </w:p>
    <w:p>
      <w:pPr>
        <w:jc w:val="both"/>
        <w:ind w:left="753"/>
        <w:spacing w:after="0" w:line="263" w:lineRule="auto"/>
        <w:rPr>
          <w:sz w:val="20"/>
          <w:szCs w:val="20"/>
          <w:color w:val="auto"/>
        </w:rPr>
      </w:pPr>
      <w:r>
        <w:rPr>
          <w:rFonts w:ascii="Times New Roman" w:cs="Times New Roman" w:eastAsia="Times New Roman" w:hAnsi="Times New Roman"/>
          <w:sz w:val="18"/>
          <w:szCs w:val="18"/>
          <w:color w:val="auto"/>
        </w:rPr>
        <w:t>The outcome of the formula represents the number of issued Ordinary Shares outstanding that will be combined into one (1) Ordinary Share. An example: if the trading price of an Ordinary Share is USD 0.25 and the Management Board anticipates a post-Reverse Share Split trading price of USD 8, the following formula is applied: 8 / 0.25 = 32. This means that the ratio of the Reverse Share Split is 32:1.</w:t>
      </w:r>
    </w:p>
    <w:p>
      <w:pPr>
        <w:spacing w:after="0" w:line="176" w:lineRule="exact"/>
        <w:rPr>
          <w:sz w:val="20"/>
          <w:szCs w:val="20"/>
          <w:color w:val="auto"/>
        </w:rPr>
      </w:pPr>
    </w:p>
    <w:p>
      <w:pPr>
        <w:ind w:left="1115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335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33"/>
          </w:cols>
          <w:pgMar w:left="327" w:top="465" w:right="339" w:bottom="1440" w:gutter="0" w:footer="0" w:header="0"/>
        </w:sectPr>
      </w:pPr>
    </w:p>
    <w:bookmarkStart w:id="9" w:name="page10"/>
    <w:bookmarkEnd w:id="9"/>
    <w:p>
      <w:pPr>
        <w:ind w:left="3"/>
        <w:spacing w:after="0"/>
        <w:rPr>
          <w:sz w:val="20"/>
          <w:szCs w:val="20"/>
          <w:color w:val="auto"/>
        </w:rPr>
      </w:pPr>
      <w:r>
        <w:rPr>
          <w:rFonts w:ascii="Times New Roman" w:cs="Times New Roman" w:eastAsia="Times New Roman" w:hAnsi="Times New Roman"/>
          <w:sz w:val="18"/>
          <w:szCs w:val="18"/>
          <w:color w:val="auto"/>
        </w:rPr>
        <w:t>The same ratio of the Reverse Share Split is applied to the High Voting Shares.</w:t>
      </w:r>
    </w:p>
    <w:p>
      <w:pPr>
        <w:spacing w:after="0" w:line="221"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If the number of Ordinary Shares and/or High Voting Shares held by a person is not exactly divisible by the applicable ratio before the Reverse Share Split, banks and brokers will round the positions up or down, depending on the particular contractual arrangements between the bank or broker and the relevant holder. This since no fractional shares will be issued in connection with the Reverse Share Split. Persons who hold their shares in the capital of the Company directly in the register of shareholders will be informed by the Company of the administrative process.</w:t>
      </w:r>
    </w:p>
    <w:p>
      <w:pPr>
        <w:spacing w:after="0" w:line="181"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As mentioned, this meeting should also be regarded as the meeting referred to in Section 2:108a Dutch Civil Code. Pursuant to Section 2:108a, the measures should be discussed on how to address the decrease of the Company's equity. A possible measure is to reduce the amount of the issued capital for the benefit of the Company’s profit reserves, as outlined in Section 2:100 paragraph 6 of the Dutch Civil Code. Therefore, the Management Board, with approval of the Supervisory Board, proposes to amend the Company's articles of association in order:</w:t>
      </w:r>
    </w:p>
    <w:p>
      <w:pPr>
        <w:spacing w:after="0" w:line="181" w:lineRule="exact"/>
        <w:rPr>
          <w:sz w:val="20"/>
          <w:szCs w:val="20"/>
          <w:color w:val="auto"/>
        </w:rPr>
      </w:pPr>
    </w:p>
    <w:p>
      <w:pPr>
        <w:jc w:val="both"/>
        <w:ind w:left="323" w:hanging="323"/>
        <w:spacing w:after="0" w:line="25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reduce the nominal value of the Ordinary Shares to €0.01 per Ordinary Share. Such reduction shall occur without any repayment of the reduced nominal value per Ordinary Share or any other payment to the holders of such Ordinary Shares (the </w:t>
      </w:r>
      <w:r>
        <w:rPr>
          <w:rFonts w:ascii="Times New Roman" w:cs="Times New Roman" w:eastAsia="Times New Roman" w:hAnsi="Times New Roman"/>
          <w:sz w:val="18"/>
          <w:szCs w:val="18"/>
          <w:b w:val="1"/>
          <w:bCs w:val="1"/>
          <w:color w:val="auto"/>
        </w:rPr>
        <w:t>Capital Reduction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Capital Reduction Ordinary Shares will occur for the benefit of the Company’s profit reserves (</w:t>
      </w:r>
      <w:r>
        <w:rPr>
          <w:rFonts w:ascii="Times New Roman" w:cs="Times New Roman" w:eastAsia="Times New Roman" w:hAnsi="Times New Roman"/>
          <w:sz w:val="18"/>
          <w:szCs w:val="18"/>
          <w:i w:val="1"/>
          <w:iCs w:val="1"/>
          <w:color w:val="auto"/>
        </w:rPr>
        <w:t>ter delging van geleden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verliezen</w:t>
      </w:r>
      <w:r>
        <w:rPr>
          <w:rFonts w:ascii="Times New Roman" w:cs="Times New Roman" w:eastAsia="Times New Roman" w:hAnsi="Times New Roman"/>
          <w:sz w:val="18"/>
          <w:szCs w:val="18"/>
          <w:color w:val="auto"/>
        </w:rPr>
        <w:t>). This means that the Company's profit reserves will be increased with the balance between</w:t>
      </w:r>
      <w:r>
        <w:rPr>
          <w:rFonts w:ascii="Times New Roman" w:cs="Times New Roman" w:eastAsia="Times New Roman" w:hAnsi="Times New Roman"/>
          <w:sz w:val="18"/>
          <w:szCs w:val="18"/>
          <w:i w:val="1"/>
          <w:iCs w:val="1"/>
          <w:color w:val="auto"/>
        </w:rPr>
        <w:t xml:space="preserve"> (x) </w:t>
      </w:r>
      <w:r>
        <w:rPr>
          <w:rFonts w:ascii="Times New Roman" w:cs="Times New Roman" w:eastAsia="Times New Roman" w:hAnsi="Times New Roman"/>
          <w:sz w:val="18"/>
          <w:szCs w:val="18"/>
          <w:color w:val="auto"/>
        </w:rPr>
        <w:t>the aggregate nominal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issued immediately prior to the Reverse Share Split being implemented and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the aggregate nominal value of the Ordinary Shares issued post implementation of the Reverse Share Split, as outlined in the deed of amendment of the Company’s articles of association; and</w:t>
      </w:r>
    </w:p>
    <w:p>
      <w:pPr>
        <w:spacing w:after="0" w:line="3" w:lineRule="exact"/>
        <w:rPr>
          <w:rFonts w:ascii="Times New Roman" w:cs="Times New Roman" w:eastAsia="Times New Roman" w:hAnsi="Times New Roman"/>
          <w:sz w:val="18"/>
          <w:szCs w:val="18"/>
          <w:color w:val="auto"/>
        </w:rPr>
      </w:pPr>
    </w:p>
    <w:p>
      <w:pPr>
        <w:jc w:val="both"/>
        <w:ind w:left="323" w:hanging="323"/>
        <w:spacing w:after="0" w:line="250"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reduce the nominal value of the High Voting Shares to €0.25 per High Voting Share. Such reduction shall occur without any repayment of the reduced nominal value per High Voting Share or any other payment to the holders of such High Voting Shares (the </w:t>
      </w:r>
      <w:r>
        <w:rPr>
          <w:rFonts w:ascii="Times New Roman" w:cs="Times New Roman" w:eastAsia="Times New Roman" w:hAnsi="Times New Roman"/>
          <w:sz w:val="18"/>
          <w:szCs w:val="18"/>
          <w:b w:val="1"/>
          <w:bCs w:val="1"/>
          <w:color w:val="auto"/>
        </w:rPr>
        <w:t>Capital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High Voting Shares</w:t>
      </w:r>
      <w:r>
        <w:rPr>
          <w:rFonts w:ascii="Times New Roman" w:cs="Times New Roman" w:eastAsia="Times New Roman" w:hAnsi="Times New Roman"/>
          <w:sz w:val="18"/>
          <w:szCs w:val="18"/>
          <w:color w:val="auto"/>
        </w:rPr>
        <w:t>). The Capital Reduction High Voting Shares will occur for the benefit of the Company’s profit reserves. This means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Company's profit reserves will be increased with the balance between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the aggregate nominal value of the High Voting Shares issued immediately prior to the Reverse Share Split being implemented and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the aggregate nominal value of the High Voting Shares issued post implementation of the Reverse Share Split, as outlined in the deed of amendment of the Company’s articles of association.</w:t>
      </w:r>
    </w:p>
    <w:p>
      <w:pPr>
        <w:spacing w:after="0" w:line="187" w:lineRule="exact"/>
        <w:rPr>
          <w:sz w:val="20"/>
          <w:szCs w:val="20"/>
          <w:color w:val="auto"/>
        </w:rPr>
      </w:pPr>
    </w:p>
    <w:p>
      <w:pPr>
        <w:jc w:val="both"/>
        <w:ind w:left="3"/>
        <w:spacing w:after="0" w:line="263" w:lineRule="auto"/>
        <w:rPr>
          <w:sz w:val="20"/>
          <w:szCs w:val="20"/>
          <w:color w:val="auto"/>
        </w:rPr>
      </w:pPr>
      <w:r>
        <w:rPr>
          <w:rFonts w:ascii="Times New Roman" w:cs="Times New Roman" w:eastAsia="Times New Roman" w:hAnsi="Times New Roman"/>
          <w:sz w:val="18"/>
          <w:szCs w:val="18"/>
          <w:color w:val="auto"/>
        </w:rPr>
        <w:t>The voting rights related to an Ordinary Share and a High Voting Share will not change. After the Capital Reduction Ordinary Shares, each Ordinary Share will still grant its holder the right to cast one vote in the Company’s general meeting. At the same time, each High Voting Share grants its holder the right to cast 25 votes in the general meeting.</w:t>
      </w:r>
    </w:p>
    <w:p>
      <w:pPr>
        <w:spacing w:after="0" w:line="176" w:lineRule="exact"/>
        <w:rPr>
          <w:sz w:val="20"/>
          <w:szCs w:val="20"/>
          <w:color w:val="auto"/>
        </w:rPr>
      </w:pPr>
    </w:p>
    <w:p>
      <w:pPr>
        <w:jc w:val="both"/>
        <w:ind w:left="3"/>
        <w:spacing w:after="0" w:line="263" w:lineRule="auto"/>
        <w:rPr>
          <w:sz w:val="20"/>
          <w:szCs w:val="20"/>
          <w:color w:val="auto"/>
        </w:rPr>
      </w:pPr>
      <w:r>
        <w:rPr>
          <w:rFonts w:ascii="Times New Roman" w:cs="Times New Roman" w:eastAsia="Times New Roman" w:hAnsi="Times New Roman"/>
          <w:sz w:val="18"/>
          <w:szCs w:val="18"/>
          <w:color w:val="auto"/>
        </w:rPr>
        <w:t>A copy of the verbatim text of the proposed amendment of the Company’s Articles of Association to effect the Reverse Share Split, the Capital Reduction Ordinary Shares and the Capital Reduction High Voting Shares has been made available on the Company's website and at the Company's office address in the official Dutch language together with an English translation thereof.</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16510</wp:posOffset>
            </wp:positionV>
            <wp:extent cx="71335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0483"/>
          </w:cols>
          <w:pgMar w:left="1077" w:top="469" w:right="339" w:bottom="1440" w:gutter="0" w:footer="0" w:header="0"/>
        </w:sectPr>
      </w:pPr>
    </w:p>
    <w:bookmarkStart w:id="10" w:name="page11"/>
    <w:bookmarkEnd w:id="10"/>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adoption of this resolution includes the authority for each member of the Management Board and each civil law notary, candidate civil law notary and lawyer of Dentons Europe LLP in Amsterdam, the Netherlands, to have the deed of amendment to the articles of association executed, and, if and when the Management Board decides, to implement the Reverse Share Split by proceeding with the execution of the deed of amendment to the Articles of Association.</w:t>
      </w:r>
    </w:p>
    <w:p>
      <w:pPr>
        <w:spacing w:after="0" w:line="177" w:lineRule="exact"/>
        <w:rPr>
          <w:sz w:val="20"/>
          <w:szCs w:val="20"/>
          <w:color w:val="auto"/>
        </w:rPr>
      </w:pPr>
    </w:p>
    <w:p>
      <w:pPr>
        <w:ind w:left="760" w:hanging="753"/>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to:</w:t>
      </w:r>
    </w:p>
    <w:p>
      <w:pPr>
        <w:spacing w:after="0" w:line="248" w:lineRule="exact"/>
        <w:rPr>
          <w:rFonts w:ascii="Times New Roman" w:cs="Times New Roman" w:eastAsia="Times New Roman" w:hAnsi="Times New Roman"/>
          <w:sz w:val="18"/>
          <w:szCs w:val="18"/>
          <w:b w:val="1"/>
          <w:bCs w:val="1"/>
          <w:color w:val="auto"/>
        </w:rPr>
      </w:pPr>
    </w:p>
    <w:p>
      <w:pPr>
        <w:ind w:left="1100" w:hanging="343"/>
        <w:spacing w:after="0" w:line="261" w:lineRule="auto"/>
        <w:tabs>
          <w:tab w:leader="none" w:pos="11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approve the issuance of convertible debenture(s) by the Company (the Debentures) to YA II PN, Ltd., which may be converted into Ordinary Shares, in accordance with their terms (voting item)</w:t>
      </w:r>
    </w:p>
    <w:p>
      <w:pPr>
        <w:spacing w:after="0" w:line="1" w:lineRule="exact"/>
        <w:rPr>
          <w:rFonts w:ascii="Times New Roman" w:cs="Times New Roman" w:eastAsia="Times New Roman" w:hAnsi="Times New Roman"/>
          <w:sz w:val="18"/>
          <w:szCs w:val="18"/>
          <w:b w:val="1"/>
          <w:bCs w:val="1"/>
          <w:color w:val="auto"/>
        </w:rPr>
      </w:pPr>
    </w:p>
    <w:p>
      <w:pPr>
        <w:jc w:val="both"/>
        <w:ind w:left="1100" w:hanging="343"/>
        <w:spacing w:after="0" w:line="248" w:lineRule="auto"/>
        <w:tabs>
          <w:tab w:leader="none" w:pos="11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the rights to subscribe for Ordinary Shares to the holder(s) of the Debenture(s) (the Debenture Shares) whereby the number of Ordinary Shares and the issue price thereof will each time be calculated in accordance with the terms of the Debenture(s) (as amended from time to time in accordance with their terms) (voting item);</w:t>
      </w:r>
    </w:p>
    <w:p>
      <w:pPr>
        <w:spacing w:after="0" w:line="1" w:lineRule="exact"/>
        <w:rPr>
          <w:rFonts w:ascii="Times New Roman" w:cs="Times New Roman" w:eastAsia="Times New Roman" w:hAnsi="Times New Roman"/>
          <w:sz w:val="18"/>
          <w:szCs w:val="18"/>
          <w:b w:val="1"/>
          <w:bCs w:val="1"/>
          <w:color w:val="auto"/>
        </w:rPr>
      </w:pPr>
    </w:p>
    <w:p>
      <w:pPr>
        <w:ind w:left="1100" w:hanging="343"/>
        <w:spacing w:after="0" w:line="248" w:lineRule="auto"/>
        <w:tabs>
          <w:tab w:leader="none" w:pos="11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and approve the potential issuance of more than 20% of the Company’s outstanding shares upon the conversion of one or more of the Debenture(s), in accordance with the requirement of Nasdaq Listing Rules 5635(b) and 5635(d) (voting item); and</w:t>
      </w:r>
    </w:p>
    <w:p>
      <w:pPr>
        <w:ind w:left="1100" w:hanging="343"/>
        <w:spacing w:after="0" w:line="256" w:lineRule="auto"/>
        <w:tabs>
          <w:tab w:leader="none" w:pos="11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exclude pre-emption rights in relation to the Debentures and the granting of rights to subscribe for the Debenture Shares (voting item)</w:t>
      </w:r>
    </w:p>
    <w:p>
      <w:pPr>
        <w:spacing w:after="0" w:line="209"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18"/>
          <w:szCs w:val="18"/>
          <w:color w:val="auto"/>
        </w:rPr>
        <w:t>Reference is made to the Company's Form 6-K submitted to the SEC on November 27, 2023. Important part of the Restructuring is the providing of new funding to the Company by Yorkville. The Management Board, with approval of the Supervisory Board, proposes that such funding is granted in the form of one or more Debentures up to an aggregate amount of EUR 9 million, subject to their terms.</w:t>
      </w:r>
    </w:p>
    <w:p>
      <w:pPr>
        <w:spacing w:after="0" w:line="176"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Debentures, the holder of a Debenture may convert any portion of the outstanding amount thereunder into Ordinary Shares (the </w:t>
      </w:r>
      <w:r>
        <w:rPr>
          <w:rFonts w:ascii="Times New Roman" w:cs="Times New Roman" w:eastAsia="Times New Roman" w:hAnsi="Times New Roman"/>
          <w:sz w:val="18"/>
          <w:szCs w:val="18"/>
          <w:b w:val="1"/>
          <w:bCs w:val="1"/>
          <w:color w:val="auto"/>
        </w:rPr>
        <w:t>Debenture Shares</w:t>
      </w:r>
      <w:r>
        <w:rPr>
          <w:rFonts w:ascii="Times New Roman" w:cs="Times New Roman" w:eastAsia="Times New Roman" w:hAnsi="Times New Roman"/>
          <w:sz w:val="18"/>
          <w:szCs w:val="18"/>
          <w:color w:val="auto"/>
        </w:rPr>
        <w:t>). The number of Ordinary Shares to be issued by the Company upon conversion shall be determined by dividing the relevant conversion amount by the conversion price, whereby “conversion price” means, in summary, the lower of (i) a price per Ordinary Share equal to USD 0.25, or (ii) 85% of the lowest daily volume weighted average price (VWAP) of the Ordinary Shares during the seven (7) consecutive trading days immediately preceding the date of conversion. The conversion price can be adjusted from time to time pursuant to the other terms and conditions of the Debentures.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To allow the Company to fulfil its obligations under the Debentures, the Management Board proposes, with the approval of the Supervisory Board, to grant to Yorkville such number of rights to subscribe for Ordinary Shares as are required to settle the Company's obligation to settle its obligations under the Debenture, all in accordance with the terms of the Debentures (and as amended from time to time in accordance with their terms).</w:t>
      </w:r>
    </w:p>
    <w:p>
      <w:pPr>
        <w:spacing w:after="0" w:line="181"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8"/>
          <w:szCs w:val="18"/>
          <w:color w:val="auto"/>
        </w:rPr>
        <w:t>On December 11, 2023, the Company received a decision from the Panel advising the Company that the Panel has determined to delist the Company’s Ordinary Shares from Nasdaq. Although the delisting process has not been completed as of the date of preparation of these Explanatory Notes, Nasdaq informed the Company that Nasdaq will complete the delisting by filing a Form 25 Notification of Delisting with the SEC following the lapse of applicable appeal periods. The Company does not intend to appeal the Panel’s decision. Because the Ordinary Shares are currently still listed on Nasdaq, the Company is subject to Nasdaq’s rules and regulations. Pursuant to Nasdaq Listing Rule 5635(b), shareholders approval is required prior to the issuance of securities that will result in a change of control of a listed company, which for purposes of Nasdaq Listing Rule 5635(b) is generally deemed to occur when an investor or investor group acquires or has the right to acquire 20% or more of a company’s outstanding ordinary shares or voting power and such ownership or voting power would be the largest ownership position. Shareholders should note that a “change of control” as described under Nasdaq Listing Rule 5635(b) applies only with respect to the application of such rule and does not constitute a “change of control” for purposes of our organizational documents, or any other purpose. The Company, as Foreign Private Issuer, has opted-out of Nasdaq Listing Rule 5635, but this approval has been included for the sake of completeness.</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1" w:name="page12"/>
    <w:bookmarkEnd w:id="11"/>
    <w:p>
      <w:pPr>
        <w:jc w:val="both"/>
        <w:ind w:left="753"/>
        <w:spacing w:after="0" w:line="251" w:lineRule="auto"/>
        <w:rPr>
          <w:sz w:val="20"/>
          <w:szCs w:val="20"/>
          <w:color w:val="auto"/>
        </w:rPr>
      </w:pPr>
      <w:r>
        <w:rPr>
          <w:rFonts w:ascii="Times New Roman" w:cs="Times New Roman" w:eastAsia="Times New Roman" w:hAnsi="Times New Roman"/>
          <w:sz w:val="18"/>
          <w:szCs w:val="18"/>
          <w:color w:val="auto"/>
        </w:rPr>
        <w:t>Pursuant to Nasdaq Listing Rule 5635(d), shareholders approval is required prior to a 20% issuance at a price that is less than the Minimum Price. For purposes of Nasdaq Listing Rule 5635(d), (A) “20% Issuance” means a transaction, other than a public offering, involving: (i) the sale, issuance or potential issuance by the Company of Ordinary Shares (or securities convertible into or exercisable for Ordinary Shares), which alone or together with sales by our officers, directors, or substantial shareholders equals 20% or more of Ordinary Shares or 20% or more of the voting power outstanding before the issuance and (B) “Minimum Price” means a price that is the lower of: (i) the closing price (as reflected on Nasdaq.com) immediately preceding the signing of the binding agreement; or (ii) the average closing price of Ordinary Shares (as reflected on Nasdaq.com) for the five trading days immediately preceding the signing of the binding agreement. In determining whether multiple issuances should be aggregated for purposes of Nasdaq Listing Rule 5635(d), Nasdaq will consider several factors, including the timing of the issuances. Stockholder approval of this proposal will constitute stockholder approval for purposes of Nasdaq Listing Rule 5635(d). The Company, as Foreign Private Issuer, has opted-out of Nasdaq Listing Rule 5635, but this approval has been included for the sake of completeness.</w:t>
      </w:r>
    </w:p>
    <w:p>
      <w:pPr>
        <w:spacing w:after="0" w:line="192" w:lineRule="exact"/>
        <w:rPr>
          <w:sz w:val="20"/>
          <w:szCs w:val="20"/>
          <w:color w:val="auto"/>
        </w:rPr>
      </w:pPr>
    </w:p>
    <w:p>
      <w:pPr>
        <w:jc w:val="both"/>
        <w:ind w:left="753"/>
        <w:spacing w:after="0" w:line="278" w:lineRule="auto"/>
        <w:rPr>
          <w:sz w:val="20"/>
          <w:szCs w:val="20"/>
          <w:color w:val="auto"/>
        </w:rPr>
      </w:pPr>
      <w:r>
        <w:rPr>
          <w:rFonts w:ascii="Times New Roman" w:cs="Times New Roman" w:eastAsia="Times New Roman" w:hAnsi="Times New Roman"/>
          <w:sz w:val="18"/>
          <w:szCs w:val="18"/>
          <w:color w:val="auto"/>
        </w:rPr>
        <w:t>Furthermore, the Management Board proposes, with approval of the Supervisory Board, to exclude any pre-emption rights in relation to the Debentures granting of Debenture Shares to Yorkville.</w:t>
      </w:r>
    </w:p>
    <w:p>
      <w:pPr>
        <w:spacing w:after="0" w:line="163" w:lineRule="exact"/>
        <w:rPr>
          <w:sz w:val="20"/>
          <w:szCs w:val="20"/>
          <w:color w:val="auto"/>
        </w:rPr>
      </w:pPr>
    </w:p>
    <w:p>
      <w:pPr>
        <w:jc w:val="both"/>
        <w:ind w:left="753"/>
        <w:spacing w:after="0" w:line="263" w:lineRule="auto"/>
        <w:rPr>
          <w:sz w:val="20"/>
          <w:szCs w:val="20"/>
          <w:color w:val="auto"/>
        </w:rPr>
      </w:pPr>
      <w:r>
        <w:rPr>
          <w:rFonts w:ascii="Times New Roman" w:cs="Times New Roman" w:eastAsia="Times New Roman" w:hAnsi="Times New Roman"/>
          <w:sz w:val="18"/>
          <w:szCs w:val="18"/>
          <w:color w:val="auto"/>
        </w:rPr>
        <w:t>Pursuant to the articles of association of the Company and Dutch law, if less than one-half of the Company's issued capital is present or represented at the EGM, this proposal can only be adopted with a majority of at least two-thirds of the votes cast. If more than one-half of the issued capital is present or represented, a simple majority is sufficient to adopt this proposal.</w:t>
      </w:r>
    </w:p>
    <w:p>
      <w:pPr>
        <w:spacing w:after="0" w:line="172" w:lineRule="exact"/>
        <w:rPr>
          <w:sz w:val="20"/>
          <w:szCs w:val="20"/>
          <w:color w:val="auto"/>
        </w:rPr>
      </w:pPr>
    </w:p>
    <w:p>
      <w:pPr>
        <w:jc w:val="both"/>
        <w:ind w:left="753" w:hanging="753"/>
        <w:spacing w:after="0" w:line="265" w:lineRule="auto"/>
        <w:tabs>
          <w:tab w:leader="none" w:pos="75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One or more amendments to the Company’s articles of association, in such a manner that the authorized capital of the Company is with each amendment amended to facilitate the issue of all Debenture Shares, each time, as the Management Board shall determine (voting item)</w:t>
      </w:r>
    </w:p>
    <w:p>
      <w:pPr>
        <w:spacing w:after="0" w:line="175" w:lineRule="exact"/>
        <w:rPr>
          <w:rFonts w:ascii="Times New Roman" w:cs="Times New Roman" w:eastAsia="Times New Roman" w:hAnsi="Times New Roman"/>
          <w:sz w:val="18"/>
          <w:szCs w:val="18"/>
          <w:b w:val="1"/>
          <w:bCs w:val="1"/>
          <w:color w:val="auto"/>
        </w:rPr>
      </w:pPr>
    </w:p>
    <w:p>
      <w:pPr>
        <w:jc w:val="both"/>
        <w:ind w:left="753"/>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proposes, with the approval of the Supervisory Board, to amend the Company's articles of association each time as required to effect a conversion of the Debenture or a part thereof into the (issuance of) Debenture Shares. Possibly, upon conversion of the Debenture or a part thereof, the Company’s authorized capital needs to increase to facilitate the issue of one or more Debenture Shares. For the sake of clarity, this means that this resolution to authorise one or more amendments to the Company’s articles of association to increase the Company’s authorized capital to facilitate the issue of any and all Debenture Shares is irrevocable and will stay into full force and effect for as long as one or more Debenture Shares should be issued upon conversion of (part of) the Debenture.</w:t>
      </w:r>
    </w:p>
    <w:p>
      <w:pPr>
        <w:spacing w:after="0" w:line="185" w:lineRule="exact"/>
        <w:rPr>
          <w:rFonts w:ascii="Times New Roman" w:cs="Times New Roman" w:eastAsia="Times New Roman" w:hAnsi="Times New Roman"/>
          <w:sz w:val="18"/>
          <w:szCs w:val="18"/>
          <w:b w:val="1"/>
          <w:bCs w:val="1"/>
          <w:color w:val="auto"/>
        </w:rPr>
      </w:pPr>
    </w:p>
    <w:p>
      <w:pPr>
        <w:jc w:val="both"/>
        <w:ind w:left="753"/>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verbatim text of the wording of each proposed amendment of the Company’s articles of association to effect such increase of the Company’s authorized capital has been made available on the Company's website and at the Company's office address in the official Dutch language together with an English office translation thereof. The number of shares of the authorized capital therein has been left blank, as that will correspond to the number of shares actually issued. The proposed ratio of the issued shares in the Company versus the authorized capital of the Company is not less than 1:5, as Dutch law provides that at least one fifth of the Company’s authorized capital must be issued.</w:t>
      </w:r>
    </w:p>
    <w:p>
      <w:pPr>
        <w:spacing w:after="0" w:line="186" w:lineRule="exact"/>
        <w:rPr>
          <w:sz w:val="20"/>
          <w:szCs w:val="20"/>
          <w:color w:val="auto"/>
        </w:rPr>
      </w:pPr>
    </w:p>
    <w:p>
      <w:pPr>
        <w:ind w:left="1115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335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33"/>
          </w:cols>
          <w:pgMar w:left="327" w:top="469" w:right="339" w:bottom="1440" w:gutter="0" w:footer="0" w:header="0"/>
        </w:sectPr>
      </w:pPr>
    </w:p>
    <w:bookmarkStart w:id="12" w:name="page13"/>
    <w:bookmarkEnd w:id="12"/>
    <w:p>
      <w:pPr>
        <w:jc w:val="both"/>
        <w:ind w:left="760"/>
        <w:spacing w:after="0" w:line="263" w:lineRule="auto"/>
        <w:rPr>
          <w:sz w:val="20"/>
          <w:szCs w:val="20"/>
          <w:color w:val="auto"/>
        </w:rPr>
      </w:pPr>
      <w:r>
        <w:rPr>
          <w:rFonts w:ascii="Times New Roman" w:cs="Times New Roman" w:eastAsia="Times New Roman" w:hAnsi="Times New Roman"/>
          <w:sz w:val="18"/>
          <w:szCs w:val="18"/>
          <w:color w:val="auto"/>
        </w:rPr>
        <w:t>The adoption of this resolution includes the authority for each member of the Management Board and Supervisory Board as well as each civil law notary, candidate civil law notary and lawyer of Dentons Europe LLP in Amsterdam, the Netherlands, to have the deeds of amendment to the articles of association executed to effect the increase of the authorized capital to issue one or more Debenture Shares.</w:t>
      </w:r>
    </w:p>
    <w:p>
      <w:pPr>
        <w:spacing w:after="0" w:line="172" w:lineRule="exact"/>
        <w:rPr>
          <w:sz w:val="20"/>
          <w:szCs w:val="20"/>
          <w:color w:val="auto"/>
        </w:rPr>
      </w:pPr>
    </w:p>
    <w:p>
      <w:pPr>
        <w:ind w:left="760" w:hanging="753"/>
        <w:spacing w:after="0"/>
        <w:tabs>
          <w:tab w:leader="none" w:pos="7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policy of the Company concerning the compensation of Managing Directors</w:t>
      </w:r>
    </w:p>
    <w:p>
      <w:pPr>
        <w:spacing w:after="0" w:line="225" w:lineRule="exact"/>
        <w:rPr>
          <w:rFonts w:ascii="Times New Roman" w:cs="Times New Roman" w:eastAsia="Times New Roman" w:hAnsi="Times New Roman"/>
          <w:sz w:val="18"/>
          <w:szCs w:val="18"/>
          <w:b w:val="1"/>
          <w:bCs w:val="1"/>
          <w:color w:val="auto"/>
        </w:rPr>
      </w:pPr>
    </w:p>
    <w:p>
      <w:pPr>
        <w:jc w:val="both"/>
        <w:ind w:left="7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proposed by the Supervisory Board, upon the recommendation of the Compensation Committee, to adopt an amended policy of the Company concerning the compensation of members of the Management Board. The proposed amendment to the compensation policy can be found on our website: https://ir.sonomotors.com/corporate-governance. Reference is made to the explanatory notes included in the proposed amendment to the compensation policy, for a description of and a further explanation of the proposed amendment.</w:t>
      </w:r>
    </w:p>
    <w:p>
      <w:pPr>
        <w:spacing w:after="0" w:line="18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adopted, the amended compensation policy for Managing Directors will apply as from the date of the EGM.</w:t>
      </w:r>
    </w:p>
    <w:p>
      <w:pPr>
        <w:spacing w:after="0" w:line="217" w:lineRule="exact"/>
        <w:rPr>
          <w:rFonts w:ascii="Times New Roman" w:cs="Times New Roman" w:eastAsia="Times New Roman" w:hAnsi="Times New Roman"/>
          <w:sz w:val="18"/>
          <w:szCs w:val="18"/>
          <w:b w:val="1"/>
          <w:bCs w:val="1"/>
          <w:color w:val="auto"/>
        </w:rPr>
      </w:pPr>
    </w:p>
    <w:p>
      <w:pPr>
        <w:ind w:left="760" w:hanging="753"/>
        <w:spacing w:after="0" w:line="283" w:lineRule="auto"/>
        <w:tabs>
          <w:tab w:leader="none" w:pos="7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Company’s articles of association, in such a manner that the binding nomination of the current majority shareholders to appoint members of the Supervisory Board is deleted (voting item)</w:t>
      </w:r>
    </w:p>
    <w:p>
      <w:pPr>
        <w:spacing w:after="0" w:line="158" w:lineRule="exact"/>
        <w:rPr>
          <w:rFonts w:ascii="Times New Roman" w:cs="Times New Roman" w:eastAsia="Times New Roman" w:hAnsi="Times New Roman"/>
          <w:sz w:val="18"/>
          <w:szCs w:val="18"/>
          <w:b w:val="1"/>
          <w:bCs w:val="1"/>
          <w:color w:val="auto"/>
        </w:rPr>
      </w:pPr>
    </w:p>
    <w:p>
      <w:pPr>
        <w:jc w:val="both"/>
        <w:ind w:left="7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articles of association of the Company provide for a binding nomination right of the Majority Shareholders (as defined in the Company's articles of association) regarding the appointment of members of the Supervisory Board. As part of the Restructuring, the Management Board proposes, with the approval of the Supervisory Board, to amend the Company's articles of association in such manner that the binding nomination rights of the Majority Shareholders are deleted from the Company's articles of association.</w:t>
      </w:r>
    </w:p>
    <w:p>
      <w:pPr>
        <w:spacing w:after="0" w:line="181" w:lineRule="exact"/>
        <w:rPr>
          <w:rFonts w:ascii="Times New Roman" w:cs="Times New Roman" w:eastAsia="Times New Roman" w:hAnsi="Times New Roman"/>
          <w:sz w:val="18"/>
          <w:szCs w:val="18"/>
          <w:b w:val="1"/>
          <w:bCs w:val="1"/>
          <w:color w:val="auto"/>
        </w:rPr>
      </w:pPr>
    </w:p>
    <w:p>
      <w:pPr>
        <w:jc w:val="both"/>
        <w:ind w:left="7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the verbatim text of the wording of the amendment of the Company’s articles of association to effect such deletion has been made available on the Company's website and at the Company's office address in the official Dutch language together with an English office translation thereof.</w:t>
      </w:r>
    </w:p>
    <w:p>
      <w:pPr>
        <w:spacing w:after="0" w:line="176" w:lineRule="exact"/>
        <w:rPr>
          <w:rFonts w:ascii="Times New Roman" w:cs="Times New Roman" w:eastAsia="Times New Roman" w:hAnsi="Times New Roman"/>
          <w:sz w:val="18"/>
          <w:szCs w:val="18"/>
          <w:b w:val="1"/>
          <w:bCs w:val="1"/>
          <w:color w:val="auto"/>
        </w:rPr>
      </w:pPr>
    </w:p>
    <w:p>
      <w:pPr>
        <w:jc w:val="both"/>
        <w:ind w:left="7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of this resolution includes the authority for each member of the Management Board and Supervisory Board as well as each civil law notary, candidate civil law notary and lawyer of Dentons Europe LLP in Amsterdam, the Netherlands, to have the deed of amendment to the articles of association executed.</w:t>
      </w:r>
    </w:p>
    <w:p>
      <w:pPr>
        <w:spacing w:after="0" w:line="172" w:lineRule="exact"/>
        <w:rPr>
          <w:rFonts w:ascii="Times New Roman" w:cs="Times New Roman" w:eastAsia="Times New Roman" w:hAnsi="Times New Roman"/>
          <w:sz w:val="18"/>
          <w:szCs w:val="18"/>
          <w:b w:val="1"/>
          <w:bCs w:val="1"/>
          <w:color w:val="auto"/>
        </w:rPr>
      </w:pPr>
    </w:p>
    <w:p>
      <w:pPr>
        <w:ind w:left="760" w:hanging="753"/>
        <w:spacing w:after="0"/>
        <w:tabs>
          <w:tab w:leader="none" w:pos="7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George O'Leary as member of the Management Board, for a period of one (1) year (voting item)</w:t>
      </w:r>
    </w:p>
    <w:p>
      <w:pPr>
        <w:spacing w:after="0" w:line="225" w:lineRule="exact"/>
        <w:rPr>
          <w:rFonts w:ascii="Times New Roman" w:cs="Times New Roman" w:eastAsia="Times New Roman" w:hAnsi="Times New Roman"/>
          <w:sz w:val="18"/>
          <w:szCs w:val="18"/>
          <w:b w:val="1"/>
          <w:bCs w:val="1"/>
          <w:color w:val="auto"/>
        </w:rPr>
      </w:pPr>
    </w:p>
    <w:p>
      <w:pPr>
        <w:jc w:val="both"/>
        <w:ind w:left="7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the Supervisory Board nominates for appointment Mr George O'Leary as managing director of the Company as of the close of the EGM, for a period of one (1) year. It is proposed by the Supervisory Board to grant Mr O'Leary the title of Chief Executive Officer.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color w:val="auto"/>
        </w:rPr>
        <w:t>Bio:</w:t>
      </w:r>
    </w:p>
    <w:p>
      <w:pPr>
        <w:spacing w:after="0" w:line="220" w:lineRule="exact"/>
        <w:rPr>
          <w:sz w:val="20"/>
          <w:szCs w:val="20"/>
          <w:color w:val="auto"/>
        </w:rPr>
      </w:pPr>
    </w:p>
    <w:tbl>
      <w:tblPr>
        <w:tblLayout w:type="fixed"/>
        <w:tblInd w:w="790" w:type="dxa"/>
        <w:tblCellMar>
          <w:top w:w="0" w:type="dxa"/>
          <w:left w:w="0" w:type="dxa"/>
          <w:bottom w:w="0" w:type="dxa"/>
          <w:right w:w="0" w:type="dxa"/>
        </w:tblCellMar>
      </w:tblPr>
      <w:tr>
        <w:trPr>
          <w:trHeight w:val="228"/>
        </w:trPr>
        <w:tc>
          <w:tcPr>
            <w:tcW w:w="40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Full name</w:t>
            </w:r>
          </w:p>
        </w:tc>
        <w:tc>
          <w:tcPr>
            <w:tcW w:w="6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George G. O’Leary</w:t>
            </w:r>
          </w:p>
        </w:tc>
      </w:tr>
      <w:tr>
        <w:trPr>
          <w:trHeight w:val="208"/>
        </w:trPr>
        <w:tc>
          <w:tcPr>
            <w:tcW w:w="40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Age</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w:t>
            </w:r>
          </w:p>
        </w:tc>
      </w:tr>
      <w:tr>
        <w:trPr>
          <w:trHeight w:val="226"/>
        </w:trPr>
        <w:tc>
          <w:tcPr>
            <w:tcW w:w="40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Profession and education</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Chairman/CEO/CFO</w:t>
            </w:r>
          </w:p>
        </w:tc>
      </w:tr>
      <w:tr>
        <w:trPr>
          <w:trHeight w:val="410"/>
        </w:trPr>
        <w:tc>
          <w:tcPr>
            <w:tcW w:w="4060" w:type="dxa"/>
            <w:vAlign w:val="bottom"/>
            <w:tcBorders>
              <w:left w:val="single" w:sz="8" w:color="auto"/>
              <w:right w:val="single" w:sz="8" w:color="auto"/>
            </w:tcBorders>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BBA Accounting Siena College 1984</w:t>
            </w:r>
          </w:p>
        </w:tc>
      </w:tr>
      <w:tr>
        <w:trPr>
          <w:trHeight w:val="214"/>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r>
        <w:trPr>
          <w:trHeight w:val="226"/>
        </w:trPr>
        <w:tc>
          <w:tcPr>
            <w:tcW w:w="40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 held in the capital of the Company</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Nil on the date of this notification.</w:t>
            </w:r>
          </w:p>
        </w:tc>
      </w:tr>
      <w:tr>
        <w:trPr>
          <w:trHeight w:val="391"/>
        </w:trPr>
        <w:tc>
          <w:tcPr>
            <w:tcW w:w="4060" w:type="dxa"/>
            <w:vAlign w:val="bottom"/>
            <w:tcBorders>
              <w:left w:val="single" w:sz="8" w:color="auto"/>
              <w:right w:val="single" w:sz="8" w:color="auto"/>
            </w:tcBorders>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appointment of Mr O'Leary includes the approval by the General Meeting of th</w:t>
            </w:r>
          </w:p>
        </w:tc>
      </w:tr>
      <w:tr>
        <w:trPr>
          <w:trHeight w:val="214"/>
        </w:trPr>
        <w:tc>
          <w:tcPr>
            <w:tcW w:w="4060" w:type="dxa"/>
            <w:vAlign w:val="bottom"/>
            <w:tcBorders>
              <w:left w:val="single" w:sz="8" w:color="auto"/>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transfer  of  Ordinary  Shares  and  High  Voting  Shares  by  the  Company's  foundin</w:t>
            </w:r>
          </w:p>
        </w:tc>
      </w:tr>
      <w:tr>
        <w:trPr>
          <w:trHeight w:val="214"/>
        </w:trPr>
        <w:tc>
          <w:tcPr>
            <w:tcW w:w="4060" w:type="dxa"/>
            <w:vAlign w:val="bottom"/>
            <w:tcBorders>
              <w:left w:val="single" w:sz="8" w:color="auto"/>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to the special purposes vehicle that will – indirectly – be held and controlle</w:t>
            </w:r>
          </w:p>
        </w:tc>
      </w:tr>
      <w:tr>
        <w:trPr>
          <w:trHeight w:val="214"/>
        </w:trPr>
        <w:tc>
          <w:tcPr>
            <w:tcW w:w="4060" w:type="dxa"/>
            <w:vAlign w:val="bottom"/>
            <w:tcBorders>
              <w:left w:val="single" w:sz="8" w:color="auto"/>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8"/>
              </w:rPr>
              <w:t>by Mr O'Leary, to the extent necessary this is considered remuneration in the form of share</w:t>
            </w:r>
          </w:p>
        </w:tc>
      </w:tr>
      <w:tr>
        <w:trPr>
          <w:trHeight w:val="233"/>
        </w:trPr>
        <w:tc>
          <w:tcPr>
            <w:tcW w:w="4060" w:type="dxa"/>
            <w:vAlign w:val="bottom"/>
            <w:tcBorders>
              <w:left w:val="single" w:sz="8" w:color="auto"/>
              <w:right w:val="single" w:sz="8" w:color="auto"/>
            </w:tcBorders>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within the meaning of the Dutch Civil Code.</w:t>
            </w:r>
          </w:p>
        </w:tc>
      </w:tr>
      <w:tr>
        <w:trPr>
          <w:trHeight w:val="214"/>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r>
        <w:trPr>
          <w:trHeight w:val="189"/>
        </w:trPr>
        <w:tc>
          <w:tcPr>
            <w:tcW w:w="4060" w:type="dxa"/>
            <w:vAlign w:val="bottom"/>
            <w:tcBorders>
              <w:left w:val="single" w:sz="8" w:color="auto"/>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Reasons for nomination</w:t>
            </w:r>
          </w:p>
        </w:tc>
        <w:tc>
          <w:tcPr>
            <w:tcW w:w="6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Supervisory Board highly values Mr O'Leary's proven track record with working wit</w:t>
            </w:r>
          </w:p>
        </w:tc>
      </w:tr>
      <w:tr>
        <w:trPr>
          <w:trHeight w:val="214"/>
        </w:trPr>
        <w:tc>
          <w:tcPr>
            <w:tcW w:w="4060" w:type="dxa"/>
            <w:vAlign w:val="bottom"/>
            <w:tcBorders>
              <w:left w:val="single" w:sz="8" w:color="auto"/>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and restructuring companies that faced financial difficulties. Mr O'Leary also gaine</w:t>
            </w:r>
          </w:p>
        </w:tc>
      </w:tr>
      <w:tr>
        <w:trPr>
          <w:trHeight w:val="233"/>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valuable experience with senior board positions in companies linked to the capital markets.</w:t>
            </w:r>
          </w:p>
        </w:tc>
      </w:tr>
    </w:tbl>
    <w:p>
      <w:pPr>
        <w:spacing w:after="0" w:line="219" w:lineRule="exact"/>
        <w:rPr>
          <w:sz w:val="20"/>
          <w:szCs w:val="20"/>
          <w:color w:val="auto"/>
        </w:rPr>
      </w:pPr>
    </w:p>
    <w:p>
      <w:pPr>
        <w:ind w:left="760" w:right="100" w:hanging="753"/>
        <w:spacing w:after="0" w:line="283" w:lineRule="auto"/>
        <w:tabs>
          <w:tab w:leader="none" w:pos="7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of resignation of Sandra Vogt-Sasse, Thomas Wiedermann and Martin Sabbione as members of the Supervisory Board (voting item)</w:t>
      </w:r>
    </w:p>
    <w:p>
      <w:pPr>
        <w:spacing w:after="0" w:line="158" w:lineRule="exact"/>
        <w:rPr>
          <w:rFonts w:ascii="Times New Roman" w:cs="Times New Roman" w:eastAsia="Times New Roman" w:hAnsi="Times New Roman"/>
          <w:sz w:val="18"/>
          <w:szCs w:val="18"/>
          <w:b w:val="1"/>
          <w:bCs w:val="1"/>
          <w:color w:val="auto"/>
        </w:rPr>
      </w:pPr>
    </w:p>
    <w:p>
      <w:pPr>
        <w:jc w:val="both"/>
        <w:ind w:left="760" w:right="1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Mrs. Vogt-Sasse, Mr Wiedermann and Mr Sabbione resign as members of the Supervisory Board as of the close of the EGM. Separately, and also ultimately as per the Restructuring, Johannes Martin Trischler will also resign as a member of the Supervisory Board.</w:t>
      </w:r>
    </w:p>
    <w:p>
      <w:pPr>
        <w:spacing w:after="0" w:line="176"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proposed to the general meeting to accept their resignation.</w:t>
      </w:r>
    </w:p>
    <w:p>
      <w:pPr>
        <w:spacing w:after="0" w:line="217" w:lineRule="exact"/>
        <w:rPr>
          <w:rFonts w:ascii="Times New Roman" w:cs="Times New Roman" w:eastAsia="Times New Roman" w:hAnsi="Times New Roman"/>
          <w:sz w:val="18"/>
          <w:szCs w:val="18"/>
          <w:b w:val="1"/>
          <w:bCs w:val="1"/>
          <w:color w:val="auto"/>
        </w:rPr>
      </w:pPr>
    </w:p>
    <w:p>
      <w:pPr>
        <w:ind w:left="760" w:hanging="753"/>
        <w:spacing w:after="0"/>
        <w:tabs>
          <w:tab w:leader="none" w:pos="7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Mr Christopher Schreiber as member of the Supervisory Board, for a period of one (1) year (voting item)</w:t>
      </w:r>
    </w:p>
    <w:p>
      <w:pPr>
        <w:spacing w:after="0" w:line="225" w:lineRule="exact"/>
        <w:rPr>
          <w:rFonts w:ascii="Times New Roman" w:cs="Times New Roman" w:eastAsia="Times New Roman" w:hAnsi="Times New Roman"/>
          <w:sz w:val="18"/>
          <w:szCs w:val="18"/>
          <w:b w:val="1"/>
          <w:bCs w:val="1"/>
          <w:color w:val="auto"/>
        </w:rPr>
      </w:pPr>
    </w:p>
    <w:p>
      <w:pPr>
        <w:ind w:left="760" w:right="1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the Supervisory Board nominates for appointment Mr Christopher Schreiber as member of the Supervisory Board as of the close of the EGM, for a period of one (1) year.</w:t>
      </w:r>
    </w:p>
    <w:p>
      <w:pPr>
        <w:spacing w:after="0" w:line="16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Borders>
              <w:right w:val="single" w:sz="8" w:color="auto"/>
            </w:tcBorders>
          </w:tcPr>
          <w:p>
            <w:pPr>
              <w:spacing w:after="0"/>
              <w:rPr>
                <w:sz w:val="19"/>
                <w:szCs w:val="19"/>
                <w:color w:val="auto"/>
              </w:rPr>
            </w:pPr>
          </w:p>
        </w:tc>
        <w:tc>
          <w:tcPr>
            <w:tcW w:w="3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Full name</w:t>
            </w: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6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Christopher Schreiber</w:t>
            </w:r>
          </w:p>
        </w:tc>
      </w:tr>
      <w:tr>
        <w:trPr>
          <w:trHeight w:val="208"/>
        </w:trPr>
        <w:tc>
          <w:tcPr>
            <w:tcW w:w="80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Age</w:t>
            </w:r>
          </w:p>
        </w:tc>
        <w:tc>
          <w:tcPr>
            <w:tcW w:w="220" w:type="dxa"/>
            <w:vAlign w:val="bottom"/>
            <w:tcBorders>
              <w:bottom w:val="single" w:sz="8" w:color="auto"/>
              <w:right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tcPr>
          <w:p>
            <w:pPr>
              <w:spacing w:after="0"/>
              <w:rPr>
                <w:sz w:val="18"/>
                <w:szCs w:val="18"/>
                <w:color w:val="auto"/>
              </w:rPr>
            </w:pPr>
          </w:p>
        </w:tc>
      </w:tr>
      <w:tr>
        <w:trPr>
          <w:trHeight w:val="189"/>
        </w:trPr>
        <w:tc>
          <w:tcPr>
            <w:tcW w:w="800" w:type="dxa"/>
            <w:vAlign w:val="bottom"/>
            <w:tcBorders>
              <w:right w:val="single" w:sz="8" w:color="auto"/>
            </w:tcBorders>
          </w:tcPr>
          <w:p>
            <w:pPr>
              <w:spacing w:after="0"/>
              <w:rPr>
                <w:sz w:val="16"/>
                <w:szCs w:val="16"/>
                <w:color w:val="auto"/>
              </w:rPr>
            </w:pPr>
          </w:p>
        </w:tc>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Profession and education</w:t>
            </w:r>
          </w:p>
        </w:tc>
        <w:tc>
          <w:tcPr>
            <w:tcW w:w="220" w:type="dxa"/>
            <w:vAlign w:val="bottom"/>
            <w:tcBorders>
              <w:right w:val="single" w:sz="8" w:color="auto"/>
            </w:tcBorders>
          </w:tcPr>
          <w:p>
            <w:pPr>
              <w:spacing w:after="0"/>
              <w:rPr>
                <w:sz w:val="16"/>
                <w:szCs w:val="16"/>
                <w:color w:val="auto"/>
              </w:rPr>
            </w:pPr>
          </w:p>
        </w:tc>
        <w:tc>
          <w:tcPr>
            <w:tcW w:w="6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Over 35 years in the Financial Service sector. Mr Schreiber holds a Johns Hopkin</w:t>
            </w:r>
          </w:p>
        </w:tc>
      </w:tr>
      <w:tr>
        <w:trPr>
          <w:trHeight w:val="233"/>
        </w:trPr>
        <w:tc>
          <w:tcPr>
            <w:tcW w:w="800" w:type="dxa"/>
            <w:vAlign w:val="bottom"/>
            <w:tcBorders>
              <w:right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undergraduate degree</w:t>
            </w:r>
          </w:p>
        </w:tc>
      </w:tr>
      <w:tr>
        <w:trPr>
          <w:trHeight w:val="208"/>
        </w:trPr>
        <w:tc>
          <w:tcPr>
            <w:tcW w:w="80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Number of shares held in the capital of the Company</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Nil</w:t>
            </w:r>
          </w:p>
        </w:tc>
      </w:tr>
      <w:tr>
        <w:trPr>
          <w:trHeight w:val="189"/>
        </w:trPr>
        <w:tc>
          <w:tcPr>
            <w:tcW w:w="800" w:type="dxa"/>
            <w:vAlign w:val="bottom"/>
            <w:tcBorders>
              <w:right w:val="single" w:sz="8" w:color="auto"/>
            </w:tcBorders>
          </w:tcPr>
          <w:p>
            <w:pPr>
              <w:spacing w:after="0"/>
              <w:rPr>
                <w:sz w:val="16"/>
                <w:szCs w:val="16"/>
                <w:color w:val="auto"/>
              </w:rPr>
            </w:pPr>
          </w:p>
        </w:tc>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Brief description of precedent roles to the extent</w:t>
            </w:r>
          </w:p>
        </w:tc>
        <w:tc>
          <w:tcPr>
            <w:tcW w:w="220" w:type="dxa"/>
            <w:vAlign w:val="bottom"/>
            <w:tcBorders>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w w:val="93"/>
              </w:rPr>
              <w:t>of</w:t>
            </w:r>
          </w:p>
        </w:tc>
        <w:tc>
          <w:tcPr>
            <w:tcW w:w="6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Akers Bio -Executive Chair Board of Director</w:t>
            </w:r>
          </w:p>
        </w:tc>
      </w:tr>
      <w:tr>
        <w:trPr>
          <w:trHeight w:val="233"/>
        </w:trPr>
        <w:tc>
          <w:tcPr>
            <w:tcW w:w="800" w:type="dxa"/>
            <w:vAlign w:val="bottom"/>
            <w:tcBorders>
              <w:right w:val="single" w:sz="8" w:color="auto"/>
            </w:tcBorders>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for the role of supervisory director</w:t>
            </w:r>
          </w:p>
        </w:tc>
        <w:tc>
          <w:tcPr>
            <w:tcW w:w="220" w:type="dxa"/>
            <w:vAlign w:val="bottom"/>
            <w:tcBorders>
              <w:right w:val="single" w:sz="8" w:color="auto"/>
            </w:tcBorders>
          </w:tcPr>
          <w:p>
            <w:pPr>
              <w:spacing w:after="0"/>
              <w:rPr>
                <w:sz w:val="20"/>
                <w:szCs w:val="20"/>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MyMD - Board Member</w:t>
            </w:r>
          </w:p>
        </w:tc>
      </w:tr>
      <w:tr>
        <w:trPr>
          <w:trHeight w:val="214"/>
        </w:trPr>
        <w:tc>
          <w:tcPr>
            <w:tcW w:w="80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80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supervisory board / non-executive roles</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Paulson Investments Company - Internal Board</w:t>
            </w:r>
          </w:p>
        </w:tc>
      </w:tr>
      <w:tr>
        <w:trPr>
          <w:trHeight w:val="189"/>
        </w:trPr>
        <w:tc>
          <w:tcPr>
            <w:tcW w:w="800" w:type="dxa"/>
            <w:vAlign w:val="bottom"/>
            <w:tcBorders>
              <w:right w:val="single" w:sz="8" w:color="auto"/>
            </w:tcBorders>
          </w:tcPr>
          <w:p>
            <w:pPr>
              <w:spacing w:after="0"/>
              <w:rPr>
                <w:sz w:val="16"/>
                <w:szCs w:val="16"/>
                <w:color w:val="auto"/>
              </w:rPr>
            </w:pPr>
          </w:p>
        </w:tc>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Reasons for nomination</w:t>
            </w:r>
          </w:p>
        </w:tc>
        <w:tc>
          <w:tcPr>
            <w:tcW w:w="220" w:type="dxa"/>
            <w:vAlign w:val="bottom"/>
            <w:tcBorders>
              <w:right w:val="single" w:sz="8" w:color="auto"/>
            </w:tcBorders>
          </w:tcPr>
          <w:p>
            <w:pPr>
              <w:spacing w:after="0"/>
              <w:rPr>
                <w:sz w:val="16"/>
                <w:szCs w:val="16"/>
                <w:color w:val="auto"/>
              </w:rPr>
            </w:pPr>
          </w:p>
        </w:tc>
        <w:tc>
          <w:tcPr>
            <w:tcW w:w="6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Proven experience with companies in financial difficulties as a Financial Advisor as well a</w:t>
            </w:r>
          </w:p>
        </w:tc>
      </w:tr>
      <w:tr>
        <w:trPr>
          <w:trHeight w:val="214"/>
        </w:trPr>
        <w:tc>
          <w:tcPr>
            <w:tcW w:w="800" w:type="dxa"/>
            <w:vAlign w:val="bottom"/>
            <w:tcBorders>
              <w:right w:val="single" w:sz="8" w:color="auto"/>
            </w:tcBorders>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Board member of selective companies. Mr Schreiber also gained valuable experience i</w:t>
            </w:r>
          </w:p>
        </w:tc>
      </w:tr>
      <w:tr>
        <w:trPr>
          <w:trHeight w:val="233"/>
        </w:trPr>
        <w:tc>
          <w:tcPr>
            <w:tcW w:w="800" w:type="dxa"/>
            <w:vAlign w:val="bottom"/>
            <w:tcBorders>
              <w:right w:val="single" w:sz="8" w:color="auto"/>
            </w:tcBorders>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heading a 45 office retail sales force for a Broker Dealer.</w:t>
            </w:r>
          </w:p>
        </w:tc>
      </w:tr>
      <w:tr>
        <w:trPr>
          <w:trHeight w:val="214"/>
        </w:trPr>
        <w:tc>
          <w:tcPr>
            <w:tcW w:w="80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80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USD 50,000 per year</w:t>
            </w:r>
          </w:p>
        </w:tc>
      </w:tr>
      <w:tr>
        <w:trPr>
          <w:trHeight w:val="422"/>
        </w:trPr>
        <w:tc>
          <w:tcPr>
            <w:tcW w:w="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r>
      <w:tr>
        <w:trPr>
          <w:trHeight w:val="67"/>
        </w:trPr>
        <w:tc>
          <w:tcPr>
            <w:tcW w:w="800" w:type="dxa"/>
            <w:vAlign w:val="bottom"/>
            <w:tcBorders>
              <w:right w:val="single" w:sz="8" w:color="auto"/>
            </w:tcBorders>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220" w:type="dxa"/>
            <w:vAlign w:val="bottom"/>
            <w:tcBorders>
              <w:right w:val="single" w:sz="8" w:color="auto"/>
            </w:tcBorders>
            <w:shd w:val="clear" w:color="auto" w:fill="000000"/>
          </w:tcPr>
          <w:p>
            <w:pPr>
              <w:spacing w:after="0"/>
              <w:rPr>
                <w:sz w:val="5"/>
                <w:szCs w:val="5"/>
                <w:color w:val="auto"/>
              </w:rPr>
            </w:pPr>
          </w:p>
        </w:tc>
        <w:tc>
          <w:tcPr>
            <w:tcW w:w="640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r>
    </w:tbl>
    <w:p>
      <w:pPr>
        <w:sectPr>
          <w:pgSz w:w="11900" w:h="16838" w:orient="portrait"/>
          <w:cols w:equalWidth="0" w:num="1">
            <w:col w:w="11340"/>
          </w:cols>
          <w:pgMar w:left="320" w:top="469" w:right="239" w:bottom="1440" w:gutter="0" w:footer="0" w:header="0"/>
        </w:sectPr>
      </w:pPr>
    </w:p>
    <w:bookmarkStart w:id="14" w:name="page15"/>
    <w:bookmarkEnd w:id="14"/>
    <w:p>
      <w:pPr>
        <w:ind w:left="753"/>
        <w:spacing w:after="0"/>
        <w:rPr>
          <w:sz w:val="20"/>
          <w:szCs w:val="20"/>
          <w:color w:val="auto"/>
        </w:rPr>
      </w:pPr>
      <w:r>
        <w:rPr>
          <w:rFonts w:ascii="Times New Roman" w:cs="Times New Roman" w:eastAsia="Times New Roman" w:hAnsi="Times New Roman"/>
          <w:sz w:val="18"/>
          <w:szCs w:val="18"/>
          <w:color w:val="auto"/>
        </w:rPr>
        <w:t>The appointment of Mr Dodge as member of the Supervisory Board will also be an approval of his remuneration package.</w:t>
      </w:r>
    </w:p>
    <w:p>
      <w:pPr>
        <w:spacing w:after="0" w:line="217" w:lineRule="exact"/>
        <w:rPr>
          <w:sz w:val="20"/>
          <w:szCs w:val="20"/>
          <w:color w:val="auto"/>
        </w:rPr>
      </w:pPr>
    </w:p>
    <w:p>
      <w:pPr>
        <w:ind w:left="753" w:hanging="753"/>
        <w:spacing w:after="0"/>
        <w:tabs>
          <w:tab w:leader="none" w:pos="75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David Dodge as member of the Supervisory Board, for a period of one (1) year (voting item)</w:t>
      </w:r>
    </w:p>
    <w:p>
      <w:pPr>
        <w:spacing w:after="0" w:line="225" w:lineRule="exact"/>
        <w:rPr>
          <w:rFonts w:ascii="Times New Roman" w:cs="Times New Roman" w:eastAsia="Times New Roman" w:hAnsi="Times New Roman"/>
          <w:sz w:val="18"/>
          <w:szCs w:val="18"/>
          <w:b w:val="1"/>
          <w:bCs w:val="1"/>
          <w:color w:val="auto"/>
        </w:rPr>
      </w:pPr>
    </w:p>
    <w:p>
      <w:pPr>
        <w:ind w:left="753" w:right="12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the Supervisory Board nominates for appointment Mr David Dodge as member of the Supervisory Board as of the close of the EGM, for a period of one (1) year.</w:t>
      </w:r>
    </w:p>
    <w:p>
      <w:pPr>
        <w:spacing w:after="0" w:line="163" w:lineRule="exact"/>
        <w:rPr>
          <w:rFonts w:ascii="Times New Roman" w:cs="Times New Roman" w:eastAsia="Times New Roman" w:hAnsi="Times New Roman"/>
          <w:sz w:val="18"/>
          <w:szCs w:val="18"/>
          <w:b w:val="1"/>
          <w:bCs w:val="1"/>
          <w:color w:val="auto"/>
        </w:rPr>
      </w:pPr>
    </w:p>
    <w:p>
      <w:pPr>
        <w:ind w:left="75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w:t>
      </w:r>
    </w:p>
    <w:p>
      <w:pPr>
        <w:spacing w:after="0" w:line="220" w:lineRule="exact"/>
        <w:rPr>
          <w:sz w:val="20"/>
          <w:szCs w:val="20"/>
          <w:color w:val="auto"/>
        </w:rPr>
      </w:pPr>
    </w:p>
    <w:tbl>
      <w:tblPr>
        <w:tblLayout w:type="fixed"/>
        <w:tblInd w:w="783" w:type="dxa"/>
        <w:tblCellMar>
          <w:top w:w="0" w:type="dxa"/>
          <w:left w:w="0" w:type="dxa"/>
          <w:bottom w:w="0" w:type="dxa"/>
          <w:right w:w="0" w:type="dxa"/>
        </w:tblCellMar>
      </w:tblPr>
      <w:tr>
        <w:trPr>
          <w:trHeight w:val="228"/>
        </w:trPr>
        <w:tc>
          <w:tcPr>
            <w:tcW w:w="3840" w:type="dxa"/>
            <w:vAlign w:val="bottom"/>
            <w:tcBorders>
              <w:top w:val="single" w:sz="8" w:color="auto"/>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Full name</w:t>
            </w: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6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August Dodge</w:t>
            </w:r>
          </w:p>
        </w:tc>
      </w:tr>
      <w:tr>
        <w:trPr>
          <w:trHeight w:val="208"/>
        </w:trPr>
        <w:tc>
          <w:tcPr>
            <w:tcW w:w="384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Age</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w:t>
            </w:r>
          </w:p>
        </w:tc>
      </w:tr>
      <w:tr>
        <w:trPr>
          <w:trHeight w:val="226"/>
        </w:trPr>
        <w:tc>
          <w:tcPr>
            <w:tcW w:w="384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Profession and education</w:t>
            </w:r>
          </w:p>
        </w:tc>
        <w:tc>
          <w:tcPr>
            <w:tcW w:w="220" w:type="dxa"/>
            <w:vAlign w:val="bottom"/>
            <w:tcBorders>
              <w:right w:val="single" w:sz="8" w:color="auto"/>
            </w:tcBorders>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Consultant</w:t>
            </w:r>
          </w:p>
        </w:tc>
      </w:tr>
      <w:tr>
        <w:trPr>
          <w:trHeight w:val="391"/>
        </w:trPr>
        <w:tc>
          <w:tcPr>
            <w:tcW w:w="38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 in Economics, Yale University, New Haven, CT (1997); M.S. in Professiona</w:t>
            </w:r>
          </w:p>
        </w:tc>
      </w:tr>
      <w:tr>
        <w:trPr>
          <w:trHeight w:val="233"/>
        </w:trPr>
        <w:tc>
          <w:tcPr>
            <w:tcW w:w="38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University of Hartford, Hartford, CT (1998)</w:t>
            </w:r>
          </w:p>
        </w:tc>
      </w:tr>
      <w:tr>
        <w:trPr>
          <w:trHeight w:val="214"/>
        </w:trPr>
        <w:tc>
          <w:tcPr>
            <w:tcW w:w="384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 held in the capital of the Company</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189"/>
        </w:trPr>
        <w:tc>
          <w:tcPr>
            <w:tcW w:w="3840" w:type="dxa"/>
            <w:vAlign w:val="bottom"/>
            <w:tcBorders>
              <w:lef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Brief description of precedent roles to the extent</w:t>
            </w:r>
          </w:p>
        </w:tc>
        <w:tc>
          <w:tcPr>
            <w:tcW w:w="220" w:type="dxa"/>
            <w:vAlign w:val="bottom"/>
            <w:tcBorders>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w w:val="93"/>
              </w:rPr>
              <w:t>of</w:t>
            </w:r>
          </w:p>
        </w:tc>
        <w:tc>
          <w:tcPr>
            <w:tcW w:w="6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Mr Dodge served as Chief Financial Officer of multiple publicly traded companie</w:t>
            </w:r>
          </w:p>
        </w:tc>
      </w:tr>
      <w:tr>
        <w:trPr>
          <w:trHeight w:val="214"/>
        </w:trPr>
        <w:tc>
          <w:tcPr>
            <w:tcW w:w="384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for the role of supervisory director</w:t>
            </w:r>
          </w:p>
        </w:tc>
        <w:tc>
          <w:tcPr>
            <w:tcW w:w="220" w:type="dxa"/>
            <w:vAlign w:val="bottom"/>
            <w:tcBorders>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including NeoMedia Technologies, Inc. (NEOM) 2002-2007, SmarTire Systems Inc</w:t>
            </w:r>
          </w:p>
        </w:tc>
      </w:tr>
      <w:tr>
        <w:trPr>
          <w:trHeight w:val="233"/>
        </w:trPr>
        <w:tc>
          <w:tcPr>
            <w:tcW w:w="38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(SMTR) 2007-11, and Anhui Taiyang Poultry Co., Inc. (DUKS) 2010-13.</w:t>
            </w:r>
          </w:p>
        </w:tc>
      </w:tr>
      <w:tr>
        <w:trPr>
          <w:trHeight w:val="410"/>
        </w:trPr>
        <w:tc>
          <w:tcPr>
            <w:tcW w:w="38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Mr Dodge also served as Chief Financial Officer of multiple privately held companie</w:t>
            </w:r>
          </w:p>
        </w:tc>
      </w:tr>
      <w:tr>
        <w:trPr>
          <w:trHeight w:val="214"/>
        </w:trPr>
        <w:tc>
          <w:tcPr>
            <w:tcW w:w="38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including Shandong Tada Auto-Parking Co., Ltd., Yangzhou Jinniu Ship Industry Co., Ltd</w:t>
            </w:r>
          </w:p>
        </w:tc>
      </w:tr>
      <w:tr>
        <w:trPr>
          <w:trHeight w:val="233"/>
        </w:trPr>
        <w:tc>
          <w:tcPr>
            <w:tcW w:w="38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Beijing Yuan Xi Xing Bio-Technology Co., Ltd, and TianYi Seamless Steel Co., Ltd.</w:t>
            </w:r>
          </w:p>
        </w:tc>
      </w:tr>
      <w:tr>
        <w:trPr>
          <w:trHeight w:val="410"/>
        </w:trPr>
        <w:tc>
          <w:tcPr>
            <w:tcW w:w="38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As of 2007, Mr Dodge acts as accounting and SEC reporting and compliance consultant fo</w:t>
            </w:r>
          </w:p>
        </w:tc>
      </w:tr>
      <w:tr>
        <w:trPr>
          <w:trHeight w:val="233"/>
        </w:trPr>
        <w:tc>
          <w:tcPr>
            <w:tcW w:w="38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various public companies.</w:t>
            </w:r>
          </w:p>
        </w:tc>
      </w:tr>
      <w:tr>
        <w:trPr>
          <w:trHeight w:val="410"/>
        </w:trPr>
        <w:tc>
          <w:tcPr>
            <w:tcW w:w="38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Mr Dodge also is an Expert Witness and Expert Consultant in a variety of litigatio</w:t>
            </w:r>
          </w:p>
        </w:tc>
      </w:tr>
      <w:tr>
        <w:trPr>
          <w:trHeight w:val="214"/>
        </w:trPr>
        <w:tc>
          <w:tcPr>
            <w:tcW w:w="38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proceedings involving accounting practices and disclosures, as well as due diligenc</w:t>
            </w:r>
          </w:p>
        </w:tc>
      </w:tr>
      <w:tr>
        <w:trPr>
          <w:trHeight w:val="214"/>
        </w:trPr>
        <w:tc>
          <w:tcPr>
            <w:tcW w:w="38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standard of care and custom and practice in a variety of capital markets transaction</w:t>
            </w:r>
          </w:p>
        </w:tc>
      </w:tr>
      <w:tr>
        <w:trPr>
          <w:trHeight w:val="214"/>
        </w:trPr>
        <w:tc>
          <w:tcPr>
            <w:tcW w:w="38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including underwritten debt and equity offerings, private equity and venture capita</w:t>
            </w:r>
          </w:p>
        </w:tc>
      </w:tr>
      <w:tr>
        <w:trPr>
          <w:trHeight w:val="233"/>
        </w:trPr>
        <w:tc>
          <w:tcPr>
            <w:tcW w:w="38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mergers and acquisitions (2013-present).</w:t>
            </w:r>
          </w:p>
        </w:tc>
      </w:tr>
      <w:tr>
        <w:trPr>
          <w:trHeight w:val="214"/>
        </w:trPr>
        <w:tc>
          <w:tcPr>
            <w:tcW w:w="384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supervisory board / non-executive roles</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08"/>
        </w:trPr>
        <w:tc>
          <w:tcPr>
            <w:tcW w:w="384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Reasons for nomination</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Mr Dodge's experience with publicly traded companies is of great value to the Company.</w:t>
            </w:r>
          </w:p>
        </w:tc>
      </w:tr>
      <w:tr>
        <w:trPr>
          <w:trHeight w:val="208"/>
        </w:trPr>
        <w:tc>
          <w:tcPr>
            <w:tcW w:w="3840" w:type="dxa"/>
            <w:vAlign w:val="bottom"/>
            <w:tcBorders>
              <w:left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50,000 per year</w:t>
            </w:r>
          </w:p>
        </w:tc>
      </w:tr>
    </w:tbl>
    <w:p>
      <w:pPr>
        <w:spacing w:after="0" w:line="196" w:lineRule="exact"/>
        <w:rPr>
          <w:sz w:val="20"/>
          <w:szCs w:val="20"/>
          <w:color w:val="auto"/>
        </w:rPr>
      </w:pPr>
    </w:p>
    <w:p>
      <w:pPr>
        <w:ind w:left="753"/>
        <w:spacing w:after="0"/>
        <w:rPr>
          <w:sz w:val="20"/>
          <w:szCs w:val="20"/>
          <w:color w:val="auto"/>
        </w:rPr>
      </w:pPr>
      <w:r>
        <w:rPr>
          <w:rFonts w:ascii="Times New Roman" w:cs="Times New Roman" w:eastAsia="Times New Roman" w:hAnsi="Times New Roman"/>
          <w:sz w:val="18"/>
          <w:szCs w:val="18"/>
          <w:color w:val="auto"/>
        </w:rPr>
        <w:t>The appointment of Mr Dodge as member of the Supervisory Board will also be an approval of his remuneration package.</w:t>
      </w: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153"/>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335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333"/>
          </w:cols>
          <w:pgMar w:left="327" w:top="469"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PROXY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00" w:lineRule="exact"/>
        <w:rPr>
          <w:sz w:val="20"/>
          <w:szCs w:val="20"/>
          <w:color w:val="auto"/>
        </w:rPr>
      </w:pPr>
    </w:p>
    <w:p>
      <w:pPr>
        <w:spacing w:after="0" w:line="2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19050</wp:posOffset>
            </wp:positionV>
            <wp:extent cx="667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448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19050</wp:posOffset>
            </wp:positionV>
            <wp:extent cx="6674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7448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acting on behalf of </w:t>
      </w:r>
      <w:r>
        <w:rPr>
          <w:rFonts w:ascii="Times New Roman" w:cs="Times New Roman" w:eastAsia="Times New Roman" w:hAnsi="Times New Roman"/>
          <w:sz w:val="18"/>
          <w:szCs w:val="18"/>
          <w:i w:val="1"/>
          <w:iCs w:val="1"/>
          <w:color w:val="auto"/>
        </w:rPr>
        <w:t>(only to be completed if relevant)</w:t>
      </w:r>
    </w:p>
    <w:p>
      <w:pPr>
        <w:spacing w:after="0" w:line="2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19050</wp:posOffset>
            </wp:positionV>
            <wp:extent cx="6674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7448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19050</wp:posOffset>
            </wp:positionV>
            <wp:extent cx="6674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7448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DECLARES AS FOLLOWS:</w:t>
      </w:r>
    </w:p>
    <w:p>
      <w:pPr>
        <w:spacing w:after="0" w:line="221" w:lineRule="exact"/>
        <w:rPr>
          <w:sz w:val="20"/>
          <w:szCs w:val="20"/>
          <w:color w:val="auto"/>
        </w:rPr>
      </w:pPr>
    </w:p>
    <w:p>
      <w:pPr>
        <w:jc w:val="both"/>
        <w:ind w:left="640" w:hanging="633"/>
        <w:spacing w:after="0" w:line="257"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hereby registers for the extraordinary general meeting of shareholders of Sono Group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on January 31, 2024 at 3.00pm Amsterdam time at the offices of Dentons Europe LLP, Amsterdam, the Netherlands, at Gustav Mahlerplein 2, fifth floor, 1082 MA Amsterdam, the Netherlands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and, for purposes of being represented at the EGM, grants a power of attorney to Mr. J.-M.P. Hermans, civil law notary and partner of Dentons Europe LLP, in Amsterdam, the Netherlands, or any substitute to be appointed by him (the "</w:t>
      </w:r>
      <w:r>
        <w:rPr>
          <w:rFonts w:ascii="Times New Roman" w:cs="Times New Roman" w:eastAsia="Times New Roman" w:hAnsi="Times New Roman"/>
          <w:sz w:val="18"/>
          <w:szCs w:val="18"/>
          <w:b w:val="1"/>
          <w:bCs w:val="1"/>
          <w:color w:val="auto"/>
        </w:rPr>
        <w:t>Proxyholder</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this power of attorney extends to the performance of the following acts on behalf of the Principal at the EGM:</w:t>
      </w:r>
    </w:p>
    <w:p>
      <w:pPr>
        <w:spacing w:after="0" w:line="26" w:lineRule="exact"/>
        <w:rPr>
          <w:rFonts w:ascii="Times New Roman" w:cs="Times New Roman" w:eastAsia="Times New Roman" w:hAnsi="Times New Roman"/>
          <w:sz w:val="18"/>
          <w:szCs w:val="18"/>
          <w:b w:val="1"/>
          <w:bCs w:val="1"/>
          <w:color w:val="auto"/>
        </w:rPr>
      </w:pPr>
    </w:p>
    <w:p>
      <w:pPr>
        <w:ind w:left="1280" w:hanging="644"/>
        <w:spacing w:after="0"/>
        <w:tabs>
          <w:tab w:leader="none" w:pos="128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exercise the voting rights of the Principal in accordance with paragraph 3 below; and</w:t>
      </w:r>
    </w:p>
    <w:p>
      <w:pPr>
        <w:spacing w:after="0" w:line="7" w:lineRule="exact"/>
        <w:rPr>
          <w:rFonts w:ascii="Times New Roman" w:cs="Times New Roman" w:eastAsia="Times New Roman" w:hAnsi="Times New Roman"/>
          <w:sz w:val="18"/>
          <w:szCs w:val="18"/>
          <w:b w:val="1"/>
          <w:bCs w:val="1"/>
          <w:color w:val="auto"/>
        </w:rPr>
      </w:pPr>
    </w:p>
    <w:p>
      <w:pPr>
        <w:ind w:left="1280" w:hanging="644"/>
        <w:spacing w:after="0"/>
        <w:tabs>
          <w:tab w:leader="none" w:pos="128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exercise any other right of the Principal which the Principal would be allowed to exercise at the EGM.</w:t>
      </w:r>
    </w:p>
    <w:p>
      <w:pPr>
        <w:spacing w:after="0" w:line="202" w:lineRule="exact"/>
        <w:rPr>
          <w:rFonts w:ascii="Times New Roman" w:cs="Times New Roman" w:eastAsia="Times New Roman" w:hAnsi="Times New Roman"/>
          <w:sz w:val="18"/>
          <w:szCs w:val="18"/>
          <w:b w:val="1"/>
          <w:bCs w:val="1"/>
          <w:color w:val="auto"/>
        </w:rPr>
      </w:pPr>
    </w:p>
    <w:p>
      <w:pPr>
        <w:ind w:left="640" w:hanging="633"/>
        <w:spacing w:after="0" w:line="278"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power of attorney shall be used by the Proxyholder to exercise the Principal's voting rights in the manner directed as set forth below. If no choice is specified in respect of the sole voting item on the agenda, the Proxyholder shall vote "FOR" such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3590" cy="842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84201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i w:val="1"/>
                <w:iCs w:val="1"/>
                <w:color w:val="auto"/>
              </w:rPr>
              <w:t>Agenda item (voting item)</w:t>
            </w:r>
          </w:p>
        </w:tc>
        <w:tc>
          <w:tcPr>
            <w:tcW w:w="3720" w:type="dxa"/>
            <w:vAlign w:val="bottom"/>
            <w:shd w:val="clear" w:color="auto" w:fill="DBE5F1"/>
          </w:tcPr>
          <w:p>
            <w:pPr>
              <w:ind w:left="2800"/>
              <w:spacing w:after="0"/>
              <w:rPr>
                <w:sz w:val="20"/>
                <w:szCs w:val="20"/>
                <w:color w:val="auto"/>
              </w:rPr>
            </w:pPr>
            <w:r>
              <w:rPr>
                <w:rFonts w:ascii="Times New Roman" w:cs="Times New Roman" w:eastAsia="Times New Roman" w:hAnsi="Times New Roman"/>
                <w:sz w:val="18"/>
                <w:szCs w:val="18"/>
                <w:i w:val="1"/>
                <w:iCs w:val="1"/>
                <w:color w:val="auto"/>
              </w:rPr>
              <w:t>FOR</w:t>
            </w:r>
          </w:p>
        </w:tc>
        <w:tc>
          <w:tcPr>
            <w:tcW w:w="1620" w:type="dxa"/>
            <w:vAlign w:val="bottom"/>
            <w:shd w:val="clear" w:color="auto" w:fill="DBE5F1"/>
          </w:tcPr>
          <w:p>
            <w:pPr>
              <w:ind w:left="580"/>
              <w:spacing w:after="0"/>
              <w:rPr>
                <w:sz w:val="20"/>
                <w:szCs w:val="20"/>
                <w:color w:val="auto"/>
              </w:rPr>
            </w:pPr>
            <w:r>
              <w:rPr>
                <w:rFonts w:ascii="Times New Roman" w:cs="Times New Roman" w:eastAsia="Times New Roman" w:hAnsi="Times New Roman"/>
                <w:sz w:val="18"/>
                <w:szCs w:val="18"/>
                <w:i w:val="1"/>
                <w:iCs w:val="1"/>
                <w:color w:val="auto"/>
              </w:rPr>
              <w:t>AGAINST</w:t>
            </w:r>
          </w:p>
        </w:tc>
        <w:tc>
          <w:tcPr>
            <w:tcW w:w="1200" w:type="dxa"/>
            <w:vAlign w:val="bottom"/>
            <w:shd w:val="clear" w:color="auto" w:fill="DBE5F1"/>
          </w:tcPr>
          <w:p>
            <w:pPr>
              <w:ind w:left="320"/>
              <w:spacing w:after="0"/>
              <w:rPr>
                <w:sz w:val="20"/>
                <w:szCs w:val="20"/>
                <w:color w:val="auto"/>
              </w:rPr>
            </w:pPr>
            <w:r>
              <w:rPr>
                <w:rFonts w:ascii="Times New Roman" w:cs="Times New Roman" w:eastAsia="Times New Roman" w:hAnsi="Times New Roman"/>
                <w:sz w:val="18"/>
                <w:szCs w:val="18"/>
                <w:i w:val="1"/>
                <w:iCs w:val="1"/>
                <w:color w:val="auto"/>
              </w:rPr>
              <w:t>ABSTAIN</w:t>
            </w:r>
          </w:p>
        </w:tc>
      </w:tr>
    </w:tbl>
    <w:p>
      <w:pPr>
        <w:jc w:val="both"/>
        <w:ind w:left="460" w:right="4500" w:hanging="386"/>
        <w:spacing w:after="0" w:line="254" w:lineRule="auto"/>
        <w:tabs>
          <w:tab w:leader="none" w:pos="4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authorize the management board of the Company (the Management Board) as the corporate body authorized to issue ordinary shares in the capital of the Company (the Ordinary Shares) and/or high voting shares in the capital of the Company (the High Voting Shares), to effect the Reverse Share Split referred to in agenda item 5 (voting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375920</wp:posOffset>
            </wp:positionV>
            <wp:extent cx="71335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ind w:left="439" w:right="3179" w:hanging="439"/>
        <w:spacing w:after="0" w:line="253" w:lineRule="auto"/>
        <w:tabs>
          <w:tab w:leader="none" w:pos="4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authorize the Management Board as the corporate body authorised to exclude or limit pre-emption rights. This authorization is limited to the number of shares that the Management Board may issue under the authorizations mentioned in agenda item 5. (voting item)</w:t>
      </w:r>
    </w:p>
    <w:p>
      <w:pPr>
        <w:spacing w:after="0" w:line="2" w:lineRule="exact"/>
        <w:rPr>
          <w:rFonts w:ascii="Times New Roman" w:cs="Times New Roman" w:eastAsia="Times New Roman" w:hAnsi="Times New Roman"/>
          <w:sz w:val="18"/>
          <w:szCs w:val="18"/>
          <w:color w:val="auto"/>
        </w:rPr>
      </w:pPr>
    </w:p>
    <w:p>
      <w:pPr>
        <w:ind w:left="399" w:hanging="399"/>
        <w:spacing w:after="0"/>
        <w:tabs>
          <w:tab w:leader="none" w:pos="3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w:t>
      </w:r>
    </w:p>
    <w:p>
      <w:pPr>
        <w:spacing w:after="0" w:line="229" w:lineRule="exact"/>
        <w:rPr>
          <w:rFonts w:ascii="Times New Roman" w:cs="Times New Roman" w:eastAsia="Times New Roman" w:hAnsi="Times New Roman"/>
          <w:sz w:val="18"/>
          <w:szCs w:val="18"/>
          <w:color w:val="auto"/>
        </w:rPr>
      </w:pPr>
    </w:p>
    <w:p>
      <w:pPr>
        <w:jc w:val="both"/>
        <w:ind w:left="879" w:right="3179" w:hanging="447"/>
        <w:spacing w:after="0" w:line="255"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share split of the Ordinary Shares and the High Voting Shares at an exchange ratio to be determined and established by the Management Board (voting item);</w:t>
      </w:r>
    </w:p>
    <w:p>
      <w:pPr>
        <w:spacing w:after="0" w:line="1" w:lineRule="exact"/>
        <w:rPr>
          <w:rFonts w:ascii="Times New Roman" w:cs="Times New Roman" w:eastAsia="Times New Roman" w:hAnsi="Times New Roman"/>
          <w:sz w:val="18"/>
          <w:szCs w:val="18"/>
          <w:color w:val="auto"/>
        </w:rPr>
      </w:pPr>
    </w:p>
    <w:p>
      <w:pPr>
        <w:jc w:val="both"/>
        <w:ind w:left="879" w:right="3179" w:hanging="447"/>
        <w:spacing w:after="0" w:line="253"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nominal value per Ordinary Share to €0.01 per Ordinary Share (post-reverse share split) without repayment or any other payment by the Company (voting item);</w:t>
      </w:r>
    </w:p>
    <w:p>
      <w:pPr>
        <w:spacing w:after="0" w:line="1" w:lineRule="exact"/>
        <w:rPr>
          <w:rFonts w:ascii="Times New Roman" w:cs="Times New Roman" w:eastAsia="Times New Roman" w:hAnsi="Times New Roman"/>
          <w:sz w:val="18"/>
          <w:szCs w:val="18"/>
          <w:color w:val="auto"/>
        </w:rPr>
      </w:pPr>
    </w:p>
    <w:p>
      <w:pPr>
        <w:jc w:val="both"/>
        <w:ind w:left="879" w:right="3179" w:hanging="447"/>
        <w:spacing w:after="0" w:line="253"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nominal value per High Voting Share to €0.25 per High Voting Share (post-reverse share split) without repayment or any other payment by the Company (voting item); and</w:t>
      </w:r>
    </w:p>
    <w:p>
      <w:pPr>
        <w:spacing w:after="0" w:line="1" w:lineRule="exact"/>
        <w:rPr>
          <w:rFonts w:ascii="Times New Roman" w:cs="Times New Roman" w:eastAsia="Times New Roman" w:hAnsi="Times New Roman"/>
          <w:sz w:val="18"/>
          <w:szCs w:val="18"/>
          <w:color w:val="auto"/>
        </w:rPr>
      </w:pPr>
    </w:p>
    <w:p>
      <w:pPr>
        <w:ind w:left="879" w:right="3199" w:hanging="447"/>
        <w:spacing w:after="0" w:line="256"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articles of association to implement the foregoing (voting item)</w:t>
      </w:r>
    </w:p>
    <w:p>
      <w:pPr>
        <w:ind w:left="399" w:hanging="399"/>
        <w:spacing w:after="0"/>
        <w:tabs>
          <w:tab w:leader="none" w:pos="3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w:t>
      </w:r>
    </w:p>
    <w:p>
      <w:pPr>
        <w:spacing w:after="0" w:line="229" w:lineRule="exact"/>
        <w:rPr>
          <w:rFonts w:ascii="Times New Roman" w:cs="Times New Roman" w:eastAsia="Times New Roman" w:hAnsi="Times New Roman"/>
          <w:sz w:val="18"/>
          <w:szCs w:val="18"/>
          <w:color w:val="auto"/>
        </w:rPr>
      </w:pPr>
    </w:p>
    <w:p>
      <w:pPr>
        <w:jc w:val="both"/>
        <w:ind w:left="879" w:right="3179" w:hanging="447"/>
        <w:spacing w:after="0" w:line="263"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one or more convertible debenture(s) by the Company (the Debentures) to YA II PN, Ltd., which may be converted into Ordinary Shares, in accordance with their terms (voting item);</w:t>
      </w:r>
    </w:p>
    <w:p>
      <w:pPr>
        <w:spacing w:after="0" w:line="189" w:lineRule="exact"/>
        <w:rPr>
          <w:rFonts w:ascii="Times New Roman" w:cs="Times New Roman" w:eastAsia="Times New Roman" w:hAnsi="Times New Roman"/>
          <w:sz w:val="18"/>
          <w:szCs w:val="18"/>
          <w:color w:val="auto"/>
        </w:rPr>
      </w:pPr>
    </w:p>
    <w:p>
      <w:pPr>
        <w:jc w:val="both"/>
        <w:ind w:left="879" w:right="3179" w:hanging="447"/>
        <w:spacing w:after="0" w:line="258"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rights to subscribe for Ordinary Shares to the holder(s) of the Debentures (the Debenture Shares) whereby the number of Ordinary Shares and the issue price thereof will each time be calculated in accordance with the terms of the Debentures (as amended from time to time in accordance with their terms) (voting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-3758565</wp:posOffset>
            </wp:positionV>
            <wp:extent cx="7133590" cy="4310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4310380"/>
                    </a:xfrm>
                    <a:prstGeom prst="rect">
                      <a:avLst/>
                    </a:prstGeom>
                    <a:noFill/>
                  </pic:spPr>
                </pic:pic>
              </a:graphicData>
            </a:graphic>
          </wp:anchor>
        </w:drawing>
      </w:r>
    </w:p>
    <w:p>
      <w:pPr>
        <w:sectPr>
          <w:pgSz w:w="11900" w:h="16838" w:orient="portrait"/>
          <w:cols w:equalWidth="0" w:num="1">
            <w:col w:w="10119"/>
          </w:cols>
          <w:pgMar w:left="341" w:top="590" w:right="1440" w:bottom="1440" w:gutter="0" w:footer="0" w:header="0"/>
        </w:sectPr>
      </w:pPr>
    </w:p>
    <w:bookmarkStart w:id="17" w:name="page18"/>
    <w:bookmarkEnd w:id="17"/>
    <w:p>
      <w:pPr>
        <w:jc w:val="both"/>
        <w:ind w:left="759" w:right="3199" w:hanging="327"/>
        <w:spacing w:after="0" w:line="253" w:lineRule="auto"/>
        <w:tabs>
          <w:tab w:leader="none" w:pos="7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and approve the potential issuance of more than 20% of the Company’s outstanding shares upon the conversion of one or more of the Debenture(s), in accordance with the requirement of Nasdaq Listing Rules 5635(b) and 5635(d) (voting item); and</w:t>
      </w:r>
    </w:p>
    <w:p>
      <w:pPr>
        <w:spacing w:after="0" w:line="2" w:lineRule="exact"/>
        <w:rPr>
          <w:rFonts w:ascii="Times New Roman" w:cs="Times New Roman" w:eastAsia="Times New Roman" w:hAnsi="Times New Roman"/>
          <w:sz w:val="18"/>
          <w:szCs w:val="18"/>
          <w:color w:val="auto"/>
        </w:rPr>
      </w:pPr>
    </w:p>
    <w:p>
      <w:pPr>
        <w:ind w:left="759" w:right="3199" w:hanging="327"/>
        <w:spacing w:after="0" w:line="272" w:lineRule="auto"/>
        <w:tabs>
          <w:tab w:leader="none" w:pos="7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pre-emption rights in relation to the Debentures and the granting of rights to subscribe for the Debenture Shares (voting item)</w:t>
      </w:r>
    </w:p>
    <w:p>
      <w:pPr>
        <w:spacing w:after="0" w:line="181" w:lineRule="exact"/>
        <w:rPr>
          <w:rFonts w:ascii="Times New Roman" w:cs="Times New Roman" w:eastAsia="Times New Roman" w:hAnsi="Times New Roman"/>
          <w:sz w:val="18"/>
          <w:szCs w:val="18"/>
          <w:color w:val="auto"/>
        </w:rPr>
      </w:pPr>
    </w:p>
    <w:p>
      <w:pPr>
        <w:jc w:val="both"/>
        <w:ind w:left="439" w:right="3199" w:hanging="439"/>
        <w:spacing w:after="0" w:line="253" w:lineRule="auto"/>
        <w:tabs>
          <w:tab w:leader="none" w:pos="4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amendments to the Company’s articles of association, in such a manner that the authorized capital of the Company is with each amendment amended to facilitate the issue of all Debenture Shares, each time, as the Management Board shall determine (voting item)</w:t>
      </w:r>
    </w:p>
    <w:p>
      <w:pPr>
        <w:spacing w:after="0" w:line="2" w:lineRule="exact"/>
        <w:rPr>
          <w:rFonts w:ascii="Times New Roman" w:cs="Times New Roman" w:eastAsia="Times New Roman" w:hAnsi="Times New Roman"/>
          <w:sz w:val="18"/>
          <w:szCs w:val="18"/>
          <w:color w:val="auto"/>
        </w:rPr>
      </w:pPr>
    </w:p>
    <w:p>
      <w:pPr>
        <w:ind w:left="439" w:right="3199" w:hanging="439"/>
        <w:spacing w:after="0" w:line="256" w:lineRule="auto"/>
        <w:tabs>
          <w:tab w:leader="none" w:pos="4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policy of the Company concerning the compensation of Managing Directors (voting item)</w:t>
      </w:r>
    </w:p>
    <w:p>
      <w:pPr>
        <w:ind w:left="439" w:right="3199" w:hanging="439"/>
        <w:spacing w:after="0" w:line="260" w:lineRule="auto"/>
        <w:tabs>
          <w:tab w:leader="none" w:pos="3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Company’s articles of association, in such a manner that the binding nomination of the current majority shareholders to appoint members of the Supervisory Board is deleted (voting item)</w:t>
      </w:r>
    </w:p>
    <w:p>
      <w:pPr>
        <w:spacing w:after="0" w:line="192" w:lineRule="exact"/>
        <w:rPr>
          <w:rFonts w:ascii="Times New Roman" w:cs="Times New Roman" w:eastAsia="Times New Roman" w:hAnsi="Times New Roman"/>
          <w:sz w:val="18"/>
          <w:szCs w:val="18"/>
          <w:color w:val="auto"/>
        </w:rPr>
      </w:pPr>
    </w:p>
    <w:p>
      <w:pPr>
        <w:ind w:left="399" w:hanging="399"/>
        <w:spacing w:after="0"/>
        <w:tabs>
          <w:tab w:leader="none" w:pos="39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of George O'Leary as member of the Management Board, for a period of one</w:t>
      </w:r>
    </w:p>
    <w:p>
      <w:pPr>
        <w:spacing w:after="0" w:line="37" w:lineRule="exact"/>
        <w:rPr>
          <w:rFonts w:ascii="Times New Roman" w:cs="Times New Roman" w:eastAsia="Times New Roman" w:hAnsi="Times New Roman"/>
          <w:sz w:val="17"/>
          <w:szCs w:val="17"/>
          <w:color w:val="auto"/>
        </w:rPr>
      </w:pPr>
    </w:p>
    <w:p>
      <w:pPr>
        <w:ind w:left="43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year (voting item)</w:t>
      </w:r>
    </w:p>
    <w:p>
      <w:pPr>
        <w:spacing w:after="0" w:line="216" w:lineRule="exact"/>
        <w:rPr>
          <w:rFonts w:ascii="Times New Roman" w:cs="Times New Roman" w:eastAsia="Times New Roman" w:hAnsi="Times New Roman"/>
          <w:sz w:val="17"/>
          <w:szCs w:val="17"/>
          <w:color w:val="auto"/>
        </w:rPr>
      </w:pPr>
    </w:p>
    <w:p>
      <w:pPr>
        <w:ind w:left="439" w:right="3219" w:hanging="439"/>
        <w:spacing w:after="0" w:line="278" w:lineRule="auto"/>
        <w:tabs>
          <w:tab w:leader="none" w:pos="4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resignation of Sandra Vogt-Sasse, Thomas Wiedermann and Martin Sabbione as members of the Supervisory Board (voting item)</w:t>
      </w:r>
    </w:p>
    <w:p>
      <w:pPr>
        <w:spacing w:after="0" w:line="176" w:lineRule="exact"/>
        <w:rPr>
          <w:rFonts w:ascii="Times New Roman" w:cs="Times New Roman" w:eastAsia="Times New Roman" w:hAnsi="Times New Roman"/>
          <w:sz w:val="18"/>
          <w:szCs w:val="18"/>
          <w:color w:val="auto"/>
        </w:rPr>
      </w:pPr>
    </w:p>
    <w:p>
      <w:pPr>
        <w:ind w:left="439" w:right="3199" w:hanging="439"/>
        <w:spacing w:after="0" w:line="278" w:lineRule="auto"/>
        <w:tabs>
          <w:tab w:leader="none" w:pos="4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Christopher Schreiber as member of the Supervisory Board, for a period of one (1) year (voting item)</w:t>
      </w:r>
    </w:p>
    <w:p>
      <w:pPr>
        <w:spacing w:after="0" w:line="176" w:lineRule="exact"/>
        <w:rPr>
          <w:rFonts w:ascii="Times New Roman" w:cs="Times New Roman" w:eastAsia="Times New Roman" w:hAnsi="Times New Roman"/>
          <w:sz w:val="18"/>
          <w:szCs w:val="18"/>
          <w:color w:val="auto"/>
        </w:rPr>
      </w:pPr>
    </w:p>
    <w:p>
      <w:pPr>
        <w:ind w:left="439" w:right="3199" w:hanging="439"/>
        <w:spacing w:after="0" w:line="278" w:lineRule="auto"/>
        <w:tabs>
          <w:tab w:leader="none" w:pos="4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David Dodge as member of the Supervisory Board, for a period of one (1) year (voting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-3905885</wp:posOffset>
            </wp:positionV>
            <wp:extent cx="7133590" cy="4429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4429760"/>
                    </a:xfrm>
                    <a:prstGeom prst="rect">
                      <a:avLst/>
                    </a:prstGeom>
                    <a:noFill/>
                  </pic:spPr>
                </pic:pic>
              </a:graphicData>
            </a:graphic>
          </wp:anchor>
        </w:drawing>
      </w:r>
    </w:p>
    <w:p>
      <w:pPr>
        <w:sectPr>
          <w:pgSz w:w="11900" w:h="16838" w:orient="portrait"/>
          <w:cols w:equalWidth="0" w:num="1">
            <w:col w:w="10119"/>
          </w:cols>
          <w:pgMar w:left="341" w:top="590" w:right="1440" w:bottom="1440" w:gutter="0" w:footer="0" w:header="0"/>
        </w:sectPr>
      </w:pPr>
    </w:p>
    <w:bookmarkStart w:id="18" w:name="page19"/>
    <w:bookmarkEnd w:id="18"/>
    <w:p>
      <w:pPr>
        <w:ind w:left="640" w:hanging="633"/>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power of attorney is granted with full power of substitution.</w:t>
      </w:r>
    </w:p>
    <w:p>
      <w:pPr>
        <w:spacing w:after="0" w:line="221"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relationship between the Principal and the Proxyholder under this power of attorney is governed exclusively by the laws of the Netherlands.</w:t>
      </w:r>
    </w:p>
    <w:p>
      <w:pPr>
        <w:spacing w:after="0" w:line="217" w:lineRule="exact"/>
        <w:rPr>
          <w:rFonts w:ascii="Times New Roman" w:cs="Times New Roman" w:eastAsia="Times New Roman" w:hAnsi="Times New Roman"/>
          <w:sz w:val="18"/>
          <w:szCs w:val="18"/>
          <w:b w:val="1"/>
          <w:bCs w:val="1"/>
          <w:color w:val="auto"/>
        </w:rPr>
      </w:pPr>
    </w:p>
    <w:p>
      <w:pPr>
        <w:ind w:left="51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154940</wp:posOffset>
            </wp:positionV>
            <wp:extent cx="4276725" cy="697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6725" cy="69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return this signed proxy via regular mail or e-mail, no later than 6.00 am on January 26, 2024, to:</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Sono Group N.V.</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c/o D. Lisitsyn</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Waldmeisterstrasse 76</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80935 Munich</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(corporateoffice@sonomotors.com)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Principal is a (beneficial) owner of shares in the Company's capital, please enclose:</w:t>
      </w:r>
    </w:p>
    <w:p>
      <w:pPr>
        <w:spacing w:after="0" w:line="221" w:lineRule="exact"/>
        <w:rPr>
          <w:sz w:val="20"/>
          <w:szCs w:val="20"/>
          <w:color w:val="auto"/>
        </w:rPr>
      </w:pPr>
    </w:p>
    <w:p>
      <w:pPr>
        <w:ind w:left="640" w:hanging="633"/>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proof of (beneficial) ownership of the underlying shares on the record date, such as a recent account statement;</w:t>
      </w:r>
    </w:p>
    <w:p>
      <w:pPr>
        <w:spacing w:after="0" w:line="248" w:lineRule="exact"/>
        <w:rPr>
          <w:rFonts w:ascii="Times New Roman" w:cs="Times New Roman" w:eastAsia="Times New Roman" w:hAnsi="Times New Roman"/>
          <w:sz w:val="18"/>
          <w:szCs w:val="18"/>
          <w:i w:val="1"/>
          <w:iCs w:val="1"/>
          <w:color w:val="auto"/>
        </w:rPr>
      </w:pPr>
    </w:p>
    <w:p>
      <w:pPr>
        <w:ind w:left="640" w:hanging="633"/>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proof of identity; and</w:t>
      </w:r>
    </w:p>
    <w:p>
      <w:pPr>
        <w:spacing w:after="0" w:line="248" w:lineRule="exact"/>
        <w:rPr>
          <w:sz w:val="20"/>
          <w:szCs w:val="20"/>
          <w:color w:val="auto"/>
        </w:rPr>
      </w:pPr>
    </w:p>
    <w:p>
      <w:pPr>
        <w:ind w:left="640" w:hanging="633"/>
        <w:spacing w:after="0"/>
        <w:tabs>
          <w:tab w:leader="none" w:pos="64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relevant, a signed proxy from the relevant holder of those underlying shares on the record date for the EGM (record date being January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466725</wp:posOffset>
            </wp:positionV>
            <wp:extent cx="71335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173355</wp:posOffset>
            </wp:positionV>
            <wp:extent cx="1139190" cy="340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248"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i w:val="1"/>
          <w:iCs w:val="1"/>
          <w:color w:val="auto"/>
        </w:rPr>
        <w:t>In this translation an attempt has been made to be as literal as possible without jeopardizing the overall continuity. Inevitably, differences may occur in translation, and if so, by law the Dutch text will govern.</w:t>
      </w:r>
    </w:p>
    <w:p>
      <w:pPr>
        <w:spacing w:after="0" w:line="200" w:lineRule="exact"/>
        <w:rPr>
          <w:sz w:val="20"/>
          <w:szCs w:val="20"/>
          <w:color w:val="auto"/>
        </w:rPr>
      </w:pPr>
    </w:p>
    <w:p>
      <w:pPr>
        <w:spacing w:after="0" w:line="359" w:lineRule="exact"/>
        <w:rPr>
          <w:sz w:val="20"/>
          <w:szCs w:val="20"/>
          <w:color w:val="auto"/>
        </w:rPr>
      </w:pPr>
    </w:p>
    <w:p>
      <w:pPr>
        <w:ind w:right="1080"/>
        <w:spacing w:after="0" w:line="288" w:lineRule="auto"/>
        <w:rPr>
          <w:sz w:val="20"/>
          <w:szCs w:val="20"/>
          <w:color w:val="auto"/>
        </w:rPr>
      </w:pPr>
      <w:r>
        <w:rPr>
          <w:rFonts w:ascii="Times New Roman" w:cs="Times New Roman" w:eastAsia="Times New Roman" w:hAnsi="Times New Roman"/>
          <w:sz w:val="42"/>
          <w:szCs w:val="42"/>
          <w:b w:val="1"/>
          <w:bCs w:val="1"/>
          <w:color w:val="auto"/>
        </w:rPr>
        <w:t>Deed of partial amendment of the articles of association (Reverse Share Split and Capital Reduction)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 day of @ two thousand twenty-four, appeared before me, Jan-Mathijs Petrus Hermans, civil-law notary, practising in Amsterdam, the Netherlands: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deputy civil-law notary Dentons Europe LLP in Amsterdam, the Netherlands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said individual declared as follows: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1" w:lineRule="exact"/>
        <w:rPr>
          <w:sz w:val="20"/>
          <w:szCs w:val="20"/>
          <w:color w:val="auto"/>
        </w:rPr>
      </w:pPr>
    </w:p>
    <w:p>
      <w:pPr>
        <w:jc w:val="both"/>
        <w:ind w:left="760" w:hanging="753"/>
        <w:spacing w:after="0" w:line="254"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 day of January two thousand twenty-four, the general meeting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xml:space="preserve">, a public company ('naamloze vennootschap'), with its statutory seat in Amsterdam, the Netherlands, (office address: 8093 5 Munich, Germany, 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resolved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 during an extraordinary general meeting held in Amsterdam, the Netherlands, on the thirty-first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day of January two thousand twenty-four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xml:space="preserve">), to partially amend the articles of association of the Company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xml:space="preserve">) in order to create the effect of a reverse share split in respect of all issued and outstanding shares (irrespective of whether it concerns Ordinary Shares or High Voting Shares (both as defined hereinafter)) in the Company's capital (the </w:t>
      </w: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Resolutions, the General Meeting also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71335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ind w:left="1115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1139190" cy="340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ectPr>
          <w:pgSz w:w="11900" w:h="16838" w:orient="portrait"/>
          <w:cols w:equalWidth="0" w:num="1">
            <w:col w:w="11233"/>
          </w:cols>
          <w:pgMar w:left="327"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413" w:hanging="663"/>
        <w:spacing w:after="0" w:line="263" w:lineRule="auto"/>
        <w:tabs>
          <w:tab w:leader="none" w:pos="14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 at the same time as the Reverse Share Split - decrease the issued capital of the Company in respect of the ordinary shares in the capital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by decreasing the nominal value per Ordinary Share to one eurocent (EUR 0.01) per Ordinary Share; and</w:t>
      </w:r>
    </w:p>
    <w:p>
      <w:pPr>
        <w:spacing w:after="0" w:line="176" w:lineRule="exact"/>
        <w:rPr>
          <w:rFonts w:ascii="Times New Roman" w:cs="Times New Roman" w:eastAsia="Times New Roman" w:hAnsi="Times New Roman"/>
          <w:sz w:val="18"/>
          <w:szCs w:val="18"/>
          <w:color w:val="auto"/>
        </w:rPr>
      </w:pPr>
    </w:p>
    <w:p>
      <w:pPr>
        <w:jc w:val="both"/>
        <w:ind w:left="1413" w:hanging="663"/>
        <w:spacing w:after="0" w:line="263" w:lineRule="auto"/>
        <w:tabs>
          <w:tab w:leader="none" w:pos="14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 at the same time as the Reverse Share Split - decrease the issued capital of the Company in respect of the high voting shares in the capital of the Company (the </w:t>
      </w:r>
      <w:r>
        <w:rPr>
          <w:rFonts w:ascii="Times New Roman" w:cs="Times New Roman" w:eastAsia="Times New Roman" w:hAnsi="Times New Roman"/>
          <w:sz w:val="18"/>
          <w:szCs w:val="18"/>
          <w:b w:val="1"/>
          <w:bCs w:val="1"/>
          <w:color w:val="auto"/>
        </w:rPr>
        <w:t>High Voting Shares</w:t>
      </w:r>
      <w:r>
        <w:rPr>
          <w:rFonts w:ascii="Times New Roman" w:cs="Times New Roman" w:eastAsia="Times New Roman" w:hAnsi="Times New Roman"/>
          <w:sz w:val="18"/>
          <w:szCs w:val="18"/>
          <w:color w:val="auto"/>
        </w:rPr>
        <w:t>), by decreasing the nominal value per High Voting Share to twenty-five eurocent (EUR 0.25) per High Voting Share.</w:t>
      </w:r>
    </w:p>
    <w:p>
      <w:pPr>
        <w:spacing w:after="0" w:line="176" w:lineRule="exact"/>
        <w:rPr>
          <w:rFonts w:ascii="Times New Roman" w:cs="Times New Roman" w:eastAsia="Times New Roman" w:hAnsi="Times New Roman"/>
          <w:sz w:val="18"/>
          <w:szCs w:val="18"/>
          <w:color w:val="auto"/>
        </w:rPr>
      </w:pPr>
    </w:p>
    <w:p>
      <w:pPr>
        <w:jc w:val="both"/>
        <w:ind w:left="753" w:hanging="753"/>
        <w:spacing w:after="0" w:line="253"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Furthermore, by the Shareholders’ Resolutions it was resolved that (i) the exact reverse share split ratio and (ii) the date of implementation of the Reverse Share Split will both be determined by the management board of the Company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based on the formula laid down in the explanatory notes to the agenda of the EGM and as recorded in the minutes of the EGM, and that if the number of Ordinary Shares and/or High Voting Shares held by a person is not exactly divisible by the applicable ratio before the Reverse Share Split, banks and brokers will round the positions up or down, depending on the particular contractual arrangements between the bank or broker and the relevant holder. This, since no fractional shares will be issued in the capital of the Company in connection with the Reverse Share Split, while as a consequence of the said rounding up or down, the Company’s issued capital will not be reduced.</w:t>
      </w:r>
    </w:p>
    <w:p>
      <w:pPr>
        <w:spacing w:after="0" w:line="186" w:lineRule="exact"/>
        <w:rPr>
          <w:rFonts w:ascii="Times New Roman" w:cs="Times New Roman" w:eastAsia="Times New Roman" w:hAnsi="Times New Roman"/>
          <w:sz w:val="18"/>
          <w:szCs w:val="18"/>
          <w:color w:val="auto"/>
        </w:rPr>
      </w:pPr>
    </w:p>
    <w:p>
      <w:pPr>
        <w:ind w:left="753" w:hanging="753"/>
        <w:spacing w:after="0"/>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Moreover, by the Shareholders’ Resolutions it was resolved that the said reduction of the nominal value of:</w:t>
      </w:r>
    </w:p>
    <w:p>
      <w:pPr>
        <w:spacing w:after="0" w:line="221" w:lineRule="exact"/>
        <w:rPr>
          <w:rFonts w:ascii="Times New Roman" w:cs="Times New Roman" w:eastAsia="Times New Roman" w:hAnsi="Times New Roman"/>
          <w:sz w:val="18"/>
          <w:szCs w:val="18"/>
          <w:color w:val="auto"/>
        </w:rPr>
      </w:pPr>
    </w:p>
    <w:p>
      <w:pPr>
        <w:ind w:left="1413" w:hanging="663"/>
        <w:spacing w:after="0" w:line="278" w:lineRule="auto"/>
        <w:tabs>
          <w:tab w:leader="none" w:pos="14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Ordinary Shares shall occur without any repayment of the reduced nominal value per Ordinary Share or any other payment to the holders of such Ordinary Shares (the </w:t>
      </w:r>
      <w:r>
        <w:rPr>
          <w:rFonts w:ascii="Times New Roman" w:cs="Times New Roman" w:eastAsia="Times New Roman" w:hAnsi="Times New Roman"/>
          <w:sz w:val="18"/>
          <w:szCs w:val="18"/>
          <w:b w:val="1"/>
          <w:bCs w:val="1"/>
          <w:color w:val="auto"/>
        </w:rPr>
        <w:t>Capital Reduction Ordinary Shares</w:t>
      </w:r>
      <w:r>
        <w:rPr>
          <w:rFonts w:ascii="Times New Roman" w:cs="Times New Roman" w:eastAsia="Times New Roman" w:hAnsi="Times New Roman"/>
          <w:sz w:val="18"/>
          <w:szCs w:val="18"/>
          <w:color w:val="auto"/>
        </w:rPr>
        <w:t>); and</w:t>
      </w:r>
    </w:p>
    <w:p>
      <w:pPr>
        <w:spacing w:after="0" w:line="163" w:lineRule="exact"/>
        <w:rPr>
          <w:rFonts w:ascii="Times New Roman" w:cs="Times New Roman" w:eastAsia="Times New Roman" w:hAnsi="Times New Roman"/>
          <w:sz w:val="18"/>
          <w:szCs w:val="18"/>
          <w:color w:val="auto"/>
        </w:rPr>
      </w:pPr>
    </w:p>
    <w:p>
      <w:pPr>
        <w:ind w:left="1413" w:hanging="663"/>
        <w:spacing w:after="0" w:line="278" w:lineRule="auto"/>
        <w:tabs>
          <w:tab w:leader="none" w:pos="14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High Voting Shares shall occur without any repayment of the reduced nominal value per High Voting Share or any other payment to the holders of such High Voting Shares (the </w:t>
      </w:r>
      <w:r>
        <w:rPr>
          <w:rFonts w:ascii="Times New Roman" w:cs="Times New Roman" w:eastAsia="Times New Roman" w:hAnsi="Times New Roman"/>
          <w:sz w:val="18"/>
          <w:szCs w:val="18"/>
          <w:b w:val="1"/>
          <w:bCs w:val="1"/>
          <w:color w:val="auto"/>
        </w:rPr>
        <w:t>Capital Reduction High Voting Shares</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jc w:val="both"/>
        <w:ind w:left="753" w:hanging="753"/>
        <w:spacing w:after="0" w:line="263"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(i) the Capital Reduction Ordinary Shares and (ii) the Capital Reduction High Voting Shares </w:t>
      </w:r>
      <w:r>
        <w:rPr>
          <w:rFonts w:ascii="Times New Roman" w:cs="Times New Roman" w:eastAsia="Times New Roman" w:hAnsi="Times New Roman"/>
          <w:sz w:val="18"/>
          <w:szCs w:val="18"/>
          <w:u w:val="single" w:color="auto"/>
          <w:color w:val="auto"/>
        </w:rPr>
        <w:t>occur</w:t>
      </w:r>
      <w:r>
        <w:rPr>
          <w:rFonts w:ascii="Times New Roman" w:cs="Times New Roman" w:eastAsia="Times New Roman" w:hAnsi="Times New Roman"/>
          <w:sz w:val="18"/>
          <w:szCs w:val="18"/>
          <w:color w:val="auto"/>
        </w:rPr>
        <w:t xml:space="preserve"> for the benefit of the Company’s profit reserves (</w:t>
      </w:r>
      <w:r>
        <w:rPr>
          <w:rFonts w:ascii="Times New Roman" w:cs="Times New Roman" w:eastAsia="Times New Roman" w:hAnsi="Times New Roman"/>
          <w:sz w:val="18"/>
          <w:szCs w:val="18"/>
          <w:i w:val="1"/>
          <w:iCs w:val="1"/>
          <w:color w:val="auto"/>
        </w:rPr>
        <w:t>ter delging van geleden verliezen</w:t>
      </w:r>
      <w:r>
        <w:rPr>
          <w:rFonts w:ascii="Times New Roman" w:cs="Times New Roman" w:eastAsia="Times New Roman" w:hAnsi="Times New Roman"/>
          <w:sz w:val="18"/>
          <w:szCs w:val="18"/>
          <w:color w:val="auto"/>
        </w:rPr>
        <w:t>), the Shareholders’ Resolutions in relation to the Capital Reduction Ordinary Shares and the Capital Reduction High Voting Shares have immediate effect in accordance with Section 2:100, paragraph 6, of the Dutch Civil Code.</w:t>
      </w:r>
    </w:p>
    <w:p>
      <w:pPr>
        <w:spacing w:after="0" w:line="176" w:lineRule="exact"/>
        <w:rPr>
          <w:rFonts w:ascii="Times New Roman" w:cs="Times New Roman" w:eastAsia="Times New Roman" w:hAnsi="Times New Roman"/>
          <w:sz w:val="18"/>
          <w:szCs w:val="18"/>
          <w:color w:val="auto"/>
        </w:rPr>
      </w:pPr>
    </w:p>
    <w:p>
      <w:pPr>
        <w:ind w:left="753" w:hanging="753"/>
        <w:spacing w:after="0" w:line="278"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Shareholders’ Resolutions, on the @ day of @ two thousand twenty-four, the Management Board resolved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1413" w:hanging="663"/>
        <w:spacing w:after="0" w:line="278" w:lineRule="auto"/>
        <w:tabs>
          <w:tab w:leader="none" w:pos="14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exchange ratio for the Reverse Share Split at @ to @ (@:@), so that [@ (@)] Ordinary Shares will be combined into one (1) Ordinary Share and [@ (@)] High-Voting Shares will be combined into one (1) High Voting Share;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335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33"/>
          </w:cols>
          <w:pgMar w:left="327" w:top="228" w:right="3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139190" cy="340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20" w:hanging="663"/>
        <w:spacing w:after="0"/>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Capital Reduction Ordinary Shares and the Capital Reduction High Voting Shares.</w:t>
      </w:r>
    </w:p>
    <w:p>
      <w:pPr>
        <w:spacing w:after="0" w:line="221"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Resolutions, it was furthermore resolved to authorize the person appearing to have this deed executed.</w:t>
      </w:r>
    </w:p>
    <w:p>
      <w:pPr>
        <w:spacing w:after="0" w:line="221" w:lineRule="exact"/>
        <w:rPr>
          <w:rFonts w:ascii="Times New Roman" w:cs="Times New Roman" w:eastAsia="Times New Roman" w:hAnsi="Times New Roman"/>
          <w:sz w:val="18"/>
          <w:szCs w:val="18"/>
          <w:color w:val="auto"/>
        </w:rPr>
      </w:pPr>
    </w:p>
    <w:p>
      <w:pPr>
        <w:jc w:val="both"/>
        <w:ind w:left="760" w:hanging="753"/>
        <w:spacing w:after="0" w:line="263"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were established at incorporation of the Company, by a deed executed on the twenty-third day of October two thousand twenty before P.C.S. van der Bijl, civil-law notary in Amsterdam, the Netherlands and were last amended by a deed, executed on the seventeenth day of November two thousand twenty-one, before a substitute of P.C.S. van der Bijl, aforementioned civil-law notary.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implementing the Shareholders’ Resolutions and the Management Board Resolutions, the said individual, acting as aforesaid, declares that the Articles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are hereby partially amended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5.1 is hereby amended and will read as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Company’s authorised share capital amounts to @ euro (EUR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5.2 is hereby amended and will read as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authorized share capital is divided into:</w:t>
      </w:r>
    </w:p>
    <w:p>
      <w:pPr>
        <w:spacing w:after="0" w:line="221"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ordinary shares, each having a nominal value of one eurocent (EUR 0.01); and</w:t>
      </w:r>
    </w:p>
    <w:p>
      <w:pPr>
        <w:spacing w:after="0" w:line="221" w:lineRule="exact"/>
        <w:rPr>
          <w:rFonts w:ascii="Times New Roman" w:cs="Times New Roman" w:eastAsia="Times New Roman" w:hAnsi="Times New Roman"/>
          <w:sz w:val="18"/>
          <w:szCs w:val="18"/>
          <w:color w:val="auto"/>
        </w:rPr>
      </w:pPr>
    </w:p>
    <w:p>
      <w:pPr>
        <w:ind w:right="3040" w:firstLine="757"/>
        <w:spacing w:after="0" w:line="494"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high voting shares, each having a nominal value of twenty-five eurocents (EUR 0.25). </w:t>
      </w:r>
      <w:r>
        <w:rPr>
          <w:rFonts w:ascii="Times New Roman" w:cs="Times New Roman" w:eastAsia="Times New Roman" w:hAnsi="Times New Roman"/>
          <w:sz w:val="18"/>
          <w:szCs w:val="18"/>
          <w:u w:val="single" w:color="auto"/>
          <w:color w:val="auto"/>
        </w:rPr>
        <w:t>Article 42 is hereby deleted in full.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STATEMENTS</w:t>
      </w:r>
    </w:p>
    <w:p>
      <w:pPr>
        <w:spacing w:after="0" w:line="225" w:lineRule="exact"/>
        <w:rPr>
          <w:sz w:val="20"/>
          <w:szCs w:val="20"/>
          <w:color w:val="auto"/>
        </w:rPr>
      </w:pPr>
    </w:p>
    <w:p>
      <w:pPr>
        <w:ind w:left="760" w:hanging="753"/>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deed coming into effect and in accordance with the Shareholders’ Resolutions and the Management Board Resolutions:</w:t>
      </w:r>
    </w:p>
    <w:p>
      <w:pPr>
        <w:spacing w:after="0" w:line="221" w:lineRule="exact"/>
        <w:rPr>
          <w:rFonts w:ascii="Times New Roman" w:cs="Times New Roman" w:eastAsia="Times New Roman" w:hAnsi="Times New Roman"/>
          <w:sz w:val="18"/>
          <w:szCs w:val="18"/>
          <w:color w:val="auto"/>
        </w:rPr>
      </w:pPr>
    </w:p>
    <w:p>
      <w:pPr>
        <w:jc w:val="both"/>
        <w:ind w:left="1400" w:hanging="643"/>
        <w:spacing w:after="0" w:line="258"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ordinary shares in the capital of the Company, being @ (@) ordinary shares, , with a nominal value of six eurocents (EUR 0.06) each, numbered from @ up to and including @, issued immediately prior to the execution of this deed, and all of which ordinary shares are issued in the name of The Depository Trust Company, are hereby consolidated and converted into @ (@) ordinary shares, with a nominal value of one eurocent (EUR 0.01) each, numbered from @ up to and including @;</w:t>
      </w:r>
    </w:p>
    <w:p>
      <w:pPr>
        <w:spacing w:after="0" w:line="181" w:lineRule="exact"/>
        <w:rPr>
          <w:rFonts w:ascii="Times New Roman" w:cs="Times New Roman" w:eastAsia="Times New Roman" w:hAnsi="Times New Roman"/>
          <w:sz w:val="18"/>
          <w:szCs w:val="18"/>
          <w:color w:val="auto"/>
        </w:rPr>
      </w:pPr>
    </w:p>
    <w:p>
      <w:pPr>
        <w:jc w:val="both"/>
        <w:ind w:left="1400" w:hanging="643"/>
        <w:spacing w:after="0" w:line="258"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high voting shares in the capital of the Company, being @ (@) high voting shares, with a nominal value of one euro and fifty eurocents (EUR 1.50) each, numbered from HV@ up to and including HV@, issued immediately prior to the execution of this deed, are hereby consolidated and converted into @ (@) high voting shares, with a nominal value of twenty-five eurocents (EUR 0.25) each, numbered from HV@ up to and including HV@;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35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39190" cy="340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400" w:hanging="643"/>
        <w:spacing w:after="0" w:line="258"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high voting shares in the capital of the Company, being @ (@) high voting shares, with a nominal value of one euro and fifty eurocents (EUR 1.50) each, numbered from HV@ up to and including HV@, issued immediately prior to the execution of this deed, are hereby consolidated and converted into @ (@) high voting shares, with a nominal value of twenty-five eurocents (EUR 0.25) each, numbered from HV@ up to and including HV@;</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so that as per the moment of the subject amendment of the Articles of Association, the issued and paid-up capital of the Company will consist of:</w:t>
      </w:r>
    </w:p>
    <w:p>
      <w:pPr>
        <w:spacing w:after="0" w:line="221" w:lineRule="exact"/>
        <w:rPr>
          <w:sz w:val="20"/>
          <w:szCs w:val="20"/>
          <w:color w:val="auto"/>
        </w:rPr>
      </w:pPr>
    </w:p>
    <w:p>
      <w:pPr>
        <w:ind w:left="1500" w:hanging="743"/>
        <w:spacing w:after="0"/>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ordinary shares, with a par value of one eurocent (EUR 0.01) each, numbered from @ up to and including @ and</w:t>
      </w:r>
    </w:p>
    <w:p>
      <w:pPr>
        <w:spacing w:after="0" w:line="221" w:lineRule="exact"/>
        <w:rPr>
          <w:rFonts w:ascii="Times New Roman" w:cs="Times New Roman" w:eastAsia="Times New Roman" w:hAnsi="Times New Roman"/>
          <w:sz w:val="18"/>
          <w:szCs w:val="18"/>
          <w:color w:val="auto"/>
        </w:rPr>
      </w:pPr>
    </w:p>
    <w:p>
      <w:pPr>
        <w:ind w:left="760" w:right="20" w:hanging="3"/>
        <w:spacing w:after="0" w:line="49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high voting shares, with a par value of twenty-five eurocents (EUR 0.25) each, numbered from HV@ up to and including HV@; so that the aggregate nominal value of the issued share capital will decrease and amounts to @ euro (EUR @).</w:t>
      </w:r>
    </w:p>
    <w:p>
      <w:pPr>
        <w:spacing w:after="0" w:line="1"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are created as a consequence of the Reverse Share Split.</w:t>
      </w:r>
    </w:p>
    <w:p>
      <w:pPr>
        <w:spacing w:after="0" w:line="221"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annexes are attached to this deed:</w:t>
      </w:r>
    </w:p>
    <w:p>
      <w:pPr>
        <w:spacing w:after="0" w:line="217" w:lineRule="exact"/>
        <w:rPr>
          <w:sz w:val="20"/>
          <w:szCs w:val="20"/>
          <w:color w:val="auto"/>
        </w:rPr>
      </w:pPr>
    </w:p>
    <w:p>
      <w:pPr>
        <w:ind w:left="1420" w:hanging="663"/>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explanatory notes to the EGM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evidencing the Shareholders’ Resolutions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 and</w:t>
      </w:r>
    </w:p>
    <w:p>
      <w:pPr>
        <w:spacing w:after="0" w:line="221"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Board Resolutions (</w:t>
      </w:r>
      <w:r>
        <w:rPr>
          <w:rFonts w:ascii="Times New Roman" w:cs="Times New Roman" w:eastAsia="Times New Roman" w:hAnsi="Times New Roman"/>
          <w:sz w:val="18"/>
          <w:szCs w:val="18"/>
          <w:b w:val="1"/>
          <w:bCs w:val="1"/>
          <w:u w:val="single" w:color="auto"/>
          <w:color w:val="auto"/>
        </w:rPr>
        <w:t>Annex 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said individual is known to me, civil-law notary.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deed was executed in Amsterdam, the Netherlands, on the date first above written. I, civil-law notary, stated and explained the substance of this deed and pointed out the consequences of its contents to the said individual. The said individual then declared that he had noted the contents of this deed and that he agreed therewith. Subsequently, this deed was executed and was, immediately after it had been read aloud in part, signed by the said individual and by me, civil-law notary.</w:t>
      </w:r>
    </w:p>
    <w:p>
      <w:pPr>
        <w:sectPr>
          <w:pgSz w:w="11900" w:h="16838" w:orient="portrait"/>
          <w:cols w:equalWidth="0" w:num="1">
            <w:col w:w="11240"/>
          </w:cols>
          <w:pgMar w:left="320" w:top="228" w:right="339"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21"/>
          <w:szCs w:val="21"/>
          <w:b w:val="1"/>
          <w:bCs w:val="1"/>
          <w:color w:val="auto"/>
        </w:rPr>
        <w:t>Exhibit 99.4</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77900" cy="28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In this translation an attempt has been made to be as literal as possible without jeopardizing the overall continuity. Inevitably, differences may occur in translation, and if so, by law the Dutch text will govern.</w:t>
      </w:r>
    </w:p>
    <w:p>
      <w:pPr>
        <w:spacing w:after="0" w:line="200" w:lineRule="exact"/>
        <w:rPr>
          <w:sz w:val="20"/>
          <w:szCs w:val="20"/>
          <w:color w:val="auto"/>
        </w:rPr>
      </w:pPr>
    </w:p>
    <w:p>
      <w:pPr>
        <w:spacing w:after="0" w:line="359" w:lineRule="exact"/>
        <w:rPr>
          <w:sz w:val="20"/>
          <w:szCs w:val="20"/>
          <w:color w:val="auto"/>
        </w:rPr>
      </w:pPr>
    </w:p>
    <w:p>
      <w:pPr>
        <w:ind w:right="1080"/>
        <w:spacing w:after="0" w:line="276" w:lineRule="auto"/>
        <w:rPr>
          <w:sz w:val="20"/>
          <w:szCs w:val="20"/>
          <w:color w:val="auto"/>
        </w:rPr>
      </w:pPr>
      <w:r>
        <w:rPr>
          <w:rFonts w:ascii="Times New Roman" w:cs="Times New Roman" w:eastAsia="Times New Roman" w:hAnsi="Times New Roman"/>
          <w:sz w:val="43"/>
          <w:szCs w:val="43"/>
          <w:b w:val="1"/>
          <w:bCs w:val="1"/>
          <w:color w:val="auto"/>
        </w:rPr>
        <w:t>Deed of partial amendment of the articles of association (Amendment Authorized Capital)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 day of @ two thousand twenty-@, appeared before me, Jan-Mathijs Petrus Hermans, civil-law notary, practising in Amsterdam, the Netherlands: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deputy civil-law notary Dentons Europe LLP in Amsterdam, the Netherlands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said individual declared as follows: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1" w:lineRule="exact"/>
        <w:rPr>
          <w:sz w:val="20"/>
          <w:szCs w:val="20"/>
          <w:color w:val="auto"/>
        </w:rPr>
      </w:pPr>
    </w:p>
    <w:p>
      <w:pPr>
        <w:jc w:val="both"/>
        <w:ind w:left="760" w:hanging="753"/>
        <w:spacing w:after="0" w:line="275"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 day of January two thousand twenty-four, the general meeting of </w:t>
      </w:r>
      <w:r>
        <w:rPr>
          <w:rFonts w:ascii="Times New Roman" w:cs="Times New Roman" w:eastAsia="Times New Roman" w:hAnsi="Times New Roman"/>
          <w:sz w:val="17"/>
          <w:szCs w:val="17"/>
          <w:b w:val="1"/>
          <w:bCs w:val="1"/>
          <w:u w:val="single" w:color="auto"/>
          <w:color w:val="auto"/>
        </w:rPr>
        <w:t>Sono Group N.V.</w:t>
      </w:r>
      <w:r>
        <w:rPr>
          <w:rFonts w:ascii="Times New Roman" w:cs="Times New Roman" w:eastAsia="Times New Roman" w:hAnsi="Times New Roman"/>
          <w:sz w:val="17"/>
          <w:szCs w:val="17"/>
          <w:color w:val="auto"/>
        </w:rPr>
        <w:t xml:space="preserve">, a public company ('naamloze vennootschap'), with its statutory seat in Amsterdam, the Netherlands, (office address: 8093 5 Munich, Germany, Waldmeisterstrasse 76) and registered with the Trade Register held by the Chamber of Commerce for the Netherlands under number 80683568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resolved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 during an extraordinary general meeting of the Company held in Amsterdam, the Netherlands, on the thirty-first day of January two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thousand twenty-four (the </w:t>
      </w:r>
      <w:r>
        <w:rPr>
          <w:rFonts w:ascii="Times New Roman" w:cs="Times New Roman" w:eastAsia="Times New Roman" w:hAnsi="Times New Roman"/>
          <w:sz w:val="17"/>
          <w:szCs w:val="17"/>
          <w:b w:val="1"/>
          <w:bCs w:val="1"/>
          <w:color w:val="auto"/>
        </w:rPr>
        <w:t>EGM</w:t>
      </w:r>
      <w:r>
        <w:rPr>
          <w:rFonts w:ascii="Times New Roman" w:cs="Times New Roman" w:eastAsia="Times New Roman" w:hAnsi="Times New Roman"/>
          <w:sz w:val="17"/>
          <w:szCs w:val="17"/>
          <w:color w:val="auto"/>
        </w:rPr>
        <w:t xml:space="preserve">), to partially amend the articles of association of the Company (the </w:t>
      </w:r>
      <w:r>
        <w:rPr>
          <w:rFonts w:ascii="Times New Roman" w:cs="Times New Roman" w:eastAsia="Times New Roman" w:hAnsi="Times New Roman"/>
          <w:sz w:val="17"/>
          <w:szCs w:val="17"/>
          <w:b w:val="1"/>
          <w:bCs w:val="1"/>
          <w:color w:val="auto"/>
        </w:rPr>
        <w:t>Articles of Association</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760" w:hanging="753"/>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Resolutions, it was furthermore resolved to authorize the person appearing to have this deed executed.</w:t>
      </w:r>
    </w:p>
    <w:p>
      <w:pPr>
        <w:spacing w:after="0" w:line="221" w:lineRule="exact"/>
        <w:rPr>
          <w:rFonts w:ascii="Times New Roman" w:cs="Times New Roman" w:eastAsia="Times New Roman" w:hAnsi="Times New Roman"/>
          <w:sz w:val="18"/>
          <w:szCs w:val="18"/>
          <w:color w:val="auto"/>
        </w:rPr>
      </w:pPr>
    </w:p>
    <w:p>
      <w:pPr>
        <w:jc w:val="both"/>
        <w:ind w:left="760" w:hanging="753"/>
        <w:spacing w:after="0" w:line="26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Shareholders’ Resolutions, on the @ day of @ two thousand and twenty-@, the management board of the Company determined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 as authorized by the Shareholders' Resolutions, the to be amended autorized capital of the Company as outlined in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344805</wp:posOffset>
            </wp:positionV>
            <wp:extent cx="71335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39190" cy="340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hanging="753"/>
        <w:spacing w:after="0" w:line="27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of the Company were established at incorporation of the Company, by a deed executed on the twenty-third day of October two thousand twenty before P.C.S. van der Bijl, civil-law notary in Amsterdam, the Netherlands.</w:t>
      </w:r>
    </w:p>
    <w:p>
      <w:pPr>
        <w:spacing w:after="0" w:line="163" w:lineRule="exact"/>
        <w:rPr>
          <w:rFonts w:ascii="Times New Roman" w:cs="Times New Roman" w:eastAsia="Times New Roman" w:hAnsi="Times New Roman"/>
          <w:sz w:val="18"/>
          <w:szCs w:val="18"/>
          <w:color w:val="auto"/>
        </w:rPr>
      </w:pPr>
    </w:p>
    <w:p>
      <w:pPr>
        <w:ind w:left="760" w:hanging="753"/>
        <w:spacing w:after="0" w:line="27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of the Company have been last amended by a deed, executed on the @ day of @ two thousand and twenty-@, before [@(a substitute of) mr. J.-M.P. Hermans], aforementioned civil-law notary., also pursuant to the Shareholders’ Resolutions.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implementing the Shareholders’ Resolutions and the Management Board resolution, the said individual, acting as aforesaid, declares that the Articles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are hereby partially amended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5.1 is hereby amended and will read as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Company’s authorised share capital amounts to @ euro (EUR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5.2 is hereby amended and will read as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authorized share capital is divided into:</w:t>
      </w:r>
    </w:p>
    <w:p>
      <w:pPr>
        <w:spacing w:after="0" w:line="221" w:lineRule="exact"/>
        <w:rPr>
          <w:sz w:val="20"/>
          <w:szCs w:val="20"/>
          <w:color w:val="auto"/>
        </w:rPr>
      </w:pPr>
    </w:p>
    <w:p>
      <w:pPr>
        <w:ind w:left="1500" w:hanging="743"/>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ordinary shares, each having a nominal value of one eurocent (EUR 0.01); and</w:t>
      </w:r>
    </w:p>
    <w:p>
      <w:pPr>
        <w:spacing w:after="0" w:line="22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high voting shares, each having a nominal value of twenty-five eurocents (EUR 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STATEMENTS</w:t>
      </w:r>
    </w:p>
    <w:p>
      <w:pPr>
        <w:spacing w:after="0" w:line="225" w:lineRule="exact"/>
        <w:rPr>
          <w:sz w:val="20"/>
          <w:szCs w:val="20"/>
          <w:color w:val="auto"/>
        </w:rPr>
      </w:pPr>
    </w:p>
    <w:p>
      <w:pPr>
        <w:ind w:left="760" w:hanging="753"/>
        <w:spacing w:after="0" w:line="27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deed coming into effect, a share issue will become effective, so that as per the moment of the subject amendment of the Articles of Association the issued capital of the Company consists of:</w:t>
      </w:r>
    </w:p>
    <w:p>
      <w:pPr>
        <w:spacing w:after="0" w:line="163" w:lineRule="exact"/>
        <w:rPr>
          <w:rFonts w:ascii="Times New Roman" w:cs="Times New Roman" w:eastAsia="Times New Roman" w:hAnsi="Times New Roman"/>
          <w:sz w:val="18"/>
          <w:szCs w:val="18"/>
          <w:color w:val="auto"/>
        </w:rPr>
      </w:pPr>
    </w:p>
    <w:p>
      <w:pPr>
        <w:ind w:left="1400" w:hanging="643"/>
        <w:spacing w:after="0"/>
        <w:tabs>
          <w:tab w:leader="none" w:pos="14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ordinary shares, with a nominal value of one eurocent EUR (0.01) each; and</w:t>
      </w:r>
    </w:p>
    <w:p>
      <w:pPr>
        <w:spacing w:after="0" w:line="221" w:lineRule="exact"/>
        <w:rPr>
          <w:rFonts w:ascii="Times New Roman" w:cs="Times New Roman" w:eastAsia="Times New Roman" w:hAnsi="Times New Roman"/>
          <w:sz w:val="18"/>
          <w:szCs w:val="18"/>
          <w:color w:val="auto"/>
        </w:rPr>
      </w:pPr>
    </w:p>
    <w:p>
      <w:pPr>
        <w:ind w:left="1400" w:hanging="643"/>
        <w:spacing w:after="0"/>
        <w:tabs>
          <w:tab w:leader="none" w:pos="14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high voting shares, with a nominal value of twenty-five eurocent (EUR 0.25) each,</w:t>
      </w:r>
    </w:p>
    <w:p>
      <w:pPr>
        <w:spacing w:after="0" w:line="221"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8"/>
          <w:szCs w:val="18"/>
          <w:color w:val="auto"/>
        </w:rPr>
        <w:t>so that as per the moment of the subject amendment of the Articles of Association, the issued and paid-up capital of the Company amounts to @ euro (EUR @).</w:t>
      </w:r>
    </w:p>
    <w:p>
      <w:pPr>
        <w:spacing w:after="0" w:line="163" w:lineRule="exact"/>
        <w:rPr>
          <w:sz w:val="20"/>
          <w:szCs w:val="20"/>
          <w:color w:val="auto"/>
        </w:rPr>
      </w:pPr>
    </w:p>
    <w:p>
      <w:pPr>
        <w:ind w:left="760" w:hanging="753"/>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annexes are attached to this deed:</w:t>
      </w:r>
    </w:p>
    <w:p>
      <w:pPr>
        <w:spacing w:after="0" w:line="217" w:lineRule="exact"/>
        <w:rPr>
          <w:rFonts w:ascii="Times New Roman" w:cs="Times New Roman" w:eastAsia="Times New Roman" w:hAnsi="Times New Roman"/>
          <w:sz w:val="18"/>
          <w:szCs w:val="18"/>
          <w:color w:val="auto"/>
        </w:rPr>
      </w:pPr>
    </w:p>
    <w:p>
      <w:pPr>
        <w:ind w:left="1400" w:hanging="643"/>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 and agenda to the EGM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400" w:hanging="643"/>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evidencing the Shareholders’ Resolutions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and</w:t>
      </w:r>
    </w:p>
    <w:p>
      <w:pPr>
        <w:spacing w:after="0" w:line="221" w:lineRule="exact"/>
        <w:rPr>
          <w:rFonts w:ascii="Times New Roman" w:cs="Times New Roman" w:eastAsia="Times New Roman" w:hAnsi="Times New Roman"/>
          <w:sz w:val="18"/>
          <w:szCs w:val="18"/>
          <w:color w:val="auto"/>
        </w:rPr>
      </w:pPr>
    </w:p>
    <w:p>
      <w:pPr>
        <w:ind w:left="1400" w:hanging="643"/>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Board Resolutions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375920</wp:posOffset>
            </wp:positionV>
            <wp:extent cx="71335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25" w:name="page26"/>
    <w:bookmarkEnd w:id="25"/>
    <w:p>
      <w:pPr>
        <w:ind w:left="111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39190" cy="340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said individual is known to me, civil-law notary.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deed was executed in Amsterdam, the Netherlands, on the date first above written. I, civil-law notary, stated and explained the substance of this deed and pointed out the consequences of its contents to the said individual. The said individual then declared that he had noted the contents of this deed and that he agreed therewith. Subsequently, this deed was executed and was, immediately after it had been read aloud in part, signed by the said individual and by me, civil-law notary.</w:t>
      </w:r>
    </w:p>
    <w:p>
      <w:pPr>
        <w:sectPr>
          <w:pgSz w:w="11900" w:h="16838" w:orient="portrait"/>
          <w:cols w:equalWidth="0" w:num="1">
            <w:col w:w="11240"/>
          </w:cols>
          <w:pgMar w:left="320" w:top="228" w:right="339" w:bottom="1440" w:gutter="0" w:footer="0" w:header="0"/>
          <w:type w:val="continuous"/>
        </w:sectPr>
      </w:pPr>
    </w:p>
    <w:bookmarkStart w:id="26" w:name="page27"/>
    <w:bookmarkEnd w:id="26"/>
    <w:p>
      <w:pPr>
        <w:ind w:left="10140"/>
        <w:spacing w:after="0"/>
        <w:rPr>
          <w:sz w:val="20"/>
          <w:szCs w:val="20"/>
          <w:color w:val="auto"/>
        </w:rPr>
      </w:pPr>
      <w:r>
        <w:rPr>
          <w:rFonts w:ascii="Times New Roman" w:cs="Times New Roman" w:eastAsia="Times New Roman" w:hAnsi="Times New Roman"/>
          <w:sz w:val="21"/>
          <w:szCs w:val="21"/>
          <w:b w:val="1"/>
          <w:bCs w:val="1"/>
          <w:color w:val="auto"/>
        </w:rPr>
        <w:t>Exhibit 99.5</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POLICY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sets out the Company's policy concerning the compensation of the Managing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In this policy the following definitions shall apply: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article of this policy.</w:t>
            </w:r>
          </w:p>
        </w:tc>
      </w:tr>
      <w:tr>
        <w:trPr>
          <w:trHeight w:val="410"/>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Change of Control Benefit</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compensation or other benefit comprised in a Compensation Package that becomes payable, vests, is settled,</w:t>
            </w:r>
          </w:p>
        </w:tc>
      </w:tr>
      <w:tr>
        <w:trPr>
          <w:trHeight w:val="214"/>
        </w:trPr>
        <w:tc>
          <w:tcPr>
            <w:tcW w:w="28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becomes exercisable or is triggered in any other manner as a result of a change of control over the Company (as</w:t>
            </w:r>
          </w:p>
        </w:tc>
      </w:tr>
      <w:tr>
        <w:trPr>
          <w:trHeight w:val="214"/>
        </w:trPr>
        <w:tc>
          <w:tcPr>
            <w:tcW w:w="28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such term may be defined in the applicable agreement, plan or arrangement providing for such compensation or</w:t>
            </w:r>
          </w:p>
        </w:tc>
      </w:tr>
      <w:tr>
        <w:trPr>
          <w:trHeight w:val="233"/>
        </w:trPr>
        <w:tc>
          <w:tcPr>
            <w:tcW w:w="2820" w:type="dxa"/>
            <w:vAlign w:val="bottom"/>
          </w:tcPr>
          <w:p>
            <w:pPr>
              <w:spacing w:after="0"/>
              <w:rPr>
                <w:sz w:val="20"/>
                <w:szCs w:val="20"/>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w:t>
            </w:r>
          </w:p>
        </w:tc>
      </w:tr>
      <w:tr>
        <w:trPr>
          <w:trHeight w:val="428"/>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Sono Group N.V.</w:t>
            </w:r>
          </w:p>
        </w:tc>
      </w:tr>
      <w:tr>
        <w:trPr>
          <w:trHeight w:val="428"/>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compensation committee established by the Supervisory Board.</w:t>
            </w:r>
          </w:p>
        </w:tc>
      </w:tr>
      <w:tr>
        <w:trPr>
          <w:trHeight w:val="428"/>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Compensation Package</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total compensation package of a Managing Director for services rendered in that capacity.</w:t>
            </w:r>
          </w:p>
        </w:tc>
      </w:tr>
      <w:tr>
        <w:trPr>
          <w:trHeight w:val="410"/>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Fringe Benefit</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Fringe benefits (other than Pension) comprised in a Compensation Package, including use of a cell phone, laptop</w:t>
            </w:r>
          </w:p>
        </w:tc>
      </w:tr>
      <w:tr>
        <w:trPr>
          <w:trHeight w:val="214"/>
        </w:trPr>
        <w:tc>
          <w:tcPr>
            <w:tcW w:w="28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and/or lease car, vacation pay, sick pay, accident and/or health insurance, social security contributions, housing</w:t>
            </w:r>
          </w:p>
        </w:tc>
      </w:tr>
      <w:tr>
        <w:trPr>
          <w:trHeight w:val="233"/>
        </w:trPr>
        <w:tc>
          <w:tcPr>
            <w:tcW w:w="2820" w:type="dxa"/>
            <w:vAlign w:val="bottom"/>
          </w:tcPr>
          <w:p>
            <w:pPr>
              <w:spacing w:after="0"/>
              <w:rPr>
                <w:sz w:val="20"/>
                <w:szCs w:val="20"/>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reimbursement of travel costs and education assistance.</w:t>
            </w:r>
          </w:p>
        </w:tc>
      </w:tr>
      <w:tr>
        <w:trPr>
          <w:trHeight w:val="428"/>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general meeting.</w:t>
            </w:r>
          </w:p>
        </w:tc>
      </w:tr>
      <w:tr>
        <w:trPr>
          <w:trHeight w:val="410"/>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LTI</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Long-term variable compensation comprised in a Compensation Package, including in the form of equity incentive</w:t>
            </w:r>
          </w:p>
        </w:tc>
      </w:tr>
      <w:tr>
        <w:trPr>
          <w:trHeight w:val="233"/>
        </w:trPr>
        <w:tc>
          <w:tcPr>
            <w:tcW w:w="2820" w:type="dxa"/>
            <w:vAlign w:val="bottom"/>
          </w:tcPr>
          <w:p>
            <w:pPr>
              <w:spacing w:after="0"/>
              <w:rPr>
                <w:sz w:val="20"/>
                <w:szCs w:val="20"/>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awards.</w:t>
            </w:r>
          </w:p>
        </w:tc>
      </w:tr>
      <w:tr>
        <w:trPr>
          <w:trHeight w:val="428"/>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Management Board</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management board.</w:t>
            </w:r>
          </w:p>
        </w:tc>
      </w:tr>
      <w:tr>
        <w:trPr>
          <w:trHeight w:val="428"/>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Managing Director</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member of the Management Board.</w:t>
            </w:r>
          </w:p>
        </w:tc>
      </w:tr>
      <w:tr>
        <w:trPr>
          <w:trHeight w:val="410"/>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income and/or other pension-related contributions or benefits comprised in a Compensation</w:t>
            </w:r>
          </w:p>
        </w:tc>
      </w:tr>
      <w:tr>
        <w:trPr>
          <w:trHeight w:val="233"/>
        </w:trPr>
        <w:tc>
          <w:tcPr>
            <w:tcW w:w="2820" w:type="dxa"/>
            <w:vAlign w:val="bottom"/>
          </w:tcPr>
          <w:p>
            <w:pPr>
              <w:spacing w:after="0"/>
              <w:rPr>
                <w:sz w:val="20"/>
                <w:szCs w:val="20"/>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Package.</w:t>
            </w:r>
          </w:p>
        </w:tc>
      </w:tr>
      <w:tr>
        <w:trPr>
          <w:trHeight w:val="803"/>
        </w:trPr>
        <w:tc>
          <w:tcPr>
            <w:tcW w:w="2820" w:type="dxa"/>
            <w:vAlign w:val="bottom"/>
          </w:tcPr>
          <w:p>
            <w:pPr>
              <w:spacing w:after="0"/>
              <w:rPr>
                <w:sz w:val="24"/>
                <w:szCs w:val="24"/>
                <w:color w:val="auto"/>
              </w:rPr>
            </w:pPr>
          </w:p>
        </w:tc>
        <w:tc>
          <w:tcPr>
            <w:tcW w:w="8420" w:type="dxa"/>
            <w:vAlign w:val="bottom"/>
          </w:tcPr>
          <w:p>
            <w:pPr>
              <w:spacing w:after="0"/>
              <w:rPr>
                <w:sz w:val="24"/>
                <w:szCs w:val="24"/>
                <w:color w:val="auto"/>
              </w:rPr>
            </w:pPr>
          </w:p>
        </w:tc>
      </w:tr>
      <w:tr>
        <w:trPr>
          <w:trHeight w:val="67"/>
        </w:trPr>
        <w:tc>
          <w:tcPr>
            <w:tcW w:w="2820" w:type="dxa"/>
            <w:vAlign w:val="bottom"/>
            <w:shd w:val="clear" w:color="auto" w:fill="000000"/>
          </w:tcPr>
          <w:p>
            <w:pPr>
              <w:spacing w:after="0"/>
              <w:rPr>
                <w:sz w:val="5"/>
                <w:szCs w:val="5"/>
                <w:color w:val="auto"/>
              </w:rPr>
            </w:pPr>
          </w:p>
        </w:tc>
        <w:tc>
          <w:tcPr>
            <w:tcW w:w="84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27" w:name="page28"/>
    <w:bookmarkEnd w:id="27"/>
    <w:p>
      <w:pPr>
        <w:ind w:left="700"/>
        <w:spacing w:after="0"/>
        <w:rPr>
          <w:sz w:val="20"/>
          <w:szCs w:val="20"/>
          <w:color w:val="auto"/>
        </w:rPr>
      </w:pPr>
      <w:r>
        <w:rPr>
          <w:rFonts w:ascii="Times New Roman" w:cs="Times New Roman" w:eastAsia="Times New Roman" w:hAnsi="Times New Roman"/>
          <w:sz w:val="17"/>
          <w:szCs w:val="17"/>
          <w:b w:val="1"/>
          <w:bCs w:val="1"/>
          <w:color w:val="auto"/>
        </w:rPr>
        <w:t>STI</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Times New Roman" w:cs="Times New Roman" w:eastAsia="Times New Roman" w:hAnsi="Times New Roman"/>
          <w:sz w:val="18"/>
          <w:szCs w:val="18"/>
          <w:color w:val="auto"/>
        </w:rPr>
        <w:t>Short-term variable compensation comprised in a Compensation Package, including in the form of cash bonuses and profit sharing arrangements.</w:t>
      </w:r>
    </w:p>
    <w:p>
      <w:pPr>
        <w:spacing w:after="0" w:line="159" w:lineRule="exact"/>
        <w:rPr>
          <w:sz w:val="20"/>
          <w:szCs w:val="20"/>
          <w:color w:val="auto"/>
        </w:rPr>
      </w:pPr>
    </w:p>
    <w:p>
      <w:pPr>
        <w:sectPr>
          <w:pgSz w:w="11900" w:h="16838" w:orient="portrait"/>
          <w:cols w:equalWidth="0" w:num="2">
            <w:col w:w="2220" w:space="720"/>
            <w:col w:w="8300"/>
          </w:cols>
          <w:pgMar w:left="320" w:top="813" w:right="339" w:bottom="1440" w:gutter="0" w:footer="0" w:header="0"/>
        </w:sectPr>
      </w:pPr>
    </w:p>
    <w:p>
      <w:pPr>
        <w:ind w:left="700"/>
        <w:spacing w:after="0"/>
        <w:rPr>
          <w:sz w:val="20"/>
          <w:szCs w:val="20"/>
          <w:color w:val="auto"/>
        </w:rPr>
      </w:pPr>
      <w:r>
        <w:rPr>
          <w:rFonts w:ascii="Times New Roman" w:cs="Times New Roman" w:eastAsia="Times New Roman" w:hAnsi="Times New Roman"/>
          <w:sz w:val="17"/>
          <w:szCs w:val="17"/>
          <w:b w:val="1"/>
          <w:bCs w:val="1"/>
          <w:color w:val="auto"/>
        </w:rPr>
        <w:t>Supervisory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supervisory board.</w:t>
      </w:r>
    </w:p>
    <w:p>
      <w:pPr>
        <w:spacing w:after="0" w:line="200" w:lineRule="exact"/>
        <w:rPr>
          <w:sz w:val="20"/>
          <w:szCs w:val="20"/>
          <w:color w:val="auto"/>
        </w:rPr>
      </w:pPr>
    </w:p>
    <w:p>
      <w:pPr>
        <w:sectPr>
          <w:pgSz w:w="11900" w:h="16838" w:orient="portrait"/>
          <w:cols w:equalWidth="0" w:num="2">
            <w:col w:w="2220" w:space="720"/>
            <w:col w:w="8300"/>
          </w:cols>
          <w:pgMar w:left="320" w:top="813" w:right="339" w:bottom="1440" w:gutter="0" w:footer="0" w:header="0"/>
          <w:type w:val="continuous"/>
        </w:sectPr>
      </w:pPr>
    </w:p>
    <w:p>
      <w:pPr>
        <w:spacing w:after="0" w:line="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Terms that are defined in the singular have a corresponding meaning in the plural.</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color w:val="auto"/>
        </w:rPr>
        <w:t>Words denoting a gender include each other gender.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color w:val="auto"/>
        </w:rPr>
        <w:t>The amount, level and structure of Compensation Packages should contribute to the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Company's positive effect on the environment, its strategy, long-term interests and sustainability by:</w:t>
      </w:r>
    </w:p>
    <w:p>
      <w:pPr>
        <w:spacing w:after="0" w:line="221" w:lineRule="exact"/>
        <w:rPr>
          <w:sz w:val="20"/>
          <w:szCs w:val="20"/>
          <w:color w:val="auto"/>
        </w:rPr>
      </w:pPr>
    </w:p>
    <w:p>
      <w:pPr>
        <w:ind w:left="1060" w:hanging="199"/>
        <w:spacing w:after="0" w:line="278"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retaining and motivating highly skilled individuals with the qualities, capabilities, profile and experience needed to support and promote the purpose and sustainable success of the Company and its business;</w:t>
      </w:r>
    </w:p>
    <w:p>
      <w:pPr>
        <w:spacing w:after="0" w:line="163" w:lineRule="exact"/>
        <w:rPr>
          <w:rFonts w:ascii="Times New Roman" w:cs="Times New Roman" w:eastAsia="Times New Roman" w:hAnsi="Times New Roman"/>
          <w:sz w:val="18"/>
          <w:szCs w:val="18"/>
          <w:color w:val="auto"/>
        </w:rPr>
      </w:pPr>
    </w:p>
    <w:p>
      <w:pPr>
        <w:ind w:left="1060" w:hanging="209"/>
        <w:spacing w:after="0" w:line="278"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strong business performance, promoting accountability and incentivising the achievement of short and long-term performance targets with the objective of furthering long-term value creation in a manner consistent with the Company's identity, mission and values;</w:t>
      </w:r>
    </w:p>
    <w:p>
      <w:pPr>
        <w:spacing w:after="0" w:line="163" w:lineRule="exact"/>
        <w:rPr>
          <w:rFonts w:ascii="Times New Roman" w:cs="Times New Roman" w:eastAsia="Times New Roman" w:hAnsi="Times New Roman"/>
          <w:sz w:val="18"/>
          <w:szCs w:val="18"/>
          <w:color w:val="auto"/>
        </w:rPr>
      </w:pPr>
    </w:p>
    <w:p>
      <w:pPr>
        <w:ind w:left="1060" w:hanging="199"/>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assuring that the interests of the Managing Directors are closely aligned to those of the Company, its business and its stakeholders;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71335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type w:val="continuous"/>
        </w:sectPr>
      </w:pPr>
    </w:p>
    <w:bookmarkStart w:id="28" w:name="page29"/>
    <w:bookmarkEnd w:id="28"/>
    <w:p>
      <w:pPr>
        <w:ind w:left="1060" w:hanging="209"/>
        <w:spacing w:after="0" w:line="278"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overall market competitiveness of the Compensation Packages, while providing the Supervisory Board sufficient flexibility to tailor the Company's compensation practices on a case-by-case basis, depending on the market conditions from time to time.</w:t>
      </w:r>
    </w:p>
    <w:p>
      <w:pPr>
        <w:spacing w:after="0" w:line="15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color w:val="auto"/>
        </w:rPr>
        <w:t>In determining the amount, level and structure of Compensation Packages, the Supervisory Board shall consider, among other matters:</w:t>
      </w:r>
    </w:p>
    <w:p>
      <w:pPr>
        <w:spacing w:after="0" w:line="225" w:lineRule="exact"/>
        <w:rPr>
          <w:sz w:val="20"/>
          <w:szCs w:val="20"/>
          <w:color w:val="auto"/>
        </w:rPr>
      </w:pPr>
    </w:p>
    <w:p>
      <w:pPr>
        <w:ind w:left="1060" w:hanging="199"/>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scenario analyses carried out in advance;</w:t>
      </w:r>
    </w:p>
    <w:p>
      <w:pPr>
        <w:spacing w:after="0" w:line="221" w:lineRule="exact"/>
        <w:rPr>
          <w:rFonts w:ascii="Times New Roman" w:cs="Times New Roman" w:eastAsia="Times New Roman" w:hAnsi="Times New Roman"/>
          <w:sz w:val="18"/>
          <w:szCs w:val="18"/>
          <w:color w:val="auto"/>
        </w:rPr>
      </w:pPr>
    </w:p>
    <w:p>
      <w:pPr>
        <w:ind w:left="1060" w:hanging="209"/>
        <w:spacing w:after="0" w:line="278"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financial and non-financial performance indicators relevant to the Company's long-term strategy with due observance of the risks for the Company's business which may result from variable compensation; and</w:t>
      </w:r>
    </w:p>
    <w:p>
      <w:pPr>
        <w:spacing w:after="0" w:line="163" w:lineRule="exact"/>
        <w:rPr>
          <w:rFonts w:ascii="Times New Roman" w:cs="Times New Roman" w:eastAsia="Times New Roman" w:hAnsi="Times New Roman"/>
          <w:sz w:val="18"/>
          <w:szCs w:val="18"/>
          <w:color w:val="auto"/>
        </w:rPr>
      </w:pPr>
    </w:p>
    <w:p>
      <w:pPr>
        <w:jc w:val="both"/>
        <w:ind w:left="1060" w:hanging="199"/>
        <w:spacing w:after="0" w:line="263"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market information such as industry standards and peer group data, preexisting arrangements with the Managing Directors, the respective positions which the Managing Directors serve within the Company's organisation and any compensation payable by the Company or any of its subsidiaries to the Managing Directors in any other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1" w:lineRule="exact"/>
        <w:rPr>
          <w:sz w:val="20"/>
          <w:szCs w:val="20"/>
          <w:color w:val="auto"/>
        </w:rPr>
      </w:pPr>
    </w:p>
    <w:p>
      <w:pPr>
        <w:jc w:val="both"/>
        <w:ind w:left="700" w:hanging="695"/>
        <w:spacing w:after="0" w:line="27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The amount, level and structure of Compensation Packages shall be determined by the Supervisory Board at the recommendation of the Compensation Committee in accordance with this policy.</w:t>
      </w:r>
    </w:p>
    <w:p>
      <w:pPr>
        <w:spacing w:after="0" w:line="163" w:lineRule="exact"/>
        <w:rPr>
          <w:sz w:val="20"/>
          <w:szCs w:val="20"/>
          <w:color w:val="auto"/>
        </w:rPr>
      </w:pPr>
    </w:p>
    <w:p>
      <w:pPr>
        <w:jc w:val="both"/>
        <w:ind w:left="700" w:hanging="695"/>
        <w:spacing w:after="0" w:line="263"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The Compensation Committee shall prepare its recommendations relating to the Compensation Packages in accordance with this policy and any such recommendation shall cover the compensation structure, the amount of the fixed and variable compensation components, the performance criteria used, the scenario analyses that have been carried out and the relevant internal pay ratio(s).</w:t>
      </w:r>
    </w:p>
    <w:p>
      <w:pPr>
        <w:spacing w:after="0" w:line="176" w:lineRule="exact"/>
        <w:rPr>
          <w:sz w:val="20"/>
          <w:szCs w:val="20"/>
          <w:color w:val="auto"/>
        </w:rPr>
      </w:pPr>
    </w:p>
    <w:p>
      <w:pPr>
        <w:jc w:val="both"/>
        <w:ind w:left="700" w:hanging="695"/>
        <w:spacing w:after="0" w:line="27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Before making a recommendation relating to the Compensation Package of any Managing Director, the Compensation Committee shall take note of the views of such Managing Director with regard to the amount, level and structure of that Compensation Package.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COMPENSATION PACKAGES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Compensation Packages may consist of a mix of fixed and variable compensation components as determined by the Supervisory Board, including:</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71335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9" w:name="page30"/>
    <w:bookmarkEnd w:id="29"/>
    <w:p>
      <w:pPr>
        <w:ind w:left="1060" w:hanging="209"/>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w:t>
      </w:r>
    </w:p>
    <w:p>
      <w:pPr>
        <w:spacing w:after="0" w:line="221" w:lineRule="exact"/>
        <w:rPr>
          <w:rFonts w:ascii="Times New Roman" w:cs="Times New Roman" w:eastAsia="Times New Roman" w:hAnsi="Times New Roman"/>
          <w:sz w:val="18"/>
          <w:szCs w:val="18"/>
          <w:color w:val="auto"/>
        </w:rPr>
      </w:pPr>
    </w:p>
    <w:p>
      <w:pPr>
        <w:ind w:left="1060" w:hanging="199"/>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w:t>
      </w:r>
    </w:p>
    <w:p>
      <w:pPr>
        <w:spacing w:after="0" w:line="221" w:lineRule="exact"/>
        <w:rPr>
          <w:rFonts w:ascii="Times New Roman" w:cs="Times New Roman" w:eastAsia="Times New Roman" w:hAnsi="Times New Roman"/>
          <w:sz w:val="18"/>
          <w:szCs w:val="18"/>
          <w:color w:val="auto"/>
        </w:rPr>
      </w:pPr>
    </w:p>
    <w:p>
      <w:pPr>
        <w:ind w:left="1060" w:hanging="209"/>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Fringe Benefits;</w:t>
      </w:r>
    </w:p>
    <w:p>
      <w:pPr>
        <w:spacing w:after="0" w:line="221" w:lineRule="exact"/>
        <w:rPr>
          <w:rFonts w:ascii="Times New Roman" w:cs="Times New Roman" w:eastAsia="Times New Roman" w:hAnsi="Times New Roman"/>
          <w:sz w:val="18"/>
          <w:szCs w:val="18"/>
          <w:color w:val="auto"/>
        </w:rPr>
      </w:pPr>
    </w:p>
    <w:p>
      <w:pPr>
        <w:ind w:left="1060" w:hanging="199"/>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Benefits;</w:t>
      </w:r>
    </w:p>
    <w:p>
      <w:pPr>
        <w:spacing w:after="0" w:line="221"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and</w:t>
      </w:r>
    </w:p>
    <w:p>
      <w:pPr>
        <w:spacing w:after="0" w:line="221" w:lineRule="exact"/>
        <w:rPr>
          <w:rFonts w:ascii="Times New Roman" w:cs="Times New Roman" w:eastAsia="Times New Roman" w:hAnsi="Times New Roman"/>
          <w:sz w:val="18"/>
          <w:szCs w:val="18"/>
          <w:color w:val="auto"/>
        </w:rPr>
      </w:pPr>
    </w:p>
    <w:p>
      <w:pPr>
        <w:ind w:left="1060" w:hanging="209"/>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w:t>
      </w:r>
    </w:p>
    <w:p>
      <w:pPr>
        <w:spacing w:after="0" w:line="217" w:lineRule="exact"/>
        <w:rPr>
          <w:sz w:val="20"/>
          <w:szCs w:val="20"/>
          <w:color w:val="auto"/>
        </w:rPr>
      </w:pPr>
    </w:p>
    <w:p>
      <w:pPr>
        <w:jc w:val="both"/>
        <w:ind w:left="700" w:hanging="695"/>
        <w:spacing w:after="0" w:line="27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Base salary shall be a fixed annual amount that may be subject to indexation by the Supervisory Board and may be increased or decreased by the Supervisory Board from time to time, subject to the terms of any existing contractual arrangements with the Managing Directors concerned.</w:t>
      </w:r>
    </w:p>
    <w:p>
      <w:pPr>
        <w:spacing w:after="0" w:line="163" w:lineRule="exact"/>
        <w:rPr>
          <w:sz w:val="20"/>
          <w:szCs w:val="20"/>
          <w:color w:val="auto"/>
        </w:rPr>
      </w:pPr>
    </w:p>
    <w:p>
      <w:pPr>
        <w:jc w:val="both"/>
        <w:ind w:left="700" w:hanging="695"/>
        <w:spacing w:after="0" w:line="255"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For each financial year until and including the financial year during which the initial publi c offering of ordinary shares in the Company's share capital occurs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the annual cash component of the Compensation Package (i.e., base salary and any other type of cash component) for each Managing Director may not exceed 600% of the median annualised a nnual salary, calculated on a full-time basis, of the employees of the Company or its subsidiaries (excluding the Managing Directors), excluding employees employed on a non -permanent basis. For each subsequent</w:t>
      </w:r>
    </w:p>
    <w:p>
      <w:pPr>
        <w:ind w:left="700"/>
        <w:spacing w:after="0"/>
        <w:rPr>
          <w:sz w:val="20"/>
          <w:szCs w:val="20"/>
          <w:color w:val="auto"/>
        </w:rPr>
      </w:pPr>
      <w:r>
        <w:rPr>
          <w:rFonts w:ascii="Times New Roman" w:cs="Times New Roman" w:eastAsia="Times New Roman" w:hAnsi="Times New Roman"/>
          <w:sz w:val="18"/>
          <w:szCs w:val="18"/>
          <w:color w:val="auto"/>
        </w:rPr>
        <w:t>financial year after the IPO, the cap as referred to i n the previous sentence of this Article 5.3 will be set at 2,000% (previously 500%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700" w:hanging="695"/>
        <w:spacing w:after="0" w:line="27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Company shall not grant any loans, guarantees or similar benefits as part of a Compensation Package, provided that cash advances and use of a Company sponsored credit card in the ordinary course of business shall not be prohibited.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AND LTI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The mix of STI and LTI comprised in a Compensation Package should support both longterm value creation and the achievement of short-term</w:t>
      </w:r>
    </w:p>
    <w:p>
      <w:pPr>
        <w:spacing w:after="0" w:line="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Company objectives, including by:</w:t>
      </w:r>
    </w:p>
    <w:p>
      <w:pPr>
        <w:spacing w:after="0" w:line="203" w:lineRule="exact"/>
        <w:rPr>
          <w:sz w:val="20"/>
          <w:szCs w:val="20"/>
          <w:color w:val="auto"/>
        </w:rPr>
      </w:pPr>
    </w:p>
    <w:p>
      <w:pPr>
        <w:ind w:left="1060" w:hanging="199"/>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to corporate social responsibility;</w:t>
      </w:r>
    </w:p>
    <w:p>
      <w:pPr>
        <w:spacing w:after="0" w:line="221" w:lineRule="exact"/>
        <w:rPr>
          <w:rFonts w:ascii="Times New Roman" w:cs="Times New Roman" w:eastAsia="Times New Roman" w:hAnsi="Times New Roman"/>
          <w:sz w:val="18"/>
          <w:szCs w:val="18"/>
          <w:color w:val="auto"/>
        </w:rPr>
      </w:pPr>
    </w:p>
    <w:p>
      <w:pPr>
        <w:ind w:left="1060" w:hanging="209"/>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rewarding the achievement of strategic milestones for the Company and its business;</w:t>
      </w:r>
    </w:p>
    <w:p>
      <w:pPr>
        <w:spacing w:after="0" w:line="221" w:lineRule="exact"/>
        <w:rPr>
          <w:rFonts w:ascii="Times New Roman" w:cs="Times New Roman" w:eastAsia="Times New Roman" w:hAnsi="Times New Roman"/>
          <w:sz w:val="18"/>
          <w:szCs w:val="18"/>
          <w:color w:val="auto"/>
        </w:rPr>
      </w:pPr>
    </w:p>
    <w:p>
      <w:pPr>
        <w:ind w:left="1060" w:hanging="199"/>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award opportunities in consideration for substantial contributions to the success of the Company and its business; and/or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6" w:lineRule="exact"/>
        <w:rPr>
          <w:sz w:val="20"/>
          <w:szCs w:val="20"/>
          <w:color w:val="auto"/>
        </w:rPr>
      </w:pPr>
    </w:p>
    <w:p>
      <w:pPr>
        <w:ind w:left="360" w:hanging="353"/>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this Article wil be amended to facilitate the higher remuneration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361315</wp:posOffset>
            </wp:positionV>
            <wp:extent cx="71335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30" w:name="page31"/>
    <w:bookmarkEnd w:id="30"/>
    <w:p>
      <w:pPr>
        <w:ind w:left="860"/>
        <w:spacing w:after="0"/>
        <w:rPr>
          <w:sz w:val="20"/>
          <w:szCs w:val="20"/>
          <w:color w:val="auto"/>
        </w:rPr>
      </w:pPr>
      <w:r>
        <w:rPr>
          <w:rFonts w:ascii="Times New Roman" w:cs="Times New Roman" w:eastAsia="Times New Roman" w:hAnsi="Times New Roman"/>
          <w:sz w:val="18"/>
          <w:szCs w:val="18"/>
          <w:color w:val="auto"/>
        </w:rPr>
        <w:t>d. promoting and incentivising continued service of the Managing Directors within the Company's organisation.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With respect to all STI and LTI awards, subject to the terms of any existing contractual arrangements with the Managing Directors concerned, the</w:t>
      </w:r>
    </w:p>
    <w:p>
      <w:pPr>
        <w:spacing w:after="0" w:line="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Supervisory Board shall:</w:t>
      </w:r>
    </w:p>
    <w:p>
      <w:pPr>
        <w:spacing w:after="0" w:line="203" w:lineRule="exact"/>
        <w:rPr>
          <w:sz w:val="20"/>
          <w:szCs w:val="20"/>
          <w:color w:val="auto"/>
        </w:rPr>
      </w:pPr>
    </w:p>
    <w:p>
      <w:pPr>
        <w:ind w:left="1060" w:hanging="199"/>
        <w:spacing w:after="0" w:line="278"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and, if appropriate, amend the applicable financial and/or non-financial metrics, targets, objectives and/or conditions, including corporate social responsibility metrics, and their respective weighting;</w:t>
      </w:r>
    </w:p>
    <w:p>
      <w:pPr>
        <w:spacing w:after="0" w:line="163" w:lineRule="exact"/>
        <w:rPr>
          <w:rFonts w:ascii="Times New Roman" w:cs="Times New Roman" w:eastAsia="Times New Roman" w:hAnsi="Times New Roman"/>
          <w:sz w:val="18"/>
          <w:szCs w:val="18"/>
          <w:color w:val="auto"/>
        </w:rPr>
      </w:pPr>
    </w:p>
    <w:p>
      <w:pPr>
        <w:ind w:left="1060" w:hanging="209"/>
        <w:spacing w:after="0" w:line="278"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and, if appropriate, amend the maximum amount for any cash incentive and the maximum number of securities underlying any equity incentive which may be awarded as part of an STI or LTI; and</w:t>
      </w:r>
    </w:p>
    <w:p>
      <w:pPr>
        <w:spacing w:after="0" w:line="163" w:lineRule="exact"/>
        <w:rPr>
          <w:rFonts w:ascii="Times New Roman" w:cs="Times New Roman" w:eastAsia="Times New Roman" w:hAnsi="Times New Roman"/>
          <w:sz w:val="18"/>
          <w:szCs w:val="18"/>
          <w:color w:val="auto"/>
        </w:rPr>
      </w:pPr>
    </w:p>
    <w:p>
      <w:pPr>
        <w:ind w:left="1060" w:hanging="199"/>
        <w:spacing w:after="0" w:line="278"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extent to which the applicable targets, objectives and/or conditions are achieved and the extent to which an incentive awards vest, using clear, predefined and objective and verifiable methods.</w:t>
      </w:r>
    </w:p>
    <w:p>
      <w:pPr>
        <w:spacing w:after="0" w:line="159" w:lineRule="exact"/>
        <w:rPr>
          <w:sz w:val="20"/>
          <w:szCs w:val="20"/>
          <w:color w:val="auto"/>
        </w:rPr>
      </w:pPr>
    </w:p>
    <w:p>
      <w:pPr>
        <w:jc w:val="both"/>
        <w:ind w:left="700" w:hanging="695"/>
        <w:spacing w:after="0" w:line="27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color w:val="auto"/>
        </w:rPr>
        <w:t>The Supervisory Board may adjust the amount or value of an STI or LTI awarded to a Managing Director to a suitable level, if payment or satisfaction of that award would be unacceptable under the standards of reasonableness and fairness.</w:t>
      </w:r>
    </w:p>
    <w:p>
      <w:pPr>
        <w:spacing w:after="0" w:line="163" w:lineRule="exact"/>
        <w:rPr>
          <w:sz w:val="20"/>
          <w:szCs w:val="20"/>
          <w:color w:val="auto"/>
        </w:rPr>
      </w:pPr>
    </w:p>
    <w:p>
      <w:pPr>
        <w:jc w:val="both"/>
        <w:ind w:left="700" w:hanging="695"/>
        <w:spacing w:after="0" w:line="25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The Company may reclaim payments made (in cash, in kind or in the form of securities) under an STI or LTI award, in whole or in part, to the extent that such payment was made on the basis of incorrect information regarding the achievement of the targets, objectives and/or conditions underlying the award or regarding the circumstances on which the award was dependent. The Supervisory Board, or a special representative designated by the General Meeting, may demand such repayment on the Company's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1" w:lineRule="exact"/>
        <w:rPr>
          <w:sz w:val="20"/>
          <w:szCs w:val="20"/>
          <w:color w:val="auto"/>
        </w:rPr>
      </w:pPr>
    </w:p>
    <w:p>
      <w:pPr>
        <w:jc w:val="both"/>
        <w:ind w:left="700" w:hanging="695"/>
        <w:spacing w:after="0" w:line="278"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The Managing Directors may be eligible for such severance payment upon termination of office as determined by the Supervisory Board from time to time, subject to Article 7.2.</w:t>
      </w:r>
    </w:p>
    <w:p>
      <w:pPr>
        <w:spacing w:after="0" w:line="163" w:lineRule="exact"/>
        <w:rPr>
          <w:sz w:val="20"/>
          <w:szCs w:val="20"/>
          <w:color w:val="auto"/>
        </w:rPr>
      </w:pPr>
    </w:p>
    <w:p>
      <w:pPr>
        <w:jc w:val="both"/>
        <w:ind w:left="700" w:hanging="695"/>
        <w:spacing w:after="0" w:line="263"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Unless approved by the Supervisory Board, a Managing Director's severance pay shall not exceed his annual gross base salary and shall not be paid if his service agreement is terminated early at the initiative of the Managing Director concerned, or in the event of seriously culpable or negligent behavior on the part of the Managing Director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335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a resolution to that effect, the General Meeting may amend or supplement this policy, subject to ongoing compliance with applicable law and stock exchange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This policy shall be governed by and shall be construed in accordance with the laws of the Netherlands. Any dispute arising in connection with this policy shall be submitted to the exclusive jurisdiction of the competent court in Amsterdam, the Netherlands.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1"/>
          <w:szCs w:val="21"/>
          <w:b w:val="1"/>
          <w:bCs w:val="1"/>
          <w:color w:val="auto"/>
        </w:rPr>
        <w:t>Exhibit 99.6</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77900" cy="288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790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i w:val="1"/>
          <w:iCs w:val="1"/>
          <w:color w:val="auto"/>
        </w:rPr>
        <w:t>In this translation an attempt has been made to be as literal as possible without jeopardizing the overall continuity. Inevitably, differences may occur in translation, and if so, by law the Dutch text will govern.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Deed of partial amendment of the articles of association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(deleting majority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 day of @ two thousand twenty-@, appeared before me, Jan-Mathijs Petrus Hermans, civil-law notary, practising in Amsterdam, the Netherlands: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deputy civil-law notary Dentons Europe LLP in Amsterdam, the Netherlands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said individual declared as follows: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1" w:lineRule="exact"/>
        <w:rPr>
          <w:sz w:val="20"/>
          <w:szCs w:val="20"/>
          <w:color w:val="auto"/>
        </w:rPr>
      </w:pPr>
    </w:p>
    <w:p>
      <w:pPr>
        <w:jc w:val="both"/>
        <w:ind w:left="760" w:hanging="753"/>
        <w:spacing w:after="0" w:line="255"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thirty-first day of January two thousand twenty-four, the general meeting of </w:t>
      </w: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xml:space="preserve">, a public company ('naamloze vennootschap'), with its statutory seat in Amsterdam, the Netherlands, (office address: 8093 5 Munich, Germany, 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resolved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 xml:space="preserve">) during an extraordinary general meeting of the Company held in Amsterdam, the Netherlands, on the thirty-first day of January two thousand twenty-four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xml:space="preserve">) to partially amend the articles of association of the Company (the </w:t>
      </w:r>
      <w:r>
        <w:rPr>
          <w:rFonts w:ascii="Times New Roman" w:cs="Times New Roman" w:eastAsia="Times New Roman" w:hAnsi="Times New Roman"/>
          <w:sz w:val="18"/>
          <w:szCs w:val="18"/>
          <w:b w:val="1"/>
          <w:bCs w:val="1"/>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outlined in this deed.</w:t>
      </w:r>
    </w:p>
    <w:p>
      <w:pPr>
        <w:spacing w:after="0" w:line="184"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Resolutions, it was furthermore resolved to authorize the person appearing to have this deed executed.</w:t>
      </w:r>
    </w:p>
    <w:p>
      <w:pPr>
        <w:spacing w:after="0" w:line="221" w:lineRule="exact"/>
        <w:rPr>
          <w:rFonts w:ascii="Times New Roman" w:cs="Times New Roman" w:eastAsia="Times New Roman" w:hAnsi="Times New Roman"/>
          <w:sz w:val="18"/>
          <w:szCs w:val="18"/>
          <w:color w:val="auto"/>
        </w:rPr>
      </w:pPr>
    </w:p>
    <w:p>
      <w:pPr>
        <w:ind w:left="760" w:hanging="753"/>
        <w:spacing w:after="0" w:line="27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of the Company were established at incorporation of the Company, by a deed executed on the twenty-third day of October two thousand twenty before P.C.S. van der Bijl, civil-law notary in Amsterdam, the Netherlands.</w:t>
      </w:r>
    </w:p>
    <w:p>
      <w:pPr>
        <w:spacing w:after="0" w:line="163" w:lineRule="exact"/>
        <w:rPr>
          <w:rFonts w:ascii="Times New Roman" w:cs="Times New Roman" w:eastAsia="Times New Roman" w:hAnsi="Times New Roman"/>
          <w:sz w:val="18"/>
          <w:szCs w:val="18"/>
          <w:color w:val="auto"/>
        </w:rPr>
      </w:pPr>
    </w:p>
    <w:p>
      <w:pPr>
        <w:ind w:left="760" w:hanging="753"/>
        <w:spacing w:after="0" w:line="27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of the Company have been last amended by a deed, executed on the @ day of @ two thousand and twenty-@, before [@(a substitute of) mr. J.-M.P Hermans], aforementioned civil-law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71335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39190" cy="3403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9190" cy="34036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ARTICLES OF ASSOCIATION</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To implement the Shareholders’ Resolutions the said individual, acting as aforesaid, declares that the Articles of Association are hereby partially amended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1.1 is hereby amended to delete the following definition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Majority Shareholders</w:t>
      </w:r>
      <w:r>
        <w:rPr>
          <w:sz w:val="20"/>
          <w:szCs w:val="20"/>
          <w:color w:val="auto"/>
        </w:rPr>
        <w:tab/>
      </w:r>
      <w:r>
        <w:rPr>
          <w:rFonts w:ascii="Times New Roman" w:cs="Times New Roman" w:eastAsia="Times New Roman" w:hAnsi="Times New Roman"/>
          <w:sz w:val="17"/>
          <w:szCs w:val="17"/>
          <w:color w:val="auto"/>
        </w:rPr>
        <w:t>Laurin Sinan Paul Hahn, born in Munich, Germany, on the eighteenth day of May nineteen hundred and</w:t>
      </w:r>
    </w:p>
    <w:p>
      <w:pPr>
        <w:spacing w:after="0" w:line="30" w:lineRule="exact"/>
        <w:rPr>
          <w:sz w:val="20"/>
          <w:szCs w:val="20"/>
          <w:color w:val="auto"/>
        </w:rPr>
      </w:pPr>
    </w:p>
    <w:p>
      <w:pPr>
        <w:ind w:left="3480" w:right="460"/>
        <w:spacing w:after="0" w:line="256" w:lineRule="auto"/>
        <w:rPr>
          <w:sz w:val="20"/>
          <w:szCs w:val="20"/>
          <w:color w:val="auto"/>
        </w:rPr>
      </w:pPr>
      <w:r>
        <w:rPr>
          <w:rFonts w:ascii="Times New Roman" w:cs="Times New Roman" w:eastAsia="Times New Roman" w:hAnsi="Times New Roman"/>
          <w:sz w:val="18"/>
          <w:szCs w:val="18"/>
          <w:color w:val="auto"/>
        </w:rPr>
        <w:t>ninety-four, and Jona Johannes Christians, born in Munich, Germany, on the first day of June nineteen hundred and ninety-three.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23.2 is hereby amended, so that it will read as follows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7"/>
          <w:szCs w:val="17"/>
          <w:color w:val="auto"/>
        </w:rPr>
        <w:t>The Supervisory Board shall determine the number of Supervisory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24.2 is hereby amended, so that it will read as follows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color w:val="auto"/>
        </w:rPr>
        <w:t>The General Meeting can only appoint a Supervisory Director upon a binding nomination by the Supervisory Board.</w:t>
      </w:r>
    </w:p>
    <w:p>
      <w:pPr>
        <w:spacing w:after="0" w:line="225" w:lineRule="exact"/>
        <w:rPr>
          <w:sz w:val="20"/>
          <w:szCs w:val="20"/>
          <w:color w:val="auto"/>
        </w:rPr>
      </w:pPr>
    </w:p>
    <w:p>
      <w:pPr>
        <w:ind w:left="640" w:right="20" w:hanging="632"/>
        <w:spacing w:after="0" w:line="263" w:lineRule="auto"/>
        <w:rPr>
          <w:sz w:val="20"/>
          <w:szCs w:val="20"/>
          <w:color w:val="auto"/>
        </w:rPr>
      </w:pPr>
      <w:r>
        <w:rPr>
          <w:rFonts w:ascii="Times New Roman" w:cs="Times New Roman" w:eastAsia="Times New Roman" w:hAnsi="Times New Roman"/>
          <w:sz w:val="18"/>
          <w:szCs w:val="18"/>
          <w:color w:val="auto"/>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Supervisory Board. A second meeting as referred to in Section 2:120(3) DCC cannot be convened.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annex is attached to this deed:</w:t>
      </w:r>
    </w:p>
    <w:p>
      <w:pPr>
        <w:spacing w:after="0" w:line="217" w:lineRule="exact"/>
        <w:rPr>
          <w:sz w:val="20"/>
          <w:szCs w:val="20"/>
          <w:color w:val="auto"/>
        </w:rPr>
      </w:pPr>
    </w:p>
    <w:p>
      <w:pPr>
        <w:ind w:left="760" w:hanging="75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evidencing the Shareholders’ Resolutions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said individual is known to me, civil-law notary.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deed was executed in Amsterdam, the Netherlands, on the date first above written. I, civil-law notary, stated and explained the substance of this deed and pointed out the consequences of its contents to the said individual. The said individual then declared that he had noted the contents of this deed and that he agreed therewith. Subsequently, this deed was executed and was, immediately after it had been read aloud in part, signed by the said individual and by me, civil-law notary.</w:t>
      </w:r>
    </w:p>
    <w:sectPr>
      <w:pgSz w:w="11900" w:h="16838" w:orient="portrait"/>
      <w:cols w:equalWidth="0" w:num="1">
        <w:col w:w="11240"/>
      </w:cols>
      <w:pgMar w:left="320" w:top="22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lvl w:ilvl="1">
      <w:lvlJc w:val="left"/>
      <w:lvlText w:val="%2."/>
      <w:numFmt w:val="lowerLetter"/>
      <w:start w:val="1"/>
    </w:lvl>
  </w:abstractNum>
  <w:abstractNum w:abstractNumId="1">
    <w:nsid w:val="2D1D5AE9"/>
    <w:multiLevelType w:val="hybridMultilevel"/>
    <w:lvl w:ilvl="0">
      <w:lvlJc w:val="left"/>
      <w:lvlText w:val="%1."/>
      <w:numFmt w:val="decimal"/>
      <w:start w:val="7"/>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decimal"/>
      <w:start w:val="4"/>
    </w:lvl>
    <w:lvl w:ilvl="1">
      <w:lvlJc w:val="left"/>
      <w:lvlText w:val="%2."/>
      <w:numFmt w:val="lowerLetter"/>
      <w:start w:val="1"/>
    </w:lvl>
  </w:abstractNum>
  <w:abstractNum w:abstractNumId="5">
    <w:nsid w:val="79838CB2"/>
    <w:multiLevelType w:val="hybridMultilevel"/>
    <w:lvl w:ilvl="0">
      <w:lvlJc w:val="left"/>
      <w:lvlText w:val="%1."/>
      <w:numFmt w:val="upperLetter"/>
      <w:start w:val="1"/>
    </w:lvl>
  </w:abstractNum>
  <w:abstractNum w:abstractNumId="6">
    <w:nsid w:val="4353D0CD"/>
    <w:multiLevelType w:val="hybridMultilevel"/>
    <w:lvl w:ilvl="0">
      <w:lvlJc w:val="left"/>
      <w:lvlText w:val="%1."/>
      <w:numFmt w:val="decimal"/>
      <w:start w:val="6"/>
    </w:lvl>
    <w:lvl w:ilvl="1">
      <w:lvlJc w:val="left"/>
      <w:lvlText w:val="%2."/>
      <w:numFmt w:val="lowerLetter"/>
      <w:start w:val="1"/>
    </w:lvl>
  </w:abstractNum>
  <w:abstractNum w:abstractNumId="7">
    <w:nsid w:val="B03E0C6"/>
    <w:multiLevelType w:val="hybridMultilevel"/>
    <w:lvl w:ilvl="0">
      <w:lvlJc w:val="left"/>
      <w:lvlText w:val="%1."/>
      <w:numFmt w:val="decimal"/>
      <w:start w:val="7"/>
    </w:lvl>
  </w:abstractNum>
  <w:abstractNum w:abstractNumId="8">
    <w:nsid w:val="189A769B"/>
    <w:multiLevelType w:val="hybridMultilevel"/>
    <w:lvl w:ilvl="0">
      <w:lvlJc w:val="left"/>
      <w:lvlText w:val="%1."/>
      <w:numFmt w:val="decimal"/>
      <w:start w:val="8"/>
    </w:lvl>
  </w:abstractNum>
  <w:abstractNum w:abstractNumId="9">
    <w:nsid w:val="54E49EB4"/>
    <w:multiLevelType w:val="hybridMultilevel"/>
    <w:lvl w:ilvl="0">
      <w:lvlJc w:val="left"/>
      <w:lvlText w:val="%1."/>
      <w:numFmt w:val="decimal"/>
      <w:start w:val="11"/>
    </w:lvl>
  </w:abstractNum>
  <w:abstractNum w:abstractNumId="10">
    <w:nsid w:val="71F32454"/>
    <w:multiLevelType w:val="hybridMultilevel"/>
    <w:lvl w:ilvl="0">
      <w:lvlJc w:val="left"/>
      <w:lvlText w:val="%1."/>
      <w:numFmt w:val="decimal"/>
      <w:start w:val="13"/>
    </w:lvl>
  </w:abstractNum>
  <w:abstractNum w:abstractNumId="11">
    <w:nsid w:val="2CA88611"/>
    <w:multiLevelType w:val="hybridMultilevel"/>
    <w:lvl w:ilvl="0">
      <w:lvlJc w:val="left"/>
      <w:lvlText w:val="%1."/>
      <w:numFmt w:val="decimal"/>
      <w:start w:val="1"/>
    </w:lvl>
    <w:lvl w:ilvl="1">
      <w:lvlJc w:val="left"/>
      <w:lvlText w:val="%2."/>
      <w:numFmt w:val="lowerLetter"/>
      <w:start w:val="1"/>
    </w:lvl>
  </w:abstractNum>
  <w:abstractNum w:abstractNumId="12">
    <w:nsid w:val="836C40E"/>
    <w:multiLevelType w:val="hybridMultilevel"/>
    <w:lvl w:ilvl="0">
      <w:lvlJc w:val="left"/>
      <w:lvlText w:val="%1."/>
      <w:numFmt w:val="decimal"/>
      <w:start w:val="3"/>
    </w:lvl>
  </w:abstractNum>
  <w:abstractNum w:abstractNumId="13">
    <w:nsid w:val="2901D82"/>
    <w:multiLevelType w:val="hybridMultilevel"/>
    <w:lvl w:ilvl="0">
      <w:lvlJc w:val="left"/>
      <w:lvlText w:val="%1."/>
      <w:numFmt w:val="decimal"/>
      <w:start w:val="4"/>
    </w:lvl>
    <w:lvl w:ilvl="1">
      <w:lvlJc w:val="left"/>
      <w:lvlText w:val="%2."/>
      <w:numFmt w:val="lowerLetter"/>
      <w:start w:val="1"/>
    </w:lvl>
  </w:abstractNum>
  <w:abstractNum w:abstractNumId="14">
    <w:nsid w:val="3A95F874"/>
    <w:multiLevelType w:val="hybridMultilevel"/>
    <w:lvl w:ilvl="0">
      <w:lvlJc w:val="left"/>
      <w:lvlText w:val="%1"/>
      <w:numFmt w:val="decimal"/>
      <w:start w:val="1"/>
    </w:lvl>
    <w:lvl w:ilvl="1">
      <w:lvlJc w:val="left"/>
      <w:lvlText w:val="%2."/>
      <w:numFmt w:val="lowerLetter"/>
      <w:start w:val="3"/>
    </w:lvl>
  </w:abstractNum>
  <w:abstractNum w:abstractNumId="15">
    <w:nsid w:val="8138641"/>
    <w:multiLevelType w:val="hybridMultilevel"/>
    <w:lvl w:ilvl="0">
      <w:lvlJc w:val="left"/>
      <w:lvlText w:val="%1."/>
      <w:numFmt w:val="decimal"/>
      <w:start w:val="7"/>
    </w:lvl>
    <w:lvl w:ilvl="1">
      <w:lvlJc w:val="left"/>
      <w:lvlText w:val="%2"/>
      <w:numFmt w:val="lowerLetter"/>
      <w:start w:val="1"/>
    </w:lvl>
  </w:abstractNum>
  <w:abstractNum w:abstractNumId="16">
    <w:nsid w:val="1E7FF521"/>
    <w:multiLevelType w:val="hybridMultilevel"/>
    <w:lvl w:ilvl="0">
      <w:lvlJc w:val="left"/>
      <w:lvlText w:val="%1."/>
      <w:numFmt w:val="decimal"/>
      <w:start w:val="5"/>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1)"/>
      <w:numFmt w:val="lowerRoman"/>
      <w:start w:val="2"/>
    </w:lvl>
  </w:abstractNum>
  <w:abstractNum w:abstractNumId="19">
    <w:nsid w:val="6CEAF087"/>
    <w:multiLevelType w:val="hybridMultilevel"/>
    <w:lvl w:ilvl="0">
      <w:lvlJc w:val="left"/>
      <w:lvlText w:val="%1."/>
      <w:numFmt w:val="upperLetter"/>
      <w:start w:val="1"/>
    </w:lvl>
  </w:abstractNum>
  <w:abstractNum w:abstractNumId="20">
    <w:nsid w:val="22221A70"/>
    <w:multiLevelType w:val="hybridMultilevel"/>
    <w:lvl w:ilvl="0">
      <w:lvlJc w:val="left"/>
      <w:lvlText w:val="%1"/>
      <w:numFmt w:val="upperLetter"/>
      <w:start w:val="1"/>
    </w:lvl>
    <w:lvl w:ilvl="1">
      <w:lvlJc w:val="left"/>
      <w:lvlText w:val="(%2)"/>
      <w:numFmt w:val="lowerRoman"/>
      <w:start w:val="1"/>
    </w:lvl>
  </w:abstractNum>
  <w:abstractNum w:abstractNumId="21">
    <w:nsid w:val="4516DDE9"/>
    <w:multiLevelType w:val="hybridMultilevel"/>
    <w:lvl w:ilvl="0">
      <w:lvlJc w:val="left"/>
      <w:lvlText w:val="%1."/>
      <w:numFmt w:val="upperLetter"/>
      <w:start w:val="3"/>
    </w:lvl>
    <w:lvl w:ilvl="1">
      <w:lvlJc w:val="left"/>
      <w:lvlText w:val="(%2)"/>
      <w:numFmt w:val="lowerRoman"/>
      <w:start w:val="1"/>
    </w:lvl>
  </w:abstractNum>
  <w:abstractNum w:abstractNumId="22">
    <w:nsid w:val="3006C83E"/>
    <w:multiLevelType w:val="hybridMultilevel"/>
    <w:lvl w:ilvl="0">
      <w:lvlJc w:val="left"/>
      <w:lvlText w:val="%1"/>
      <w:numFmt w:val="upperLetter"/>
      <w:start w:val="1"/>
    </w:lvl>
    <w:lvl w:ilvl="1">
      <w:lvlJc w:val="left"/>
      <w:lvlText w:val="(%2)"/>
      <w:numFmt w:val="lowerRoman"/>
      <w:start w:val="2"/>
    </w:lvl>
  </w:abstractNum>
  <w:abstractNum w:abstractNumId="23">
    <w:nsid w:val="614FD4A1"/>
    <w:multiLevelType w:val="hybridMultilevel"/>
    <w:lvl w:ilvl="0">
      <w:lvlJc w:val="left"/>
      <w:lvlText w:val="%1."/>
      <w:numFmt w:val="upperLetter"/>
      <w:start w:val="7"/>
    </w:lvl>
    <w:lvl w:ilvl="1">
      <w:lvlJc w:val="left"/>
      <w:lvlText w:val="%2"/>
      <w:numFmt w:val="lowerRoman"/>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upperLetter"/>
      <w:start w:val="1"/>
    </w:lvl>
    <w:lvl w:ilvl="1">
      <w:lvlJc w:val="left"/>
      <w:lvlText w:val="(%2)"/>
      <w:numFmt w:val="lowerRoman"/>
      <w:start w:val="1"/>
    </w:lvl>
  </w:abstractNum>
  <w:abstractNum w:abstractNumId="26">
    <w:nsid w:val="440BADFC"/>
    <w:multiLevelType w:val="hybridMultilevel"/>
    <w:lvl w:ilvl="0">
      <w:lvlJc w:val="left"/>
      <w:lvlText w:val="(%1)"/>
      <w:numFmt w:val="lowerRoman"/>
      <w:start w:val="3"/>
    </w:lvl>
  </w:abstractNum>
  <w:abstractNum w:abstractNumId="27">
    <w:nsid w:val="5072367"/>
    <w:multiLevelType w:val="hybridMultilevel"/>
    <w:lvl w:ilvl="0">
      <w:lvlJc w:val="left"/>
      <w:lvlText w:val="%1"/>
      <w:numFmt w:val="upperLetter"/>
      <w:start w:val="1"/>
    </w:lvl>
    <w:lvl w:ilvl="1">
      <w:lvlJc w:val="left"/>
      <w:lvlText w:val="%2."/>
      <w:numFmt w:val="lowerLetter"/>
      <w:start w:val="1"/>
    </w:lvl>
  </w:abstractNum>
  <w:abstractNum w:abstractNumId="28">
    <w:nsid w:val="3804823E"/>
    <w:multiLevelType w:val="hybridMultilevel"/>
    <w:lvl w:ilvl="0">
      <w:lvlJc w:val="left"/>
      <w:lvlText w:val="%1."/>
      <w:numFmt w:val="upperLetter"/>
      <w:start w:val="2"/>
    </w:lvl>
    <w:lvl w:ilvl="1">
      <w:lvlJc w:val="left"/>
      <w:lvlText w:val="%2"/>
      <w:numFmt w:val="lowerLetter"/>
      <w:start w:val="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upperLetter"/>
      <w:start w:val="1"/>
    </w:lvl>
  </w:abstractNum>
  <w:abstractNum w:abstractNumId="31">
    <w:nsid w:val="5C482A97"/>
    <w:multiLevelType w:val="hybridMultilevel"/>
    <w:lvl w:ilvl="0">
      <w:lvlJc w:val="left"/>
      <w:lvlText w:val="%1."/>
      <w:numFmt w:val="upperLetter"/>
      <w:start w:val="4"/>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upperLetter"/>
      <w:start w:val="1"/>
    </w:lvl>
    <w:lvl w:ilvl="1">
      <w:lvlJc w:val="left"/>
      <w:lvlText w:val="%2."/>
      <w:numFmt w:val="lowerRoman"/>
      <w:start w:val="1"/>
    </w:lvl>
  </w:abstractNum>
  <w:abstractNum w:abstractNumId="34">
    <w:nsid w:val="51EAD36B"/>
    <w:multiLevelType w:val="hybridMultilevel"/>
    <w:lvl w:ilvl="0">
      <w:lvlJc w:val="left"/>
      <w:lvlText w:val="%1."/>
      <w:numFmt w:val="upperLetter"/>
      <w:start w:val="2"/>
    </w:lvl>
    <w:lvl w:ilvl="1">
      <w:lvlJc w:val="left"/>
      <w:lvlText w:val="(%2)"/>
      <w:numFmt w:val="lowerRoman"/>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4"/>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bullet"/>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upperLetter"/>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2024-01-16T16:30:10Z</dcterms:created>
  <dcterms:modified xsi:type="dcterms:W3CDTF">2024-01-16T16:30:10Z</dcterms:modified>
</cp:coreProperties>
</file>