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color w:val="000000"/>
          <w:sz w:val="36"/>
        </w:rPr>
      </w:pPr>
      <w:bookmarkStart w:id="0" w:name="f8k_031626.htm"/>
      <w:bookmarkStart w:id="1" w:name="ksf8k_031626"/>
      <w:bookmarkEnd w:id="0"/>
      <w:bookmarkEnd w:id="1"/>
      <w:r>
        <w:rPr>
          <w:b/>
          <w:color w:val="000000"/>
          <w:sz w:val="36"/>
        </w:rPr>
        <w:t>UNITED STATES</w:t>
      </w:r>
    </w:p>
    <w:p>
      <w:pPr>
        <w:pStyle w:val="TextBody"/>
        <w:bidi w:val="0"/>
        <w:jc w:val="center"/>
        <w:rPr>
          <w:b/>
          <w:color w:val="000000"/>
          <w:sz w:val="36"/>
        </w:rPr>
      </w:pPr>
      <w:r>
        <w:rPr>
          <w:b/>
          <w:color w:val="000000"/>
          <w:sz w:val="36"/>
        </w:rPr>
        <w:t>SECURITIES AND EXCHANGE COMMISSION</w:t>
      </w:r>
    </w:p>
    <w:p>
      <w:pPr>
        <w:pStyle w:val="TextBody"/>
        <w:bidi w:val="0"/>
        <w:spacing w:before="0" w:after="120"/>
        <w:jc w:val="center"/>
        <w:rPr>
          <w:b/>
          <w:color w:val="000000"/>
          <w:sz w:val="20"/>
        </w:rPr>
      </w:pPr>
      <w:r>
        <w:rPr>
          <w:b/>
          <w:color w:val="000000"/>
          <w:sz w:val="20"/>
        </w:rPr>
        <w:t>Washington, D.C. 20549</w:t>
      </w:r>
    </w:p>
    <w:p>
      <w:pPr>
        <w:pStyle w:val="TextBody"/>
        <w:bidi w:val="0"/>
        <w:spacing w:before="0" w:after="160"/>
        <w:jc w:val="center"/>
        <w:rPr>
          <w:b/>
          <w:color w:val="000000"/>
          <w:sz w:val="20"/>
        </w:rPr>
      </w:pPr>
      <w:r>
        <w:rPr>
          <w:b/>
          <w:color w:val="000000"/>
          <w:sz w:val="20"/>
        </w:rPr>
        <w:t>__________________________</w:t>
      </w:r>
    </w:p>
    <w:p>
      <w:pPr>
        <w:pStyle w:val="TextBody"/>
        <w:bidi w:val="0"/>
        <w:spacing w:before="120" w:after="120"/>
        <w:ind w:left="120" w:right="120" w:hanging="0"/>
        <w:jc w:val="center"/>
        <w:rPr>
          <w:b/>
          <w:color w:val="000000"/>
          <w:sz w:val="36"/>
        </w:rPr>
      </w:pPr>
      <w:r>
        <w:rPr>
          <w:b/>
          <w:color w:val="000000"/>
          <w:sz w:val="36"/>
        </w:rPr>
        <w:t xml:space="preserve">FORM </w:t>
      </w:r>
      <w:bookmarkStart w:id="2" w:name="xdx_907_edei--DocumentType_c20260310__20"/>
      <w:bookmarkEnd w:id="2"/>
      <w:r>
        <w:rPr>
          <w:b/>
          <w:color w:val="000000"/>
          <w:sz w:val="36"/>
        </w:rPr>
        <w:t>8-K</w:t>
      </w:r>
    </w:p>
    <w:p>
      <w:pPr>
        <w:pStyle w:val="TextBody"/>
        <w:bidi w:val="0"/>
        <w:spacing w:before="0" w:after="160"/>
        <w:jc w:val="center"/>
        <w:rPr>
          <w:b/>
          <w:color w:val="000000"/>
          <w:sz w:val="20"/>
        </w:rPr>
      </w:pPr>
      <w:r>
        <w:rPr>
          <w:b/>
          <w:color w:val="000000"/>
          <w:sz w:val="20"/>
        </w:rPr>
        <w:t>__________________________</w:t>
      </w:r>
    </w:p>
    <w:p>
      <w:pPr>
        <w:pStyle w:val="TextBody"/>
        <w:bidi w:val="0"/>
        <w:spacing w:before="240" w:after="240"/>
        <w:ind w:left="240" w:right="240" w:hanging="0"/>
        <w:jc w:val="center"/>
        <w:rPr>
          <w:b/>
          <w:color w:val="000000"/>
          <w:sz w:val="20"/>
        </w:rPr>
      </w:pPr>
      <w:r>
        <w:rPr>
          <w:b/>
          <w:color w:val="000000"/>
          <w:sz w:val="20"/>
        </w:rPr>
        <w:t>CURRENT REPORT</w:t>
      </w:r>
    </w:p>
    <w:p>
      <w:pPr>
        <w:pStyle w:val="TextBody"/>
        <w:bidi w:val="0"/>
        <w:jc w:val="center"/>
        <w:rPr>
          <w:b/>
          <w:color w:val="000000"/>
          <w:sz w:val="20"/>
        </w:rPr>
      </w:pPr>
      <w:r>
        <w:rPr>
          <w:b/>
          <w:color w:val="000000"/>
          <w:sz w:val="20"/>
        </w:rPr>
        <w:t xml:space="preserve">PURSUANT TO SECTION 13 OR 15(D) </w:t>
      </w:r>
    </w:p>
    <w:p>
      <w:pPr>
        <w:pStyle w:val="TextBody"/>
        <w:bidi w:val="0"/>
        <w:spacing w:before="0" w:after="240"/>
        <w:jc w:val="center"/>
        <w:rPr>
          <w:b/>
          <w:color w:val="000000"/>
          <w:sz w:val="20"/>
        </w:rPr>
      </w:pPr>
      <w:r>
        <w:rPr>
          <w:b/>
          <w:color w:val="000000"/>
          <w:sz w:val="20"/>
        </w:rPr>
        <w:t>OF THE SECURITIES EXCHANGE ACT OF 1934</w:t>
      </w:r>
    </w:p>
    <w:p>
      <w:pPr>
        <w:pStyle w:val="TextBody"/>
        <w:bidi w:val="0"/>
        <w:spacing w:before="200" w:after="200"/>
        <w:ind w:left="200" w:right="200" w:hanging="0"/>
        <w:jc w:val="center"/>
        <w:rPr>
          <w:b/>
          <w:color w:val="000000"/>
          <w:sz w:val="20"/>
        </w:rPr>
      </w:pPr>
      <w:r>
        <w:rPr>
          <w:b/>
          <w:color w:val="000000"/>
          <w:sz w:val="20"/>
        </w:rPr>
        <w:t xml:space="preserve">Date of Report (Date of earliest event reported): </w:t>
      </w:r>
      <w:bookmarkStart w:id="3" w:name="xdx_901_edei--DocumentPeriodEndDate_c202"/>
      <w:bookmarkEnd w:id="3"/>
      <w:r>
        <w:rPr>
          <w:b/>
          <w:color w:val="000000"/>
          <w:sz w:val="20"/>
        </w:rPr>
        <w:t>March 10, 2026</w:t>
      </w:r>
    </w:p>
    <w:p>
      <w:pPr>
        <w:pStyle w:val="TextBody"/>
        <w:bidi w:val="0"/>
        <w:jc w:val="center"/>
        <w:rPr>
          <w:color w:val="000000"/>
        </w:rPr>
      </w:pPr>
      <w:r>
        <w:rPr>
          <w:color w:val="000000"/>
        </w:rPr>
        <w:t> </w:t>
      </w:r>
    </w:p>
    <w:p>
      <w:pPr>
        <w:pStyle w:val="TextBody"/>
        <w:bidi w:val="0"/>
        <w:spacing w:before="0" w:after="120"/>
        <w:jc w:val="center"/>
        <w:rPr>
          <w:b/>
          <w:color w:val="000000"/>
          <w:sz w:val="20"/>
        </w:rPr>
      </w:pPr>
      <w:r>
        <w:rPr>
          <w:b/>
          <w:color w:val="000000"/>
          <w:sz w:val="20"/>
        </w:rPr>
        <w:t>__________________________</w:t>
      </w:r>
    </w:p>
    <w:p>
      <w:pPr>
        <w:pStyle w:val="TextBody"/>
        <w:bidi w:val="0"/>
        <w:spacing w:before="240" w:after="160"/>
        <w:ind w:left="240" w:right="240" w:hanging="0"/>
        <w:jc w:val="center"/>
        <w:rPr>
          <w:color w:val="333333"/>
          <w:sz w:val="20"/>
        </w:rPr>
      </w:pPr>
      <w:bookmarkStart w:id="4" w:name="xdx_90D_edei--EntityRegistrantName_c2026"/>
      <w:bookmarkEnd w:id="4"/>
      <w:r>
        <w:rPr>
          <w:b/>
          <w:color w:val="000000"/>
          <w:sz w:val="48"/>
        </w:rPr>
        <w:t>Sono Group N.V.</w:t>
        <w:br/>
      </w:r>
      <w:r>
        <w:rPr>
          <w:b/>
          <w:color w:val="000000"/>
          <w:sz w:val="20"/>
        </w:rPr>
        <w:t>(Exact name of registrant as specified in its charter)</w:t>
      </w:r>
    </w:p>
    <w:p>
      <w:pPr>
        <w:pStyle w:val="TextBody"/>
        <w:bidi w:val="0"/>
        <w:spacing w:before="0" w:after="120"/>
        <w:jc w:val="center"/>
        <w:rPr>
          <w:b/>
          <w:color w:val="000000"/>
          <w:sz w:val="20"/>
        </w:rPr>
      </w:pPr>
      <w:r>
        <w:rPr>
          <w:b/>
          <w:color w:val="000000"/>
          <w:sz w:val="20"/>
        </w:rPr>
        <w:t>__________________________</w:t>
      </w:r>
    </w:p>
    <w:p>
      <w:pPr>
        <w:pStyle w:val="TextBody"/>
        <w:bidi w:val="0"/>
        <w:jc w:val="center"/>
        <w:rPr>
          <w:color w:val="000000"/>
        </w:rPr>
      </w:pPr>
      <w:r>
        <w:rPr>
          <w:color w:val="000000"/>
        </w:rPr>
        <w:t> </w:t>
      </w:r>
    </w:p>
    <w:tbl>
      <w:tblPr>
        <w:tblW w:w="10080" w:type="dxa"/>
        <w:jc w:val="left"/>
        <w:tblInd w:w="0" w:type="dxa"/>
        <w:tblLayout w:type="fixed"/>
        <w:tblCellMar>
          <w:top w:w="0" w:type="dxa"/>
          <w:left w:w="0" w:type="dxa"/>
          <w:bottom w:w="0" w:type="dxa"/>
          <w:right w:w="0" w:type="dxa"/>
        </w:tblCellMar>
      </w:tblPr>
      <w:tblGrid>
        <w:gridCol w:w="4190"/>
        <w:gridCol w:w="2615"/>
        <w:gridCol w:w="3275"/>
      </w:tblGrid>
      <w:tr>
        <w:trPr/>
        <w:tc>
          <w:tcPr>
            <w:tcW w:w="4190" w:type="dxa"/>
            <w:tcBorders/>
            <w:vAlign w:val="center"/>
          </w:tcPr>
          <w:p>
            <w:pPr>
              <w:pStyle w:val="TableContents"/>
              <w:bidi w:val="0"/>
              <w:spacing w:before="0" w:after="283"/>
              <w:jc w:val="center"/>
              <w:rPr>
                <w:b/>
              </w:rPr>
            </w:pPr>
            <w:bookmarkStart w:id="5" w:name="xdx_909_edei--EntityIncorporationStateCo"/>
            <w:bookmarkEnd w:id="5"/>
            <w:r>
              <w:rPr>
                <w:b/>
              </w:rPr>
              <w:t>The Netherlands</w:t>
            </w:r>
          </w:p>
        </w:tc>
        <w:tc>
          <w:tcPr>
            <w:tcW w:w="2615" w:type="dxa"/>
            <w:tcBorders/>
            <w:vAlign w:val="center"/>
          </w:tcPr>
          <w:p>
            <w:pPr>
              <w:pStyle w:val="TableContents"/>
              <w:bidi w:val="0"/>
              <w:spacing w:before="0" w:after="283"/>
              <w:jc w:val="center"/>
              <w:rPr>
                <w:b/>
              </w:rPr>
            </w:pPr>
            <w:bookmarkStart w:id="6" w:name="xdx_90B_edei--EntityFileNumber_c20260310"/>
            <w:bookmarkEnd w:id="6"/>
            <w:r>
              <w:rPr>
                <w:b/>
              </w:rPr>
              <w:t>001-41066</w:t>
            </w:r>
          </w:p>
        </w:tc>
        <w:tc>
          <w:tcPr>
            <w:tcW w:w="3275" w:type="dxa"/>
            <w:tcBorders/>
            <w:vAlign w:val="center"/>
          </w:tcPr>
          <w:p>
            <w:pPr>
              <w:pStyle w:val="TableContents"/>
              <w:bidi w:val="0"/>
              <w:spacing w:before="0" w:after="283"/>
              <w:jc w:val="center"/>
              <w:rPr>
                <w:b/>
              </w:rPr>
            </w:pPr>
            <w:bookmarkStart w:id="7" w:name="xdx_901_edei--EntityTaxIdentificationNum"/>
            <w:bookmarkEnd w:id="7"/>
            <w:r>
              <w:rPr>
                <w:b/>
              </w:rPr>
              <w:t>98-1828632</w:t>
            </w:r>
          </w:p>
        </w:tc>
      </w:tr>
      <w:tr>
        <w:trPr/>
        <w:tc>
          <w:tcPr>
            <w:tcW w:w="4190" w:type="dxa"/>
            <w:tcBorders/>
            <w:vAlign w:val="center"/>
          </w:tcPr>
          <w:p>
            <w:pPr>
              <w:pStyle w:val="TableContents"/>
              <w:bidi w:val="0"/>
              <w:spacing w:before="0" w:after="283"/>
              <w:jc w:val="center"/>
              <w:rPr/>
            </w:pPr>
            <w:r>
              <w:rPr>
                <w:color w:val="000000"/>
              </w:rPr>
              <w:t>(State or other jurisdiction of incorporation)</w:t>
            </w:r>
            <w:r>
              <w:rPr/>
              <w:t> </w:t>
            </w:r>
          </w:p>
        </w:tc>
        <w:tc>
          <w:tcPr>
            <w:tcW w:w="2615" w:type="dxa"/>
            <w:tcBorders/>
            <w:vAlign w:val="center"/>
          </w:tcPr>
          <w:p>
            <w:pPr>
              <w:pStyle w:val="TableContents"/>
              <w:bidi w:val="0"/>
              <w:spacing w:before="0" w:after="283"/>
              <w:jc w:val="center"/>
              <w:rPr/>
            </w:pPr>
            <w:r>
              <w:rPr/>
              <w:t>(Commission File Number)</w:t>
            </w:r>
          </w:p>
        </w:tc>
        <w:tc>
          <w:tcPr>
            <w:tcW w:w="3275" w:type="dxa"/>
            <w:tcBorders/>
            <w:vAlign w:val="center"/>
          </w:tcPr>
          <w:p>
            <w:pPr>
              <w:pStyle w:val="TableContents"/>
              <w:bidi w:val="0"/>
              <w:spacing w:before="0" w:after="283"/>
              <w:jc w:val="center"/>
              <w:rPr/>
            </w:pPr>
            <w:r>
              <w:rPr/>
              <w:t>(IRS Employer Identification No.)</w:t>
            </w:r>
          </w:p>
        </w:tc>
      </w:tr>
    </w:tbl>
    <w:p>
      <w:pPr>
        <w:pStyle w:val="TextBody"/>
        <w:bidi w:val="0"/>
        <w:jc w:val="center"/>
        <w:rPr>
          <w:color w:val="000000"/>
        </w:rPr>
      </w:pPr>
      <w:r>
        <w:rPr>
          <w:color w:val="000000"/>
        </w:rPr>
        <w:t> </w:t>
      </w:r>
    </w:p>
    <w:tbl>
      <w:tblPr>
        <w:tblW w:w="5380" w:type="dxa"/>
        <w:jc w:val="left"/>
        <w:tblInd w:w="0" w:type="dxa"/>
        <w:tblLayout w:type="fixed"/>
        <w:tblCellMar>
          <w:top w:w="0" w:type="dxa"/>
          <w:left w:w="0" w:type="dxa"/>
          <w:bottom w:w="0" w:type="dxa"/>
          <w:right w:w="0" w:type="dxa"/>
        </w:tblCellMar>
      </w:tblPr>
      <w:tblGrid>
        <w:gridCol w:w="4295"/>
        <w:gridCol w:w="1085"/>
      </w:tblGrid>
      <w:tr>
        <w:trPr/>
        <w:tc>
          <w:tcPr>
            <w:tcW w:w="4295" w:type="dxa"/>
            <w:tcBorders/>
            <w:vAlign w:val="center"/>
          </w:tcPr>
          <w:p>
            <w:pPr>
              <w:pStyle w:val="TableContents"/>
              <w:bidi w:val="0"/>
              <w:spacing w:before="0" w:after="283"/>
              <w:jc w:val="center"/>
              <w:rPr>
                <w:b/>
                <w:color w:val="000000"/>
              </w:rPr>
            </w:pPr>
            <w:bookmarkStart w:id="8" w:name="xdx_90B_edei--EntityAddressAddressLine1_"/>
            <w:bookmarkEnd w:id="8"/>
            <w:r>
              <w:rPr>
                <w:b/>
                <w:color w:val="000000"/>
              </w:rPr>
              <w:t xml:space="preserve">Waldmeisterstrasse 93, </w:t>
            </w:r>
            <w:bookmarkStart w:id="9" w:name="xdx_902_edei--EntityAddressCityOrTown_c2"/>
            <w:bookmarkEnd w:id="9"/>
            <w:r>
              <w:rPr>
                <w:b/>
                <w:color w:val="000000"/>
              </w:rPr>
              <w:t xml:space="preserve">Munich, </w:t>
            </w:r>
            <w:bookmarkStart w:id="10" w:name="xdx_900_edei--EntityAddressCountry_c2026"/>
            <w:bookmarkEnd w:id="10"/>
            <w:r>
              <w:rPr>
                <w:b/>
                <w:color w:val="000000"/>
              </w:rPr>
              <w:t>Germany</w:t>
            </w:r>
          </w:p>
        </w:tc>
        <w:tc>
          <w:tcPr>
            <w:tcW w:w="1085" w:type="dxa"/>
            <w:tcBorders/>
            <w:vAlign w:val="center"/>
          </w:tcPr>
          <w:p>
            <w:pPr>
              <w:pStyle w:val="TableContents"/>
              <w:bidi w:val="0"/>
              <w:spacing w:before="0" w:after="283"/>
              <w:jc w:val="center"/>
              <w:rPr>
                <w:b/>
              </w:rPr>
            </w:pPr>
            <w:bookmarkStart w:id="11" w:name="xdx_909_edei--EntityAddressPostalZipCode"/>
            <w:bookmarkEnd w:id="11"/>
            <w:r>
              <w:rPr>
                <w:b/>
              </w:rPr>
              <w:t>80935</w:t>
            </w:r>
          </w:p>
        </w:tc>
      </w:tr>
      <w:tr>
        <w:trPr/>
        <w:tc>
          <w:tcPr>
            <w:tcW w:w="429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tbl>
      <w:tblPr>
        <w:tblW w:w="99" w:type="dxa"/>
        <w:jc w:val="left"/>
        <w:tblInd w:w="-10" w:type="dxa"/>
        <w:tblLayout w:type="fixed"/>
        <w:tblCellMar>
          <w:top w:w="100" w:type="dxa"/>
          <w:left w:w="100" w:type="dxa"/>
          <w:bottom w:w="100" w:type="dxa"/>
          <w:right w:w="100" w:type="dxa"/>
        </w:tblCellMar>
      </w:tblPr>
      <w:tblGrid>
        <w:gridCol w:w="38"/>
        <w:gridCol w:w="23"/>
        <w:gridCol w:w="38"/>
      </w:tblGrid>
      <w:tr>
        <w:trPr/>
        <w:tc>
          <w:tcPr>
            <w:tcW w:w="38"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sz w:val="4"/>
                <w:szCs w:val="4"/>
              </w:rPr>
            </w:pPr>
            <w:r>
              <w:rPr>
                <w:sz w:val="4"/>
                <w:szCs w:val="4"/>
              </w:rPr>
            </w:r>
          </w:p>
        </w:tc>
        <w:tc>
          <w:tcPr>
            <w:tcW w:w="38"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sz w:val="4"/>
                <w:szCs w:val="4"/>
              </w:rPr>
            </w:pPr>
            <w:r>
              <w:rPr>
                <w:sz w:val="4"/>
                <w:szCs w:val="4"/>
              </w:rPr>
            </w:r>
          </w:p>
        </w:tc>
      </w:tr>
    </w:tbl>
    <w:tbl>
      <w:tblPr>
        <w:tblW w:w="76" w:type="dxa"/>
        <w:jc w:val="left"/>
        <w:tblInd w:w="-10" w:type="dxa"/>
        <w:tblLayout w:type="fixed"/>
        <w:tblCellMar>
          <w:top w:w="100" w:type="dxa"/>
          <w:left w:w="100" w:type="dxa"/>
          <w:bottom w:w="100" w:type="dxa"/>
          <w:right w:w="100" w:type="dxa"/>
        </w:tblCellMar>
      </w:tblPr>
      <w:tblGrid>
        <w:gridCol w:w="38"/>
        <w:gridCol w:w="38"/>
      </w:tblGrid>
      <w:tr>
        <w:trPr/>
        <w:tc>
          <w:tcPr>
            <w:tcW w:w="38"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ind w:left="540" w:right="0" w:hanging="0"/>
              <w:jc w:val="left"/>
              <w:rPr>
                <w:sz w:val="4"/>
                <w:szCs w:val="4"/>
              </w:rPr>
            </w:pPr>
            <w:r>
              <w:rPr>
                <w:sz w:val="4"/>
                <w:szCs w:val="4"/>
              </w:rPr>
            </w:r>
          </w:p>
        </w:tc>
        <w:tc>
          <w:tcPr>
            <w:tcW w:w="38"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ind w:left="90" w:right="0" w:hanging="0"/>
              <w:jc w:val="left"/>
              <w:rPr>
                <w:sz w:val="4"/>
                <w:szCs w:val="4"/>
              </w:rPr>
            </w:pPr>
            <w:r>
              <w:rPr>
                <w:sz w:val="4"/>
                <w:szCs w:val="4"/>
              </w:rPr>
            </w:r>
          </w:p>
        </w:tc>
      </w:tr>
    </w:tbl>
    <w:p>
      <w:pPr>
        <w:pStyle w:val="TextBody"/>
        <w:bidi w:val="0"/>
        <w:spacing w:before="120" w:after="120"/>
        <w:ind w:left="120" w:right="120" w:hanging="0"/>
        <w:jc w:val="center"/>
        <w:rPr>
          <w:b/>
          <w:color w:val="000000"/>
          <w:sz w:val="20"/>
        </w:rPr>
      </w:pPr>
      <w:bookmarkStart w:id="12" w:name="xdx_906_edei--CountryRegion_c20260310__2"/>
      <w:bookmarkEnd w:id="12"/>
      <w:r>
        <w:rPr>
          <w:b/>
          <w:color w:val="000000"/>
          <w:sz w:val="20"/>
        </w:rPr>
        <w:t xml:space="preserve">+49 </w:t>
      </w:r>
      <w:bookmarkStart w:id="13" w:name="xdx_909_edei--CityAreaCode_c20260310__20"/>
      <w:bookmarkEnd w:id="13"/>
      <w:r>
        <w:rPr>
          <w:b/>
          <w:color w:val="000000"/>
          <w:sz w:val="20"/>
        </w:rPr>
        <w:t xml:space="preserve">(0)89 </w:t>
      </w:r>
      <w:bookmarkStart w:id="14" w:name="xdx_902_edei--LocalPhoneNumber_c20260310"/>
      <w:bookmarkEnd w:id="14"/>
      <w:r>
        <w:rPr>
          <w:b/>
          <w:color w:val="000000"/>
          <w:sz w:val="20"/>
        </w:rPr>
        <w:t>4520 5818</w:t>
      </w:r>
    </w:p>
    <w:p>
      <w:pPr>
        <w:pStyle w:val="TextBody"/>
        <w:bidi w:val="0"/>
        <w:jc w:val="center"/>
        <w:rPr>
          <w:color w:val="000000"/>
          <w:sz w:val="20"/>
        </w:rPr>
      </w:pPr>
      <w:r>
        <w:rPr>
          <w:color w:val="000000"/>
          <w:sz w:val="20"/>
        </w:rPr>
        <w:t>(Registrant's telephone number, including area code)</w:t>
      </w:r>
    </w:p>
    <w:p>
      <w:pPr>
        <w:pStyle w:val="TextBody"/>
        <w:shd w:fill="FFFFFF" w:val="clear"/>
        <w:bidi w:val="0"/>
        <w:spacing w:before="0" w:after="160"/>
        <w:jc w:val="center"/>
        <w:rPr>
          <w:b/>
          <w:color w:val="000000"/>
          <w:sz w:val="20"/>
        </w:rPr>
      </w:pPr>
      <w:r>
        <w:rPr>
          <w:b/>
          <w:color w:val="000000"/>
          <w:sz w:val="20"/>
        </w:rPr>
        <w:t>__________________________</w:t>
      </w:r>
    </w:p>
    <w:p>
      <w:pPr>
        <w:pStyle w:val="TextBody"/>
        <w:bidi w:val="0"/>
        <w:spacing w:before="0" w:after="160"/>
        <w:jc w:val="left"/>
        <w:rPr>
          <w:color w:val="000000"/>
          <w:sz w:val="20"/>
        </w:rPr>
      </w:pPr>
      <w:r>
        <w:rPr>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jc w:val="left"/>
        <w:rPr>
          <w:color w:val="000000"/>
        </w:rPr>
      </w:pPr>
      <w:bookmarkStart w:id="15" w:name="xdx_904_edei--WrittenCommunications_c202"/>
      <w:bookmarkEnd w:id="15"/>
      <w:r>
        <w:rPr>
          <w:color w:val="000000"/>
        </w:rPr>
        <w:t xml:space="preserve">☐ </w:t>
      </w:r>
      <w:r>
        <w:rPr>
          <w:color w:val="000000"/>
          <w:sz w:val="20"/>
        </w:rPr>
        <w:t>Written communications pursuant to Rule 425 under the Securities Act (17 CFR 230.425)</w:t>
      </w:r>
    </w:p>
    <w:p>
      <w:pPr>
        <w:pStyle w:val="TextBody"/>
        <w:bidi w:val="0"/>
        <w:spacing w:before="0" w:after="120"/>
        <w:jc w:val="left"/>
        <w:rPr>
          <w:color w:val="000000"/>
        </w:rPr>
      </w:pPr>
      <w:bookmarkStart w:id="16" w:name="xdx_90C_edei--SolicitingMaterial_c202603"/>
      <w:bookmarkEnd w:id="16"/>
      <w:r>
        <w:rPr>
          <w:color w:val="000000"/>
        </w:rPr>
        <w:t xml:space="preserve">☒ </w:t>
      </w:r>
      <w:r>
        <w:rPr>
          <w:color w:val="000000"/>
          <w:sz w:val="20"/>
        </w:rPr>
        <w:t>Soliciting material pursuant to Rule 14a-12 under the Exchange Act (17 CFR 240.14a-12)</w:t>
      </w:r>
    </w:p>
    <w:p>
      <w:pPr>
        <w:pStyle w:val="TextBody"/>
        <w:bidi w:val="0"/>
        <w:spacing w:before="0" w:after="120"/>
        <w:jc w:val="left"/>
        <w:rPr>
          <w:color w:val="000000"/>
        </w:rPr>
      </w:pPr>
      <w:bookmarkStart w:id="17" w:name="xdx_90E_edei--PreCommencementTenderOffer"/>
      <w:bookmarkEnd w:id="17"/>
      <w:r>
        <w:rPr>
          <w:color w:val="000000"/>
        </w:rPr>
        <w:t xml:space="preserve">☐ </w:t>
      </w:r>
      <w:r>
        <w:rPr>
          <w:color w:val="000000"/>
          <w:sz w:val="20"/>
        </w:rPr>
        <w:t>Pre-commencement communications pursuant to Rule 14d-2(b) under the Exchange Act (17 CFR 240.14d-2(b))</w:t>
      </w:r>
    </w:p>
    <w:p>
      <w:pPr>
        <w:pStyle w:val="TextBody"/>
        <w:bidi w:val="0"/>
        <w:spacing w:before="0" w:after="120"/>
        <w:jc w:val="left"/>
        <w:rPr>
          <w:color w:val="000000"/>
        </w:rPr>
      </w:pPr>
      <w:bookmarkStart w:id="18" w:name="xdx_905_edei--PreCommencementIssuerTende"/>
      <w:bookmarkEnd w:id="18"/>
      <w:r>
        <w:rPr>
          <w:color w:val="000000"/>
        </w:rPr>
        <w:t xml:space="preserve">☐ </w:t>
      </w:r>
      <w:r>
        <w:rPr>
          <w:color w:val="000000"/>
          <w:sz w:val="20"/>
        </w:rPr>
        <w:t>Pre-commencement communications pursuant to Rule 13e-4(c) under the Exchange Act (17 CFR 240.13e-4(c))</w:t>
      </w:r>
    </w:p>
    <w:p>
      <w:pPr>
        <w:pStyle w:val="TextBody"/>
        <w:bidi w:val="0"/>
        <w:jc w:val="left"/>
        <w:rPr>
          <w:color w:val="000000"/>
        </w:rPr>
      </w:pPr>
      <w:r>
        <w:rPr>
          <w:color w:val="000000"/>
        </w:rPr>
        <w:t> </w:t>
      </w:r>
    </w:p>
    <w:p>
      <w:pPr>
        <w:pStyle w:val="TextBody"/>
        <w:bidi w:val="0"/>
        <w:jc w:val="left"/>
        <w:rPr>
          <w:color w:val="000000"/>
          <w:sz w:val="20"/>
        </w:rPr>
      </w:pPr>
      <w:r>
        <w:rPr>
          <w:color w:val="000000"/>
          <w:sz w:val="20"/>
        </w:rPr>
        <w:t>Securities registered pursuant to Section 12(b) of the Act:</w:t>
      </w:r>
    </w:p>
    <w:p>
      <w:pPr>
        <w:pStyle w:val="TextBody"/>
        <w:bidi w:val="0"/>
        <w:jc w:val="left"/>
        <w:rPr>
          <w:color w:val="000000"/>
        </w:rPr>
      </w:pPr>
      <w:r>
        <w:rPr>
          <w:color w:val="000000"/>
        </w:rPr>
        <w:t> </w:t>
      </w:r>
    </w:p>
    <w:tbl>
      <w:tblPr>
        <w:tblW w:w="6615" w:type="dxa"/>
        <w:jc w:val="left"/>
        <w:tblInd w:w="-10" w:type="dxa"/>
        <w:tblLayout w:type="fixed"/>
        <w:tblCellMar>
          <w:top w:w="100"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000000"/>
                <w:sz w:val="20"/>
              </w:rPr>
            </w:pPr>
            <w:r>
              <w:rPr>
                <w:color w:val="000000"/>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000000"/>
                <w:sz w:val="20"/>
              </w:rPr>
            </w:pPr>
            <w:r>
              <w:rPr>
                <w:color w:val="000000"/>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000000"/>
                <w:sz w:val="20"/>
              </w:rPr>
            </w:pPr>
            <w:r>
              <w:rPr>
                <w:color w:val="000000"/>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000000"/>
                <w:sz w:val="20"/>
              </w:rPr>
            </w:pPr>
            <w:bookmarkStart w:id="19" w:name="xdx_90E_edei--Security12bTitle_c20260310"/>
            <w:bookmarkEnd w:id="19"/>
            <w:r>
              <w:rPr>
                <w:color w:val="000000"/>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20"/>
              </w:rPr>
            </w:pPr>
            <w:bookmarkStart w:id="20" w:name="xdx_905_edei--TradingSymbol_c20260310__2"/>
            <w:bookmarkEnd w:id="20"/>
            <w:r>
              <w:rPr>
                <w:color w:val="000000"/>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20"/>
              </w:rPr>
            </w:pPr>
            <w:bookmarkStart w:id="21" w:name="xdx_90E_edei--SecurityExchangeName_c2026"/>
            <w:bookmarkEnd w:id="21"/>
            <w:r>
              <w:rPr>
                <w:color w:val="000000"/>
                <w:sz w:val="20"/>
              </w:rPr>
              <w:t>The Nasdaq Stock Market LLC</w:t>
            </w:r>
          </w:p>
        </w:tc>
      </w:tr>
    </w:tbl>
    <w:p>
      <w:pPr>
        <w:pStyle w:val="TextBody"/>
        <w:bidi w:val="0"/>
        <w:jc w:val="left"/>
        <w:rPr>
          <w:color w:val="000000"/>
        </w:rPr>
      </w:pPr>
      <w:r>
        <w:rPr>
          <w:color w:val="000000"/>
        </w:rPr>
        <w:t> </w:t>
      </w:r>
    </w:p>
    <w:p>
      <w:pPr>
        <w:pStyle w:val="TextBody"/>
        <w:bidi w:val="0"/>
        <w:spacing w:before="0" w:after="160"/>
        <w:jc w:val="left"/>
        <w:rPr>
          <w:color w:val="000000"/>
          <w:sz w:val="20"/>
        </w:rPr>
      </w:pPr>
      <w:r>
        <w:rPr>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60"/>
        <w:jc w:val="right"/>
        <w:rPr>
          <w:color w:val="000000"/>
          <w:sz w:val="20"/>
        </w:rPr>
      </w:pPr>
      <w:r>
        <w:rPr>
          <w:color w:val="000000"/>
          <w:sz w:val="20"/>
        </w:rPr>
        <w:t xml:space="preserve">Emerging growth company </w:t>
      </w:r>
      <w:bookmarkStart w:id="22" w:name="xdx_903_edei--EntityEmergingGrowthCompan"/>
      <w:bookmarkEnd w:id="22"/>
      <w:r>
        <w:rPr>
          <w:color w:val="000000"/>
          <w:sz w:val="20"/>
        </w:rPr>
        <w:t>☒</w:t>
      </w:r>
    </w:p>
    <w:p>
      <w:pPr>
        <w:pStyle w:val="TextBody"/>
        <w:bidi w:val="0"/>
        <w:jc w:val="left"/>
        <w:rPr>
          <w:color w:val="000000"/>
          <w:sz w:val="20"/>
        </w:rPr>
      </w:pPr>
      <w:r>
        <w:rPr>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color w:val="000000"/>
          <w:sz w:val="20"/>
        </w:rPr>
        <w:t>☐</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283"/>
              <w:jc w:val="left"/>
              <w:rPr>
                <w:b/>
                <w:color w:val="000000"/>
              </w:rPr>
            </w:pPr>
            <w:r>
              <w:rPr>
                <w:b/>
                <w:color w:val="000000"/>
              </w:rPr>
              <w:t>Entry into a Material Definitive Agreement.</w:t>
            </w:r>
          </w:p>
        </w:tc>
      </w:tr>
    </w:tbl>
    <w:p>
      <w:pPr>
        <w:pStyle w:val="TextBody"/>
        <w:bidi w:val="0"/>
        <w:jc w:val="left"/>
        <w:rPr>
          <w:color w:val="000000"/>
        </w:rPr>
      </w:pPr>
      <w:r>
        <w:rPr>
          <w:color w:val="000000"/>
        </w:rPr>
        <w:t> </w:t>
      </w:r>
    </w:p>
    <w:p>
      <w:pPr>
        <w:pStyle w:val="TextBody"/>
        <w:bidi w:val="0"/>
        <w:jc w:val="left"/>
        <w:rPr>
          <w:b/>
          <w:i/>
          <w:color w:val="000000"/>
          <w:sz w:val="20"/>
        </w:rPr>
      </w:pPr>
      <w:r>
        <w:rPr>
          <w:b/>
          <w:i/>
          <w:color w:val="000000"/>
          <w:sz w:val="20"/>
        </w:rPr>
        <w:t>ISDA Master Agreement and Credit Agreement</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connection with the Treasury Strategy (as defined below in Item 8.01 of this Current Report on Form 8-K (this “Current Report”)), on March 10, 2026, Sono Group N.V. (the “Company”) entered into an International Swaps and Derivatives Association, Inc. (“ISDA”) 2002 ISDA Master Agreement, dated as of March 10, 2026 (the “ISDA Master Agreement”) with Blockchain.com (BVI) II Limited, a business company incorporated under the laws of the British Virgin Islands (“Blockchain.com”), facilitating the Company to enter into derivative and/or hedging transactions (collectively, the “Transactions”) to manage the risk associated with the Treasury Strategy. The derivative and hedging transactions will be governed by the ISDA Master Agreement, including the related Schedule to the ISDA Master Agreement executed by the Company and Blockchain.com on March 10, 2026 (the “Schedule”). The structure of the Transactions may include forwards, swaps, futures, options or other derivatives transactions in respect of digital assets.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Certain events of default will apply to the Transactions under the ISDA Master Agreement and Schedule, including, but not limited to, failure to pay or deliver, breach of the agreement, credit support default, cross-defaults and misrepresentation.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addition, in connection with the ISDA Master Agreement, the Company and Blockchain.com entered into a Credit Support Annex to the Schedule to the ISDA Master Agreement, dated as of March 10, 2026 (the “Credit Support Annex”), which sets forth the terms and conditions upon which the Company will be required to deliver additional collateral to Blockchain.com (and Blockchain.com will be required to return collateral to the Company) depending upon the mark to market exposure under the ISDA Master Agreement and the value of the collateral.</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ISDA Master Agreement, the Schedule and the Credit Support Annex are governed by the laws of England and Wales.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foregoing descriptions of the ISDA Master Agreement, the Schedule, and the Credit Support Annex do not purport to be complete and are qualified in their entirety by reference to the complete text of those agreements, which are filed as Exhibits 10.1 through 10.3 to this Current Report, respectively, and are incorporated by reference herein.</w:t>
      </w:r>
    </w:p>
    <w:p>
      <w:pPr>
        <w:pStyle w:val="TextBody"/>
        <w:bidi w:val="0"/>
        <w:jc w:val="both"/>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848"/>
        <w:gridCol w:w="9319"/>
      </w:tblGrid>
      <w:tr>
        <w:trPr/>
        <w:tc>
          <w:tcPr>
            <w:tcW w:w="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b/>
                <w:color w:val="000000"/>
              </w:rPr>
            </w:pPr>
            <w:r>
              <w:rPr>
                <w:b/>
                <w:color w:val="000000"/>
              </w:rPr>
              <w:t>Item 2.03</w:t>
            </w:r>
          </w:p>
        </w:tc>
        <w:tc>
          <w:tcPr>
            <w:tcW w:w="9319" w:type="dxa"/>
            <w:tcBorders/>
            <w:vAlign w:val="center"/>
          </w:tcPr>
          <w:p>
            <w:pPr>
              <w:pStyle w:val="TableContents"/>
              <w:bidi w:val="0"/>
              <w:spacing w:before="0" w:after="283"/>
              <w:jc w:val="both"/>
              <w:rPr>
                <w:b/>
                <w:color w:val="000000"/>
              </w:rPr>
            </w:pPr>
            <w:r>
              <w:rPr>
                <w:b/>
                <w:color w:val="000000"/>
              </w:rPr>
              <w:t>Creation of a Direct Financial Obligation or an Obligation under an Off-Balance Sheet Arrangement of a Registrant.</w:t>
            </w:r>
          </w:p>
        </w:tc>
      </w:tr>
    </w:tbl>
    <w:p>
      <w:pPr>
        <w:pStyle w:val="TextBody"/>
        <w:bidi w:val="0"/>
        <w:jc w:val="left"/>
        <w:rPr>
          <w:color w:val="000000"/>
        </w:rPr>
      </w:pPr>
      <w:r>
        <w:rPr>
          <w:color w:val="000000"/>
        </w:rPr>
        <w:t> </w:t>
      </w:r>
    </w:p>
    <w:p>
      <w:pPr>
        <w:pStyle w:val="TextBody"/>
        <w:bidi w:val="0"/>
        <w:jc w:val="left"/>
        <w:rPr>
          <w:color w:val="000000"/>
          <w:sz w:val="20"/>
        </w:rPr>
      </w:pPr>
      <w:r>
        <w:rPr>
          <w:color w:val="000000"/>
          <w:sz w:val="20"/>
        </w:rPr>
        <w:t>The information set forth above in Item 1.01 is incorporated by reference into this Item 2.03.</w:t>
      </w:r>
    </w:p>
    <w:p>
      <w:pPr>
        <w:pStyle w:val="TextBody"/>
        <w:bidi w:val="0"/>
        <w:jc w:val="left"/>
        <w:rPr>
          <w:color w:val="000000"/>
        </w:rPr>
      </w:pPr>
      <w:r>
        <w:rPr>
          <w:color w:val="000000"/>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8.01</w:t>
            </w:r>
          </w:p>
        </w:tc>
        <w:tc>
          <w:tcPr>
            <w:tcW w:w="1445" w:type="dxa"/>
            <w:tcBorders/>
            <w:vAlign w:val="center"/>
          </w:tcPr>
          <w:p>
            <w:pPr>
              <w:pStyle w:val="TableContents"/>
              <w:bidi w:val="0"/>
              <w:spacing w:before="0" w:after="283"/>
              <w:jc w:val="both"/>
              <w:rPr>
                <w:b/>
                <w:color w:val="000000"/>
              </w:rPr>
            </w:pPr>
            <w:r>
              <w:rPr>
                <w:b/>
                <w:color w:val="000000"/>
              </w:rPr>
              <w:t>Other Events.</w:t>
            </w:r>
          </w:p>
        </w:tc>
      </w:tr>
    </w:tbl>
    <w:p>
      <w:pPr>
        <w:pStyle w:val="TextBody"/>
        <w:bidi w:val="0"/>
        <w:jc w:val="both"/>
        <w:rPr>
          <w:color w:val="000000"/>
        </w:rPr>
      </w:pPr>
      <w:r>
        <w:rPr>
          <w:color w:val="000000"/>
        </w:rPr>
        <w:t> </w:t>
      </w:r>
    </w:p>
    <w:p>
      <w:pPr>
        <w:pStyle w:val="TextBody"/>
        <w:bidi w:val="0"/>
        <w:jc w:val="both"/>
        <w:rPr>
          <w:color w:val="000000"/>
          <w:sz w:val="20"/>
        </w:rPr>
      </w:pPr>
      <w:r>
        <w:rPr>
          <w:color w:val="000000"/>
          <w:sz w:val="20"/>
        </w:rPr>
        <w:t>On March 14, 2026, the Company’s management board, with the approval of the supervisory board, ratified the Company’s entry into the ISDA Master Agreement, the Schedule and the Credit Support Annex and approved the adoption of a digital asset treasury strategy and digital asset treasury policy and the purchase by the Company of Bitcoin and other digital assets in connection therewith (the “Treasury Strategy”). Under the Treasury Strategy, the principal holding in the Company’s treasury reserve on its balance sheet will be allocated to digital assets, principally Bitcoin, by applying a covered-call yield strategy. The Company may use available liquidity, including proceeds from previously disclosed financing arrangements, to purchase Bitcoin and other digital assets, subject to applicable law and public disclosure requirements. The Company intends to solicit the ratification by its shareholders of the engagement by the Company in the Treasury Strategy.</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Forward Looking Statements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the Transactions, including their timing, the use of proceeds of the private placements, the receipt of any required shareholder approvals, the projected operational and financial performance of the Company and its subsidiaries, its product offerings and developments and business plans, and the Company’s expectations, hopes, beliefs, intentions, plans, prospects or strategies regarding the future revenue and the business plans of the Company’s management team.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occurrence of any uncured event of default or any event, change or other circumstance that could give rise to the termination of the ISDA Master Agreement; the consummation and timing of any Transactions; the outcome of any legal proceedings that may be instituted against the Company; risks associated with the Treasury Strategy, including the Transactions, replacing current plans and operations of the Company;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pStyle w:val="TextBody"/>
        <w:bidi w:val="0"/>
        <w:jc w:val="both"/>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b/>
          <w:color w:val="000000"/>
          <w:sz w:val="20"/>
        </w:rPr>
      </w:pPr>
      <w:r>
        <w:rPr>
          <w:b/>
          <w:color w:val="000000"/>
          <w:sz w:val="20"/>
        </w:rPr>
        <w:t>Additional Information and Where to Find It</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Participants in the Solicitation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No Solicitation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This Current Report shall not constitute a solicitation of a proxy, consent or authorization with respect to any securities or in respect of the matters to be noticed in the definitive Proxy Statement when it becomes available.</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283"/>
              <w:jc w:val="left"/>
              <w:rPr>
                <w:b/>
                <w:color w:val="000000"/>
              </w:rPr>
            </w:pPr>
            <w:r>
              <w:rPr>
                <w:b/>
                <w:color w:val="000000"/>
              </w:rPr>
              <w:t>Financial Statements and Exhibits.</w:t>
            </w:r>
          </w:p>
        </w:tc>
      </w:tr>
    </w:tbl>
    <w:p>
      <w:pPr>
        <w:pStyle w:val="TextBody"/>
        <w:bidi w:val="0"/>
        <w:jc w:val="left"/>
        <w:rPr>
          <w:color w:val="000000"/>
        </w:rPr>
      </w:pPr>
      <w:r>
        <w:rPr>
          <w:color w:val="000000"/>
        </w:rPr>
        <w:t> </w:t>
      </w:r>
    </w:p>
    <w:p>
      <w:pPr>
        <w:pStyle w:val="TextBody"/>
        <w:bidi w:val="0"/>
        <w:jc w:val="left"/>
        <w:rPr>
          <w:color w:val="000000"/>
          <w:sz w:val="20"/>
        </w:rPr>
      </w:pPr>
      <w:r>
        <w:rPr>
          <w:i/>
          <w:color w:val="000000"/>
          <w:sz w:val="20"/>
        </w:rPr>
        <w:t>(d) Exhibits.</w:t>
      </w:r>
      <w:r>
        <w:rPr>
          <w:color w:val="000000"/>
          <w:sz w:val="20"/>
        </w:rPr>
        <w:t xml:space="preserve"> The following exhibits are filed with this Current Report:</w:t>
      </w:r>
    </w:p>
    <w:p>
      <w:pPr>
        <w:pStyle w:val="TextBody"/>
        <w:bidi w:val="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left"/>
              <w:rPr>
                <w:color w:val="000000"/>
                <w:sz w:val="20"/>
                <w:u w:val="single"/>
              </w:rPr>
            </w:pPr>
            <w:r>
              <w:rPr>
                <w:color w:val="000000"/>
                <w:sz w:val="20"/>
                <w:u w:val="single"/>
              </w:rPr>
              <w:t>Exhibit</w:t>
            </w:r>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left"/>
              <w:rPr>
                <w:color w:val="000000"/>
                <w:sz w:val="20"/>
                <w:u w:val="single"/>
              </w:rPr>
            </w:pPr>
            <w:r>
              <w:rPr>
                <w:color w:val="000000"/>
                <w:sz w:val="20"/>
                <w:u w:val="single"/>
              </w:rPr>
              <w:t>Description of Exhibit</w:t>
            </w:r>
          </w:p>
        </w:tc>
      </w:tr>
      <w:tr>
        <w:trPr/>
        <w:tc>
          <w:tcPr>
            <w:tcW w:w="650" w:type="dxa"/>
            <w:tcBorders/>
            <w:vAlign w:val="center"/>
          </w:tcPr>
          <w:p>
            <w:pPr>
              <w:pStyle w:val="TableContents"/>
              <w:bidi w:val="0"/>
              <w:spacing w:before="0" w:after="283"/>
              <w:jc w:val="left"/>
              <w:rPr/>
            </w:pPr>
            <w:hyperlink w:anchor="exh_101.htm">
              <w:r>
                <w:rPr>
                  <w:rStyle w:val="InternetLink"/>
                  <w:color w:val="000000"/>
                  <w:sz w:val="20"/>
                </w:rPr>
                <w:t>10.1</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1.htm">
              <w:r>
                <w:rPr>
                  <w:rStyle w:val="InternetLink"/>
                  <w:color w:val="000000"/>
                  <w:sz w:val="20"/>
                </w:rPr>
                <w:t>International Swaps and Derivatives Association, Inc.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pPr>
            <w:hyperlink w:anchor="exh_102.htm">
              <w:r>
                <w:rPr>
                  <w:rStyle w:val="InternetLink"/>
                  <w:color w:val="000000"/>
                  <w:sz w:val="20"/>
                </w:rPr>
                <w:t>10.2</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2.htm">
              <w:r>
                <w:rPr>
                  <w:rStyle w:val="InternetLink"/>
                  <w:color w:val="000000"/>
                  <w:sz w:val="20"/>
                </w:rPr>
                <w:t>International Swaps and Derivatives Association, Inc. Schedule to the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pPr>
            <w:hyperlink w:anchor="exh_103.htm">
              <w:r>
                <w:rPr>
                  <w:rStyle w:val="InternetLink"/>
                  <w:color w:val="000000"/>
                  <w:sz w:val="20"/>
                </w:rPr>
                <w:t>10.3</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3.htm">
              <w:r>
                <w:rPr>
                  <w:rStyle w:val="InternetLink"/>
                  <w:color w:val="000000"/>
                  <w:sz w:val="20"/>
                </w:rPr>
                <w:t>International Swaps and Derivatives Association, Inc. Credit Support Annex to the Schedule to the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color w:val="000000"/>
                <w:sz w:val="20"/>
              </w:rPr>
            </w:pPr>
            <w:r>
              <w:rPr>
                <w:color w:val="000000"/>
                <w:sz w:val="20"/>
              </w:rPr>
              <w:t>104</w:t>
            </w:r>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left"/>
              <w:rPr>
                <w:color w:val="000000"/>
                <w:sz w:val="20"/>
              </w:rPr>
            </w:pPr>
            <w:r>
              <w:rPr>
                <w:color w:val="000000"/>
                <w:sz w:val="20"/>
              </w:rPr>
              <w:t>Cover Page Interactive Data File (embedded within the Inline XBRL document)</w:t>
            </w:r>
          </w:p>
        </w:tc>
      </w:tr>
    </w:tbl>
    <w:p>
      <w:pPr>
        <w:pStyle w:val="TextBody"/>
        <w:bidi w:val="0"/>
        <w:jc w:val="left"/>
        <w:rPr>
          <w:color w:val="000000"/>
        </w:rPr>
      </w:pPr>
      <w:r>
        <w:rPr>
          <w:color w:val="000000"/>
        </w:rPr>
        <w:t> </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40"/>
        <w:jc w:val="center"/>
        <w:rPr>
          <w:b/>
          <w:color w:val="000000"/>
          <w:sz w:val="20"/>
        </w:rPr>
      </w:pPr>
      <w:r>
        <w:rPr>
          <w:b/>
          <w:color w:val="000000"/>
          <w:sz w:val="20"/>
        </w:rPr>
        <w:t>SIGNATURE</w:t>
      </w:r>
    </w:p>
    <w:p>
      <w:pPr>
        <w:pStyle w:val="TextBody"/>
        <w:bidi w:val="0"/>
        <w:spacing w:before="0" w:after="240"/>
        <w:jc w:val="left"/>
        <w:rPr>
          <w:color w:val="000000"/>
          <w:sz w:val="20"/>
        </w:rPr>
      </w:pPr>
      <w:r>
        <w:rPr>
          <w:color w:val="000000"/>
          <w:sz w:val="20"/>
        </w:rPr>
        <w:t>Pursuant to the requirements of the Securities Exchange Act of 1934, the registrant has duly caused this report to be signed on its behalf by the undersigned hereunto duly authorized.</w:t>
      </w:r>
    </w:p>
    <w:tbl>
      <w:tblPr>
        <w:tblW w:w="3285" w:type="dxa"/>
        <w:jc w:val="left"/>
        <w:tblInd w:w="0" w:type="dxa"/>
        <w:tblLayout w:type="fixed"/>
        <w:tblCellMar>
          <w:top w:w="0" w:type="dxa"/>
          <w:left w:w="0" w:type="dxa"/>
          <w:bottom w:w="0" w:type="dxa"/>
          <w:right w:w="0" w:type="dxa"/>
        </w:tblCellMar>
      </w:tblPr>
      <w:tblGrid>
        <w:gridCol w:w="75"/>
        <w:gridCol w:w="260"/>
        <w:gridCol w:w="590"/>
        <w:gridCol w:w="2360"/>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b/>
                <w:color w:val="000000"/>
                <w:sz w:val="20"/>
              </w:rPr>
            </w:pPr>
            <w:r>
              <w:rPr>
                <w:b/>
                <w:color w:val="000000"/>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2950" w:type="dxa"/>
            <w:gridSpan w:val="2"/>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2950" w:type="dxa"/>
            <w:gridSpan w:val="2"/>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sz w:val="20"/>
              </w:rPr>
            </w:pPr>
            <w:r>
              <w:rPr>
                <w:color w:val="000000"/>
                <w:sz w:val="20"/>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r>
              <w:rPr>
                <w:color w:val="000000"/>
                <w:sz w:val="20"/>
              </w:rPr>
              <w:t>/s/ 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590" w:type="dxa"/>
            <w:tcBorders/>
            <w:vAlign w:val="center"/>
          </w:tcPr>
          <w:p>
            <w:pPr>
              <w:pStyle w:val="TableContents"/>
              <w:bidi w:val="0"/>
              <w:spacing w:before="0" w:after="283"/>
              <w:jc w:val="left"/>
              <w:rPr>
                <w:color w:val="000000"/>
                <w:sz w:val="20"/>
              </w:rPr>
            </w:pPr>
            <w:r>
              <w:rPr>
                <w:color w:val="000000"/>
                <w:sz w:val="20"/>
              </w:rPr>
              <w:t xml:space="preserve">Name: </w:t>
            </w:r>
          </w:p>
        </w:tc>
        <w:tc>
          <w:tcPr>
            <w:tcW w:w="2360" w:type="dxa"/>
            <w:tcBorders/>
            <w:vAlign w:val="center"/>
          </w:tcPr>
          <w:p>
            <w:pPr>
              <w:pStyle w:val="TableContents"/>
              <w:bidi w:val="0"/>
              <w:spacing w:before="0" w:after="283"/>
              <w:jc w:val="left"/>
              <w:rPr>
                <w:color w:val="000000"/>
                <w:sz w:val="20"/>
              </w:rPr>
            </w:pPr>
            <w:r>
              <w:rPr>
                <w:color w:val="000000"/>
                <w:sz w:val="20"/>
              </w:rPr>
              <w:t>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590" w:type="dxa"/>
            <w:tcBorders/>
            <w:vAlign w:val="center"/>
          </w:tcPr>
          <w:p>
            <w:pPr>
              <w:pStyle w:val="TableContents"/>
              <w:bidi w:val="0"/>
              <w:spacing w:before="0" w:after="283"/>
              <w:jc w:val="left"/>
              <w:rPr>
                <w:color w:val="000000"/>
                <w:sz w:val="20"/>
              </w:rPr>
            </w:pPr>
            <w:r>
              <w:rPr>
                <w:color w:val="000000"/>
                <w:sz w:val="20"/>
              </w:rPr>
              <w:t>Title:</w:t>
            </w:r>
          </w:p>
        </w:tc>
        <w:tc>
          <w:tcPr>
            <w:tcW w:w="2360" w:type="dxa"/>
            <w:tcBorders/>
            <w:vAlign w:val="center"/>
          </w:tcPr>
          <w:p>
            <w:pPr>
              <w:pStyle w:val="TableContents"/>
              <w:bidi w:val="0"/>
              <w:spacing w:before="0" w:after="283"/>
              <w:jc w:val="left"/>
              <w:rPr>
                <w:color w:val="000000"/>
                <w:sz w:val="20"/>
              </w:rPr>
            </w:pPr>
            <w:r>
              <w:rPr>
                <w:color w:val="000000"/>
                <w:sz w:val="20"/>
              </w:rPr>
              <w:t>CEO and Managing Director</w:t>
            </w:r>
          </w:p>
        </w:tc>
      </w:tr>
    </w:tbl>
    <w:p>
      <w:pPr>
        <w:pStyle w:val="TextBody"/>
        <w:bidi w:val="0"/>
        <w:spacing w:before="0" w:after="160"/>
        <w:jc w:val="left"/>
        <w:rPr>
          <w:color w:val="000000"/>
          <w:sz w:val="20"/>
        </w:rPr>
      </w:pPr>
      <w:r>
        <w:rPr>
          <w:color w:val="000000"/>
          <w:sz w:val="20"/>
        </w:rPr>
        <w:t>Date: March 16, 2026</w:t>
      </w:r>
    </w:p>
    <w:p>
      <w:pPr>
        <w:pStyle w:val="TextBody"/>
        <w:bidi w:val="0"/>
        <w:jc w:val="left"/>
        <w:rPr>
          <w:color w:val="000000"/>
        </w:rPr>
      </w:pPr>
      <w:r>
        <w:rPr>
          <w:color w:val="000000"/>
        </w:rPr>
        <w:t> </w:t>
      </w:r>
    </w:p>
    <w:p>
      <w:pPr>
        <w:pStyle w:val="TextBody"/>
        <w:bidi w:val="0"/>
        <w:spacing w:before="0" w:after="160"/>
        <w:jc w:val="left"/>
        <w:rPr>
          <w:color w:val="000000"/>
        </w:rPr>
      </w:pPr>
      <w:r>
        <w:rPr>
          <w:color w:val="000000"/>
        </w:rPr>
        <w:t> </w:t>
      </w:r>
    </w:p>
    <w:p>
      <w:pPr>
        <w:pStyle w:val="TextBody"/>
        <w:bidi w:val="0"/>
        <w:spacing w:before="0" w:after="160"/>
        <w:jc w:val="left"/>
        <w:rPr>
          <w:color w:val="000000"/>
        </w:rPr>
      </w:pPr>
      <w:r>
        <w:rPr>
          <w:color w:val="000000"/>
        </w:rPr>
        <w:t> </w:t>
      </w:r>
    </w:p>
    <w:p>
      <w:pPr>
        <w:pStyle w:val="TextBody"/>
        <w:bidi w:val="0"/>
        <w:jc w:val="right"/>
        <w:rPr>
          <w:b/>
          <w:sz w:val="20"/>
        </w:rPr>
      </w:pPr>
      <w:bookmarkStart w:id="24" w:name="exh_101.htm"/>
      <w:bookmarkStart w:id="25" w:name="ksexh_101"/>
      <w:bookmarkEnd w:id="24"/>
      <w:bookmarkEnd w:id="25"/>
      <w:r>
        <w:rPr>
          <w:b/>
          <w:sz w:val="20"/>
        </w:rPr>
        <w:t>Exhibit 10.1</w:t>
      </w:r>
      <w:r>
        <w:br w:type="page"/>
      </w:r>
    </w:p>
    <w:p>
      <w:pPr>
        <w:pStyle w:val="TextBody"/>
        <w:bidi w:val="0"/>
        <w:spacing w:before="0" w:after="283"/>
        <w:jc w:val="left"/>
        <w:rPr/>
      </w:pPr>
      <w:r>
        <w:rPr/>
        <w:t> </w:t>
      </w:r>
    </w:p>
    <w:p>
      <w:pPr>
        <w:pStyle w:val="TextBody"/>
        <w:bidi w:val="0"/>
        <w:spacing w:before="208" w:after="0"/>
        <w:ind w:left="0" w:right="0" w:firstLine="805"/>
        <w:jc w:val="center"/>
        <w:rPr>
          <w:b/>
          <w:sz w:val="48"/>
        </w:rPr>
      </w:pPr>
      <w:r>
        <w:rPr>
          <w:b/>
          <w:sz w:val="48"/>
        </w:rPr>
        <w:t>ISDA</w:t>
      </w:r>
      <w:r>
        <w:rPr>
          <w:b w:val="false"/>
          <w:sz w:val="20"/>
        </w:rPr>
        <w:t>®</w:t>
      </w:r>
    </w:p>
    <w:p>
      <w:pPr>
        <w:pStyle w:val="TextBody"/>
        <w:bidi w:val="0"/>
        <w:spacing w:before="1" w:after="0"/>
        <w:ind w:left="0" w:right="0" w:hanging="0"/>
        <w:jc w:val="center"/>
        <w:rPr>
          <w:sz w:val="20"/>
        </w:rPr>
      </w:pPr>
      <w:r>
        <w:rPr>
          <w:sz w:val="20"/>
        </w:rPr>
        <w:t>International Swaps and Derivatives Association, Inc.</w:t>
      </w:r>
    </w:p>
    <w:p>
      <w:pPr>
        <w:pStyle w:val="TextBody"/>
        <w:bidi w:val="0"/>
        <w:spacing w:before="10" w:after="10"/>
        <w:ind w:left="10" w:right="10" w:hanging="0"/>
        <w:jc w:val="left"/>
        <w:rPr/>
      </w:pPr>
      <w:r>
        <w:rPr/>
        <w:t> </w:t>
      </w:r>
    </w:p>
    <w:p>
      <w:pPr>
        <w:pStyle w:val="TextBody"/>
        <w:bidi w:val="0"/>
        <w:spacing w:before="0" w:after="0"/>
        <w:ind w:left="0" w:right="0" w:hanging="0"/>
        <w:jc w:val="center"/>
        <w:rPr>
          <w:b/>
          <w:sz w:val="48"/>
        </w:rPr>
      </w:pPr>
      <w:r>
        <w:rPr>
          <w:b/>
          <w:sz w:val="48"/>
        </w:rPr>
        <w:t>2002 MASTER AGREEMENT</w:t>
      </w:r>
    </w:p>
    <w:p>
      <w:pPr>
        <w:pStyle w:val="TextBody"/>
        <w:bidi w:val="0"/>
        <w:spacing w:before="0" w:after="283"/>
        <w:jc w:val="left"/>
        <w:rPr/>
      </w:pPr>
      <w:r>
        <w:rPr/>
        <w:t> </w:t>
      </w:r>
    </w:p>
    <w:p>
      <w:pPr>
        <w:pStyle w:val="TextBody"/>
        <w:bidi w:val="0"/>
        <w:spacing w:before="91" w:after="0"/>
        <w:ind w:left="0" w:right="0" w:hanging="0"/>
        <w:jc w:val="center"/>
        <w:rPr>
          <w:sz w:val="20"/>
        </w:rPr>
      </w:pPr>
      <w:r>
        <w:rPr>
          <w:sz w:val="20"/>
        </w:rPr>
        <w:t>10 March 2026</w:t>
      </w:r>
    </w:p>
    <w:p>
      <w:pPr>
        <w:pStyle w:val="TextBody"/>
        <w:bidi w:val="0"/>
        <w:spacing w:before="0" w:after="0"/>
        <w:ind w:left="0" w:right="0" w:hanging="0"/>
        <w:jc w:val="center"/>
        <w:rPr>
          <w:sz w:val="20"/>
        </w:rPr>
      </w:pPr>
      <w:r>
        <w:rPr>
          <w:sz w:val="20"/>
        </w:rPr>
        <w:t>dated as of .....................................................................</w:t>
      </w:r>
    </w:p>
    <w:p>
      <w:pPr>
        <w:pStyle w:val="TextBody"/>
        <w:bidi w:val="0"/>
        <w:spacing w:before="0" w:after="283"/>
        <w:jc w:val="left"/>
        <w:rPr/>
      </w:pPr>
      <w:r>
        <w:rPr/>
        <w:t> </w:t>
      </w:r>
    </w:p>
    <w:p>
      <w:pPr>
        <w:pStyle w:val="TextBody"/>
        <w:bidi w:val="0"/>
        <w:spacing w:before="7" w:after="7"/>
        <w:ind w:left="7" w:right="7" w:hanging="0"/>
        <w:jc w:val="left"/>
        <w:rPr/>
      </w:pPr>
      <w:r>
        <w:rPr/>
        <w:t> </w:t>
      </w:r>
    </w:p>
    <w:p>
      <w:pPr>
        <w:pStyle w:val="TextBody"/>
        <w:bidi w:val="0"/>
        <w:spacing w:before="91" w:after="91"/>
        <w:ind w:left="364" w:right="91" w:hanging="0"/>
        <w:jc w:val="both"/>
        <w:rPr/>
      </w:pPr>
      <w:r>
        <w:rPr/>
        <w:t> </w:t>
      </w:r>
    </w:p>
    <w:tbl>
      <w:tblPr>
        <w:tblW w:w="10515" w:type="dxa"/>
        <w:jc w:val="left"/>
        <w:tblInd w:w="0" w:type="dxa"/>
        <w:tblLayout w:type="fixed"/>
        <w:tblCellMar>
          <w:top w:w="0" w:type="dxa"/>
          <w:left w:w="0" w:type="dxa"/>
          <w:bottom w:w="0" w:type="dxa"/>
          <w:right w:w="0" w:type="dxa"/>
        </w:tblCellMar>
      </w:tblPr>
      <w:tblGrid>
        <w:gridCol w:w="5075"/>
        <w:gridCol w:w="365"/>
        <w:gridCol w:w="5075"/>
      </w:tblGrid>
      <w:tr>
        <w:trPr/>
        <w:tc>
          <w:tcPr>
            <w:tcW w:w="5075" w:type="dxa"/>
            <w:tcBorders/>
            <w:vAlign w:val="center"/>
          </w:tcPr>
          <w:p>
            <w:pPr>
              <w:pStyle w:val="TableContents"/>
              <w:bidi w:val="0"/>
              <w:spacing w:before="0" w:after="283"/>
              <w:ind w:left="0" w:right="0" w:hanging="0"/>
              <w:jc w:val="left"/>
              <w:rPr/>
            </w:pPr>
            <w:r>
              <w:rPr/>
              <w:t>BLOCKCHAIN.COM (BVI) II LTD</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SONO GROUP N.V.</w:t>
            </w:r>
          </w:p>
        </w:tc>
      </w:tr>
      <w:tr>
        <w:trPr/>
        <w:tc>
          <w:tcPr>
            <w:tcW w:w="5075"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jc w:val="center"/>
              <w:rPr/>
            </w:pPr>
            <w:r>
              <w:rPr/>
              <w:t>and</w:t>
            </w:r>
          </w:p>
        </w:tc>
        <w:tc>
          <w:tcPr>
            <w:tcW w:w="5075" w:type="dxa"/>
            <w:tcBorders/>
            <w:vAlign w:val="center"/>
          </w:tcPr>
          <w:p>
            <w:pPr>
              <w:pStyle w:val="TableContents"/>
              <w:bidi w:val="0"/>
              <w:spacing w:before="0" w:after="283"/>
              <w:jc w:val="left"/>
              <w:rPr/>
            </w:pPr>
            <w:r>
              <w:rPr/>
              <w:t>....................................................................................</w:t>
            </w:r>
          </w:p>
        </w:tc>
      </w:tr>
    </w:tbl>
    <w:p>
      <w:pPr>
        <w:pStyle w:val="TextBody"/>
        <w:bidi w:val="0"/>
        <w:spacing w:before="10" w:after="10"/>
        <w:ind w:left="10" w:right="10" w:hanging="0"/>
        <w:jc w:val="left"/>
        <w:rPr/>
      </w:pPr>
      <w:r>
        <w:rPr/>
        <w:t> </w:t>
      </w:r>
    </w:p>
    <w:p>
      <w:pPr>
        <w:pStyle w:val="TextBody"/>
        <w:bidi w:val="0"/>
        <w:spacing w:before="1" w:after="1"/>
        <w:ind w:left="278" w:right="194" w:hanging="0"/>
        <w:jc w:val="both"/>
        <w:rPr>
          <w:sz w:val="20"/>
        </w:rPr>
      </w:pPr>
      <w:r>
        <w:rPr>
          <w:sz w:val="20"/>
        </w:rPr>
        <w:t>have entered and/or anticipate entering into one or more transactions (each a “Transaction”) that are or will be governed by this 2002 Master Agreement, which includes the schedule (the “Schedule”), and the documents and other confirming evidence (each a “Confirmation”) exchanged between the parties or otherwise effective for the purpose of confirming or evidencing those Transactions. This 2002 Master Agreement and the Schedule are together referred to as this “Master Agreement”.</w:t>
      </w:r>
    </w:p>
    <w:p>
      <w:pPr>
        <w:pStyle w:val="TextBody"/>
        <w:bidi w:val="0"/>
        <w:spacing w:before="8" w:after="8"/>
        <w:ind w:left="8" w:right="8" w:hanging="0"/>
        <w:jc w:val="left"/>
        <w:rPr/>
      </w:pPr>
      <w:r>
        <w:rPr/>
        <w:t> </w:t>
      </w:r>
    </w:p>
    <w:p>
      <w:pPr>
        <w:pStyle w:val="TextBody"/>
        <w:bidi w:val="0"/>
        <w:ind w:left="278" w:right="0" w:hanging="0"/>
        <w:jc w:val="both"/>
        <w:rPr>
          <w:sz w:val="20"/>
        </w:rPr>
      </w:pPr>
      <w:r>
        <w:rPr>
          <w:sz w:val="20"/>
        </w:rPr>
        <w:t>Accordingly, the parties agree as follows:</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1.</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1" w:after="1"/>
        <w:ind w:left="1" w:right="1" w:hanging="0"/>
        <w:jc w:val="left"/>
        <w:rPr/>
      </w:pPr>
      <w:r>
        <w:rPr/>
        <w:t> </w:t>
      </w:r>
    </w:p>
    <w:p>
      <w:pPr>
        <w:pStyle w:val="TextBody"/>
        <w:bidi w:val="0"/>
        <w:ind w:left="278" w:right="192" w:hanging="0"/>
        <w:jc w:val="both"/>
        <w:rPr>
          <w:sz w:val="20"/>
        </w:rPr>
      </w:pPr>
      <w:r>
        <w:rPr>
          <w:sz w:val="20"/>
        </w:rPr>
        <w:t xml:space="preserve">(a)             </w:t>
      </w:r>
      <w:r>
        <w:rPr>
          <w:b/>
          <w:i/>
          <w:sz w:val="20"/>
        </w:rPr>
        <w:t xml:space="preserve">Definitions. </w:t>
      </w:r>
      <w:r>
        <w:rPr>
          <w:sz w:val="20"/>
        </w:rPr>
        <w:t>The terms defined in Section 14 and elsewhere in this Master Agreement will have the meanings therein specified for the purpose of this Master Agreement.</w:t>
      </w:r>
    </w:p>
    <w:p>
      <w:pPr>
        <w:pStyle w:val="TextBody"/>
        <w:bidi w:val="0"/>
        <w:spacing w:before="194" w:after="194"/>
        <w:ind w:left="278" w:right="192" w:hanging="0"/>
        <w:jc w:val="both"/>
        <w:rPr>
          <w:sz w:val="20"/>
        </w:rPr>
      </w:pPr>
      <w:r>
        <w:rPr>
          <w:sz w:val="20"/>
        </w:rPr>
        <w:t xml:space="preserve">(b)            </w:t>
      </w:r>
      <w:r>
        <w:rPr>
          <w:b/>
          <w:i/>
          <w:sz w:val="20"/>
        </w:rPr>
        <w:t xml:space="preserve">Inconsistency. </w:t>
      </w:r>
      <w:r>
        <w:rPr>
          <w:sz w:val="20"/>
        </w:rPr>
        <w:t>In the event of any inconsistency between the provisions of the Schedule and the other provisions of this Master Agreement, the Schedule will prevail. In the event of any inconsistency between the provisions of any Confirmation and this Master Agreement, such Confirmation will prevail for the purpose of the</w:t>
      </w:r>
    </w:p>
    <w:p>
      <w:pPr>
        <w:pStyle w:val="TextBody"/>
        <w:bidi w:val="0"/>
        <w:spacing w:before="7" w:after="7"/>
        <w:ind w:left="278" w:right="7" w:hanging="0"/>
        <w:jc w:val="both"/>
        <w:rPr>
          <w:sz w:val="20"/>
        </w:rPr>
      </w:pPr>
      <w:r>
        <w:rPr>
          <w:sz w:val="20"/>
        </w:rPr>
        <w:t>relevant Transaction.</w:t>
      </w:r>
    </w:p>
    <w:p>
      <w:pPr>
        <w:pStyle w:val="TextBody"/>
        <w:bidi w:val="0"/>
        <w:spacing w:before="189" w:after="189"/>
        <w:ind w:left="278" w:right="193" w:hanging="0"/>
        <w:jc w:val="both"/>
        <w:rPr>
          <w:sz w:val="20"/>
        </w:rPr>
      </w:pPr>
      <w:r>
        <w:rPr>
          <w:sz w:val="20"/>
        </w:rPr>
        <w:t xml:space="preserve">(c)             </w:t>
      </w:r>
      <w:r>
        <w:rPr>
          <w:b/>
          <w:i/>
          <w:sz w:val="20"/>
        </w:rPr>
        <w:t xml:space="preserve">Single Agreement. </w:t>
      </w:r>
      <w:r>
        <w:rPr>
          <w:sz w:val="20"/>
        </w:rPr>
        <w:t>All Transactions are entered into in reliance on the fact that this Master Agreement and all Confirmations form a single agreement between the parties (collectively referred to as this “Agreement”), and the parties would not otherwise enter into any Transactions.</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pPr>
            <w:r>
              <w:rPr/>
              <w:t>2.</w:t>
            </w:r>
          </w:p>
        </w:tc>
        <w:tc>
          <w:tcPr>
            <w:tcW w:w="8430" w:type="dxa"/>
            <w:tcBorders/>
            <w:vAlign w:val="center"/>
          </w:tcPr>
          <w:p>
            <w:pPr>
              <w:pStyle w:val="TableContents"/>
              <w:bidi w:val="0"/>
              <w:spacing w:before="0" w:after="283"/>
              <w:jc w:val="both"/>
              <w:rPr/>
            </w:pPr>
            <w:r>
              <w:rPr/>
              <w:t>Obligations</w:t>
            </w:r>
          </w:p>
        </w:tc>
      </w:tr>
    </w:tbl>
    <w:p>
      <w:pPr>
        <w:pStyle w:val="TextBody"/>
        <w:bidi w:val="0"/>
        <w:spacing w:before="175" w:after="175"/>
        <w:ind w:left="986" w:right="175" w:hanging="709"/>
        <w:jc w:val="both"/>
        <w:rPr>
          <w:b/>
          <w:i/>
          <w:sz w:val="20"/>
        </w:rPr>
      </w:pPr>
      <w:r>
        <w:rPr>
          <w:b w:val="false"/>
          <w:i w:val="false"/>
          <w:caps w:val="false"/>
          <w:smallCaps w:val="false"/>
          <w:sz w:val="20"/>
        </w:rPr>
        <w:t xml:space="preserve">(a)             </w:t>
      </w:r>
      <w:r>
        <w:rPr>
          <w:b/>
          <w:i/>
          <w:sz w:val="20"/>
        </w:rPr>
        <w:t>General Conditions.</w:t>
      </w:r>
    </w:p>
    <w:p>
      <w:pPr>
        <w:pStyle w:val="TextBody"/>
        <w:bidi w:val="0"/>
        <w:spacing w:before="11" w:after="11"/>
        <w:ind w:left="11" w:right="11" w:hanging="0"/>
        <w:jc w:val="left"/>
        <w:rPr/>
      </w:pPr>
      <w:r>
        <w:rPr/>
        <w:t> </w:t>
      </w:r>
    </w:p>
    <w:p>
      <w:pPr>
        <w:pStyle w:val="TextBody"/>
        <w:bidi w:val="0"/>
        <w:ind w:left="986" w:right="194" w:hanging="0"/>
        <w:jc w:val="both"/>
        <w:rPr>
          <w:sz w:val="20"/>
        </w:rPr>
      </w:pPr>
      <w:r>
        <w:rPr>
          <w:sz w:val="20"/>
        </w:rPr>
        <w:t>(i)             Each party will make each payment or delivery specified in each Confirmation to be made by it, subject to the other provisions of this Agreement.</w:t>
      </w:r>
    </w:p>
    <w:p>
      <w:pPr>
        <w:pStyle w:val="TextBody"/>
        <w:bidi w:val="0"/>
        <w:spacing w:before="6" w:after="6"/>
        <w:ind w:left="6" w:right="6" w:hanging="0"/>
        <w:jc w:val="left"/>
        <w:rPr/>
      </w:pPr>
      <w:r>
        <w:rPr/>
        <w:t> </w:t>
      </w:r>
    </w:p>
    <w:p>
      <w:pPr>
        <w:pStyle w:val="TextBody"/>
        <w:bidi w:val="0"/>
        <w:ind w:left="986" w:right="190" w:hanging="0"/>
        <w:jc w:val="both"/>
        <w:rPr>
          <w:sz w:val="20"/>
        </w:rPr>
      </w:pPr>
      <w:r>
        <w:rPr>
          <w:sz w:val="20"/>
        </w:rPr>
        <w:t>(ii)            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pStyle w:val="TextBody"/>
        <w:bidi w:val="0"/>
        <w:spacing w:before="0" w:after="283"/>
        <w:jc w:val="left"/>
        <w:rPr/>
      </w:pPr>
      <w:r>
        <w:rPr/>
        <w:t> </w:t>
      </w:r>
    </w:p>
    <w:p>
      <w:pPr>
        <w:pStyle w:val="TextBody"/>
        <w:bidi w:val="0"/>
        <w:spacing w:before="1" w:after="1"/>
        <w:ind w:left="1" w:right="1" w:hanging="0"/>
        <w:jc w:val="left"/>
        <w:rPr/>
      </w:pPr>
      <w:r>
        <w:rPr/>
        <w:t> </w:t>
      </w:r>
    </w:p>
    <w:p>
      <w:pPr>
        <w:pStyle w:val="TextBody"/>
        <w:bidi w:val="0"/>
        <w:ind w:left="805" w:right="723" w:hanging="0"/>
        <w:jc w:val="center"/>
        <w:rPr>
          <w:sz w:val="16"/>
        </w:rPr>
      </w:pPr>
      <w:r>
        <w:rPr>
          <w:sz w:val="16"/>
        </w:rPr>
        <w:t>Copyright © 2002 by International Swaps and Derivatives Association, Inc.</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3" w:hanging="0"/>
        <w:jc w:val="both"/>
        <w:rPr>
          <w:sz w:val="20"/>
        </w:rPr>
      </w:pPr>
      <w:r>
        <w:rPr>
          <w:sz w:val="20"/>
        </w:rPr>
        <w:t>(iii)           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 relevant Transaction has occurred or been effectively designated and (3) each other condition specified in this Agreement to be a condition precedent for the purpose of this Section 2(a)(iii).</w:t>
      </w:r>
    </w:p>
    <w:p>
      <w:pPr>
        <w:pStyle w:val="TextBody"/>
        <w:bidi w:val="0"/>
        <w:spacing w:before="186" w:after="186"/>
        <w:ind w:left="278" w:right="190" w:hanging="0"/>
        <w:jc w:val="both"/>
        <w:rPr>
          <w:sz w:val="20"/>
        </w:rPr>
      </w:pPr>
      <w:r>
        <w:rPr>
          <w:sz w:val="20"/>
        </w:rPr>
        <w:t xml:space="preserve">(b)            </w:t>
      </w:r>
      <w:r>
        <w:rPr>
          <w:b/>
          <w:i/>
          <w:sz w:val="20"/>
        </w:rPr>
        <w:t xml:space="preserve">Change of Account. </w:t>
      </w:r>
      <w:r>
        <w:rPr>
          <w:sz w:val="20"/>
        </w:rPr>
        <w:t>Either party may change its account for receiving a payment or delivery by giving notice to the other party at least five Local Business Days prior to the Scheduled Settlement Date for the payment or delivery to which such change applies unless such other party gives timely notice of a reasonable objection to such</w:t>
      </w:r>
    </w:p>
    <w:p>
      <w:pPr>
        <w:pStyle w:val="TextBody"/>
        <w:bidi w:val="0"/>
        <w:spacing w:before="6" w:after="6"/>
        <w:ind w:left="278" w:right="6" w:hanging="0"/>
        <w:jc w:val="left"/>
        <w:rPr>
          <w:sz w:val="20"/>
        </w:rPr>
      </w:pPr>
      <w:r>
        <w:rPr>
          <w:sz w:val="20"/>
        </w:rPr>
        <w:t>change.</w:t>
      </w:r>
    </w:p>
    <w:tbl>
      <w:tblPr>
        <w:tblW w:w="5000" w:type="pct"/>
        <w:jc w:val="left"/>
        <w:tblInd w:w="0" w:type="dxa"/>
        <w:tblLayout w:type="fixed"/>
        <w:tblCellMar>
          <w:top w:w="0" w:type="dxa"/>
          <w:left w:w="0" w:type="dxa"/>
          <w:bottom w:w="0" w:type="dxa"/>
          <w:right w:w="0" w:type="dxa"/>
        </w:tblCellMar>
      </w:tblPr>
      <w:tblGrid>
        <w:gridCol w:w="52"/>
        <w:gridCol w:w="380"/>
        <w:gridCol w:w="9773"/>
      </w:tblGrid>
      <w:tr>
        <w:trPr/>
        <w:tc>
          <w:tcPr>
            <w:tcW w:w="5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(c)</w:t>
            </w:r>
          </w:p>
        </w:tc>
        <w:tc>
          <w:tcPr>
            <w:tcW w:w="9773" w:type="dxa"/>
            <w:tcBorders/>
            <w:vAlign w:val="center"/>
          </w:tcPr>
          <w:p>
            <w:pPr>
              <w:pStyle w:val="TableContents"/>
              <w:bidi w:val="0"/>
              <w:spacing w:before="0" w:after="283"/>
              <w:jc w:val="both"/>
              <w:rPr/>
            </w:pPr>
            <w:r>
              <w:rPr>
                <w:b/>
                <w:i/>
              </w:rPr>
              <w:t xml:space="preserve">Netting of Payments. </w:t>
            </w:r>
            <w:r>
              <w:rPr/>
              <w:t>If on any date amounts would otherwise be payable:</w:t>
            </w:r>
          </w:p>
        </w:tc>
      </w:tr>
    </w:tbl>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142"/>
        <w:gridCol w:w="864"/>
        <w:gridCol w:w="9199"/>
      </w:tblGrid>
      <w:tr>
        <w:trPr/>
        <w:tc>
          <w:tcPr>
            <w:tcW w:w="1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pPr>
            <w:r>
              <w:rPr/>
              <w:t>(i)</w:t>
            </w:r>
          </w:p>
        </w:tc>
        <w:tc>
          <w:tcPr>
            <w:tcW w:w="9199" w:type="dxa"/>
            <w:tcBorders/>
            <w:vAlign w:val="center"/>
          </w:tcPr>
          <w:p>
            <w:pPr>
              <w:pStyle w:val="TableContents"/>
              <w:bidi w:val="0"/>
              <w:spacing w:before="0" w:after="283"/>
              <w:jc w:val="both"/>
              <w:rPr/>
            </w:pPr>
            <w:r>
              <w:rPr/>
              <w:t>in the same currency; and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106"/>
        <w:gridCol w:w="815"/>
        <w:gridCol w:w="9284"/>
      </w:tblGrid>
      <w:tr>
        <w:trPr/>
        <w:tc>
          <w:tcPr>
            <w:tcW w:w="1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(ii)</w:t>
            </w:r>
          </w:p>
        </w:tc>
        <w:tc>
          <w:tcPr>
            <w:tcW w:w="9284" w:type="dxa"/>
            <w:tcBorders/>
            <w:vAlign w:val="center"/>
          </w:tcPr>
          <w:p>
            <w:pPr>
              <w:pStyle w:val="TableContents"/>
              <w:bidi w:val="0"/>
              <w:spacing w:before="0" w:after="283"/>
              <w:jc w:val="both"/>
              <w:rPr/>
            </w:pPr>
            <w:r>
              <w:rPr/>
              <w:t>in respect of the same Transaction,</w:t>
            </w:r>
          </w:p>
        </w:tc>
      </w:tr>
    </w:tbl>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which the larger aggregate amount would have been payable to pay to the other party the excess of the larger aggregate amount over the smaller aggregate amount.</w:t>
      </w:r>
    </w:p>
    <w:p>
      <w:pPr>
        <w:pStyle w:val="TextBody"/>
        <w:bidi w:val="0"/>
        <w:spacing w:before="8" w:after="8"/>
        <w:ind w:left="8" w:right="8" w:hanging="0"/>
        <w:jc w:val="left"/>
        <w:rPr/>
      </w:pPr>
      <w:r>
        <w:rPr/>
        <w:t> </w:t>
      </w:r>
    </w:p>
    <w:p>
      <w:pPr>
        <w:pStyle w:val="TextBody"/>
        <w:bidi w:val="0"/>
        <w:ind w:left="278" w:right="191" w:hanging="0"/>
        <w:jc w:val="both"/>
        <w:rPr>
          <w:sz w:val="20"/>
        </w:rPr>
      </w:pPr>
      <w:r>
        <w:rPr>
          <w:sz w:val="20"/>
        </w:rPr>
        <w:t>The parties may elect in respect of two or more Transactions that a net amount and payment obligation will be determined in respect of all amounts payable on the same date in the same currency in respect of those Transactions, regardless of whether such amounts are payable in respect of the same Transaction. The election may be made in the Schedule or any Confirmation by specifying that “Multiple Transaction Payment Netting” applies to the Transactions identified as being subject to the election (in which case clause (ii) above will not apply to such Transactions). If Multiple Transaction Payment Netting is applicable to Transactions, it will apply to those Transactions with effect from the starting date specified in the Schedule or such Confirmation, or, if a starting date is not specified in the Schedule or such Confirmation, the starting date otherwise agreed by the parties in writing. This election may be made separately for different groups of Transactions and will apply separately to each pairing of Offices through which the parties make and receive payments or deliveries.</w:t>
      </w:r>
    </w:p>
    <w:p>
      <w:pPr>
        <w:pStyle w:val="TextBody"/>
        <w:bidi w:val="0"/>
        <w:spacing w:before="176" w:after="176"/>
        <w:ind w:left="986" w:right="176" w:hanging="709"/>
        <w:jc w:val="both"/>
        <w:rPr>
          <w:b/>
          <w:i/>
          <w:sz w:val="20"/>
        </w:rPr>
      </w:pPr>
      <w:r>
        <w:rPr>
          <w:b w:val="false"/>
          <w:i w:val="false"/>
          <w:caps w:val="false"/>
          <w:smallCaps w:val="false"/>
          <w:sz w:val="20"/>
        </w:rPr>
        <w:t xml:space="preserve">(d)            </w:t>
      </w:r>
      <w:r>
        <w:rPr>
          <w:b/>
          <w:i/>
          <w:sz w:val="20"/>
        </w:rPr>
        <w:t>Deduction or Withholding for Tax.</w:t>
      </w:r>
    </w:p>
    <w:p>
      <w:pPr>
        <w:pStyle w:val="TextBody"/>
        <w:bidi w:val="0"/>
        <w:spacing w:before="148" w:after="148"/>
        <w:ind w:left="986" w:right="190" w:hanging="0"/>
        <w:jc w:val="both"/>
        <w:rPr>
          <w:sz w:val="20"/>
        </w:rPr>
      </w:pPr>
      <w:r>
        <w:rPr>
          <w:sz w:val="20"/>
        </w:rPr>
        <w:t>(i)            </w:t>
      </w:r>
      <w:r>
        <w:rPr>
          <w:b/>
          <w:i/>
          <w:sz w:val="20"/>
        </w:rPr>
        <w:t xml:space="preserve">Gross-Up. </w:t>
      </w:r>
      <w:r>
        <w:rPr>
          <w:sz w:val="20"/>
        </w:rPr>
        <w:t>All payments under this Agreement will be made without any deduction or withholding for or on account of any Tax unless such deduction or withholding is required by any applicable law, as modified by the practice of any relevant governmental revenue authority, then in effect. If a party is so required to deduct or withhold, then that party (“X”) will:</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(1)</w:t>
            </w:r>
          </w:p>
        </w:tc>
        <w:tc>
          <w:tcPr>
            <w:tcW w:w="9634" w:type="dxa"/>
            <w:tcBorders/>
            <w:vAlign w:val="center"/>
          </w:tcPr>
          <w:p>
            <w:pPr>
              <w:pStyle w:val="TableContents"/>
              <w:bidi w:val="0"/>
              <w:spacing w:before="0" w:after="283"/>
              <w:jc w:val="both"/>
              <w:rPr/>
            </w:pPr>
            <w:r>
              <w:rPr/>
              <w:t>promptly notify the other party (“Y”) of such requirement;</w:t>
            </w:r>
          </w:p>
        </w:tc>
      </w:tr>
    </w:tbl>
    <w:p>
      <w:pPr>
        <w:pStyle w:val="TextBody"/>
        <w:bidi w:val="0"/>
        <w:spacing w:before="10" w:after="10"/>
        <w:ind w:left="10" w:right="10" w:hanging="0"/>
        <w:jc w:val="left"/>
        <w:rPr/>
      </w:pPr>
      <w:r>
        <w:rPr/>
        <w:t> </w:t>
      </w:r>
    </w:p>
    <w:p>
      <w:pPr>
        <w:pStyle w:val="TextBody"/>
        <w:bidi w:val="0"/>
        <w:ind w:left="1696" w:right="189" w:hanging="0"/>
        <w:jc w:val="both"/>
        <w:rPr>
          <w:sz w:val="20"/>
        </w:rPr>
      </w:pPr>
      <w:r>
        <w:rPr>
          <w:sz w:val="20"/>
        </w:rPr>
        <w:t>(2)            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pStyle w:val="TextBody"/>
        <w:bidi w:val="0"/>
        <w:spacing w:before="8" w:after="8"/>
        <w:ind w:left="8" w:right="8" w:hanging="0"/>
        <w:jc w:val="left"/>
        <w:rPr/>
      </w:pPr>
      <w:r>
        <w:rPr/>
        <w:t> </w:t>
      </w:r>
    </w:p>
    <w:p>
      <w:pPr>
        <w:pStyle w:val="TextBody"/>
        <w:bidi w:val="0"/>
        <w:ind w:left="1696" w:right="191" w:hanging="0"/>
        <w:jc w:val="both"/>
        <w:rPr>
          <w:sz w:val="20"/>
        </w:rPr>
      </w:pPr>
      <w:r>
        <w:rPr>
          <w:sz w:val="20"/>
        </w:rPr>
        <w:t>(3)            promptly forward to Y an official receipt (or a certified copy), or other documentation reasonably acceptable to Y, evidencing such payment to such authorities; and</w:t>
      </w:r>
    </w:p>
    <w:p>
      <w:pPr>
        <w:pStyle w:val="TextBody"/>
        <w:bidi w:val="0"/>
        <w:ind w:left="169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1696" w:right="190" w:hanging="0"/>
        <w:jc w:val="both"/>
        <w:rPr>
          <w:sz w:val="20"/>
        </w:rPr>
      </w:pPr>
      <w:r>
        <w:rPr>
          <w:sz w:val="20"/>
        </w:rPr>
        <w:t>(4)            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pStyle w:val="TextBody"/>
        <w:bidi w:val="0"/>
        <w:spacing w:before="9" w:after="9"/>
        <w:ind w:left="9" w:right="9" w:hanging="0"/>
        <w:jc w:val="left"/>
        <w:rPr/>
      </w:pPr>
      <w:r>
        <w:rPr/>
        <w:t> </w:t>
      </w:r>
    </w:p>
    <w:p>
      <w:pPr>
        <w:pStyle w:val="TextBody"/>
        <w:bidi w:val="0"/>
        <w:ind w:left="2404" w:right="193" w:hanging="0"/>
        <w:jc w:val="both"/>
        <w:rPr>
          <w:sz w:val="20"/>
        </w:rPr>
      </w:pPr>
      <w:r>
        <w:rPr>
          <w:sz w:val="20"/>
        </w:rPr>
        <w:t>(A)           the failure by Y to comply with or perform any agreement contained in Section 4(a)(i), 4(a)(iii) or 4(d); or</w:t>
      </w:r>
    </w:p>
    <w:p>
      <w:pPr>
        <w:pStyle w:val="TextBody"/>
        <w:bidi w:val="0"/>
        <w:spacing w:before="6" w:after="6"/>
        <w:ind w:left="6" w:right="6" w:hanging="0"/>
        <w:jc w:val="left"/>
        <w:rPr/>
      </w:pPr>
      <w:r>
        <w:rPr/>
        <w:t> </w:t>
      </w:r>
    </w:p>
    <w:p>
      <w:pPr>
        <w:pStyle w:val="TextBody"/>
        <w:bidi w:val="0"/>
        <w:ind w:left="2404" w:right="190" w:hanging="0"/>
        <w:jc w:val="both"/>
        <w:rPr>
          <w:sz w:val="20"/>
        </w:rPr>
      </w:pPr>
      <w:r>
        <w:rPr>
          <w:sz w:val="20"/>
        </w:rPr>
        <w:t>(B)           the failure of a representation made by Y pursuant to Section 3(f) to be accurate and true unless such failure would not have occurred but for (I) any action taken by a taxing authority, or brought in a court of competent jurisdiction, after a Transaction is entered into (regardless of whether such action is taken or brought with respect to a party to this Agreement) or (II) a Change in Tax Law.</w:t>
      </w:r>
    </w:p>
    <w:p>
      <w:pPr>
        <w:pStyle w:val="TextBody"/>
        <w:bidi w:val="0"/>
        <w:ind w:left="2404" w:right="190" w:hanging="0"/>
        <w:jc w:val="both"/>
        <w:rPr/>
      </w:pPr>
      <w:r>
        <w:rPr/>
        <w:t> </w:t>
      </w:r>
    </w:p>
    <w:p>
      <w:pPr>
        <w:pStyle w:val="TextBody"/>
        <w:bidi w:val="0"/>
        <w:spacing w:before="0" w:after="0"/>
        <w:ind w:left="986" w:right="190" w:hanging="0"/>
        <w:jc w:val="both"/>
        <w:rPr>
          <w:sz w:val="20"/>
        </w:rPr>
      </w:pPr>
      <w:r>
        <w:rPr>
          <w:sz w:val="20"/>
        </w:rPr>
        <w:t>(ii)           </w:t>
      </w:r>
      <w:r>
        <w:rPr>
          <w:b/>
          <w:i/>
          <w:sz w:val="20"/>
        </w:rPr>
        <w:t xml:space="preserve">Liability. </w:t>
      </w:r>
      <w:r>
        <w:rPr>
          <w:sz w:val="20"/>
        </w:rPr>
        <w:t>If:</w:t>
      </w:r>
    </w:p>
    <w:p>
      <w:pPr>
        <w:pStyle w:val="TextBody"/>
        <w:bidi w:val="0"/>
        <w:ind w:left="1696" w:right="193"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X is required by any applicable law, as modified by the practice of any relevant governmental revenue authority, to make any deduction or withholding in respect of which X would not be required to pay an additional amount to Y under Section 2(d)(i)(4);</w:t>
            </w:r>
          </w:p>
        </w:tc>
      </w:tr>
    </w:tbl>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97"/>
        <w:gridCol w:w="744"/>
        <w:gridCol w:w="9364"/>
      </w:tblGrid>
      <w:tr>
        <w:trPr/>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(2)</w:t>
            </w:r>
          </w:p>
        </w:tc>
        <w:tc>
          <w:tcPr>
            <w:tcW w:w="9364" w:type="dxa"/>
            <w:tcBorders/>
            <w:vAlign w:val="center"/>
          </w:tcPr>
          <w:p>
            <w:pPr>
              <w:pStyle w:val="TableContents"/>
              <w:bidi w:val="0"/>
              <w:spacing w:before="0" w:after="283"/>
              <w:jc w:val="both"/>
              <w:rPr/>
            </w:pPr>
            <w:r>
              <w:rPr/>
              <w:t>X does not so deduct or withhold; and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60"/>
        <w:gridCol w:w="463"/>
        <w:gridCol w:w="9682"/>
      </w:tblGrid>
      <w:tr>
        <w:trPr/>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(3)</w:t>
            </w:r>
          </w:p>
        </w:tc>
        <w:tc>
          <w:tcPr>
            <w:tcW w:w="9682" w:type="dxa"/>
            <w:tcBorders/>
            <w:vAlign w:val="center"/>
          </w:tcPr>
          <w:p>
            <w:pPr>
              <w:pStyle w:val="TableContents"/>
              <w:bidi w:val="0"/>
              <w:spacing w:before="0" w:after="283"/>
              <w:jc w:val="both"/>
              <w:rPr/>
            </w:pPr>
            <w:r>
              <w:rPr/>
              <w:t>a liability resulting from such Tax is assessed directly against X,</w:t>
            </w:r>
          </w:p>
        </w:tc>
      </w:tr>
    </w:tbl>
    <w:p>
      <w:pPr>
        <w:pStyle w:val="TextBody"/>
        <w:bidi w:val="0"/>
        <w:spacing w:before="11" w:after="11"/>
        <w:ind w:left="11" w:right="11" w:hanging="0"/>
        <w:jc w:val="left"/>
        <w:rPr/>
      </w:pPr>
      <w:r>
        <w:rPr/>
        <w:t> </w:t>
      </w:r>
    </w:p>
    <w:p>
      <w:pPr>
        <w:pStyle w:val="TextBody"/>
        <w:bidi w:val="0"/>
        <w:ind w:left="986" w:right="189" w:hanging="0"/>
        <w:jc w:val="both"/>
        <w:rPr>
          <w:sz w:val="20"/>
        </w:rPr>
      </w:pPr>
      <w:r>
        <w:rPr>
          <w:sz w:val="20"/>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3.</w:t>
            </w:r>
          </w:p>
        </w:tc>
        <w:tc>
          <w:tcPr>
            <w:tcW w:w="8836" w:type="dxa"/>
            <w:tcBorders/>
            <w:vAlign w:val="center"/>
          </w:tcPr>
          <w:p>
            <w:pPr>
              <w:pStyle w:val="TableContents"/>
              <w:bidi w:val="0"/>
              <w:spacing w:before="0" w:after="283"/>
              <w:jc w:val="both"/>
              <w:rPr/>
            </w:pPr>
            <w:r>
              <w:rPr/>
              <w:t>Representations</w:t>
            </w:r>
          </w:p>
        </w:tc>
      </w:tr>
    </w:tbl>
    <w:p>
      <w:pPr>
        <w:pStyle w:val="TextBody"/>
        <w:bidi w:val="0"/>
        <w:spacing w:before="10" w:after="10"/>
        <w:ind w:left="10" w:right="10" w:hanging="0"/>
        <w:jc w:val="left"/>
        <w:rPr/>
      </w:pPr>
      <w:r>
        <w:rPr/>
        <w:t> </w:t>
      </w:r>
    </w:p>
    <w:p>
      <w:pPr>
        <w:pStyle w:val="TextBody"/>
        <w:bidi w:val="0"/>
        <w:ind w:left="278" w:right="188" w:hanging="0"/>
        <w:jc w:val="both"/>
        <w:rPr>
          <w:sz w:val="20"/>
        </w:rPr>
      </w:pPr>
      <w:r>
        <w:rPr>
          <w:sz w:val="20"/>
        </w:rPr>
        <w:t>Each party makes the representations contained in Sections 3(a), 3(b), 3(c), 3(d), 3(e) and 3(f) and, if specified in the Schedule as applying, 3(g) to the other party (which representations will be deemed to be repeated by each party on each date on which a Transaction is entered into and, in the case of the representations in Section 3(f), at all times until the termination of this Agreement). If any “Additional Representation” is specified in the Schedule or any Confirmation as applying, the party or parties specified for such Additional Representation will make and, if applicable, be deemed to repeat such Additional Representation at the time or times specified for such Additional Representation.</w:t>
      </w:r>
    </w:p>
    <w:p>
      <w:pPr>
        <w:pStyle w:val="TextBody"/>
        <w:bidi w:val="0"/>
        <w:ind w:left="278" w:right="188" w:hanging="0"/>
        <w:jc w:val="both"/>
        <w:rPr/>
      </w:pPr>
      <w:r>
        <w:rPr/>
        <w:t> </w:t>
      </w:r>
    </w:p>
    <w:p>
      <w:pPr>
        <w:pStyle w:val="TextBody"/>
        <w:bidi w:val="0"/>
        <w:ind w:left="278" w:right="188" w:hanging="0"/>
        <w:jc w:val="both"/>
        <w:rPr>
          <w:sz w:val="20"/>
        </w:rPr>
      </w:pPr>
      <w:r>
        <w:rPr>
          <w:sz w:val="20"/>
        </w:rPr>
        <w:t xml:space="preserve">(a)             </w:t>
      </w:r>
      <w:r>
        <w:rPr>
          <w:b/>
          <w:i/>
          <w:sz w:val="20"/>
        </w:rPr>
        <w:t>Basic Representations.</w:t>
      </w:r>
    </w:p>
    <w:p>
      <w:pPr>
        <w:pStyle w:val="TextBody"/>
        <w:bidi w:val="0"/>
        <w:spacing w:before="166" w:after="166"/>
        <w:ind w:left="986" w:right="188" w:hanging="0"/>
        <w:jc w:val="both"/>
        <w:rPr>
          <w:sz w:val="20"/>
        </w:rPr>
      </w:pPr>
      <w:r>
        <w:rPr>
          <w:sz w:val="20"/>
        </w:rPr>
        <w:t xml:space="preserve">(i)             </w:t>
      </w:r>
      <w:r>
        <w:rPr>
          <w:b/>
          <w:i/>
          <w:sz w:val="20"/>
        </w:rPr>
        <w:t xml:space="preserve">Status. </w:t>
      </w:r>
      <w:r>
        <w:rPr>
          <w:sz w:val="20"/>
        </w:rPr>
        <w:t>It is duly organised and validly existing under the laws of the jurisdiction of its organisation or incorporation and, if relevant under such laws, in good standing;</w:t>
      </w:r>
    </w:p>
    <w:p>
      <w:pPr>
        <w:pStyle w:val="TextBody"/>
        <w:bidi w:val="0"/>
        <w:spacing w:before="5" w:after="5"/>
        <w:ind w:left="5" w:right="5" w:hanging="0"/>
        <w:jc w:val="left"/>
        <w:rPr/>
      </w:pPr>
      <w:r>
        <w:rPr/>
        <w:t> </w:t>
      </w:r>
    </w:p>
    <w:p>
      <w:pPr>
        <w:pStyle w:val="TextBody"/>
        <w:bidi w:val="0"/>
        <w:ind w:left="986" w:right="191" w:hanging="0"/>
        <w:jc w:val="both"/>
        <w:rPr>
          <w:sz w:val="20"/>
        </w:rPr>
      </w:pPr>
      <w:r>
        <w:rPr>
          <w:sz w:val="20"/>
        </w:rPr>
        <w:t xml:space="preserve">(ii)            </w:t>
      </w:r>
      <w:r>
        <w:rPr>
          <w:b/>
          <w:i/>
          <w:sz w:val="20"/>
        </w:rPr>
        <w:t xml:space="preserve">Powers. </w:t>
      </w:r>
      <w:r>
        <w:rPr>
          <w:sz w:val="20"/>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pStyle w:val="TextBody"/>
        <w:bidi w:val="0"/>
        <w:spacing w:before="9" w:after="9"/>
        <w:ind w:left="98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986" w:right="192" w:hanging="0"/>
        <w:jc w:val="both"/>
        <w:rPr>
          <w:sz w:val="20"/>
        </w:rPr>
      </w:pPr>
      <w:r>
        <w:rPr>
          <w:sz w:val="20"/>
        </w:rPr>
        <w:t xml:space="preserve">(iii)           </w:t>
      </w:r>
      <w:r>
        <w:rPr>
          <w:b/>
          <w:i/>
          <w:sz w:val="20"/>
        </w:rPr>
        <w:t xml:space="preserve">No Violation or Conflict. </w:t>
      </w:r>
      <w:r>
        <w:rPr>
          <w:sz w:val="20"/>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pStyle w:val="TextBody"/>
        <w:bidi w:val="0"/>
        <w:spacing w:before="190" w:after="190"/>
        <w:ind w:left="986" w:right="191" w:hanging="0"/>
        <w:jc w:val="both"/>
        <w:rPr>
          <w:sz w:val="20"/>
        </w:rPr>
      </w:pPr>
      <w:r>
        <w:rPr>
          <w:sz w:val="20"/>
        </w:rPr>
        <w:t xml:space="preserve">(iv)           </w:t>
      </w:r>
      <w:r>
        <w:rPr>
          <w:b/>
          <w:i/>
          <w:sz w:val="20"/>
        </w:rPr>
        <w:t xml:space="preserve">Consents. </w:t>
      </w:r>
      <w:r>
        <w:rPr>
          <w:sz w:val="20"/>
        </w:rPr>
        <w:t>All governmental and other consents that are required to have been obtained by it with respect to this Agreement or any Credit Support Document to which it is a party have been obtained and are in full force and effect and all conditions of any such consents have been complied with; and</w:t>
      </w:r>
    </w:p>
    <w:p>
      <w:pPr>
        <w:pStyle w:val="TextBody"/>
        <w:bidi w:val="0"/>
        <w:spacing w:before="191" w:after="191"/>
        <w:ind w:left="986" w:right="192" w:hanging="0"/>
        <w:jc w:val="both"/>
        <w:rPr>
          <w:sz w:val="20"/>
        </w:rPr>
      </w:pPr>
      <w:r>
        <w:rPr>
          <w:sz w:val="20"/>
        </w:rPr>
        <w:t xml:space="preserve">(v)            </w:t>
      </w:r>
      <w:r>
        <w:rPr>
          <w:b/>
          <w:i/>
          <w:sz w:val="20"/>
        </w:rPr>
        <w:t xml:space="preserve">Obligations Binding. </w:t>
      </w:r>
      <w:r>
        <w:rPr>
          <w:sz w:val="20"/>
        </w:rPr>
        <w:t>Its obligations under this Agreement and any Credit Support Document to which it is a party constitute its legal, valid and binding 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 is sought in a proceeding in equity or at law)).</w:t>
      </w:r>
    </w:p>
    <w:p>
      <w:pPr>
        <w:pStyle w:val="TextBody"/>
        <w:bidi w:val="0"/>
        <w:spacing w:before="186" w:after="186"/>
        <w:ind w:left="278" w:right="191" w:hanging="0"/>
        <w:jc w:val="both"/>
        <w:rPr>
          <w:sz w:val="20"/>
        </w:rPr>
      </w:pPr>
      <w:r>
        <w:rPr>
          <w:sz w:val="20"/>
        </w:rPr>
        <w:t xml:space="preserve">(b)            </w:t>
      </w:r>
      <w:r>
        <w:rPr>
          <w:b/>
          <w:i/>
          <w:sz w:val="20"/>
        </w:rPr>
        <w:t xml:space="preserve">Absence of Certain Events. </w:t>
      </w:r>
      <w:r>
        <w:rPr>
          <w:sz w:val="20"/>
        </w:rPr>
        <w:t>No Event of Default or Potential Event of Default or, to its knowledge, Termination Event with respect to it has occurred and is continuing and no such event or circumstance would occur as a result of its entering into or performing its obligations under this Agreement or any Credit Support Document to which it is a party.</w:t>
      </w:r>
    </w:p>
    <w:p>
      <w:pPr>
        <w:pStyle w:val="TextBody"/>
        <w:bidi w:val="0"/>
        <w:spacing w:before="190" w:after="190"/>
        <w:ind w:left="278" w:right="190" w:hanging="0"/>
        <w:jc w:val="both"/>
        <w:rPr>
          <w:sz w:val="20"/>
        </w:rPr>
      </w:pPr>
      <w:r>
        <w:rPr>
          <w:sz w:val="20"/>
        </w:rPr>
        <w:t xml:space="preserve">(c)             </w:t>
      </w:r>
      <w:r>
        <w:rPr>
          <w:b/>
          <w:i/>
          <w:sz w:val="20"/>
        </w:rPr>
        <w:t xml:space="preserve">Absence of Litigation. </w:t>
      </w:r>
      <w:r>
        <w:rPr>
          <w:sz w:val="20"/>
        </w:rPr>
        <w:t>There is not pending or, to its knowledge, threatened against it, any of its Credit Support Providers or any of its applicable Specified Entities any action, suit or proceeding at law or in equity 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pStyle w:val="TextBody"/>
        <w:bidi w:val="0"/>
        <w:spacing w:before="186" w:after="186"/>
        <w:ind w:left="278" w:right="191" w:hanging="0"/>
        <w:jc w:val="both"/>
        <w:rPr>
          <w:sz w:val="20"/>
        </w:rPr>
      </w:pPr>
      <w:r>
        <w:rPr>
          <w:sz w:val="20"/>
        </w:rPr>
        <w:t xml:space="preserve">(d)            </w:t>
      </w:r>
      <w:r>
        <w:rPr>
          <w:b/>
          <w:i/>
          <w:sz w:val="20"/>
        </w:rPr>
        <w:t xml:space="preserve">Accuracy of Specified Information. </w:t>
      </w:r>
      <w:r>
        <w:rPr>
          <w:sz w:val="20"/>
        </w:rPr>
        <w:t>All applicable information that is furnished in writing by or on behalf of it to the other party and is identified for the purpose of this Section 3(d) in the Schedule is, as of the date of the information, true, accurate and complete in every material respect.</w:t>
      </w:r>
    </w:p>
    <w:p>
      <w:pPr>
        <w:pStyle w:val="TextBody"/>
        <w:bidi w:val="0"/>
        <w:spacing w:before="2" w:after="2"/>
        <w:ind w:left="2" w:right="2" w:hanging="0"/>
        <w:jc w:val="left"/>
        <w:rPr/>
      </w:pPr>
      <w:r>
        <w:rPr/>
        <w:t> </w:t>
      </w:r>
    </w:p>
    <w:p>
      <w:pPr>
        <w:pStyle w:val="TextBody"/>
        <w:bidi w:val="0"/>
        <w:ind w:left="278" w:right="194" w:hanging="0"/>
        <w:jc w:val="both"/>
        <w:rPr>
          <w:sz w:val="20"/>
        </w:rPr>
      </w:pPr>
      <w:r>
        <w:rPr>
          <w:sz w:val="20"/>
        </w:rPr>
        <w:t xml:space="preserve">(e)             </w:t>
      </w:r>
      <w:r>
        <w:rPr>
          <w:b/>
          <w:i/>
          <w:sz w:val="20"/>
        </w:rPr>
        <w:t xml:space="preserve">Payer Tax Representation. </w:t>
      </w:r>
      <w:r>
        <w:rPr>
          <w:sz w:val="20"/>
        </w:rPr>
        <w:t>Each representation specified in the Schedule as being made by it for the purpose of this Section 3(e) is accurate and true.</w:t>
      </w:r>
    </w:p>
    <w:p>
      <w:pPr>
        <w:pStyle w:val="TextBody"/>
        <w:bidi w:val="0"/>
        <w:spacing w:before="5" w:after="5"/>
        <w:ind w:left="5" w:right="5" w:hanging="0"/>
        <w:jc w:val="left"/>
        <w:rPr/>
      </w:pPr>
      <w:r>
        <w:rPr/>
        <w:t> </w:t>
      </w:r>
    </w:p>
    <w:p>
      <w:pPr>
        <w:pStyle w:val="TextBody"/>
        <w:bidi w:val="0"/>
        <w:ind w:left="278" w:right="194" w:hanging="0"/>
        <w:jc w:val="both"/>
        <w:rPr>
          <w:sz w:val="20"/>
        </w:rPr>
      </w:pPr>
      <w:r>
        <w:rPr>
          <w:sz w:val="20"/>
        </w:rPr>
        <w:t xml:space="preserve">(f)             </w:t>
      </w:r>
      <w:r>
        <w:rPr>
          <w:b/>
          <w:i/>
          <w:sz w:val="20"/>
        </w:rPr>
        <w:t xml:space="preserve">Payee Tax Representations. </w:t>
      </w:r>
      <w:r>
        <w:rPr>
          <w:sz w:val="20"/>
        </w:rPr>
        <w:t>Each representation specified in the Schedule as being made by it for the purpose of this Section 3(f) is accurate and true.</w:t>
      </w:r>
    </w:p>
    <w:p>
      <w:pPr>
        <w:pStyle w:val="TextBody"/>
        <w:bidi w:val="0"/>
        <w:spacing w:before="5" w:after="5"/>
        <w:ind w:left="5" w:right="5" w:hanging="0"/>
        <w:jc w:val="left"/>
        <w:rPr/>
      </w:pPr>
      <w:r>
        <w:rPr/>
        <w:t> </w:t>
      </w:r>
    </w:p>
    <w:p>
      <w:pPr>
        <w:pStyle w:val="TextBody"/>
        <w:bidi w:val="0"/>
        <w:ind w:left="278" w:right="192" w:hanging="0"/>
        <w:jc w:val="both"/>
        <w:rPr>
          <w:sz w:val="20"/>
        </w:rPr>
      </w:pPr>
      <w:r>
        <w:rPr>
          <w:sz w:val="20"/>
        </w:rPr>
        <w:t xml:space="preserve">(g)            </w:t>
      </w:r>
      <w:r>
        <w:rPr>
          <w:b/>
          <w:i/>
          <w:sz w:val="20"/>
        </w:rPr>
        <w:t xml:space="preserve">No Agency. </w:t>
      </w:r>
      <w:r>
        <w:rPr>
          <w:sz w:val="20"/>
        </w:rPr>
        <w:t>It is entering into this Agreement, including each Transaction, as principal and not as agent of any person or entity.</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4.</w:t>
            </w:r>
          </w:p>
        </w:tc>
        <w:tc>
          <w:tcPr>
            <w:tcW w:w="8487" w:type="dxa"/>
            <w:tcBorders/>
            <w:vAlign w:val="center"/>
          </w:tcPr>
          <w:p>
            <w:pPr>
              <w:pStyle w:val="TableContents"/>
              <w:bidi w:val="0"/>
              <w:spacing w:before="0" w:after="283"/>
              <w:jc w:val="both"/>
              <w:rPr/>
            </w:pPr>
            <w:r>
              <w:rPr/>
              <w:t>Agreements</w:t>
            </w:r>
          </w:p>
        </w:tc>
      </w:tr>
    </w:tbl>
    <w:p>
      <w:pPr>
        <w:pStyle w:val="TextBody"/>
        <w:bidi w:val="0"/>
        <w:spacing w:before="10" w:after="10"/>
        <w:ind w:left="10" w:right="10" w:hanging="0"/>
        <w:jc w:val="left"/>
        <w:rPr/>
      </w:pPr>
      <w:r>
        <w:rPr/>
        <w:t> </w:t>
      </w:r>
    </w:p>
    <w:p>
      <w:pPr>
        <w:pStyle w:val="TextBody"/>
        <w:bidi w:val="0"/>
        <w:ind w:left="278" w:right="194" w:hanging="0"/>
        <w:jc w:val="both"/>
        <w:rPr>
          <w:sz w:val="20"/>
        </w:rPr>
      </w:pPr>
      <w:r>
        <w:rPr>
          <w:sz w:val="20"/>
        </w:rPr>
        <w:t>Each party agrees with the other that, so long as either party has or may have any obligation under this Agreement or under any Credit Support Document to which it is a party:</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 xml:space="preserve">(a)             </w:t>
      </w:r>
      <w:r>
        <w:rPr>
          <w:b/>
          <w:i/>
          <w:sz w:val="20"/>
        </w:rPr>
        <w:t xml:space="preserve">Furnish Specified Information. </w:t>
      </w:r>
      <w:r>
        <w:rPr>
          <w:sz w:val="20"/>
        </w:rPr>
        <w:t>It will deliver to the other party or, in certain cases under clause (iii) below, to such government or taxing authority as the other party reasonably directs:</w:t>
      </w:r>
    </w:p>
    <w:p>
      <w:pPr>
        <w:pStyle w:val="TextBody"/>
        <w:bidi w:val="0"/>
        <w:ind w:left="278" w:right="192" w:hanging="0"/>
        <w:jc w:val="both"/>
        <w:rPr/>
      </w:pPr>
      <w:r>
        <w:rPr/>
        <w:t> </w:t>
      </w:r>
    </w:p>
    <w:tbl>
      <w:tblPr>
        <w:tblW w:w="9978" w:type="dxa"/>
        <w:jc w:val="left"/>
        <w:tblInd w:w="0" w:type="dxa"/>
        <w:tblLayout w:type="fixed"/>
        <w:tblCellMar>
          <w:top w:w="0" w:type="dxa"/>
          <w:left w:w="0" w:type="dxa"/>
          <w:bottom w:w="0" w:type="dxa"/>
          <w:right w:w="0" w:type="dxa"/>
        </w:tblCellMar>
      </w:tblPr>
      <w:tblGrid>
        <w:gridCol w:w="38"/>
        <w:gridCol w:w="23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710" w:type="dxa"/>
            <w:tcBorders/>
            <w:vAlign w:val="center"/>
          </w:tcPr>
          <w:p>
            <w:pPr>
              <w:pStyle w:val="TableContents"/>
              <w:bidi w:val="0"/>
              <w:spacing w:before="0" w:after="283"/>
              <w:jc w:val="both"/>
              <w:rPr/>
            </w:pPr>
            <w:r>
              <w:rPr/>
              <w:t>any forms, documents or certificates relating to taxation specified in the Schedule or any Confirmation;</w:t>
            </w:r>
          </w:p>
        </w:tc>
      </w:tr>
    </w:tbl>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(ii)</w:t>
            </w:r>
          </w:p>
        </w:tc>
        <w:tc>
          <w:tcPr>
            <w:tcW w:w="9740" w:type="dxa"/>
            <w:tcBorders/>
            <w:vAlign w:val="center"/>
          </w:tcPr>
          <w:p>
            <w:pPr>
              <w:pStyle w:val="TableContents"/>
              <w:bidi w:val="0"/>
              <w:spacing w:before="0" w:after="283"/>
              <w:jc w:val="both"/>
              <w:rPr/>
            </w:pPr>
            <w:r>
              <w:rPr/>
              <w:t>any other documents specified in the Schedule or any Confirmation;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0" w:hanging="0"/>
        <w:jc w:val="both"/>
        <w:rPr>
          <w:sz w:val="20"/>
        </w:rPr>
      </w:pPr>
      <w:r>
        <w:rPr>
          <w:sz w:val="20"/>
        </w:rPr>
        <w:t>(iii)          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 with any such form or document to be accurate and completed in a manner reasonably satisfactory to such other party and to be executed and to be delivered with any reasonably required certification,</w:t>
      </w:r>
    </w:p>
    <w:p>
      <w:pPr>
        <w:pStyle w:val="TextBody"/>
        <w:bidi w:val="0"/>
        <w:spacing w:before="10" w:after="10"/>
        <w:ind w:left="10" w:right="10" w:hanging="0"/>
        <w:jc w:val="left"/>
        <w:rPr/>
      </w:pPr>
      <w:r>
        <w:rPr/>
        <w:t> </w:t>
      </w:r>
    </w:p>
    <w:p>
      <w:pPr>
        <w:pStyle w:val="TextBody"/>
        <w:bidi w:val="0"/>
        <w:ind w:left="278" w:right="190" w:hanging="0"/>
        <w:jc w:val="both"/>
        <w:rPr>
          <w:sz w:val="20"/>
        </w:rPr>
      </w:pPr>
      <w:r>
        <w:rPr>
          <w:sz w:val="20"/>
        </w:rPr>
        <w:t>in each case by the date specified in the Schedule or such Confirmation or, if none is specified, as soon as reasonably practicable.</w:t>
      </w:r>
    </w:p>
    <w:p>
      <w:pPr>
        <w:pStyle w:val="TextBody"/>
        <w:bidi w:val="0"/>
        <w:spacing w:before="186" w:after="186"/>
        <w:ind w:left="278" w:right="190" w:hanging="0"/>
        <w:jc w:val="both"/>
        <w:rPr>
          <w:sz w:val="20"/>
        </w:rPr>
      </w:pPr>
      <w:r>
        <w:rPr>
          <w:sz w:val="20"/>
        </w:rPr>
        <w:t xml:space="preserve">(b)            </w:t>
      </w:r>
      <w:r>
        <w:rPr>
          <w:b/>
          <w:i/>
          <w:sz w:val="20"/>
        </w:rPr>
        <w:t xml:space="preserve">Maintain Authorisations. </w:t>
      </w:r>
      <w:r>
        <w:rPr>
          <w:sz w:val="20"/>
        </w:rPr>
        <w:t>It will use all reasonable efforts to maintain in full force and effect all consents of any governmental or other authority that are required to be obtained by it with respect to this Agreement or any Credit Support Document to which it is a party and will use all reasonable efforts to obtain any that may become</w:t>
      </w:r>
    </w:p>
    <w:p>
      <w:pPr>
        <w:pStyle w:val="TextBody"/>
        <w:bidi w:val="0"/>
        <w:spacing w:before="7" w:after="7"/>
        <w:ind w:left="278" w:right="7" w:hanging="0"/>
        <w:jc w:val="both"/>
        <w:rPr>
          <w:sz w:val="20"/>
        </w:rPr>
      </w:pPr>
      <w:r>
        <w:rPr>
          <w:sz w:val="20"/>
        </w:rPr>
        <w:t>necessary in the future.</w:t>
      </w:r>
    </w:p>
    <w:p>
      <w:pPr>
        <w:pStyle w:val="TextBody"/>
        <w:bidi w:val="0"/>
        <w:spacing w:before="189" w:after="189"/>
        <w:ind w:left="278" w:right="193" w:hanging="0"/>
        <w:jc w:val="both"/>
        <w:rPr>
          <w:sz w:val="20"/>
        </w:rPr>
      </w:pPr>
      <w:r>
        <w:rPr>
          <w:sz w:val="20"/>
        </w:rPr>
        <w:t xml:space="preserve">(c)             </w:t>
      </w:r>
      <w:r>
        <w:rPr>
          <w:b/>
          <w:i/>
          <w:sz w:val="20"/>
        </w:rPr>
        <w:t xml:space="preserve">Comply With Laws. </w:t>
      </w:r>
      <w:r>
        <w:rPr>
          <w:sz w:val="20"/>
        </w:rPr>
        <w:t>It will comply in all material respects with all applicable laws and orders to which it may be subject if failure so to comply would materially impair its ability to perform its obligations under this Agreement or any Credit Support Document to which it is a party.</w:t>
      </w:r>
    </w:p>
    <w:p>
      <w:pPr>
        <w:pStyle w:val="TextBody"/>
        <w:bidi w:val="0"/>
        <w:spacing w:before="2" w:after="2"/>
        <w:ind w:left="2" w:right="2" w:hanging="0"/>
        <w:jc w:val="left"/>
        <w:rPr/>
      </w:pPr>
      <w:r>
        <w:rPr/>
        <w:t> </w:t>
      </w:r>
    </w:p>
    <w:p>
      <w:pPr>
        <w:pStyle w:val="TextBody"/>
        <w:bidi w:val="0"/>
        <w:ind w:left="278" w:right="193" w:hanging="0"/>
        <w:jc w:val="both"/>
        <w:rPr>
          <w:sz w:val="20"/>
        </w:rPr>
      </w:pPr>
      <w:r>
        <w:rPr>
          <w:sz w:val="20"/>
        </w:rPr>
        <w:t xml:space="preserve">(d)            </w:t>
      </w:r>
      <w:r>
        <w:rPr>
          <w:b/>
          <w:i/>
          <w:sz w:val="20"/>
        </w:rPr>
        <w:t xml:space="preserve">Tax Agreement. </w:t>
      </w:r>
      <w:r>
        <w:rPr>
          <w:sz w:val="20"/>
        </w:rPr>
        <w:t>It will give notice of any failure of a representation made by it under Section 3(f) to be accurate and true promptly upon learning of such failure.</w:t>
      </w:r>
    </w:p>
    <w:p>
      <w:pPr>
        <w:pStyle w:val="TextBody"/>
        <w:bidi w:val="0"/>
        <w:spacing w:before="5" w:after="5"/>
        <w:ind w:left="5" w:right="5" w:hanging="0"/>
        <w:jc w:val="left"/>
        <w:rPr/>
      </w:pPr>
      <w:r>
        <w:rPr/>
        <w:t> </w:t>
      </w:r>
    </w:p>
    <w:p>
      <w:pPr>
        <w:pStyle w:val="TextBody"/>
        <w:bidi w:val="0"/>
        <w:ind w:left="278" w:right="191" w:hanging="0"/>
        <w:jc w:val="both"/>
        <w:rPr>
          <w:sz w:val="20"/>
        </w:rPr>
      </w:pPr>
      <w:r>
        <w:rPr>
          <w:sz w:val="20"/>
        </w:rPr>
        <w:t xml:space="preserve">(e)             </w:t>
      </w:r>
      <w:r>
        <w:rPr>
          <w:b/>
          <w:i/>
          <w:sz w:val="20"/>
        </w:rPr>
        <w:t xml:space="preserve">Payment of Stamp Tax. </w:t>
      </w:r>
      <w:r>
        <w:rPr>
          <w:sz w:val="20"/>
        </w:rPr>
        <w:t>Subject to Section 11, it will pay any Stamp Tax levied or imposed upon it or in respect of its execution or performance of this Agreement by a jurisdiction in which it is incorporated, organised, managed and controlled or considered to have its seat, or where an Office through which it is acting for the purpose of this Agreement is located (“Stamp Tax Jurisdiction”), and will indemnify the other party against any Stamp Tax levied or imposed upon the other party or in respect of the other party’s execution or performance of this Agreement by any such Stamp Tax Jurisdiction which is not also a Stamp Tax Jurisdiction with respect to the other party.</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5.</w:t>
            </w:r>
          </w:p>
        </w:tc>
        <w:tc>
          <w:tcPr>
            <w:tcW w:w="9636" w:type="dxa"/>
            <w:tcBorders/>
            <w:vAlign w:val="center"/>
          </w:tcPr>
          <w:p>
            <w:pPr>
              <w:pStyle w:val="TableContents"/>
              <w:bidi w:val="0"/>
              <w:spacing w:before="0" w:after="283"/>
              <w:jc w:val="both"/>
              <w:rPr/>
            </w:pPr>
            <w:r>
              <w:rPr/>
              <w:t>Events of Default and Termination Events</w:t>
            </w:r>
          </w:p>
        </w:tc>
      </w:tr>
    </w:tbl>
    <w:p>
      <w:pPr>
        <w:pStyle w:val="TextBody"/>
        <w:bidi w:val="0"/>
        <w:spacing w:before="190" w:after="190"/>
        <w:ind w:left="278" w:right="194" w:hanging="0"/>
        <w:jc w:val="both"/>
        <w:rPr>
          <w:sz w:val="20"/>
        </w:rPr>
      </w:pPr>
      <w:r>
        <w:rPr>
          <w:sz w:val="20"/>
        </w:rPr>
        <w:t xml:space="preserve">(a)             </w:t>
      </w:r>
      <w:r>
        <w:rPr>
          <w:b/>
          <w:i/>
          <w:sz w:val="20"/>
        </w:rPr>
        <w:t xml:space="preserve">Events of Default. </w:t>
      </w:r>
      <w:r>
        <w:rPr>
          <w:sz w:val="20"/>
        </w:rPr>
        <w:t>The occurrence at any time with respect to a party or, if applicable, any Credit Support Provider of such party or any Specified Entity of such party of any of the following events constitutes (subject to Sections 5(c) and 6(e)(iv)) an event of default (an “Event of Default”) with respect to such party:</w:t>
      </w:r>
    </w:p>
    <w:p>
      <w:pPr>
        <w:pStyle w:val="TextBody"/>
        <w:bidi w:val="0"/>
        <w:spacing w:before="2" w:after="2"/>
        <w:ind w:left="2" w:right="2" w:hanging="0"/>
        <w:jc w:val="left"/>
        <w:rPr/>
      </w:pPr>
      <w:r>
        <w:rPr/>
        <w:t> </w:t>
      </w:r>
    </w:p>
    <w:p>
      <w:pPr>
        <w:pStyle w:val="TextBody"/>
        <w:bidi w:val="0"/>
        <w:ind w:left="986" w:right="192" w:hanging="0"/>
        <w:jc w:val="both"/>
        <w:rPr>
          <w:sz w:val="20"/>
        </w:rPr>
      </w:pPr>
      <w:r>
        <w:rPr>
          <w:sz w:val="20"/>
        </w:rPr>
        <w:t>(i)            </w:t>
      </w:r>
      <w:r>
        <w:rPr>
          <w:b/>
          <w:i/>
          <w:sz w:val="20"/>
        </w:rPr>
        <w:t xml:space="preserve">Failure to Pay or Deliver. </w:t>
      </w:r>
      <w:r>
        <w:rPr>
          <w:sz w:val="20"/>
        </w:rPr>
        <w:t>Failure by the party to make, when due, any payment under this Agreement or delivery under Section 2(a)(i) or 9(h)(i)(2) or (4) required to be made by it if such failure is not remedied on or before the first Local Business Day in the case of any such payment or the first Local Delivery Day in the case of any such delivery after, in each case, notice of such failure is given to the party;</w:t>
      </w:r>
    </w:p>
    <w:tbl>
      <w:tblPr>
        <w:tblW w:w="5000" w:type="pct"/>
        <w:jc w:val="left"/>
        <w:tblInd w:w="0" w:type="dxa"/>
        <w:tblLayout w:type="fixed"/>
        <w:tblCellMar>
          <w:top w:w="0" w:type="dxa"/>
          <w:left w:w="0" w:type="dxa"/>
          <w:bottom w:w="0" w:type="dxa"/>
          <w:right w:w="0" w:type="dxa"/>
        </w:tblCellMar>
      </w:tblPr>
      <w:tblGrid>
        <w:gridCol w:w="75"/>
        <w:gridCol w:w="580"/>
        <w:gridCol w:w="9550"/>
      </w:tblGrid>
      <w:tr>
        <w:trPr/>
        <w:tc>
          <w:tcPr>
            <w:tcW w:w="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(ii)</w:t>
            </w:r>
          </w:p>
        </w:tc>
        <w:tc>
          <w:tcPr>
            <w:tcW w:w="9550" w:type="dxa"/>
            <w:tcBorders/>
            <w:vAlign w:val="center"/>
          </w:tcPr>
          <w:p>
            <w:pPr>
              <w:pStyle w:val="TableContents"/>
              <w:bidi w:val="0"/>
              <w:spacing w:before="0" w:after="283"/>
              <w:jc w:val="both"/>
              <w:rPr/>
            </w:pPr>
            <w:r>
              <w:rPr/>
              <w:t>Breach of Agreement; Repudiation of Agreement.</w:t>
            </w:r>
          </w:p>
        </w:tc>
      </w:tr>
    </w:tbl>
    <w:p>
      <w:pPr>
        <w:pStyle w:val="TextBody"/>
        <w:bidi w:val="0"/>
        <w:spacing w:before="11" w:after="11"/>
        <w:ind w:left="11" w:right="11" w:hanging="0"/>
        <w:jc w:val="left"/>
        <w:rPr/>
      </w:pPr>
      <w:r>
        <w:rPr/>
        <w:t> </w:t>
      </w:r>
    </w:p>
    <w:p>
      <w:pPr>
        <w:pStyle w:val="TextBody"/>
        <w:bidi w:val="0"/>
        <w:ind w:left="1696" w:right="191" w:hanging="0"/>
        <w:jc w:val="both"/>
        <w:rPr>
          <w:sz w:val="20"/>
        </w:rPr>
      </w:pPr>
      <w:r>
        <w:rPr>
          <w:sz w:val="20"/>
        </w:rPr>
        <w:t>(1)            Failure by the party to comply with or perform any agreement or obligation (other than an obligation to make any payment under this Agreement or delivery under Section 2(a)(i) or 9(h)(i)(2) or (4) or to give notice of a Termination Event or any agreement or obligation under Section 4(a)(i), 4(a)(iii) or 4(d)) to be complied with or performed by the party in accordance with this Agreement if such failure is not remedied within 30 days after notice of such failure is given to the party; or</w:t>
      </w:r>
    </w:p>
    <w:p>
      <w:pPr>
        <w:pStyle w:val="TextBody"/>
        <w:bidi w:val="0"/>
        <w:spacing w:before="8" w:after="8"/>
        <w:ind w:left="8" w:right="8" w:hanging="0"/>
        <w:jc w:val="left"/>
        <w:rPr/>
      </w:pPr>
      <w:r>
        <w:rPr/>
        <w:t> </w:t>
      </w:r>
    </w:p>
    <w:p>
      <w:pPr>
        <w:pStyle w:val="TextBody"/>
        <w:bidi w:val="0"/>
        <w:spacing w:before="1" w:after="1"/>
        <w:ind w:left="1696" w:right="188" w:hanging="0"/>
        <w:jc w:val="both"/>
        <w:rPr>
          <w:sz w:val="20"/>
        </w:rPr>
      </w:pPr>
      <w:r>
        <w:rPr>
          <w:sz w:val="20"/>
        </w:rPr>
        <w:t>(2)            the party disaffirms, disclaims, repudiates or rejects, in whole or in part, or challenges the validity of, this Master Agreement, any Confirmation executed and delivered by that party or any Transaction evidenced by such a Confirmation (or such action is taken by any person or entity appointed or empowered to operate it or act on its behalf);</w:t>
      </w:r>
    </w:p>
    <w:p>
      <w:pPr>
        <w:pStyle w:val="TextBody"/>
        <w:bidi w:val="0"/>
        <w:spacing w:before="1" w:after="1"/>
        <w:ind w:left="1696" w:right="188"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46"/>
        <w:gridCol w:w="1352"/>
        <w:gridCol w:w="8707"/>
      </w:tblGrid>
      <w:tr>
        <w:trPr/>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(iii)</w:t>
            </w:r>
          </w:p>
        </w:tc>
        <w:tc>
          <w:tcPr>
            <w:tcW w:w="8707" w:type="dxa"/>
            <w:tcBorders/>
            <w:vAlign w:val="center"/>
          </w:tcPr>
          <w:p>
            <w:pPr>
              <w:pStyle w:val="TableContents"/>
              <w:bidi w:val="0"/>
              <w:spacing w:before="0" w:after="283"/>
              <w:jc w:val="both"/>
              <w:rPr/>
            </w:pPr>
            <w:r>
              <w:rPr/>
              <w:t>Credit Support Default.</w:t>
            </w:r>
          </w:p>
        </w:tc>
      </w:tr>
    </w:tbl>
    <w:p>
      <w:pPr>
        <w:pStyle w:val="TextBody"/>
        <w:bidi w:val="0"/>
        <w:spacing w:before="11" w:after="11"/>
        <w:ind w:left="11" w:right="11" w:hanging="0"/>
        <w:jc w:val="left"/>
        <w:rPr/>
      </w:pPr>
      <w:r>
        <w:rPr/>
        <w:t> </w:t>
      </w:r>
    </w:p>
    <w:p>
      <w:pPr>
        <w:pStyle w:val="TextBody"/>
        <w:bidi w:val="0"/>
        <w:ind w:left="1696" w:right="190" w:hanging="0"/>
        <w:jc w:val="both"/>
        <w:rPr>
          <w:sz w:val="20"/>
        </w:rPr>
      </w:pPr>
      <w:r>
        <w:rPr>
          <w:sz w:val="20"/>
        </w:rPr>
        <w:t>(1)            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pStyle w:val="TextBody"/>
        <w:bidi w:val="0"/>
        <w:spacing w:before="7" w:after="7"/>
        <w:ind w:left="7" w:right="7" w:hanging="0"/>
        <w:jc w:val="left"/>
        <w:rPr/>
      </w:pPr>
      <w:r>
        <w:rPr/>
        <w:t> </w:t>
      </w:r>
    </w:p>
    <w:p>
      <w:pPr>
        <w:pStyle w:val="TextBody"/>
        <w:bidi w:val="0"/>
        <w:ind w:left="1696" w:right="192" w:hanging="0"/>
        <w:jc w:val="both"/>
        <w:rPr>
          <w:sz w:val="20"/>
        </w:rPr>
      </w:pPr>
      <w:r>
        <w:rPr>
          <w:sz w:val="20"/>
        </w:rPr>
        <w:t>(2)            the expiration or termination of such Credit Support Document or the failing or ceasing of such Credit Support Document, or any security interest granted by such party or such Credit Support Provider to the other party pursuant to any such Credit Support Document, to be in full force and effect for the purpose of this Agreement (in each case other than in accordance with its terms) prior to the satisfaction of all obligations of such party under each Transaction to which such Credit Support Document relates without the written consent of the other party; or</w:t>
      </w:r>
    </w:p>
    <w:p>
      <w:pPr>
        <w:pStyle w:val="TextBody"/>
        <w:bidi w:val="0"/>
        <w:spacing w:before="9" w:after="9"/>
        <w:ind w:left="9" w:right="9" w:hanging="0"/>
        <w:jc w:val="left"/>
        <w:rPr/>
      </w:pPr>
      <w:r>
        <w:rPr/>
        <w:t> </w:t>
      </w:r>
    </w:p>
    <w:p>
      <w:pPr>
        <w:pStyle w:val="TextBody"/>
        <w:bidi w:val="0"/>
        <w:ind w:left="1696" w:right="194" w:hanging="0"/>
        <w:jc w:val="both"/>
        <w:rPr>
          <w:sz w:val="20"/>
        </w:rPr>
      </w:pPr>
      <w:r>
        <w:rPr>
          <w:sz w:val="20"/>
        </w:rPr>
        <w:t>(3)            the party or such Credit Support Provider disaffirms, disclaims, repudiates or rejects, in whole or in part, or challenges the validity of, such Credit Support Document (or such action is taken by any person or entity appointed or empowered to operate it or act on its behalf);</w:t>
      </w:r>
    </w:p>
    <w:p>
      <w:pPr>
        <w:pStyle w:val="TextBody"/>
        <w:bidi w:val="0"/>
        <w:spacing w:before="187" w:after="187"/>
        <w:ind w:left="986" w:right="192" w:hanging="0"/>
        <w:jc w:val="both"/>
        <w:rPr>
          <w:sz w:val="20"/>
        </w:rPr>
      </w:pPr>
      <w:r>
        <w:rPr>
          <w:sz w:val="20"/>
        </w:rPr>
        <w:t xml:space="preserve">(iv)           </w:t>
      </w:r>
      <w:r>
        <w:rPr>
          <w:b/>
          <w:i/>
          <w:sz w:val="20"/>
        </w:rPr>
        <w:t xml:space="preserve">Misrepresentation. </w:t>
      </w:r>
      <w:r>
        <w:rPr>
          <w:sz w:val="20"/>
        </w:rPr>
        <w:t>A representation (other than a representation under Section 3(e) or 3(f)) made or repeated or deemed to have been made or repeated by the party or any Credit Support Provider of such party in this Agreement or any Credit Support Document proves to have been incorrect or misleading in any material respect when made or repeated or deemed to have been made or repeated;</w:t>
      </w:r>
    </w:p>
    <w:p>
      <w:pPr>
        <w:pStyle w:val="TextBody"/>
        <w:bidi w:val="0"/>
        <w:spacing w:before="1" w:after="1"/>
        <w:ind w:left="1" w:right="1" w:hanging="0"/>
        <w:jc w:val="left"/>
        <w:rPr/>
      </w:pPr>
      <w:r>
        <w:rPr/>
        <w:t> </w:t>
      </w:r>
    </w:p>
    <w:p>
      <w:pPr>
        <w:pStyle w:val="TextBody"/>
        <w:bidi w:val="0"/>
        <w:ind w:left="986" w:right="192" w:hanging="0"/>
        <w:jc w:val="both"/>
        <w:rPr>
          <w:sz w:val="20"/>
        </w:rPr>
      </w:pPr>
      <w:r>
        <w:rPr>
          <w:sz w:val="20"/>
        </w:rPr>
        <w:t xml:space="preserve">(v)            </w:t>
      </w:r>
      <w:r>
        <w:rPr>
          <w:b/>
          <w:i/>
          <w:sz w:val="20"/>
        </w:rPr>
        <w:t xml:space="preserve">Default Under Specified Transaction. </w:t>
      </w:r>
      <w:r>
        <w:rPr>
          <w:sz w:val="20"/>
        </w:rPr>
        <w:t>The party, any Credit Support Provider of such party or any applicable Specified Entity of such party:</w:t>
      </w:r>
    </w:p>
    <w:p>
      <w:pPr>
        <w:pStyle w:val="TextBody"/>
        <w:bidi w:val="0"/>
        <w:spacing w:before="3" w:after="3"/>
        <w:ind w:left="3" w:right="3" w:hanging="0"/>
        <w:jc w:val="left"/>
        <w:rPr/>
      </w:pPr>
      <w:r>
        <w:rPr/>
        <w:t> </w:t>
      </w:r>
    </w:p>
    <w:p>
      <w:pPr>
        <w:pStyle w:val="TextBody"/>
        <w:bidi w:val="0"/>
        <w:ind w:left="1696" w:right="191" w:hanging="0"/>
        <w:jc w:val="both"/>
        <w:rPr>
          <w:sz w:val="20"/>
        </w:rPr>
      </w:pPr>
      <w:r>
        <w:rPr>
          <w:sz w:val="20"/>
        </w:rPr>
        <w:t>(l)             defaults (other than by failing to make a delivery) under a Specified Transaction or any credit support arrangement relating to a Specified Transaction and, after giving effect to any applicable notice requirement or grace period, such default results in a liquidation of, an acceleration of obligations under, or an early termination of, that Specified Transaction;</w:t>
      </w:r>
    </w:p>
    <w:p>
      <w:pPr>
        <w:pStyle w:val="TextBody"/>
        <w:bidi w:val="0"/>
        <w:spacing w:before="7" w:after="7"/>
        <w:ind w:left="7" w:right="7" w:hanging="0"/>
        <w:jc w:val="left"/>
        <w:rPr/>
      </w:pPr>
      <w:r>
        <w:rPr/>
        <w:t> </w:t>
      </w:r>
    </w:p>
    <w:p>
      <w:pPr>
        <w:pStyle w:val="TextBody"/>
        <w:bidi w:val="0"/>
        <w:spacing w:before="1" w:after="1"/>
        <w:ind w:left="1696" w:right="193" w:hanging="0"/>
        <w:jc w:val="both"/>
        <w:rPr>
          <w:sz w:val="20"/>
        </w:rPr>
      </w:pPr>
      <w:r>
        <w:rPr>
          <w:sz w:val="20"/>
        </w:rPr>
        <w:t>(2)            defaults, after giving effect to any applicable notice requirement or grace period, in making any payment due on the last payment or exchange date of, or any payment on early termination of, a Specified Transaction (or, if there is no applicable notice requirement or grace period, such default continues for at least one Local Business Day);</w:t>
      </w:r>
    </w:p>
    <w:p>
      <w:pPr>
        <w:pStyle w:val="TextBody"/>
        <w:bidi w:val="0"/>
        <w:spacing w:before="7" w:after="7"/>
        <w:ind w:left="7" w:right="7" w:hanging="0"/>
        <w:jc w:val="left"/>
        <w:rPr/>
      </w:pPr>
      <w:r>
        <w:rPr/>
        <w:t> </w:t>
      </w:r>
    </w:p>
    <w:p>
      <w:pPr>
        <w:pStyle w:val="TextBody"/>
        <w:bidi w:val="0"/>
        <w:ind w:left="1696" w:right="187" w:hanging="0"/>
        <w:jc w:val="both"/>
        <w:rPr>
          <w:sz w:val="20"/>
        </w:rPr>
      </w:pPr>
      <w:r>
        <w:rPr>
          <w:sz w:val="20"/>
        </w:rPr>
        <w:t>(3)            defaults in making any delivery due under (including any delivery due on the last delivery or exchange date of) a Specified Transaction or any credit support arrangement relating to a Specified Transaction and, after giving effect to any applicable notice requirement or grace period, such default results in a liquidation of, an acceleration of obligations under, or an early termination of, all transactions outstanding under the documentation applicable to that Specified Transaction; or</w:t>
      </w:r>
    </w:p>
    <w:p>
      <w:pPr>
        <w:pStyle w:val="TextBody"/>
        <w:bidi w:val="0"/>
        <w:spacing w:before="8" w:after="8"/>
        <w:ind w:left="8" w:right="8" w:hanging="0"/>
        <w:jc w:val="left"/>
        <w:rPr/>
      </w:pPr>
      <w:r>
        <w:rPr/>
        <w:t> </w:t>
      </w:r>
    </w:p>
    <w:p>
      <w:pPr>
        <w:pStyle w:val="TextBody"/>
        <w:bidi w:val="0"/>
        <w:spacing w:before="1" w:after="1"/>
        <w:ind w:left="1696" w:right="189" w:hanging="0"/>
        <w:jc w:val="both"/>
        <w:rPr>
          <w:sz w:val="20"/>
        </w:rPr>
      </w:pPr>
      <w:r>
        <w:rPr>
          <w:sz w:val="20"/>
        </w:rPr>
        <w:t>(4)            disaffirms, disclaims, repudiates or rejects, in whole or in part, or challenges the validity of, a Specified Transaction or any credit support arrangement relating to a Specified Transaction that is, in either case, confirmed or evidenced by a document or other confirming evidence executed and delivered by that party, Credit Support Provider or Specified Entity (or such action is taken by any person or entity appointed or empowered to operate it or act on its behalf);</w:t>
      </w:r>
    </w:p>
    <w:p>
      <w:pPr>
        <w:pStyle w:val="TextBody"/>
        <w:bidi w:val="0"/>
        <w:spacing w:before="1" w:after="1"/>
        <w:ind w:left="1696"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76" w:after="176"/>
        <w:ind w:left="986" w:right="193" w:hanging="0"/>
        <w:jc w:val="both"/>
        <w:rPr>
          <w:sz w:val="20"/>
        </w:rPr>
      </w:pPr>
      <w:r>
        <w:rPr>
          <w:sz w:val="20"/>
        </w:rPr>
        <w:t>(vi)          </w:t>
      </w:r>
      <w:r>
        <w:rPr>
          <w:b/>
          <w:i/>
          <w:sz w:val="20"/>
        </w:rPr>
        <w:t xml:space="preserve">Cross-Default. </w:t>
      </w:r>
      <w:r>
        <w:rPr>
          <w:sz w:val="20"/>
        </w:rPr>
        <w:t>If “Cross-Default” is specified in the Schedule as applying to the party, the occurrence or existence of:</w:t>
      </w:r>
    </w:p>
    <w:p>
      <w:pPr>
        <w:pStyle w:val="TextBody"/>
        <w:bidi w:val="0"/>
        <w:spacing w:before="3" w:after="3"/>
        <w:ind w:left="3" w:right="3" w:hanging="0"/>
        <w:jc w:val="left"/>
        <w:rPr/>
      </w:pPr>
      <w:r>
        <w:rPr/>
        <w:t> </w:t>
      </w:r>
    </w:p>
    <w:p>
      <w:pPr>
        <w:pStyle w:val="TextBody"/>
        <w:bidi w:val="0"/>
        <w:spacing w:before="1" w:after="1"/>
        <w:ind w:left="1696" w:right="189" w:hanging="0"/>
        <w:jc w:val="both"/>
        <w:rPr>
          <w:sz w:val="20"/>
        </w:rPr>
      </w:pPr>
      <w:r>
        <w:rPr>
          <w:sz w:val="20"/>
        </w:rPr>
        <w:t>(l)             a default, event of default or other similar condition or event (however described) in respect of such party, any Credit Support Provider of such party or any applicable Specified Entity of such party under one or more agreements or instruments relating to Specified Indebtedness of any of them (individually or collectively) where the aggregate principal amount of such agreements or instruments, either alone or together with the amount, if any, referred to in clause (2) below, is not less than the applicable Threshold Amount (as specified in the Schedule) which has resulted in such Specified Indebtedness becoming, or becoming capable at such time of being declared, due and payable under such agreements or instruments before it would otherwise have been due and payable; or</w:t>
      </w:r>
    </w:p>
    <w:p>
      <w:pPr>
        <w:pStyle w:val="TextBody"/>
        <w:bidi w:val="0"/>
        <w:spacing w:before="10" w:after="10"/>
        <w:ind w:left="10" w:right="10" w:hanging="0"/>
        <w:jc w:val="left"/>
        <w:rPr/>
      </w:pPr>
      <w:r>
        <w:rPr/>
        <w:t> </w:t>
      </w:r>
    </w:p>
    <w:p>
      <w:pPr>
        <w:pStyle w:val="TextBody"/>
        <w:bidi w:val="0"/>
        <w:ind w:left="1696" w:right="191" w:hanging="0"/>
        <w:jc w:val="both"/>
        <w:rPr>
          <w:sz w:val="20"/>
        </w:rPr>
      </w:pPr>
      <w:r>
        <w:rPr>
          <w:sz w:val="20"/>
        </w:rPr>
        <w:t>(2)            a default by such party, such Credit Support Provider or such Specified Entity (individually or collectively) in making one or more payments under such agreements or instruments on the due date for payment (after giving effect to any applicable notice requirement or grace period) in an aggregate amount, either alone or together with the amount, if any, referred to in clause (1) above, of not less than the applicable Threshold Amount;</w:t>
      </w:r>
    </w:p>
    <w:p>
      <w:pPr>
        <w:pStyle w:val="TextBody"/>
        <w:bidi w:val="0"/>
        <w:spacing w:before="10" w:after="10"/>
        <w:ind w:left="10" w:right="10" w:hanging="0"/>
        <w:jc w:val="left"/>
        <w:rPr/>
      </w:pPr>
      <w:r>
        <w:rPr/>
        <w:t> </w:t>
      </w:r>
    </w:p>
    <w:p>
      <w:pPr>
        <w:pStyle w:val="TextBody"/>
        <w:bidi w:val="0"/>
        <w:ind w:left="986" w:right="195" w:hanging="0"/>
        <w:jc w:val="both"/>
        <w:rPr>
          <w:sz w:val="20"/>
        </w:rPr>
      </w:pPr>
      <w:r>
        <w:rPr>
          <w:sz w:val="20"/>
        </w:rPr>
        <w:t xml:space="preserve">(vii)         </w:t>
      </w:r>
      <w:r>
        <w:rPr>
          <w:b/>
          <w:i/>
          <w:sz w:val="20"/>
        </w:rPr>
        <w:t xml:space="preserve">Bankruptcy. </w:t>
      </w:r>
      <w:r>
        <w:rPr>
          <w:sz w:val="20"/>
        </w:rPr>
        <w:t>The party, any Credit Support Provider of such party or any applicable Specified Entity of such party:</w:t>
      </w:r>
    </w:p>
    <w:p>
      <w:pPr>
        <w:pStyle w:val="TextBody"/>
        <w:bidi w:val="0"/>
        <w:spacing w:before="3" w:after="3"/>
        <w:ind w:left="3" w:right="3" w:hanging="0"/>
        <w:jc w:val="left"/>
        <w:rPr/>
      </w:pPr>
      <w:r>
        <w:rPr/>
        <w:t> </w:t>
      </w:r>
    </w:p>
    <w:p>
      <w:pPr>
        <w:pStyle w:val="TextBody"/>
        <w:bidi w:val="0"/>
        <w:spacing w:before="1" w:after="1"/>
        <w:ind w:left="1696" w:right="190" w:hanging="0"/>
        <w:jc w:val="both"/>
        <w:rPr>
          <w:sz w:val="20"/>
        </w:rPr>
      </w:pPr>
      <w:r>
        <w:rPr>
          <w:sz w:val="20"/>
        </w:rPr>
        <w:t>(l)             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(4)(A)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or (B) has instituted against it a proceeding seeking a judgment of insolvency or bankruptcy or any other relief under any bankruptcy or insolvency law or other similar law affecting creditors’ rights, or a petition is presented for its winding-up or liquidation, and such proceeding or petition is instituted or presented by a person or entity not described in clause (A) above and either (I) results in a judgment of insolvency or bankruptcy or the entry of an order for relief or the making of an order for its winding-up or liquidation or (II) is not dismissed, discharged, stayed or restrained in each case within 15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 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15 days thereafter; (8) causes or is subject to any event with respect to it which, under the applicable laws of any jurisdiction, has an analogous effect to any of the events specified in clauses (l) to (7) above (inclusive); or (9) takes any action in furtherance of, or indicating its consent to, approval of, or acquiescence in, any of the foregoing acts; or</w:t>
      </w:r>
    </w:p>
    <w:p>
      <w:pPr>
        <w:pStyle w:val="TextBody"/>
        <w:bidi w:val="0"/>
        <w:spacing w:before="5" w:after="5"/>
        <w:ind w:left="1696"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986" w:right="193" w:hanging="0"/>
        <w:jc w:val="both"/>
        <w:rPr>
          <w:sz w:val="20"/>
        </w:rPr>
      </w:pPr>
      <w:r>
        <w:rPr>
          <w:sz w:val="20"/>
        </w:rPr>
        <w:t xml:space="preserve">(viii)        </w:t>
      </w:r>
      <w:r>
        <w:rPr>
          <w:b/>
          <w:i/>
          <w:sz w:val="20"/>
        </w:rPr>
        <w:t xml:space="preserve">Merger Without Assumption. </w:t>
      </w:r>
      <w:r>
        <w:rPr>
          <w:sz w:val="20"/>
        </w:rPr>
        <w:t>The party or any Credit Support Provider of such party consolidates or amalgamates with, or merges with or into, or transfers all or substantially all its assets to, or reorganises, reincorporates or reconstitutes into or as, another entity and, at the time of such consolidation,</w:t>
      </w:r>
    </w:p>
    <w:p>
      <w:pPr>
        <w:pStyle w:val="TextBody"/>
        <w:bidi w:val="0"/>
        <w:spacing w:before="6" w:after="6"/>
        <w:ind w:left="986" w:right="6" w:hanging="0"/>
        <w:jc w:val="both"/>
        <w:rPr>
          <w:sz w:val="20"/>
        </w:rPr>
      </w:pPr>
      <w:r>
        <w:rPr>
          <w:sz w:val="20"/>
        </w:rPr>
        <w:t>amalgamation, merger, transfer, reorganisation, reincorporation or reconstitution:</w:t>
      </w:r>
    </w:p>
    <w:p>
      <w:pPr>
        <w:pStyle w:val="TextBody"/>
        <w:bidi w:val="0"/>
        <w:spacing w:before="10" w:after="10"/>
        <w:ind w:left="10" w:right="10" w:hanging="0"/>
        <w:jc w:val="left"/>
        <w:rPr/>
      </w:pPr>
      <w:r>
        <w:rPr/>
        <w:t> </w:t>
      </w:r>
    </w:p>
    <w:p>
      <w:pPr>
        <w:pStyle w:val="TextBody"/>
        <w:bidi w:val="0"/>
        <w:ind w:left="1696" w:right="189" w:hanging="0"/>
        <w:jc w:val="both"/>
        <w:rPr>
          <w:sz w:val="20"/>
        </w:rPr>
      </w:pPr>
      <w:r>
        <w:rPr>
          <w:sz w:val="20"/>
        </w:rPr>
        <w:t>(l)             the resulting, surviving or transferee entity fails to assume all the obligations of such party or such Credit Support Provider under this Agreement or any Credit Support Document to which it or its predecessor was a party; or</w:t>
      </w:r>
    </w:p>
    <w:p>
      <w:pPr>
        <w:pStyle w:val="TextBody"/>
        <w:bidi w:val="0"/>
        <w:spacing w:before="7" w:after="7"/>
        <w:ind w:left="7" w:right="7" w:hanging="0"/>
        <w:jc w:val="left"/>
        <w:rPr/>
      </w:pPr>
      <w:r>
        <w:rPr/>
        <w:t> </w:t>
      </w:r>
    </w:p>
    <w:p>
      <w:pPr>
        <w:pStyle w:val="TextBody"/>
        <w:bidi w:val="0"/>
        <w:ind w:left="1696" w:right="193" w:hanging="0"/>
        <w:jc w:val="both"/>
        <w:rPr>
          <w:sz w:val="20"/>
        </w:rPr>
      </w:pPr>
      <w:r>
        <w:rPr>
          <w:sz w:val="20"/>
        </w:rPr>
        <w:t>(2)             the benefits of any Credit Support Document fail to extend (without the consent of the other party) to the performance by such resulting, surviving or transferee entity of its obligations under this Agreement.</w:t>
      </w:r>
    </w:p>
    <w:p>
      <w:pPr>
        <w:pStyle w:val="TextBody"/>
        <w:bidi w:val="0"/>
        <w:spacing w:before="187" w:after="187"/>
        <w:ind w:left="278" w:right="192" w:hanging="0"/>
        <w:jc w:val="both"/>
        <w:rPr>
          <w:sz w:val="20"/>
        </w:rPr>
      </w:pPr>
      <w:r>
        <w:rPr>
          <w:sz w:val="20"/>
        </w:rPr>
        <w:t xml:space="preserve">(b)            </w:t>
      </w:r>
      <w:r>
        <w:rPr>
          <w:b/>
          <w:i/>
          <w:sz w:val="20"/>
        </w:rPr>
        <w:t xml:space="preserve">Termination Events. </w:t>
      </w:r>
      <w:r>
        <w:rPr>
          <w:sz w:val="20"/>
        </w:rPr>
        <w:t>The occurrence at any time with respect to a party or, if applicable, any Credit Support Provider of such party or any Specified Entity of such party of any event specified below constitutes (subject to Section 5(c)) an Illegality if the event is specified in clause (i) below, a Force Majeure Event if the event is specified in clause (ii) below, a Tax Event if the event is specified in clause (iii) below, a Tax Event Upon Merger if the event is specified in clause (iv) below, and, if specified to be applicable, a Credit Event Upon Merger if the event is specified pursuant to clause (v) below or an Additional Termination Event if the event is specified pursuant to clause (vi) below:</w:t>
      </w:r>
    </w:p>
    <w:p>
      <w:pPr>
        <w:pStyle w:val="TextBody"/>
        <w:bidi w:val="0"/>
        <w:spacing w:before="188" w:after="188"/>
        <w:ind w:left="986" w:right="193" w:hanging="0"/>
        <w:jc w:val="both"/>
        <w:rPr>
          <w:sz w:val="20"/>
        </w:rPr>
      </w:pPr>
      <w:r>
        <w:rPr>
          <w:sz w:val="20"/>
        </w:rPr>
        <w:t xml:space="preserve">(i)             </w:t>
      </w:r>
      <w:r>
        <w:rPr>
          <w:b/>
          <w:i/>
          <w:sz w:val="20"/>
        </w:rPr>
        <w:t xml:space="preserve">Illegality. </w:t>
      </w:r>
      <w:r>
        <w:rPr>
          <w:sz w:val="20"/>
        </w:rPr>
        <w:t>After giving effect to any applicable provision, disruption fallback or remedy specified in, or pursuant to, the relevant Confirmation or elsewhere in this Agreement, due to an event or circumstance (other than any action taken by a party or, if applicable, any Credit Support Provider of such party) occurring after a Transaction is entered into, it becomes unlawful under any applicable law (including without limitation the laws of any country in which payment, delivery or compliance is required by either party or any Credit Support Provider, as the case may be), on any day, or it would be unlawful if the relevant payment, delivery or compliance were required on that day (in each case, other than as a result of a breach by the party of Section 4(b)):</w:t>
      </w:r>
    </w:p>
    <w:p>
      <w:pPr>
        <w:pStyle w:val="TextBody"/>
        <w:bidi w:val="0"/>
        <w:spacing w:before="8" w:after="8"/>
        <w:ind w:left="8" w:right="8" w:hanging="0"/>
        <w:jc w:val="left"/>
        <w:rPr/>
      </w:pPr>
      <w:r>
        <w:rPr/>
        <w:t> </w:t>
      </w:r>
    </w:p>
    <w:p>
      <w:pPr>
        <w:pStyle w:val="TextBody"/>
        <w:bidi w:val="0"/>
        <w:ind w:left="1696" w:right="192" w:hanging="0"/>
        <w:jc w:val="both"/>
        <w:rPr>
          <w:sz w:val="20"/>
        </w:rPr>
      </w:pPr>
      <w:r>
        <w:rPr>
          <w:sz w:val="20"/>
        </w:rPr>
        <w:t>(1)            for the Office through which such party (which will be the Affected Party) makes and receives payments or deliveries with respect to such Transaction to perform any absolute or contingent obligation to make a payment or delivery in respect of such Transaction, to receive a payment or delivery in respect of such Transaction or to comply with any other material provision of this Agreement relating to such Transaction; or</w:t>
      </w:r>
    </w:p>
    <w:p>
      <w:pPr>
        <w:pStyle w:val="TextBody"/>
        <w:bidi w:val="0"/>
        <w:spacing w:before="8" w:after="8"/>
        <w:ind w:left="8" w:right="8" w:hanging="0"/>
        <w:jc w:val="left"/>
        <w:rPr/>
      </w:pPr>
      <w:r>
        <w:rPr/>
        <w:t> </w:t>
      </w:r>
    </w:p>
    <w:p>
      <w:pPr>
        <w:pStyle w:val="TextBody"/>
        <w:bidi w:val="0"/>
        <w:spacing w:before="1" w:after="1"/>
        <w:ind w:left="1696" w:right="191" w:hanging="0"/>
        <w:jc w:val="both"/>
        <w:rPr>
          <w:sz w:val="20"/>
        </w:rPr>
      </w:pPr>
      <w:r>
        <w:rPr>
          <w:sz w:val="20"/>
        </w:rPr>
        <w:t>(2)            for such party or any Credit Support Provider of such party (which will be the Affected Party) to perform any absolute or contingent obligation to make a payment or delivery which such party or Credit Support Provider has under any Credit Support Document relating to such Transaction, to receive a payment or delivery under such Credit Support Document or to comply with any other material provision of such Credit Support Document;</w:t>
      </w:r>
    </w:p>
    <w:p>
      <w:pPr>
        <w:pStyle w:val="TextBody"/>
        <w:bidi w:val="0"/>
        <w:spacing w:before="187" w:after="187"/>
        <w:ind w:left="986" w:right="191" w:hanging="0"/>
        <w:jc w:val="both"/>
        <w:rPr>
          <w:sz w:val="20"/>
        </w:rPr>
      </w:pPr>
      <w:r>
        <w:rPr>
          <w:sz w:val="20"/>
        </w:rPr>
        <w:t xml:space="preserve">(ii)            </w:t>
      </w:r>
      <w:r>
        <w:rPr>
          <w:b/>
          <w:i/>
          <w:sz w:val="20"/>
        </w:rPr>
        <w:t xml:space="preserve">Force Majeure Event. </w:t>
      </w:r>
      <w:r>
        <w:rPr>
          <w:sz w:val="20"/>
        </w:rPr>
        <w:t>After giving effect to any applicable provision, disruption fallback or remedy specified in, or pursuant to, the relevant Confirmation or elsewhere in this Agreement, by reason of force majeure or act of state occurring after a Transaction is entered into, on any day:</w:t>
      </w:r>
    </w:p>
    <w:p>
      <w:pPr>
        <w:pStyle w:val="TextBody"/>
        <w:bidi w:val="0"/>
        <w:spacing w:before="0" w:after="283"/>
        <w:jc w:val="left"/>
        <w:rPr/>
      </w:pPr>
      <w:r>
        <w:rPr/>
        <w:t> </w:t>
      </w:r>
    </w:p>
    <w:p>
      <w:pPr>
        <w:pStyle w:val="TextBody"/>
        <w:bidi w:val="0"/>
        <w:ind w:left="1696" w:right="190" w:hanging="0"/>
        <w:jc w:val="both"/>
        <w:rPr>
          <w:sz w:val="20"/>
        </w:rPr>
      </w:pPr>
      <w:r>
        <w:rPr>
          <w:sz w:val="20"/>
        </w:rPr>
        <w:t>(1)            the Office through which such party (which will be the Affected Party) makes and receives payments or deliveries with respect to such Transaction is prevented from performing any absolute or contingent obligation to make a payment or delivery in respect of such Transaction, from receiving a payment or delivery in respect of such Transaction or from complying with any other material provision of this Agreement relating to such Transaction (or would be so prevented if such payment, delivery or compliance were required on that day), or it becomes impossible or impracticable for such Office so to perform, receive or comply (or it would be impossible or impracticable for such Office so to perform, receive or comply if such payment, delivery or compliance were required on that day); or</w:t>
      </w:r>
    </w:p>
    <w:p>
      <w:pPr>
        <w:pStyle w:val="TextBody"/>
        <w:bidi w:val="0"/>
        <w:ind w:left="169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7" w:after="7"/>
        <w:ind w:left="7" w:right="7" w:hanging="0"/>
        <w:jc w:val="left"/>
        <w:rPr/>
      </w:pPr>
      <w:r>
        <w:rPr/>
        <w:t> </w:t>
      </w:r>
    </w:p>
    <w:p>
      <w:pPr>
        <w:pStyle w:val="TextBody"/>
        <w:bidi w:val="0"/>
        <w:ind w:left="1696" w:right="189" w:hanging="0"/>
        <w:jc w:val="both"/>
        <w:rPr>
          <w:sz w:val="20"/>
        </w:rPr>
      </w:pPr>
      <w:r>
        <w:rPr>
          <w:sz w:val="20"/>
        </w:rPr>
        <w:t>(2)            such party or any Credit Support Provider of such party (which will be the Affected Party) is prevented from performing any absolute or contingent obligation to make a payment or delivery which such party or Credit Support Provider has under any Credit Support Document relating to such Transaction, from receiving a payment or delivery under such Credit Support Document or from complying with any other material provision of such Credit Support Document (or would be so prevented if such payment, delivery or compliance were required on that day), or it becomes impossible or impracticable for such party or Credit Support Provider so to perform, receive or comply (or it would be impossible or impracticable for such party or Credit Support Provider so to perform, receive or comply if such payment, delivery or compliance were required on that day),</w:t>
      </w:r>
    </w:p>
    <w:p>
      <w:pPr>
        <w:pStyle w:val="TextBody"/>
        <w:bidi w:val="0"/>
        <w:spacing w:before="11" w:after="11"/>
        <w:ind w:left="11" w:right="11" w:hanging="0"/>
        <w:jc w:val="left"/>
        <w:rPr/>
      </w:pPr>
      <w:r>
        <w:rPr/>
        <w:t> </w:t>
      </w:r>
    </w:p>
    <w:p>
      <w:pPr>
        <w:pStyle w:val="TextBody"/>
        <w:bidi w:val="0"/>
        <w:ind w:left="952" w:right="192" w:hanging="0"/>
        <w:jc w:val="both"/>
        <w:rPr>
          <w:sz w:val="20"/>
        </w:rPr>
      </w:pPr>
      <w:r>
        <w:rPr>
          <w:sz w:val="20"/>
        </w:rPr>
        <w:t>so long as the force majeure or act of state is beyond the control of such Office, such party or such Credit Support Provider, as appropriate, and such Office, party or Credit Support Provider could not, after using all reasonable efforts (which will not require such party or Credit Support Provider to incur a loss, other than immaterial, incidental expenses), overcome such prevention, impossibility or impracticability;</w:t>
      </w:r>
    </w:p>
    <w:p>
      <w:pPr>
        <w:pStyle w:val="TextBody"/>
        <w:bidi w:val="0"/>
        <w:spacing w:before="187" w:after="187"/>
        <w:ind w:left="986" w:right="193" w:hanging="0"/>
        <w:jc w:val="both"/>
        <w:rPr>
          <w:sz w:val="20"/>
        </w:rPr>
      </w:pPr>
      <w:r>
        <w:rPr>
          <w:sz w:val="20"/>
        </w:rPr>
        <w:t>(iii)          </w:t>
      </w:r>
      <w:r>
        <w:rPr>
          <w:b/>
          <w:i/>
          <w:sz w:val="20"/>
        </w:rPr>
        <w:t xml:space="preserve">Tax Event. </w:t>
      </w:r>
      <w:r>
        <w:rPr>
          <w:sz w:val="20"/>
        </w:rPr>
        <w:t>Due to (1) any action taken by a taxing authority, or brought in a court of competent jurisdiction, after a Transaction is entered into (regardless of whether such action is taken or brought with respect to a party to this Agreement) or (2) a Change in Tax Law, the party (which will be the Affected Party) will, or there is a substantial likelihood that it will, on the next succeeding Scheduled Settlement Date (A) be required to pay to the other party an additional amount in respect of an Indemnifiable Tax under Section 2(d)(i)(4) (except in respect of interest under Section 9(h)) or (B) receive a payment from which an amount is required to be deducted or withheld for or on account of a Tax (except in respect of interest under Section 9(h)) and no additional amount is required to be paid in respect of such Tax under Section 2(d)(i)(4) (other than by reason of Section 2(d)(i)(4)(A) or (B));</w:t>
      </w:r>
    </w:p>
    <w:p>
      <w:pPr>
        <w:pStyle w:val="TextBody"/>
        <w:bidi w:val="0"/>
        <w:spacing w:before="187" w:after="187"/>
        <w:ind w:left="986" w:right="190" w:hanging="0"/>
        <w:jc w:val="both"/>
        <w:rPr>
          <w:sz w:val="20"/>
        </w:rPr>
      </w:pPr>
      <w:r>
        <w:rPr>
          <w:sz w:val="20"/>
        </w:rPr>
        <w:t>(iv)          </w:t>
      </w:r>
      <w:r>
        <w:rPr>
          <w:b/>
          <w:i/>
          <w:sz w:val="20"/>
        </w:rPr>
        <w:t xml:space="preserve">Tax Event Upon Merger. </w:t>
      </w:r>
      <w:r>
        <w:rPr>
          <w:sz w:val="20"/>
        </w:rPr>
        <w:t>The party (the “Burdened Party”) on the next succeeding Scheduled Settlement Date will either (1) be required to pay an additional amount in respect of an Indemnifiable Tax under Section 2(d)(i)(4) (except in respect of interest under Section 9(h)) or (2) receive a payment from which an amount has been deducted or withheld for or on account of any Tax in respect of which the other party is not required to pay an additional amount (other than by reason of Section 2(d)(i)(4)(A) or (B)), in either case as a result of a party consolidating or amalgamating with, or merging with or into, or transferring all or substantially all its assets (or any substantial part of the assets comprising the business conducted by it as of the date of this Master Agreement) to, or reorganising, reincorporating or reconstituting into or as, another entity (which will be the Affected Party) where such action does not constitute a Merger Without Assumption;</w:t>
      </w:r>
    </w:p>
    <w:p>
      <w:pPr>
        <w:pStyle w:val="TextBody"/>
        <w:bidi w:val="0"/>
        <w:spacing w:before="189" w:after="189"/>
        <w:ind w:left="986" w:right="191" w:hanging="0"/>
        <w:jc w:val="both"/>
        <w:rPr>
          <w:sz w:val="20"/>
        </w:rPr>
      </w:pPr>
      <w:r>
        <w:rPr>
          <w:sz w:val="20"/>
        </w:rPr>
        <w:t>(v)           </w:t>
      </w:r>
      <w:r>
        <w:rPr>
          <w:b/>
          <w:i/>
          <w:sz w:val="20"/>
        </w:rPr>
        <w:t xml:space="preserve">Credit Event Upon Merger. </w:t>
      </w:r>
      <w:r>
        <w:rPr>
          <w:sz w:val="20"/>
        </w:rPr>
        <w:t>If “Credit Event Upon Merger” is specified in the Schedule as applying to the party, a Designated Event (as defined below) occurs with respect to such party, any Credit Support Provider of such party or any applicable Specified Entity of such party (in each case, “X”) and such Designated Event does not constitute a Merger Without Assumption, and the creditworthiness of X or, if applicable, the successor, surviving or transferee entity of X, after taking into account any applicable Credit Support Document, is materially weaker immediately after the occurrence of such Designated Event than that of X immediately prior to the occurrence of such Designated Event (and, in any such event, such party or its successor, surviving or transferee entity, as appropriate, will be the Affected Party). A “Designated Event” with respect to X means that:</w:t>
      </w:r>
    </w:p>
    <w:p>
      <w:pPr>
        <w:pStyle w:val="TextBody"/>
        <w:bidi w:val="0"/>
        <w:spacing w:before="9" w:after="9"/>
        <w:ind w:left="9" w:right="9" w:hanging="0"/>
        <w:jc w:val="left"/>
        <w:rPr/>
      </w:pPr>
      <w:r>
        <w:rPr/>
        <w:t> </w:t>
      </w:r>
    </w:p>
    <w:p>
      <w:pPr>
        <w:pStyle w:val="TextBody"/>
        <w:bidi w:val="0"/>
        <w:ind w:left="1696" w:right="187" w:hanging="0"/>
        <w:jc w:val="both"/>
        <w:rPr>
          <w:sz w:val="20"/>
        </w:rPr>
      </w:pPr>
      <w:r>
        <w:rPr>
          <w:sz w:val="20"/>
        </w:rPr>
        <w:t>(1)            X consolidates or amalgamates with, or merges with or into, or transfers all or substantially all its assets (or any substantial part of the assets comprising the business conducted by X as of the date of this Master Agreement) to, or reorganises, reincorporates or reconstitutes into or as, another entity;</w:t>
      </w:r>
    </w:p>
    <w:p>
      <w:pPr>
        <w:pStyle w:val="TextBody"/>
        <w:bidi w:val="0"/>
        <w:ind w:left="1696" w:right="187"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6" w:after="6"/>
        <w:ind w:left="6" w:right="6" w:hanging="0"/>
        <w:jc w:val="left"/>
        <w:rPr/>
      </w:pPr>
      <w:r>
        <w:rPr/>
        <w:t> </w:t>
      </w:r>
    </w:p>
    <w:p>
      <w:pPr>
        <w:pStyle w:val="TextBody"/>
        <w:bidi w:val="0"/>
        <w:spacing w:before="1" w:after="1"/>
        <w:ind w:left="1696" w:right="194" w:hanging="0"/>
        <w:jc w:val="both"/>
        <w:rPr>
          <w:sz w:val="20"/>
        </w:rPr>
      </w:pPr>
      <w:r>
        <w:rPr>
          <w:sz w:val="20"/>
        </w:rPr>
        <w:t>(2)            any person, related group of persons or entity acquires directly or indirectly the beneficial ownership of (A) equity securities having the power to elect a majority of the board of directors (or its equivalent) of X or (B) any other ownership interest enabling it to exercise control of X; or</w:t>
      </w:r>
    </w:p>
    <w:p>
      <w:pPr>
        <w:pStyle w:val="TextBody"/>
        <w:bidi w:val="0"/>
        <w:spacing w:before="6" w:after="6"/>
        <w:ind w:left="6" w:right="6" w:hanging="0"/>
        <w:jc w:val="left"/>
        <w:rPr/>
      </w:pPr>
      <w:r>
        <w:rPr/>
        <w:t> </w:t>
      </w:r>
    </w:p>
    <w:p>
      <w:pPr>
        <w:pStyle w:val="TextBody"/>
        <w:bidi w:val="0"/>
        <w:spacing w:before="1" w:after="1"/>
        <w:ind w:left="1696" w:right="191" w:hanging="0"/>
        <w:jc w:val="both"/>
        <w:rPr>
          <w:sz w:val="20"/>
        </w:rPr>
      </w:pPr>
      <w:r>
        <w:rPr>
          <w:sz w:val="20"/>
        </w:rPr>
        <w:t>(3)            X effects any substantial change in its capital structure by means of the issuance, incurrence or guarantee of debt or the issuance of (A) preferred stock or other securities convertible into or exchangeable for debt or preferred stock or (B) in the case of entities other than corporations, any other form of ownership interest; or</w:t>
      </w:r>
    </w:p>
    <w:p>
      <w:pPr>
        <w:pStyle w:val="TextBody"/>
        <w:bidi w:val="0"/>
        <w:spacing w:before="187" w:after="187"/>
        <w:ind w:left="986" w:right="192" w:hanging="0"/>
        <w:jc w:val="both"/>
        <w:rPr>
          <w:sz w:val="20"/>
        </w:rPr>
      </w:pPr>
      <w:r>
        <w:rPr>
          <w:sz w:val="20"/>
        </w:rPr>
        <w:t xml:space="preserve">(vi)           </w:t>
      </w:r>
      <w:r>
        <w:rPr>
          <w:b/>
          <w:i/>
          <w:sz w:val="20"/>
        </w:rPr>
        <w:t xml:space="preserve">Additional Termination Event. </w:t>
      </w:r>
      <w:r>
        <w:rPr>
          <w:sz w:val="20"/>
        </w:rPr>
        <w:t>If any “Additional Termination Event” is specified in the Schedule or any Confirmation as applying, the occurrence of such event (and, in such event, the Affected Party or Affected Parties will be as specified for such Additional Termination Event in the Schedule or such</w:t>
      </w:r>
    </w:p>
    <w:p>
      <w:pPr>
        <w:pStyle w:val="TextBody"/>
        <w:bidi w:val="0"/>
        <w:spacing w:before="6" w:after="6"/>
        <w:ind w:left="986" w:right="6" w:hanging="0"/>
        <w:jc w:val="left"/>
        <w:rPr>
          <w:sz w:val="20"/>
        </w:rPr>
      </w:pPr>
      <w:r>
        <w:rPr>
          <w:sz w:val="20"/>
        </w:rPr>
        <w:t>Confirmation).</w:t>
      </w:r>
    </w:p>
    <w:p>
      <w:pPr>
        <w:pStyle w:val="TextBody"/>
        <w:bidi w:val="0"/>
        <w:spacing w:before="175" w:after="175"/>
        <w:ind w:left="986" w:right="175" w:hanging="709"/>
        <w:jc w:val="both"/>
        <w:rPr>
          <w:b/>
          <w:i/>
          <w:sz w:val="20"/>
        </w:rPr>
      </w:pPr>
      <w:r>
        <w:rPr>
          <w:b w:val="false"/>
          <w:i w:val="false"/>
          <w:caps w:val="false"/>
          <w:smallCaps w:val="false"/>
          <w:sz w:val="20"/>
        </w:rPr>
        <w:t>(c)            </w:t>
      </w:r>
      <w:r>
        <w:rPr>
          <w:b/>
          <w:i/>
          <w:sz w:val="20"/>
        </w:rPr>
        <w:t>Hierarchy of Events.</w:t>
      </w:r>
    </w:p>
    <w:p>
      <w:pPr>
        <w:pStyle w:val="TextBody"/>
        <w:bidi w:val="0"/>
        <w:spacing w:before="11" w:after="11"/>
        <w:ind w:left="11" w:right="11" w:hanging="0"/>
        <w:jc w:val="left"/>
        <w:rPr/>
      </w:pPr>
      <w:r>
        <w:rPr/>
        <w:t> </w:t>
      </w:r>
    </w:p>
    <w:p>
      <w:pPr>
        <w:pStyle w:val="TextBody"/>
        <w:bidi w:val="0"/>
        <w:ind w:left="986" w:right="191" w:hanging="0"/>
        <w:jc w:val="both"/>
        <w:rPr>
          <w:sz w:val="20"/>
        </w:rPr>
      </w:pPr>
      <w:r>
        <w:rPr>
          <w:sz w:val="20"/>
        </w:rPr>
        <w:t>(i)            An event or circumstance that constitutes or gives rise to an Illegality or a Force Majeure Event will not, for so long as that is the case, also constitute or give rise to an Event of Default under Section 5(a)(i), 5(a)(ii)(1) or 5(a)(iii)(1) insofar as such event or circumstance relates to the failure to make any payment or delivery or a failure to comply with any other material provision of this Agreement or a Credit Support Document, as the case may be.</w:t>
      </w:r>
    </w:p>
    <w:p>
      <w:pPr>
        <w:pStyle w:val="TextBody"/>
        <w:bidi w:val="0"/>
        <w:spacing w:before="8" w:after="8"/>
        <w:ind w:left="8" w:right="8" w:hanging="0"/>
        <w:jc w:val="left"/>
        <w:rPr/>
      </w:pPr>
      <w:r>
        <w:rPr/>
        <w:t> </w:t>
      </w:r>
    </w:p>
    <w:p>
      <w:pPr>
        <w:pStyle w:val="TextBody"/>
        <w:bidi w:val="0"/>
        <w:ind w:left="986" w:right="190" w:hanging="0"/>
        <w:jc w:val="both"/>
        <w:rPr>
          <w:sz w:val="20"/>
        </w:rPr>
      </w:pPr>
      <w:r>
        <w:rPr>
          <w:sz w:val="20"/>
        </w:rPr>
        <w:t>(ii)           Except in circumstances contemplated by clause (i) above, if an event or circumstance which would otherwise constitute or give rise to an Illegality or a Force Majeure Event also constitutes an Event of Default or any other Termination Event, it will be treated as an Event of Default or such other Termination Event, as the case may be, and will not constitute or give rise to an Illegality or a Force Majeure Event.</w:t>
      </w:r>
    </w:p>
    <w:p>
      <w:pPr>
        <w:pStyle w:val="TextBody"/>
        <w:bidi w:val="0"/>
        <w:spacing w:before="8" w:after="8"/>
        <w:ind w:left="8" w:right="8" w:hanging="0"/>
        <w:jc w:val="left"/>
        <w:rPr/>
      </w:pPr>
      <w:r>
        <w:rPr/>
        <w:t> </w:t>
      </w:r>
    </w:p>
    <w:p>
      <w:pPr>
        <w:pStyle w:val="TextBody"/>
        <w:bidi w:val="0"/>
        <w:ind w:left="986" w:right="192" w:hanging="0"/>
        <w:jc w:val="both"/>
        <w:rPr>
          <w:sz w:val="20"/>
        </w:rPr>
      </w:pPr>
      <w:r>
        <w:rPr>
          <w:sz w:val="20"/>
        </w:rPr>
        <w:t>(iii)          If an event or circumstance which would otherwise constitute or give rise to a Force Majeure Event also constitutes an Illegality, it will be treated as an Illegality, except as described in clause (ii) above, and not a Force Majeure Event.</w:t>
      </w:r>
    </w:p>
    <w:p>
      <w:pPr>
        <w:pStyle w:val="TextBody"/>
        <w:bidi w:val="0"/>
        <w:spacing w:before="187" w:after="187"/>
        <w:ind w:left="278" w:right="193" w:hanging="0"/>
        <w:jc w:val="both"/>
        <w:rPr>
          <w:sz w:val="20"/>
        </w:rPr>
      </w:pPr>
      <w:r>
        <w:rPr>
          <w:sz w:val="20"/>
        </w:rPr>
        <w:t xml:space="preserve">(d)            </w:t>
      </w:r>
      <w:r>
        <w:rPr>
          <w:b/>
          <w:i/>
          <w:sz w:val="20"/>
        </w:rPr>
        <w:t xml:space="preserve">Deferral of Payments and Deliveries During Waiting Period. </w:t>
      </w:r>
      <w:r>
        <w:rPr>
          <w:sz w:val="20"/>
        </w:rPr>
        <w:t>If an Illegality or a Force Majeure Event has occurred and is continuing with respect to a Transaction, each payment or delivery which would otherwise be required to be made under that Transaction will be deferred to, and will not be due until:</w:t>
      </w:r>
    </w:p>
    <w:p>
      <w:pPr>
        <w:pStyle w:val="TextBody"/>
        <w:bidi w:val="0"/>
        <w:spacing w:before="0" w:after="283"/>
        <w:jc w:val="left"/>
        <w:rPr/>
      </w:pPr>
      <w:r>
        <w:rPr/>
        <w:t> </w:t>
      </w:r>
    </w:p>
    <w:p>
      <w:pPr>
        <w:pStyle w:val="TextBody"/>
        <w:bidi w:val="0"/>
        <w:ind w:left="986" w:right="192" w:hanging="0"/>
        <w:jc w:val="both"/>
        <w:rPr>
          <w:sz w:val="20"/>
        </w:rPr>
      </w:pPr>
      <w:r>
        <w:rPr>
          <w:sz w:val="20"/>
        </w:rPr>
        <w:t>(i)             the first Local Business Day or, in the case of a delivery, the first Local Delivery Day (or the first day that would have been a Local Business Day or Local Delivery Day, as appropriate, but for the occurrence of the event or circumstance constituting or giving rise to that Illegality or Force Majeure Event) following the end of any applicable Waiting Period in respect of that Illegality or Force Majeure Event, as the case may be; or</w:t>
      </w:r>
    </w:p>
    <w:p>
      <w:pPr>
        <w:pStyle w:val="TextBody"/>
        <w:bidi w:val="0"/>
        <w:spacing w:before="8" w:after="8"/>
        <w:ind w:left="8" w:right="8" w:hanging="0"/>
        <w:jc w:val="left"/>
        <w:rPr/>
      </w:pPr>
      <w:r>
        <w:rPr/>
        <w:t> </w:t>
      </w:r>
    </w:p>
    <w:p>
      <w:pPr>
        <w:pStyle w:val="TextBody"/>
        <w:bidi w:val="0"/>
        <w:ind w:left="986" w:right="193" w:hanging="0"/>
        <w:jc w:val="both"/>
        <w:rPr>
          <w:sz w:val="20"/>
        </w:rPr>
      </w:pPr>
      <w:r>
        <w:rPr>
          <w:sz w:val="20"/>
        </w:rPr>
        <w:t>(ii)            if earlier, the date on which the event or circumstance constituting or giving rise to that Illegality or Force Majeure Event ceases to exist or, if such date is not a Local Business Day or, in the case of a delivery, a Local Delivery Day, the first following day that is a Local Business Day or Local Delivery Day, as appropriate.</w:t>
      </w:r>
    </w:p>
    <w:p>
      <w:pPr>
        <w:pStyle w:val="TextBody"/>
        <w:bidi w:val="0"/>
        <w:spacing w:before="187" w:after="187"/>
        <w:ind w:left="278" w:right="193" w:hanging="0"/>
        <w:jc w:val="both"/>
        <w:rPr>
          <w:sz w:val="20"/>
        </w:rPr>
      </w:pPr>
      <w:r>
        <w:rPr>
          <w:sz w:val="20"/>
        </w:rPr>
        <w:t xml:space="preserve">(e)             </w:t>
      </w:r>
      <w:r>
        <w:rPr>
          <w:b/>
          <w:i/>
          <w:sz w:val="20"/>
        </w:rPr>
        <w:t xml:space="preserve">Inability of Head or Home Office to Perform Obligations of Branch. </w:t>
      </w:r>
      <w:r>
        <w:rPr>
          <w:sz w:val="20"/>
        </w:rPr>
        <w:t>If (i) an Illegality or a Force Majeure Event occurs under Section 5(b)(i)(1) or 5(b)(ii)(1) and the relevant Office is not the Affected Party’s head or home office, (ii) Section 10(a) applies, (iii) the other party seeks performance of the relevant obligation or compliance with the relevant provision by the Affected Party’s head or home office and (iv) the Affected Party’s head or home office fails so to perform or comply due to the occurrence of an event or circumstance which would, if that head or home office were the Office through which the Affected Party makes and receives payments and deliveries with respect to the relevant Transaction, constitute or give rise to an Illegality or a Force Majeure Event, and such failure would otherwise constitute an Event of Default under Section 5(a)(i) or 5(a)(iii)(1) with respect to such party, then, for so long as the relevant event or circumstance continues to exist with respect to both the Office referred to in Section 5(b)(i)(1) or 5(b)(ii)(1), as the case may be, and the Affected Party’s head or home office, such failure will not constitute an Event of Default under Section 5(a)(i) or 5(a)(iii)(1).</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6.</w:t>
            </w:r>
          </w:p>
        </w:tc>
        <w:tc>
          <w:tcPr>
            <w:tcW w:w="9576" w:type="dxa"/>
            <w:tcBorders/>
            <w:vAlign w:val="center"/>
          </w:tcPr>
          <w:p>
            <w:pPr>
              <w:pStyle w:val="TableContents"/>
              <w:bidi w:val="0"/>
              <w:spacing w:before="0" w:after="283"/>
              <w:jc w:val="both"/>
              <w:rPr/>
            </w:pPr>
            <w:r>
              <w:rPr/>
              <w:t>Early Termination; Close-Out Netting</w:t>
            </w:r>
          </w:p>
        </w:tc>
      </w:tr>
    </w:tbl>
    <w:p>
      <w:pPr>
        <w:pStyle w:val="TextBody"/>
        <w:bidi w:val="0"/>
        <w:spacing w:before="190" w:after="190"/>
        <w:ind w:left="278" w:right="189" w:hanging="0"/>
        <w:jc w:val="both"/>
        <w:rPr>
          <w:sz w:val="20"/>
        </w:rPr>
      </w:pPr>
      <w:r>
        <w:rPr>
          <w:sz w:val="20"/>
        </w:rPr>
        <w:t xml:space="preserve">(a)             </w:t>
      </w:r>
      <w:r>
        <w:rPr>
          <w:b/>
          <w:i/>
          <w:sz w:val="20"/>
        </w:rPr>
        <w:t xml:space="preserve">Right to Terminate Following Event of Default. </w:t>
      </w:r>
      <w:r>
        <w:rPr>
          <w:sz w:val="20"/>
        </w:rPr>
        <w:t>If at any time an Event of Default with respect to a party (the “Defaulting Party”) has occurred and is then 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5(a)(vii)(1), (3), (5), (6) or, to the extent analogous thereto, (8),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pStyle w:val="TextBody"/>
        <w:bidi w:val="0"/>
        <w:spacing w:before="174" w:after="174"/>
        <w:ind w:left="986" w:right="174" w:hanging="709"/>
        <w:jc w:val="both"/>
        <w:rPr>
          <w:b/>
          <w:i/>
          <w:sz w:val="20"/>
        </w:rPr>
      </w:pPr>
      <w:r>
        <w:rPr>
          <w:b w:val="false"/>
          <w:i w:val="false"/>
          <w:caps w:val="false"/>
          <w:smallCaps w:val="false"/>
          <w:sz w:val="20"/>
        </w:rPr>
        <w:t xml:space="preserve">(b)            </w:t>
      </w:r>
      <w:r>
        <w:rPr>
          <w:b/>
          <w:i/>
          <w:sz w:val="20"/>
        </w:rPr>
        <w:t>Right to Terminate Following Termination Event.</w:t>
      </w:r>
    </w:p>
    <w:p>
      <w:pPr>
        <w:pStyle w:val="TextBody"/>
        <w:bidi w:val="0"/>
        <w:spacing w:before="166" w:after="166"/>
        <w:ind w:left="986" w:right="192" w:hanging="0"/>
        <w:jc w:val="both"/>
        <w:rPr>
          <w:sz w:val="20"/>
        </w:rPr>
      </w:pPr>
      <w:r>
        <w:rPr>
          <w:sz w:val="20"/>
        </w:rPr>
        <w:t>(i)            </w:t>
      </w:r>
      <w:r>
        <w:rPr>
          <w:b/>
          <w:i/>
          <w:sz w:val="20"/>
        </w:rPr>
        <w:t xml:space="preserve">Notice. </w:t>
      </w:r>
      <w:r>
        <w:rPr>
          <w:sz w:val="20"/>
        </w:rPr>
        <w:t>If a Termination Event other than a Force Majeure Event occurs, an Affected Party will, promptly upon becoming aware of it, notify the other party, specifying the nature of that Termination Event and each Affected Transaction, and will also give the other party such other information about that Termination Event as the other party may reasonably require. If a Force Majeure Event occurs, each party will, promptly upon becoming aware of it, use all reasonable efforts to notify the other party, specifying the nature of that Force Majeure Event, and will also give the other party such other information about that Force Majeure Event as the other party may reasonably require.</w:t>
      </w:r>
    </w:p>
    <w:p>
      <w:pPr>
        <w:pStyle w:val="TextBody"/>
        <w:bidi w:val="0"/>
        <w:spacing w:before="188" w:after="188"/>
        <w:ind w:left="986" w:right="192" w:hanging="0"/>
        <w:jc w:val="both"/>
        <w:rPr>
          <w:sz w:val="20"/>
        </w:rPr>
      </w:pPr>
      <w:r>
        <w:rPr>
          <w:sz w:val="20"/>
        </w:rPr>
        <w:t>(ii)           </w:t>
      </w:r>
      <w:r>
        <w:rPr>
          <w:b/>
          <w:i/>
          <w:sz w:val="20"/>
        </w:rPr>
        <w:t xml:space="preserve">Transfer to Avoid Termination Event. </w:t>
      </w:r>
      <w:r>
        <w:rPr>
          <w:sz w:val="20"/>
        </w:rPr>
        <w:t>If a Tax Event occurs and there is only one Affected Party, or if a Tax Event Upon Merger occurs and the Burdened Party is the Affected Party, the Affected Party will, as a condition to its right to designate an Early Termination Date under Section 6(b)(iv), use all reasonable efforts (which will not require such party to incur a loss, other than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pStyle w:val="TextBody"/>
        <w:bidi w:val="0"/>
        <w:spacing w:before="7" w:after="7"/>
        <w:ind w:left="7" w:right="7" w:hanging="0"/>
        <w:jc w:val="left"/>
        <w:rPr/>
      </w:pPr>
      <w:r>
        <w:rPr/>
        <w:t> </w:t>
      </w:r>
    </w:p>
    <w:p>
      <w:pPr>
        <w:pStyle w:val="TextBody"/>
        <w:bidi w:val="0"/>
        <w:ind w:left="986" w:right="193" w:hanging="0"/>
        <w:jc w:val="both"/>
        <w:rPr>
          <w:sz w:val="20"/>
        </w:rPr>
      </w:pPr>
      <w:r>
        <w:rPr>
          <w:sz w:val="20"/>
        </w:rPr>
        <w:t>If the Affected Party is not able to make such a transfer it will give notice to the other party to that effect within such 20 day period, whereupon the other party may effect such a transfer within 30 days after the notice is given under Section 6(b)(i).</w:t>
      </w:r>
    </w:p>
    <w:p>
      <w:pPr>
        <w:pStyle w:val="TextBody"/>
        <w:bidi w:val="0"/>
        <w:spacing w:before="7" w:after="7"/>
        <w:ind w:left="7" w:right="7" w:hanging="0"/>
        <w:jc w:val="left"/>
        <w:rPr/>
      </w:pPr>
      <w:r>
        <w:rPr/>
        <w:t> </w:t>
      </w:r>
    </w:p>
    <w:p>
      <w:pPr>
        <w:pStyle w:val="TextBody"/>
        <w:bidi w:val="0"/>
        <w:ind w:left="986" w:right="193" w:hanging="0"/>
        <w:jc w:val="both"/>
        <w:rPr>
          <w:sz w:val="20"/>
        </w:rPr>
      </w:pPr>
      <w:r>
        <w:rPr>
          <w:sz w:val="20"/>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pStyle w:val="TextBody"/>
        <w:bidi w:val="0"/>
        <w:spacing w:before="187" w:after="187"/>
        <w:ind w:left="986" w:right="192" w:hanging="0"/>
        <w:jc w:val="both"/>
        <w:rPr>
          <w:sz w:val="20"/>
        </w:rPr>
      </w:pPr>
      <w:r>
        <w:rPr>
          <w:sz w:val="20"/>
        </w:rPr>
        <w:t xml:space="preserve">(iii)           </w:t>
      </w:r>
      <w:r>
        <w:rPr>
          <w:b/>
          <w:i/>
          <w:sz w:val="20"/>
        </w:rPr>
        <w:t xml:space="preserve">Two Affected Parties. </w:t>
      </w:r>
      <w:r>
        <w:rPr>
          <w:sz w:val="20"/>
        </w:rPr>
        <w:t>If a Tax Event occurs and there are two Affected Parties, each party will use all reasonable efforts to reach agreement within 30 days after notice of such occurrence is given under Section 6(b)(i) to avoid that Termination Event.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70"/>
        <w:gridCol w:w="1575"/>
        <w:gridCol w:w="8460"/>
      </w:tblGrid>
      <w:tr>
        <w:trPr/>
        <w:tc>
          <w:tcPr>
            <w:tcW w:w="17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(iv)</w:t>
            </w:r>
          </w:p>
        </w:tc>
        <w:tc>
          <w:tcPr>
            <w:tcW w:w="8460" w:type="dxa"/>
            <w:tcBorders/>
            <w:vAlign w:val="center"/>
          </w:tcPr>
          <w:p>
            <w:pPr>
              <w:pStyle w:val="TableContents"/>
              <w:bidi w:val="0"/>
              <w:spacing w:before="0" w:after="283"/>
              <w:jc w:val="both"/>
              <w:rPr/>
            </w:pPr>
            <w:r>
              <w:rPr/>
              <w:t>Right to Terminate.</w:t>
            </w:r>
          </w:p>
        </w:tc>
      </w:tr>
    </w:tbl>
    <w:p>
      <w:pPr>
        <w:pStyle w:val="TextBody"/>
        <w:bidi w:val="0"/>
        <w:spacing w:before="11" w:after="11"/>
        <w:ind w:left="11" w:right="11" w:hanging="0"/>
        <w:jc w:val="left"/>
        <w:rPr/>
      </w:pPr>
      <w:r>
        <w:rPr/>
        <w:t> </w:t>
      </w:r>
    </w:p>
    <w:tbl>
      <w:tblPr>
        <w:tblW w:w="5000" w:type="pct"/>
        <w:jc w:val="left"/>
        <w:tblInd w:w="0" w:type="dxa"/>
        <w:tblLayout w:type="fixed"/>
        <w:tblCellMar>
          <w:top w:w="0" w:type="dxa"/>
          <w:left w:w="0" w:type="dxa"/>
          <w:bottom w:w="0" w:type="dxa"/>
          <w:right w:w="0" w:type="dxa"/>
        </w:tblCellMar>
      </w:tblPr>
      <w:tblGrid>
        <w:gridCol w:w="676"/>
        <w:gridCol w:w="5165"/>
        <w:gridCol w:w="4364"/>
      </w:tblGrid>
      <w:tr>
        <w:trPr/>
        <w:tc>
          <w:tcPr>
            <w:tcW w:w="676"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pPr>
            <w:r>
              <w:rPr/>
              <w:t>(1)</w:t>
            </w:r>
          </w:p>
        </w:tc>
        <w:tc>
          <w:tcPr>
            <w:tcW w:w="4364" w:type="dxa"/>
            <w:tcBorders/>
            <w:vAlign w:val="center"/>
          </w:tcPr>
          <w:p>
            <w:pPr>
              <w:pStyle w:val="TableContents"/>
              <w:bidi w:val="0"/>
              <w:spacing w:before="0" w:after="283"/>
              <w:jc w:val="both"/>
              <w:rPr/>
            </w:pPr>
            <w:r>
              <w:rPr/>
              <w:t>If:</w:t>
            </w:r>
          </w:p>
        </w:tc>
      </w:tr>
    </w:tbl>
    <w:p>
      <w:pPr>
        <w:pStyle w:val="TextBody"/>
        <w:bidi w:val="0"/>
        <w:spacing w:before="10" w:after="10"/>
        <w:ind w:left="10" w:right="10" w:hanging="0"/>
        <w:jc w:val="left"/>
        <w:rPr/>
      </w:pPr>
      <w:r>
        <w:rPr/>
        <w:t> </w:t>
      </w:r>
    </w:p>
    <w:p>
      <w:pPr>
        <w:pStyle w:val="TextBody"/>
        <w:bidi w:val="0"/>
        <w:ind w:left="2404" w:right="192" w:hanging="0"/>
        <w:jc w:val="both"/>
        <w:rPr>
          <w:sz w:val="20"/>
        </w:rPr>
      </w:pPr>
      <w:r>
        <w:rPr>
          <w:sz w:val="20"/>
        </w:rPr>
        <w:t>(A)           a transfer under Section 6(b)(ii) or an agreement under Section 6(b)(iii), as the case may be, has not been effected with respect to all Affected Transactions within 30 days after an Affected Party gives notice under Section 6(b)(i); or</w:t>
      </w:r>
    </w:p>
    <w:p>
      <w:pPr>
        <w:pStyle w:val="TextBody"/>
        <w:bidi w:val="0"/>
        <w:spacing w:before="7" w:after="7"/>
        <w:ind w:left="7" w:right="7" w:hanging="0"/>
        <w:jc w:val="left"/>
        <w:rPr/>
      </w:pPr>
      <w:r>
        <w:rPr/>
        <w:t> </w:t>
      </w:r>
    </w:p>
    <w:p>
      <w:pPr>
        <w:pStyle w:val="TextBody"/>
        <w:bidi w:val="0"/>
        <w:ind w:left="2404" w:right="192" w:hanging="0"/>
        <w:jc w:val="both"/>
        <w:rPr>
          <w:sz w:val="20"/>
        </w:rPr>
      </w:pPr>
      <w:r>
        <w:rPr>
          <w:sz w:val="20"/>
        </w:rPr>
        <w:t>(B)           a Credit Event Upon Merger or an Additional Termination Event occurs, or a Tax Event Upon Merger occurs and the Burdened Party is not the Affected Party,</w:t>
      </w:r>
    </w:p>
    <w:p>
      <w:pPr>
        <w:pStyle w:val="TextBody"/>
        <w:bidi w:val="0"/>
        <w:spacing w:before="6" w:after="6"/>
        <w:ind w:left="6" w:right="6" w:hanging="0"/>
        <w:jc w:val="left"/>
        <w:rPr/>
      </w:pPr>
      <w:r>
        <w:rPr/>
        <w:t> </w:t>
      </w:r>
    </w:p>
    <w:p>
      <w:pPr>
        <w:pStyle w:val="TextBody"/>
        <w:bidi w:val="0"/>
        <w:spacing w:before="1" w:after="1"/>
        <w:ind w:left="1696" w:right="190" w:hanging="0"/>
        <w:jc w:val="both"/>
        <w:rPr>
          <w:sz w:val="20"/>
        </w:rPr>
      </w:pPr>
      <w:r>
        <w:rPr>
          <w:sz w:val="20"/>
        </w:rPr>
        <w:t>the Burdened Party in the case of a Tax Event Upon Merger, any Affected Party in the case of a Tax Event or an Additional Termination Event if there are two Affected Parties, or the Non- affected Party in the case of a Credit Event Upon Merger or an Additional Termination Event if there is only one Affected Party may, if the relevant Termination Event is then continuing, by not more than 20 days notice to the other party, designate a day not earlier than the day such notice is effective as an Early Termination Date in respect of all Affected Transactions.</w:t>
      </w:r>
    </w:p>
    <w:p>
      <w:pPr>
        <w:pStyle w:val="TextBody"/>
        <w:bidi w:val="0"/>
        <w:spacing w:before="8" w:after="8"/>
        <w:ind w:left="8" w:right="8" w:hanging="0"/>
        <w:jc w:val="left"/>
        <w:rPr/>
      </w:pPr>
      <w:r>
        <w:rPr/>
        <w:t> </w:t>
      </w:r>
    </w:p>
    <w:p>
      <w:pPr>
        <w:pStyle w:val="TextBody"/>
        <w:bidi w:val="0"/>
        <w:spacing w:before="1" w:after="1"/>
        <w:ind w:left="1696" w:right="191" w:hanging="0"/>
        <w:jc w:val="both"/>
        <w:rPr>
          <w:sz w:val="20"/>
        </w:rPr>
      </w:pPr>
      <w:r>
        <w:rPr>
          <w:sz w:val="20"/>
        </w:rPr>
        <w:t>(2)            If at any time an Illegality or a Force Majeure Event has occurred and is then continuing and any applicable Waiting Period has expired:</w:t>
      </w:r>
    </w:p>
    <w:p>
      <w:pPr>
        <w:pStyle w:val="TextBody"/>
        <w:bidi w:val="0"/>
        <w:spacing w:before="6" w:after="6"/>
        <w:ind w:left="6" w:right="6" w:hanging="0"/>
        <w:jc w:val="left"/>
        <w:rPr/>
      </w:pPr>
      <w:r>
        <w:rPr/>
        <w:t> </w:t>
      </w:r>
    </w:p>
    <w:p>
      <w:pPr>
        <w:pStyle w:val="TextBody"/>
        <w:bidi w:val="0"/>
        <w:ind w:left="2404" w:right="189" w:hanging="0"/>
        <w:jc w:val="both"/>
        <w:rPr>
          <w:sz w:val="20"/>
        </w:rPr>
      </w:pPr>
      <w:r>
        <w:rPr>
          <w:sz w:val="20"/>
        </w:rPr>
        <w:t>(A)           Subject to clause (B) below, either party may, by not more than 20 days notice to the other party, designate (I) a day not earlier than the day on which such notice becomes effective as an Early Termination Date in respect of all Affected Transactions or (II) by specifying in that notice the Affected Transactions in respect of which it is designating the relevant day as an Early Termination Date, a day not earlier than two Local Business Days following the day on which such notice becomes effective as an Early Termination Date in respect of less than all Affected Transactions. Upon receipt of a notice designating an Early Termination Date in respect of less than all Affected Transactions, the other party may, by notice to the designating party, if such notice is effective on or before the day so designated, designate that same day as an Early Termination Date in respect of any or all other Affected Transactions.</w:t>
      </w:r>
    </w:p>
    <w:p>
      <w:pPr>
        <w:pStyle w:val="TextBody"/>
        <w:bidi w:val="0"/>
        <w:spacing w:before="0" w:after="283"/>
        <w:jc w:val="left"/>
        <w:rPr/>
      </w:pPr>
      <w:r>
        <w:rPr/>
        <w:t> </w:t>
      </w:r>
    </w:p>
    <w:p>
      <w:pPr>
        <w:pStyle w:val="TextBody"/>
        <w:bidi w:val="0"/>
        <w:ind w:left="2404" w:right="191" w:hanging="0"/>
        <w:jc w:val="both"/>
        <w:rPr>
          <w:sz w:val="20"/>
        </w:rPr>
      </w:pPr>
      <w:r>
        <w:rPr>
          <w:sz w:val="20"/>
        </w:rPr>
        <w:t>(B)           An Affected Party (if the Illegality or Force Majeure Event relates to performance by such party or any Credit Support Provider of such party of an obligation to make any payment or delivery under, or to compliance with any other material provision of, the relevant Credit Support Document) will only have the right to designate an Early Termination Date under Section 6(b)(iv)(2)(A) as a result of an Illegality under Section 5(b)(i)(2) or a Force Majeure Event under Section 5(b)(ii)(2) following the prior designation by the other party of an Early Termination Date, pursuant to Section 6(b)(iv)(2)(A), in respect of less than all Affected Transactions.</w:t>
      </w:r>
    </w:p>
    <w:p>
      <w:pPr>
        <w:pStyle w:val="TextBody"/>
        <w:bidi w:val="0"/>
        <w:spacing w:before="175" w:after="175"/>
        <w:ind w:left="986" w:right="175" w:hanging="709"/>
        <w:jc w:val="both"/>
        <w:rPr>
          <w:b/>
          <w:i/>
          <w:sz w:val="20"/>
        </w:rPr>
      </w:pPr>
      <w:r>
        <w:rPr>
          <w:b w:val="false"/>
          <w:i w:val="false"/>
          <w:caps w:val="false"/>
          <w:smallCaps w:val="false"/>
          <w:sz w:val="20"/>
        </w:rPr>
        <w:t xml:space="preserve">(c)             </w:t>
      </w:r>
      <w:r>
        <w:rPr>
          <w:b/>
          <w:i/>
          <w:sz w:val="20"/>
        </w:rPr>
        <w:t>Effect of Designation.</w:t>
      </w:r>
    </w:p>
    <w:p>
      <w:pPr>
        <w:pStyle w:val="TextBody"/>
        <w:bidi w:val="0"/>
        <w:spacing w:before="11" w:after="11"/>
        <w:ind w:left="11" w:right="11" w:hanging="0"/>
        <w:jc w:val="left"/>
        <w:rPr/>
      </w:pPr>
      <w:r>
        <w:rPr/>
        <w:t> </w:t>
      </w:r>
    </w:p>
    <w:p>
      <w:pPr>
        <w:pStyle w:val="TextBody"/>
        <w:bidi w:val="0"/>
        <w:ind w:left="986" w:right="190" w:hanging="0"/>
        <w:jc w:val="both"/>
        <w:rPr>
          <w:sz w:val="20"/>
        </w:rPr>
      </w:pPr>
      <w:r>
        <w:rPr>
          <w:sz w:val="20"/>
        </w:rPr>
        <w:t>(i)             If notice designating an Early Termination Date is given under Section 6(a) or 6(b), the Early Termination Date will occur on the date so designated, whether or not the relevant Event of Default or Termination Event is then continuing.</w:t>
      </w:r>
    </w:p>
    <w:p>
      <w:pPr>
        <w:pStyle w:val="TextBody"/>
        <w:bidi w:val="0"/>
        <w:spacing w:before="7" w:after="7"/>
        <w:ind w:left="7" w:right="7" w:hanging="0"/>
        <w:jc w:val="left"/>
        <w:rPr/>
      </w:pPr>
      <w:r>
        <w:rPr/>
        <w:t> </w:t>
      </w:r>
    </w:p>
    <w:p>
      <w:pPr>
        <w:pStyle w:val="TextBody"/>
        <w:bidi w:val="0"/>
        <w:ind w:left="986" w:right="190" w:hanging="0"/>
        <w:jc w:val="both"/>
        <w:rPr>
          <w:sz w:val="20"/>
        </w:rPr>
      </w:pPr>
      <w:r>
        <w:rPr>
          <w:sz w:val="20"/>
        </w:rPr>
        <w:t>(ii)            Upon the occurrence or effective designation of an Early Termination Date, no further payments or deliveries under Section 2(a)(i) or 9(h)(i) in respect of the Terminated Transactions will be required to be made, but without prejudice to the other provisions of this Agreement. The amount, if any, payable in respect of an Early Termination Date will be determined pursuant to Sections 6(e) and 9(h)(ii).</w:t>
      </w:r>
    </w:p>
    <w:p>
      <w:pPr>
        <w:pStyle w:val="TextBody"/>
        <w:bidi w:val="0"/>
        <w:ind w:left="98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43" w:after="143"/>
        <w:ind w:left="986" w:right="143" w:hanging="709"/>
        <w:jc w:val="both"/>
        <w:rPr>
          <w:b/>
          <w:i/>
          <w:sz w:val="20"/>
        </w:rPr>
      </w:pPr>
      <w:r>
        <w:rPr>
          <w:b w:val="false"/>
          <w:i w:val="false"/>
          <w:caps w:val="false"/>
          <w:smallCaps w:val="false"/>
          <w:sz w:val="20"/>
        </w:rPr>
        <w:t xml:space="preserve">(d)            </w:t>
      </w:r>
      <w:r>
        <w:rPr>
          <w:b/>
          <w:i/>
          <w:sz w:val="20"/>
        </w:rPr>
        <w:t>Calculations; Payment Date.</w:t>
      </w:r>
    </w:p>
    <w:p>
      <w:pPr>
        <w:pStyle w:val="TextBody"/>
        <w:bidi w:val="0"/>
        <w:spacing w:before="166" w:after="166"/>
        <w:ind w:left="986" w:right="189" w:hanging="0"/>
        <w:jc w:val="both"/>
        <w:rPr>
          <w:sz w:val="20"/>
        </w:rPr>
      </w:pPr>
      <w:r>
        <w:rPr>
          <w:sz w:val="20"/>
        </w:rPr>
        <w:t xml:space="preserve">(i)             </w:t>
      </w:r>
      <w:r>
        <w:rPr>
          <w:b/>
          <w:i/>
          <w:sz w:val="20"/>
        </w:rPr>
        <w:t xml:space="preserve">Statement. </w:t>
      </w:r>
      <w:r>
        <w:rPr>
          <w:sz w:val="20"/>
        </w:rPr>
        <w:t>On or as soon as reasonably practicable following the occurrence of an Early Termination Date, each party will make the calculations on its part, if any, contemplated by Section 6(e) and will provide to the other party a statement (l) showing, in reasonable detail, such calculations (including any quotations, market data or information from internal sources used in making such calculations), (2) specifying (except where there are two Affected Parties) any Early Termination Amount payable and (3)  giving details of the relevant account to which any amount payable to it is to be paid. In the absence of written confirmation from the source of a quotation or market data obtained in determining a Close-out Amount, the records of the party obtaining such quotation or market data will be conclusive evidence of the existence and accuracy of such quotation or market data.</w:t>
      </w:r>
    </w:p>
    <w:p>
      <w:pPr>
        <w:pStyle w:val="TextBody"/>
        <w:bidi w:val="0"/>
        <w:spacing w:before="187" w:after="187"/>
        <w:ind w:left="986" w:right="191" w:hanging="0"/>
        <w:jc w:val="both"/>
        <w:rPr>
          <w:sz w:val="20"/>
        </w:rPr>
      </w:pPr>
      <w:r>
        <w:rPr>
          <w:sz w:val="20"/>
        </w:rPr>
        <w:t xml:space="preserve">(ii)            </w:t>
      </w:r>
      <w:r>
        <w:rPr>
          <w:b/>
          <w:i/>
          <w:sz w:val="20"/>
        </w:rPr>
        <w:t xml:space="preserve">Payment Date. </w:t>
      </w:r>
      <w:r>
        <w:rPr>
          <w:sz w:val="20"/>
        </w:rPr>
        <w:t>An Early Termination Amount due in respect of any Early Termination Date will, together with any amount of interest payable pursuant to Section 9(h)(ii)(2), be payable (1) on the day on which notice of the amount payable is effective in the case of an Early Termination Date which is designated or occurs as a result of an Event of Default and (2) on the day which is two Local Business Days after the day on which notice of the amount payable is effective (or, if there are two Affected Parties, after the day on which the statement provided pursuant to clause (i) above by the second party to provide such a statement is effective) in the case of an Early Termination Date which is designated as a result of a Termination Event.</w:t>
      </w:r>
    </w:p>
    <w:p>
      <w:pPr>
        <w:pStyle w:val="TextBody"/>
        <w:bidi w:val="0"/>
        <w:spacing w:before="187" w:after="187"/>
        <w:ind w:left="278" w:right="193" w:hanging="0"/>
        <w:jc w:val="both"/>
        <w:rPr>
          <w:sz w:val="20"/>
        </w:rPr>
      </w:pPr>
      <w:r>
        <w:rPr>
          <w:sz w:val="20"/>
        </w:rPr>
        <w:t xml:space="preserve">(e)             </w:t>
      </w:r>
      <w:r>
        <w:rPr>
          <w:b/>
          <w:i/>
          <w:sz w:val="20"/>
        </w:rPr>
        <w:t xml:space="preserve">Payments on Early Termination. </w:t>
      </w:r>
      <w:r>
        <w:rPr>
          <w:sz w:val="20"/>
        </w:rPr>
        <w:t>If an Early Termination Date occurs, the amount, if any, payable in respect of that Early Termination Date (the “Early Termination Amount”) will be determined pursuant to this Section 6(e) and will be subject to Section 6(f).</w:t>
      </w:r>
    </w:p>
    <w:p>
      <w:pPr>
        <w:pStyle w:val="TextBody"/>
        <w:bidi w:val="0"/>
        <w:spacing w:before="191" w:after="191"/>
        <w:ind w:left="986" w:right="189" w:hanging="0"/>
        <w:jc w:val="both"/>
        <w:rPr>
          <w:sz w:val="20"/>
        </w:rPr>
      </w:pPr>
      <w:r>
        <w:rPr>
          <w:sz w:val="20"/>
        </w:rPr>
        <w:t xml:space="preserve">(i)            </w:t>
      </w:r>
      <w:r>
        <w:rPr>
          <w:b/>
          <w:i/>
          <w:sz w:val="20"/>
        </w:rPr>
        <w:t xml:space="preserve">Events of Default. </w:t>
      </w:r>
      <w:r>
        <w:rPr>
          <w:sz w:val="20"/>
        </w:rPr>
        <w:t>If the Early Termination Date results from an Event of Default, the Early Termination Amount will be an amount equal to (1) the sum of (A) the Termination Currency Equivalent of the Close-out Amount or Close-out Amounts (whether positive or negative) determined by the Non-defaulting Party for each Terminated Transaction or group of Terminated Transactions, as the case may be, and (B) the Termination Currency Equivalent of the Unpaid Amounts owing to the Non-defaulting Party less (2) the Termination Currency Equivalent of the Unpaid Amounts owing to the Defaulting Party. If the Early Termination Amount is a positive number, the Defaulting Party will pay it to the Non-defaulting Party; if it is a negative number, the Non-defaulting Party will pay the absolute value of the Early Termination Amount to the Defaulting Party.</w:t>
      </w:r>
    </w:p>
    <w:tbl>
      <w:tblPr>
        <w:tblW w:w="5000" w:type="pct"/>
        <w:jc w:val="left"/>
        <w:tblInd w:w="0" w:type="dxa"/>
        <w:tblLayout w:type="fixed"/>
        <w:tblCellMar>
          <w:top w:w="0" w:type="dxa"/>
          <w:left w:w="0" w:type="dxa"/>
          <w:bottom w:w="0" w:type="dxa"/>
          <w:right w:w="0" w:type="dxa"/>
        </w:tblCellMar>
      </w:tblPr>
      <w:tblGrid>
        <w:gridCol w:w="45"/>
        <w:gridCol w:w="351"/>
        <w:gridCol w:w="9809"/>
      </w:tblGrid>
      <w:tr>
        <w:trPr/>
        <w:tc>
          <w:tcPr>
            <w:tcW w:w="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(ii)</w:t>
            </w:r>
          </w:p>
        </w:tc>
        <w:tc>
          <w:tcPr>
            <w:tcW w:w="9809" w:type="dxa"/>
            <w:tcBorders/>
            <w:vAlign w:val="center"/>
          </w:tcPr>
          <w:p>
            <w:pPr>
              <w:pStyle w:val="TableContents"/>
              <w:bidi w:val="0"/>
              <w:spacing w:before="0" w:after="283"/>
              <w:jc w:val="both"/>
              <w:rPr/>
            </w:pPr>
            <w:r>
              <w:rPr>
                <w:b/>
                <w:i/>
              </w:rPr>
              <w:t xml:space="preserve">Termination Events. </w:t>
            </w:r>
            <w:r>
              <w:rPr/>
              <w:t>If the Early Termination Date results from a Termination Event:</w:t>
            </w:r>
          </w:p>
        </w:tc>
      </w:tr>
    </w:tbl>
    <w:p>
      <w:pPr>
        <w:pStyle w:val="TextBody"/>
        <w:bidi w:val="0"/>
        <w:spacing w:before="3" w:after="3"/>
        <w:ind w:left="3" w:right="3" w:hanging="0"/>
        <w:jc w:val="left"/>
        <w:rPr/>
      </w:pPr>
      <w:r>
        <w:rPr/>
        <w:t> </w:t>
      </w:r>
    </w:p>
    <w:p>
      <w:pPr>
        <w:pStyle w:val="TextBody"/>
        <w:bidi w:val="0"/>
        <w:ind w:left="1696" w:right="190" w:hanging="0"/>
        <w:jc w:val="both"/>
        <w:rPr>
          <w:sz w:val="20"/>
        </w:rPr>
      </w:pPr>
      <w:r>
        <w:rPr>
          <w:sz w:val="20"/>
        </w:rPr>
        <w:t xml:space="preserve">(1)            </w:t>
      </w:r>
      <w:r>
        <w:rPr>
          <w:i/>
          <w:sz w:val="20"/>
        </w:rPr>
        <w:t>One Affected Party</w:t>
      </w:r>
      <w:r>
        <w:rPr>
          <w:sz w:val="20"/>
        </w:rPr>
        <w:t>. Subject to clause (3) below, if there is one Affected Party, the Early Termination Amount will be determined in accordance with Section 6(e)(i), except that references to the Defaulting Party and to the Non-defaulting Party will be deemed to be references to the Affected Party and to the Non-affected Party, respectively.</w:t>
      </w:r>
    </w:p>
    <w:p>
      <w:pPr>
        <w:pStyle w:val="TextBody"/>
        <w:bidi w:val="0"/>
        <w:spacing w:before="8" w:after="8"/>
        <w:ind w:left="8" w:right="8" w:hanging="0"/>
        <w:jc w:val="left"/>
        <w:rPr/>
      </w:pPr>
      <w:r>
        <w:rPr/>
        <w:t> </w:t>
      </w:r>
    </w:p>
    <w:p>
      <w:pPr>
        <w:pStyle w:val="TextBody"/>
        <w:bidi w:val="0"/>
        <w:ind w:left="1696" w:right="190" w:hanging="0"/>
        <w:jc w:val="both"/>
        <w:rPr>
          <w:sz w:val="20"/>
        </w:rPr>
      </w:pPr>
      <w:r>
        <w:rPr>
          <w:sz w:val="20"/>
        </w:rPr>
        <w:t xml:space="preserve">(2)            </w:t>
      </w:r>
      <w:r>
        <w:rPr>
          <w:i/>
          <w:sz w:val="20"/>
        </w:rPr>
        <w:t>Two Affected Parties</w:t>
      </w:r>
      <w:r>
        <w:rPr>
          <w:sz w:val="20"/>
        </w:rPr>
        <w:t>. Subject to clause (3) below, if there are two Affected Parties, each party will determine an amount equal to the Termination Currency Equivalent of the sum of the Close-out Amount or Close-out Amounts (whether positive or negative) for each Terminated Transaction or group of Terminated Transactions, as the case may be, and the Early Termination Amount will be an amount equal to (A) the sum of (I) one-half of the difference between the higher amount so determined (by party “X”) and the lower amount so determined (by party “Y”) and (II) the Termination Currency Equivalent of the Unpaid Amounts owing to X less (B) the Termination Currency Equivalent of the Unpaid Amounts owing to Y. If the Early Termination Amount is a positive number, Y will pay it to X; if it is a negative number, X will pay the absolute value of the Early Termination Amount to Y.</w:t>
      </w:r>
    </w:p>
    <w:p>
      <w:pPr>
        <w:pStyle w:val="TextBody"/>
        <w:bidi w:val="0"/>
        <w:ind w:left="169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1696" w:right="192" w:hanging="0"/>
        <w:jc w:val="both"/>
        <w:rPr>
          <w:sz w:val="20"/>
        </w:rPr>
      </w:pPr>
      <w:r>
        <w:rPr>
          <w:sz w:val="20"/>
        </w:rPr>
        <w:t xml:space="preserve">(3)            </w:t>
      </w:r>
      <w:r>
        <w:rPr>
          <w:i/>
          <w:sz w:val="20"/>
        </w:rPr>
        <w:t>Mid-Market Events</w:t>
      </w:r>
      <w:r>
        <w:rPr>
          <w:sz w:val="20"/>
        </w:rPr>
        <w:t>. If that Termination Event is an Illegality or a Force Majeure Event, then the Early Termination Amount will be determined in accordance with clause (1) or (2) above, as appropriate, except that, for the purpose of determining a Close-out Amount or Close-out Amounts, the Determining Party will:</w:t>
      </w:r>
    </w:p>
    <w:p>
      <w:pPr>
        <w:pStyle w:val="TextBody"/>
        <w:bidi w:val="0"/>
        <w:spacing w:before="8" w:after="8"/>
        <w:ind w:left="8" w:right="8" w:hanging="0"/>
        <w:jc w:val="left"/>
        <w:rPr/>
      </w:pPr>
      <w:r>
        <w:rPr/>
        <w:t> </w:t>
      </w:r>
    </w:p>
    <w:p>
      <w:pPr>
        <w:pStyle w:val="TextBody"/>
        <w:bidi w:val="0"/>
        <w:ind w:left="2404" w:right="191" w:hanging="0"/>
        <w:jc w:val="both"/>
        <w:rPr>
          <w:sz w:val="20"/>
        </w:rPr>
      </w:pPr>
      <w:r>
        <w:rPr>
          <w:sz w:val="20"/>
        </w:rPr>
        <w:t>(A)           if obtaining quotations from one or more third parties (or from any of the Determining Party’s Affiliates), ask each third party or Affiliate (I) not to take account of the current creditworthiness of the Determining Party or any existing Credit Support Document and (II) to provide mid-market quotations; and</w:t>
      </w:r>
    </w:p>
    <w:p>
      <w:pPr>
        <w:pStyle w:val="TextBody"/>
        <w:bidi w:val="0"/>
        <w:spacing w:before="7" w:after="7"/>
        <w:ind w:left="7" w:right="7" w:hanging="0"/>
        <w:jc w:val="left"/>
        <w:rPr/>
      </w:pPr>
      <w:r>
        <w:rPr/>
        <w:t> </w:t>
      </w:r>
    </w:p>
    <w:p>
      <w:pPr>
        <w:pStyle w:val="TextBody"/>
        <w:bidi w:val="0"/>
        <w:ind w:left="2404" w:right="191" w:hanging="0"/>
        <w:jc w:val="both"/>
        <w:rPr>
          <w:sz w:val="20"/>
        </w:rPr>
      </w:pPr>
      <w:r>
        <w:rPr>
          <w:sz w:val="20"/>
        </w:rPr>
        <w:t>(B)           in any other case, use mid-market values without regard to the creditworthiness of the Determining Party.</w:t>
      </w:r>
    </w:p>
    <w:p>
      <w:pPr>
        <w:pStyle w:val="TextBody"/>
        <w:bidi w:val="0"/>
        <w:spacing w:before="9" w:after="9"/>
        <w:ind w:left="9" w:right="9" w:hanging="0"/>
        <w:jc w:val="left"/>
        <w:rPr/>
      </w:pPr>
      <w:r>
        <w:rPr/>
        <w:t> </w:t>
      </w:r>
    </w:p>
    <w:p>
      <w:pPr>
        <w:pStyle w:val="TextBody"/>
        <w:bidi w:val="0"/>
        <w:ind w:left="986" w:right="192" w:hanging="0"/>
        <w:jc w:val="both"/>
        <w:rPr>
          <w:sz w:val="20"/>
        </w:rPr>
      </w:pPr>
      <w:r>
        <w:rPr>
          <w:sz w:val="20"/>
        </w:rPr>
        <w:t xml:space="preserve">(iii)           </w:t>
      </w:r>
      <w:r>
        <w:rPr>
          <w:b/>
          <w:i/>
          <w:sz w:val="20"/>
        </w:rPr>
        <w:t xml:space="preserve">Adjustment for Bankruptcy. </w:t>
      </w:r>
      <w:r>
        <w:rPr>
          <w:sz w:val="20"/>
        </w:rPr>
        <w:t>In circumstances where an Early Termination Date occurs because Automatic Early Termination applies in respect of a party, the Early Termination Amount will be subject to such adjustments as are appropriate and permitted by applicable law to reflect any payments or deliveries made by one party to the other under this Agreement (and retained by such other party) during the period from the relevant Early Termination Date to the date for payment determined under Section 6(d)(ii).</w:t>
      </w:r>
    </w:p>
    <w:p>
      <w:pPr>
        <w:pStyle w:val="TextBody"/>
        <w:bidi w:val="0"/>
        <w:spacing w:before="9" w:after="9"/>
        <w:ind w:left="9" w:right="9" w:hanging="0"/>
        <w:jc w:val="left"/>
        <w:rPr/>
      </w:pPr>
      <w:r>
        <w:rPr/>
        <w:t> </w:t>
      </w:r>
    </w:p>
    <w:p>
      <w:pPr>
        <w:pStyle w:val="TextBody"/>
        <w:bidi w:val="0"/>
        <w:ind w:left="986" w:right="192" w:hanging="0"/>
        <w:jc w:val="both"/>
        <w:rPr>
          <w:sz w:val="20"/>
        </w:rPr>
      </w:pPr>
      <w:r>
        <w:rPr>
          <w:sz w:val="20"/>
        </w:rPr>
        <w:t xml:space="preserve">(iv)           </w:t>
      </w:r>
      <w:r>
        <w:rPr>
          <w:b/>
          <w:i/>
          <w:sz w:val="20"/>
        </w:rPr>
        <w:t xml:space="preserve">Adjustment for Illegality or Force Majeure Event. </w:t>
      </w:r>
      <w:r>
        <w:rPr>
          <w:sz w:val="20"/>
        </w:rPr>
        <w:t>The failure by a party or any Credit Support Provider of such party to pay, when due, any Early Termination Amount will not constitute an Event of Default under Section 5(a)(i) or 5(a)(iii)(1) if such failure is due to the occurrence of an event or circumstance which would, if it occurred with respect to payment, delivery or compliance related to a Transaction, constitute or give rise to an Illegality or a Force Majeure Event. Such amount will (1) accrue interest and otherwise be treated as an Unpaid Amount owing to the other party if subsequently an Early Termination Date results from an Event of Default, a Credit Event Upon Merger or an Additional Termination Event in respect of which all outstanding Transactions are Affected Transactions and (2) otherwise accrue interest in accordance with Section 9(h)(ii)(2).</w:t>
      </w:r>
    </w:p>
    <w:p>
      <w:pPr>
        <w:pStyle w:val="TextBody"/>
        <w:bidi w:val="0"/>
        <w:spacing w:before="1" w:after="1"/>
        <w:ind w:left="1" w:right="1" w:hanging="0"/>
        <w:jc w:val="left"/>
        <w:rPr/>
      </w:pPr>
      <w:r>
        <w:rPr/>
        <w:t> </w:t>
      </w:r>
    </w:p>
    <w:p>
      <w:pPr>
        <w:pStyle w:val="TextBody"/>
        <w:bidi w:val="0"/>
        <w:ind w:left="986" w:right="191" w:hanging="0"/>
        <w:jc w:val="both"/>
        <w:rPr>
          <w:sz w:val="20"/>
        </w:rPr>
      </w:pPr>
      <w:r>
        <w:rPr>
          <w:sz w:val="20"/>
        </w:rPr>
        <w:t xml:space="preserve">(v)            </w:t>
      </w:r>
      <w:r>
        <w:rPr>
          <w:b/>
          <w:i/>
          <w:sz w:val="20"/>
        </w:rPr>
        <w:t xml:space="preserve">Pre-Estimate. </w:t>
      </w:r>
      <w:r>
        <w:rPr>
          <w:sz w:val="20"/>
        </w:rPr>
        <w:t>The parties agree that an amount recoverable under this Section 6(e) is a reasonable pre-estimate of loss and not a penalty. Such amount is payable for the loss of bargain and the loss of protection against future risks, and, except as otherwise provided in this Agreement, neither party will be entitled to recover any additional damages as a consequence of the termination of the Terminated Transactions.</w:t>
      </w:r>
    </w:p>
    <w:p>
      <w:pPr>
        <w:pStyle w:val="TextBody"/>
        <w:bidi w:val="0"/>
        <w:ind w:left="986" w:right="191" w:hanging="0"/>
        <w:jc w:val="both"/>
        <w:rPr/>
      </w:pPr>
      <w:r>
        <w:rPr/>
        <w:t> </w:t>
      </w:r>
    </w:p>
    <w:p>
      <w:pPr>
        <w:pStyle w:val="TextBody"/>
        <w:bidi w:val="0"/>
        <w:spacing w:before="0" w:after="0"/>
        <w:ind w:left="278" w:right="191" w:hanging="0"/>
        <w:jc w:val="both"/>
        <w:rPr>
          <w:sz w:val="20"/>
        </w:rPr>
      </w:pPr>
      <w:r>
        <w:rPr>
          <w:sz w:val="20"/>
        </w:rPr>
        <w:t>(f)              </w:t>
      </w:r>
      <w:r>
        <w:rPr>
          <w:b/>
          <w:i/>
          <w:sz w:val="20"/>
        </w:rPr>
        <w:t xml:space="preserve">Set-Off. </w:t>
      </w:r>
      <w:r>
        <w:rPr>
          <w:sz w:val="20"/>
        </w:rPr>
        <w:t>Any Early Termination Amount payable to one party (the “Payee”) by the other party (the “Payer”), in circumstances where there is a Defaulting Party or where there is one Affected Party in the case where either a Credit Event Upon Merger has occurred or any other Termination Event in respect of which all outstanding Transactions are Affected Transactions has occurred, will, at the option of the Non-defaulting Party or the Non- affected Party, as the case may be (“X”) (and without prior notice to the Defaulting Party or the Affected Party, as the case may be), be reduced by its set-off against any other amounts (“Other Amounts”) payable by the Payee to the Payer (whether or not arising under this Agreement, matured or contingent and irrespective of the currency, place of payment or place of booking of the obligation). To the extent that any Other Amounts are so set off, those Other Amounts will be discharged promptly and in all respects. X will give notice to the other party of any set-off effected under this Section 6(f).</w:t>
      </w:r>
    </w:p>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For this purpose, either the Early Termination Amount or the Other Amounts (or the relevant portion of such amounts) may be converted by X into the currency in which the other is denominated at the rate of exchange at which such party would be able, in good faith and using commercially reasonable procedures, to purchase the relevant amount of such currency.</w:t>
      </w:r>
    </w:p>
    <w:p>
      <w:pPr>
        <w:pStyle w:val="TextBody"/>
        <w:bidi w:val="0"/>
        <w:ind w:left="278" w:right="192"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 w:after="2"/>
        <w:ind w:left="2" w:right="2" w:hanging="0"/>
        <w:jc w:val="left"/>
        <w:rPr/>
      </w:pPr>
      <w:r>
        <w:rPr/>
        <w:t> </w:t>
      </w:r>
    </w:p>
    <w:p>
      <w:pPr>
        <w:pStyle w:val="TextBody"/>
        <w:bidi w:val="0"/>
        <w:ind w:left="278" w:right="194" w:hanging="0"/>
        <w:jc w:val="both"/>
        <w:rPr>
          <w:sz w:val="20"/>
        </w:rPr>
      </w:pPr>
      <w:r>
        <w:rPr>
          <w:sz w:val="20"/>
        </w:rPr>
        <w:t>If an obligation is unascertained, X may in good faith estimate that obligation and set off in respect of the estimate, subject to the relevant party accounting to the other when the obligation is ascertained.</w:t>
      </w:r>
    </w:p>
    <w:p>
      <w:pPr>
        <w:pStyle w:val="TextBody"/>
        <w:bidi w:val="0"/>
        <w:spacing w:before="6" w:after="6"/>
        <w:ind w:left="6" w:right="6" w:hanging="0"/>
        <w:jc w:val="left"/>
        <w:rPr/>
      </w:pPr>
      <w:r>
        <w:rPr/>
        <w:t> </w:t>
      </w:r>
    </w:p>
    <w:p>
      <w:pPr>
        <w:pStyle w:val="TextBody"/>
        <w:bidi w:val="0"/>
        <w:spacing w:before="1" w:after="1"/>
        <w:ind w:left="278" w:right="187" w:hanging="0"/>
        <w:jc w:val="both"/>
        <w:rPr>
          <w:sz w:val="20"/>
        </w:rPr>
      </w:pPr>
      <w:r>
        <w:rPr>
          <w:sz w:val="20"/>
        </w:rPr>
        <w:t>Nothing in this Section 6(f) will be effective to create a charge or other security interest. This Section 6(f) will be without prejudice and in addition to any right of set-off, offset, combination of accounts, lien, right of retention or withholding or similar right or requirement to which any party is at any time otherwise entitled or subject (whether by operation of law, contract or otherwise).</w:t>
      </w:r>
    </w:p>
    <w:p>
      <w:pPr>
        <w:pStyle w:val="TextBody"/>
        <w:bidi w:val="0"/>
        <w:spacing w:before="9" w:after="9"/>
        <w:ind w:left="9" w:right="9" w:hanging="0"/>
        <w:jc w:val="left"/>
        <w:rPr/>
      </w:pPr>
      <w:r>
        <w:rPr/>
        <w:t> </w:t>
      </w:r>
    </w:p>
    <w:tbl>
      <w:tblPr>
        <w:tblW w:w="5000" w:type="pct"/>
        <w:jc w:val="left"/>
        <w:tblInd w:w="0" w:type="dxa"/>
        <w:tblLayout w:type="fixed"/>
        <w:tblCellMar>
          <w:top w:w="0" w:type="dxa"/>
          <w:left w:w="0" w:type="dxa"/>
          <w:bottom w:w="0" w:type="dxa"/>
          <w:right w:w="0" w:type="dxa"/>
        </w:tblCellMar>
      </w:tblPr>
      <w:tblGrid>
        <w:gridCol w:w="362"/>
        <w:gridCol w:w="1912"/>
        <w:gridCol w:w="7931"/>
      </w:tblGrid>
      <w:tr>
        <w:trPr/>
        <w:tc>
          <w:tcPr>
            <w:tcW w:w="36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pPr>
            <w:r>
              <w:rPr/>
              <w:t>7.</w:t>
            </w:r>
          </w:p>
        </w:tc>
        <w:tc>
          <w:tcPr>
            <w:tcW w:w="7931" w:type="dxa"/>
            <w:tcBorders/>
            <w:vAlign w:val="center"/>
          </w:tcPr>
          <w:p>
            <w:pPr>
              <w:pStyle w:val="TableContents"/>
              <w:bidi w:val="0"/>
              <w:spacing w:before="0" w:after="283"/>
              <w:jc w:val="both"/>
              <w:rPr/>
            </w:pPr>
            <w:r>
              <w:rPr/>
              <w:t>Transfer</w:t>
            </w:r>
          </w:p>
        </w:tc>
      </w:tr>
    </w:tbl>
    <w:p>
      <w:pPr>
        <w:pStyle w:val="TextBody"/>
        <w:bidi w:val="0"/>
        <w:spacing w:before="10" w:after="10"/>
        <w:ind w:left="10" w:right="10" w:hanging="0"/>
        <w:jc w:val="left"/>
        <w:rPr/>
      </w:pPr>
      <w:r>
        <w:rPr/>
        <w:t> </w:t>
      </w:r>
    </w:p>
    <w:p>
      <w:pPr>
        <w:pStyle w:val="TextBody"/>
        <w:bidi w:val="0"/>
        <w:ind w:left="278" w:right="189" w:hanging="0"/>
        <w:jc w:val="both"/>
        <w:rPr>
          <w:sz w:val="20"/>
        </w:rPr>
      </w:pPr>
      <w:r>
        <w:rPr>
          <w:sz w:val="20"/>
        </w:rPr>
        <w:t>Subject to Section 6(b)(ii) and to the extent permitted by applicable law, neither this Agreement nor any interest or obligation in or under this Agreement may be transferred (whether by way of security or otherwise) by either party without the prior written consent of the other party, except that:</w:t>
      </w:r>
    </w:p>
    <w:p>
      <w:pPr>
        <w:pStyle w:val="TextBody"/>
        <w:bidi w:val="0"/>
        <w:spacing w:before="7" w:after="7"/>
        <w:ind w:left="7" w:right="7" w:hanging="0"/>
        <w:jc w:val="left"/>
        <w:rPr/>
      </w:pPr>
      <w:r>
        <w:rPr/>
        <w:t> </w:t>
      </w:r>
    </w:p>
    <w:p>
      <w:pPr>
        <w:pStyle w:val="TextBody"/>
        <w:bidi w:val="0"/>
        <w:ind w:left="278" w:right="188" w:hanging="0"/>
        <w:jc w:val="both"/>
        <w:rPr>
          <w:sz w:val="20"/>
        </w:rPr>
      </w:pPr>
      <w:r>
        <w:rPr>
          <w:sz w:val="20"/>
        </w:rPr>
        <w:t>(a)             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pStyle w:val="TextBody"/>
        <w:bidi w:val="0"/>
        <w:spacing w:before="7" w:after="7"/>
        <w:ind w:left="7" w:right="7" w:hanging="0"/>
        <w:jc w:val="left"/>
        <w:rPr/>
      </w:pPr>
      <w:r>
        <w:rPr/>
        <w:t> </w:t>
      </w:r>
    </w:p>
    <w:p>
      <w:pPr>
        <w:pStyle w:val="TextBody"/>
        <w:bidi w:val="0"/>
        <w:ind w:left="278" w:right="193" w:hanging="0"/>
        <w:jc w:val="both"/>
        <w:rPr>
          <w:sz w:val="20"/>
        </w:rPr>
      </w:pPr>
      <w:r>
        <w:rPr>
          <w:sz w:val="20"/>
        </w:rPr>
        <w:t>(b)            a party may make such a transfer of all or any part of its interest in any Early Termination Amount payable to it by a Defaulting Party, together with any amounts payable on or with respect to that interest and any other rights associated with that interest pursuant to Sections 8, 9(h) and 11.</w:t>
      </w:r>
    </w:p>
    <w:p>
      <w:pPr>
        <w:pStyle w:val="TextBody"/>
        <w:bidi w:val="0"/>
        <w:spacing w:before="7" w:after="7"/>
        <w:ind w:left="7" w:right="7" w:hanging="0"/>
        <w:jc w:val="left"/>
        <w:rPr/>
      </w:pPr>
      <w:r>
        <w:rPr/>
        <w:t> </w:t>
      </w:r>
    </w:p>
    <w:p>
      <w:pPr>
        <w:pStyle w:val="TextBody"/>
        <w:bidi w:val="0"/>
        <w:ind w:left="278" w:right="0" w:hanging="0"/>
        <w:jc w:val="both"/>
        <w:rPr>
          <w:sz w:val="20"/>
        </w:rPr>
      </w:pPr>
      <w:r>
        <w:rPr>
          <w:sz w:val="20"/>
        </w:rPr>
        <w:t>Any purported transfer that is not in compliance with this Section 7 will be void.</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8.</w:t>
            </w:r>
          </w:p>
        </w:tc>
        <w:tc>
          <w:tcPr>
            <w:tcW w:w="9156" w:type="dxa"/>
            <w:tcBorders/>
            <w:vAlign w:val="center"/>
          </w:tcPr>
          <w:p>
            <w:pPr>
              <w:pStyle w:val="TableContents"/>
              <w:bidi w:val="0"/>
              <w:spacing w:before="0" w:after="283"/>
              <w:jc w:val="both"/>
              <w:rPr/>
            </w:pPr>
            <w:r>
              <w:rPr/>
              <w:t>Contractual Currency</w:t>
            </w:r>
          </w:p>
        </w:tc>
      </w:tr>
    </w:tbl>
    <w:p>
      <w:pPr>
        <w:pStyle w:val="TextBody"/>
        <w:bidi w:val="0"/>
        <w:spacing w:before="189" w:after="189"/>
        <w:ind w:left="278" w:right="190" w:hanging="0"/>
        <w:jc w:val="both"/>
        <w:rPr>
          <w:sz w:val="20"/>
        </w:rPr>
      </w:pPr>
      <w:r>
        <w:rPr>
          <w:sz w:val="20"/>
        </w:rPr>
        <w:t xml:space="preserve">(a)             </w:t>
      </w:r>
      <w:r>
        <w:rPr>
          <w:b/>
          <w:i/>
          <w:sz w:val="20"/>
        </w:rPr>
        <w:t xml:space="preserve">Payment in the Contractual Currency. </w:t>
      </w:r>
      <w:r>
        <w:rPr>
          <w:sz w:val="20"/>
        </w:rPr>
        <w:t>Each payment under this Agreement will be made in the relevant currency specified in this Agreement for that 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good faith and using commercially reasonable procedures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 this Agreement, the party receiving the payment will refund promptly the amount of such excess.</w:t>
      </w:r>
    </w:p>
    <w:p>
      <w:pPr>
        <w:pStyle w:val="TextBody"/>
        <w:bidi w:val="0"/>
        <w:spacing w:before="191" w:after="191"/>
        <w:ind w:left="278" w:right="187" w:hanging="0"/>
        <w:jc w:val="both"/>
        <w:rPr>
          <w:sz w:val="20"/>
        </w:rPr>
      </w:pPr>
      <w:r>
        <w:rPr>
          <w:sz w:val="20"/>
        </w:rPr>
        <w:t xml:space="preserve">(b)            </w:t>
      </w:r>
      <w:r>
        <w:rPr>
          <w:b/>
          <w:i/>
          <w:sz w:val="20"/>
        </w:rPr>
        <w:t xml:space="preserve">Judgments. </w:t>
      </w:r>
      <w:r>
        <w:rPr>
          <w:sz w:val="20"/>
        </w:rPr>
        <w:t>To the extent permitted by applicable law, if any judgment or order expressed in a currency other than the Contractual Currency is rendered (i) for the payment of any amount owing in respect of this Agreement, (ii) for the payment of any amount relating to any early termination in respect of this Agreement or (iii) in respect of a judgment or order of another court for the payment of any amount described in clause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 if such shortfall or such excess arises or results from any variation between the rate of exchange at which the Contractual Currency is converted into the currency of the judgment or order for the purpose of such judgment or order and the rate of exchange at which such party is able, acting in good faith and using commercially reasonable procedures in converting the currency received into the Contractual Currency, to purchase the Contractual Currency with the amount of the currency of the judgment or order actually received by such party.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 xml:space="preserve">(c)             </w:t>
      </w:r>
      <w:r>
        <w:rPr>
          <w:b/>
          <w:i/>
          <w:sz w:val="20"/>
        </w:rPr>
        <w:t xml:space="preserve">Separate Indemnities. </w:t>
      </w:r>
      <w:r>
        <w:rPr>
          <w:sz w:val="20"/>
        </w:rPr>
        <w:t>To the extent permitted by applicable law, the indemnities in this Section 8 constitute separate and independent obligations from the other obligations in this Agreement, will be enforceable as separate and independent causes of action, will apply notwithstanding any indulgence granted by the party to which any payment is owed and will not be affected by judgment being obtained or claim or proof being made for any other sums payable in respect of this Agreement.</w:t>
      </w:r>
    </w:p>
    <w:p>
      <w:pPr>
        <w:pStyle w:val="TextBody"/>
        <w:bidi w:val="0"/>
        <w:spacing w:before="9" w:after="9"/>
        <w:ind w:left="9" w:right="9" w:hanging="0"/>
        <w:jc w:val="left"/>
        <w:rPr/>
      </w:pPr>
      <w:r>
        <w:rPr/>
        <w:t> </w:t>
      </w:r>
    </w:p>
    <w:p>
      <w:pPr>
        <w:pStyle w:val="TextBody"/>
        <w:bidi w:val="0"/>
        <w:ind w:left="278" w:right="193" w:hanging="0"/>
        <w:jc w:val="both"/>
        <w:rPr>
          <w:sz w:val="20"/>
        </w:rPr>
      </w:pPr>
      <w:r>
        <w:rPr>
          <w:sz w:val="20"/>
        </w:rPr>
        <w:t xml:space="preserve">(d)            </w:t>
      </w:r>
      <w:r>
        <w:rPr>
          <w:b/>
          <w:i/>
          <w:sz w:val="20"/>
        </w:rPr>
        <w:t xml:space="preserve">Evidence of Loss. </w:t>
      </w:r>
      <w:r>
        <w:rPr>
          <w:sz w:val="20"/>
        </w:rPr>
        <w:t>For the purpose of this Section 8, it will be sufficient for a party to demonstrate that it would have suffered a loss had an actual exchange or purchase been made.</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pPr>
            <w:r>
              <w:rPr/>
              <w:t>9.</w:t>
            </w:r>
          </w:p>
        </w:tc>
        <w:tc>
          <w:tcPr>
            <w:tcW w:w="8709" w:type="dxa"/>
            <w:tcBorders/>
            <w:vAlign w:val="center"/>
          </w:tcPr>
          <w:p>
            <w:pPr>
              <w:pStyle w:val="TableContents"/>
              <w:bidi w:val="0"/>
              <w:spacing w:before="0" w:after="283"/>
              <w:jc w:val="both"/>
              <w:rPr/>
            </w:pPr>
            <w:r>
              <w:rPr/>
              <w:t>Miscellaneous</w:t>
            </w:r>
          </w:p>
        </w:tc>
      </w:tr>
    </w:tbl>
    <w:p>
      <w:pPr>
        <w:pStyle w:val="TextBody"/>
        <w:bidi w:val="0"/>
        <w:spacing w:before="190" w:after="190"/>
        <w:ind w:left="278" w:right="188" w:hanging="0"/>
        <w:jc w:val="both"/>
        <w:rPr>
          <w:sz w:val="20"/>
        </w:rPr>
      </w:pPr>
      <w:r>
        <w:rPr>
          <w:sz w:val="20"/>
        </w:rPr>
        <w:t xml:space="preserve">(a)             </w:t>
      </w:r>
      <w:r>
        <w:rPr>
          <w:b/>
          <w:i/>
          <w:sz w:val="20"/>
        </w:rPr>
        <w:t xml:space="preserve">Entire Agreement. </w:t>
      </w:r>
      <w:r>
        <w:rPr>
          <w:sz w:val="20"/>
        </w:rPr>
        <w:t>This Agreement constitutes the entire agreement and understanding of the parties with respect to its subject matter. Each of the parties acknowledges that in entering into this Agreement it has not relied on any oral or written representation, warranty or other assurance (except as provided for or referred to in this Agreement) and waives all rights and remedies which might otherwise be available to it in respect thereof, except that nothing in this Agreement will limit or exclude any liability of a party for fraud.</w:t>
      </w:r>
    </w:p>
    <w:p>
      <w:pPr>
        <w:pStyle w:val="TextBody"/>
        <w:bidi w:val="0"/>
        <w:spacing w:before="186" w:after="186"/>
        <w:ind w:left="278" w:right="190" w:hanging="0"/>
        <w:jc w:val="both"/>
        <w:rPr>
          <w:sz w:val="20"/>
        </w:rPr>
      </w:pPr>
      <w:r>
        <w:rPr>
          <w:sz w:val="20"/>
        </w:rPr>
        <w:t xml:space="preserve">(b)            </w:t>
      </w:r>
      <w:r>
        <w:rPr>
          <w:b/>
          <w:i/>
          <w:sz w:val="20"/>
        </w:rPr>
        <w:t xml:space="preserve">Amendments. </w:t>
      </w:r>
      <w:r>
        <w:rPr>
          <w:sz w:val="20"/>
        </w:rPr>
        <w:t>An amendment, modification or waiver in respect of this Agreement will only be effective if in writing (including a writing evidenced by a facsimile transmission) and executed by each of the parties or confirmed by an exchange of telexes or by an exchange of electronic messages on an electronic messaging system.</w:t>
      </w:r>
    </w:p>
    <w:p>
      <w:pPr>
        <w:pStyle w:val="TextBody"/>
        <w:bidi w:val="0"/>
        <w:spacing w:before="1" w:after="1"/>
        <w:ind w:left="1" w:right="1" w:hanging="0"/>
        <w:jc w:val="left"/>
        <w:rPr/>
      </w:pPr>
      <w:r>
        <w:rPr/>
        <w:t> </w:t>
      </w:r>
    </w:p>
    <w:p>
      <w:pPr>
        <w:pStyle w:val="TextBody"/>
        <w:bidi w:val="0"/>
        <w:ind w:left="278" w:right="193" w:hanging="0"/>
        <w:jc w:val="both"/>
        <w:rPr>
          <w:sz w:val="20"/>
        </w:rPr>
      </w:pPr>
      <w:r>
        <w:rPr>
          <w:sz w:val="20"/>
        </w:rPr>
        <w:t xml:space="preserve">(c)             </w:t>
      </w:r>
      <w:r>
        <w:rPr>
          <w:b/>
          <w:i/>
          <w:sz w:val="20"/>
        </w:rPr>
        <w:t xml:space="preserve">Survival of Obligations. </w:t>
      </w:r>
      <w:r>
        <w:rPr>
          <w:sz w:val="20"/>
        </w:rPr>
        <w:t>Without prejudice to Sections 2(a)(iii) and 6(c)(ii), the obligations of the parties under this Agreement will survive the termination of any Transaction.</w:t>
      </w:r>
    </w:p>
    <w:p>
      <w:pPr>
        <w:pStyle w:val="TextBody"/>
        <w:bidi w:val="0"/>
        <w:spacing w:before="195" w:after="195"/>
        <w:ind w:left="278" w:right="193" w:hanging="0"/>
        <w:jc w:val="both"/>
        <w:rPr>
          <w:sz w:val="20"/>
        </w:rPr>
      </w:pPr>
      <w:r>
        <w:rPr>
          <w:sz w:val="20"/>
        </w:rPr>
        <w:t xml:space="preserve">(d)            </w:t>
      </w:r>
      <w:r>
        <w:rPr>
          <w:b/>
          <w:i/>
          <w:sz w:val="20"/>
        </w:rPr>
        <w:t xml:space="preserve">Remedies Cumulative. </w:t>
      </w:r>
      <w:r>
        <w:rPr>
          <w:sz w:val="20"/>
        </w:rPr>
        <w:t>Except as provided in this Agreement, the rights, powers, remedies and privileges provided in this Agreement are cumulative and not exclusive of any rights, powers, remedies and privileges provided by law.</w:t>
      </w:r>
    </w:p>
    <w:p>
      <w:pPr>
        <w:pStyle w:val="TextBody"/>
        <w:bidi w:val="0"/>
        <w:spacing w:before="175" w:after="175"/>
        <w:ind w:left="986" w:right="175" w:hanging="709"/>
        <w:jc w:val="both"/>
        <w:rPr>
          <w:b/>
          <w:i/>
          <w:sz w:val="20"/>
        </w:rPr>
      </w:pPr>
      <w:r>
        <w:rPr>
          <w:b w:val="false"/>
          <w:i w:val="false"/>
          <w:caps w:val="false"/>
          <w:smallCaps w:val="false"/>
          <w:sz w:val="20"/>
        </w:rPr>
        <w:t xml:space="preserve">(e)             </w:t>
      </w:r>
      <w:r>
        <w:rPr>
          <w:b/>
          <w:i/>
          <w:sz w:val="20"/>
        </w:rPr>
        <w:t>Counterparts and Confirmations.</w:t>
      </w:r>
    </w:p>
    <w:p>
      <w:pPr>
        <w:pStyle w:val="TextBody"/>
        <w:bidi w:val="0"/>
        <w:spacing w:before="12" w:after="12"/>
        <w:ind w:left="12" w:right="12" w:hanging="0"/>
        <w:jc w:val="left"/>
        <w:rPr/>
      </w:pPr>
      <w:r>
        <w:rPr/>
        <w:t> </w:t>
      </w:r>
    </w:p>
    <w:p>
      <w:pPr>
        <w:pStyle w:val="TextBody"/>
        <w:bidi w:val="0"/>
        <w:ind w:left="986" w:right="191" w:hanging="0"/>
        <w:jc w:val="both"/>
        <w:rPr>
          <w:sz w:val="20"/>
        </w:rPr>
      </w:pPr>
      <w:r>
        <w:rPr>
          <w:sz w:val="20"/>
        </w:rPr>
        <w:t>(i)             This Agreement (and each amendment, modification and waiver in respect of it) may be executed and delivered in counterparts (including by facsimile transmission and by electronic messaging system), each of which will be deemed an original.</w:t>
      </w:r>
    </w:p>
    <w:p>
      <w:pPr>
        <w:pStyle w:val="TextBody"/>
        <w:bidi w:val="0"/>
        <w:spacing w:before="7" w:after="7"/>
        <w:ind w:left="7" w:right="7" w:hanging="0"/>
        <w:jc w:val="left"/>
        <w:rPr/>
      </w:pPr>
      <w:r>
        <w:rPr/>
        <w:t> </w:t>
      </w:r>
    </w:p>
    <w:p>
      <w:pPr>
        <w:pStyle w:val="TextBody"/>
        <w:bidi w:val="0"/>
        <w:ind w:left="986" w:right="188" w:hanging="0"/>
        <w:jc w:val="both"/>
        <w:rPr>
          <w:sz w:val="20"/>
        </w:rPr>
      </w:pPr>
      <w:r>
        <w:rPr>
          <w:sz w:val="20"/>
        </w:rPr>
        <w:t>(ii)            The parties intend that they are legally bound by the terms of each Transaction from the moment they agree to those terms (whether orally or otherwise). A Confirmation will be entered into as soon as practicable and may be executed and delivered in counterparts (including by facsimile transmission) or be created by an exchange of telexes, by an exchange of electronic messages on an electronic messaging system or by an exchange of e-mails, which in each case will be sufficient for all purposes to evidence a binding supplement to this Agreement. The parties will specify therein or through another effective means that any such counterpart, telex, electronic message or e-mail constitutes a Confirmation.</w:t>
      </w:r>
    </w:p>
    <w:p>
      <w:pPr>
        <w:pStyle w:val="TextBody"/>
        <w:bidi w:val="0"/>
        <w:spacing w:before="0" w:after="283"/>
        <w:jc w:val="left"/>
        <w:rPr/>
      </w:pPr>
      <w:r>
        <w:rPr/>
        <w:t> </w:t>
      </w:r>
    </w:p>
    <w:p>
      <w:pPr>
        <w:pStyle w:val="TextBody"/>
        <w:bidi w:val="0"/>
        <w:ind w:left="278" w:right="192" w:hanging="0"/>
        <w:jc w:val="both"/>
        <w:rPr>
          <w:sz w:val="20"/>
        </w:rPr>
      </w:pPr>
      <w:r>
        <w:rPr>
          <w:sz w:val="20"/>
        </w:rPr>
        <w:t xml:space="preserve">(f)             </w:t>
      </w:r>
      <w:r>
        <w:rPr>
          <w:b/>
          <w:i/>
          <w:sz w:val="20"/>
        </w:rPr>
        <w:t xml:space="preserve">No Waiver of Rights. </w:t>
      </w:r>
      <w:r>
        <w:rPr>
          <w:sz w:val="20"/>
        </w:rPr>
        <w:t>A failure or delay in exercising any right, power or privilege in respect of this Agreement will not be presumed to operate as a waiver, and a single or partial exercise of any right, power or privilege will not be presumed to preclude any subsequent or further exercise, of that right, power or privilege or the exercise of any other right, power or privilege.</w:t>
      </w:r>
    </w:p>
    <w:p>
      <w:pPr>
        <w:pStyle w:val="TextBody"/>
        <w:bidi w:val="0"/>
        <w:spacing w:before="8" w:after="8"/>
        <w:ind w:left="8" w:right="8" w:hanging="0"/>
        <w:jc w:val="left"/>
        <w:rPr/>
      </w:pPr>
      <w:r>
        <w:rPr/>
        <w:t> </w:t>
      </w:r>
    </w:p>
    <w:p>
      <w:pPr>
        <w:pStyle w:val="TextBody"/>
        <w:bidi w:val="0"/>
        <w:ind w:left="278" w:right="193" w:hanging="0"/>
        <w:jc w:val="both"/>
        <w:rPr>
          <w:sz w:val="20"/>
        </w:rPr>
      </w:pPr>
      <w:r>
        <w:rPr>
          <w:sz w:val="20"/>
        </w:rPr>
        <w:t xml:space="preserve">(g)            </w:t>
      </w:r>
      <w:r>
        <w:rPr>
          <w:b/>
          <w:i/>
          <w:sz w:val="20"/>
        </w:rPr>
        <w:t xml:space="preserve">Headings. </w:t>
      </w:r>
      <w:r>
        <w:rPr>
          <w:sz w:val="20"/>
        </w:rPr>
        <w:t>The headings used in this Agreement are for convenience of reference only and are not to affect the construction of or to be taken into consideration in interpreting this Agreement.</w:t>
      </w:r>
    </w:p>
    <w:p>
      <w:pPr>
        <w:pStyle w:val="TextBody"/>
        <w:bidi w:val="0"/>
        <w:ind w:left="278" w:right="193"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1"/>
        <w:gridCol w:w="1006"/>
        <w:gridCol w:w="9068"/>
      </w:tblGrid>
      <w:tr>
        <w:trPr/>
        <w:tc>
          <w:tcPr>
            <w:tcW w:w="1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(h)</w:t>
            </w:r>
          </w:p>
        </w:tc>
        <w:tc>
          <w:tcPr>
            <w:tcW w:w="9068" w:type="dxa"/>
            <w:tcBorders/>
            <w:vAlign w:val="center"/>
          </w:tcPr>
          <w:p>
            <w:pPr>
              <w:pStyle w:val="TableContents"/>
              <w:bidi w:val="0"/>
              <w:spacing w:before="0" w:after="283"/>
              <w:jc w:val="left"/>
              <w:rPr/>
            </w:pPr>
            <w:r>
              <w:rPr/>
              <w:t>Interest and Compensation.</w:t>
            </w:r>
          </w:p>
        </w:tc>
      </w:tr>
    </w:tbl>
    <w:p>
      <w:pPr>
        <w:pStyle w:val="TextBody"/>
        <w:bidi w:val="0"/>
        <w:spacing w:before="166" w:after="166"/>
        <w:ind w:left="986" w:right="190" w:hanging="0"/>
        <w:jc w:val="left"/>
        <w:rPr>
          <w:sz w:val="20"/>
        </w:rPr>
      </w:pPr>
      <w:r>
        <w:rPr>
          <w:sz w:val="20"/>
        </w:rPr>
        <w:t xml:space="preserve">(i)             </w:t>
      </w:r>
      <w:r>
        <w:rPr>
          <w:b/>
          <w:i/>
          <w:sz w:val="20"/>
        </w:rPr>
        <w:t xml:space="preserve">Prior to Early Termination. </w:t>
      </w:r>
      <w:r>
        <w:rPr>
          <w:sz w:val="20"/>
        </w:rPr>
        <w:t>Prior to the occurrence or effective designation of an Early Termination Date in respect of the relevant Transaction:</w:t>
      </w:r>
    </w:p>
    <w:p>
      <w:pPr>
        <w:pStyle w:val="TextBody"/>
        <w:bidi w:val="0"/>
        <w:spacing w:before="3" w:after="3"/>
        <w:ind w:left="3" w:right="3" w:hanging="0"/>
        <w:jc w:val="left"/>
        <w:rPr/>
      </w:pPr>
      <w:r>
        <w:rPr/>
        <w:t> </w:t>
      </w:r>
    </w:p>
    <w:p>
      <w:pPr>
        <w:pStyle w:val="TextBody"/>
        <w:bidi w:val="0"/>
        <w:ind w:left="1696" w:right="191" w:hanging="0"/>
        <w:jc w:val="both"/>
        <w:rPr>
          <w:sz w:val="20"/>
        </w:rPr>
      </w:pPr>
      <w:r>
        <w:rPr>
          <w:sz w:val="20"/>
        </w:rPr>
        <w:t xml:space="preserve">(1)            </w:t>
      </w:r>
      <w:r>
        <w:rPr>
          <w:i/>
          <w:sz w:val="20"/>
        </w:rPr>
        <w:t xml:space="preserve">Interest on Defaulted Payments. </w:t>
      </w:r>
      <w:r>
        <w:rPr>
          <w:sz w:val="20"/>
        </w:rPr>
        <w:t>If a party defaults in the performance of any payment obligation, it will, to the extent permitted by applicable law and subject to Section 6(c), pay interest (before as well as after judgment) on the overdue amount to the other party on demand in the same currency as the overdue amount, for the period from (and including) the original due date for payment to (but excluding) the date of actual payment (and excluding any period in respect of which interest or compensation in respect of the overdue amount is due pursuant to clause (3)(B) or (A) below), at the Default Rate.</w:t>
      </w:r>
    </w:p>
    <w:p>
      <w:pPr>
        <w:pStyle w:val="TextBody"/>
        <w:bidi w:val="0"/>
        <w:spacing w:before="10" w:after="10"/>
        <w:ind w:left="10" w:right="10" w:hanging="0"/>
        <w:jc w:val="left"/>
        <w:rPr/>
      </w:pPr>
      <w:r>
        <w:rPr/>
        <w:t> </w:t>
      </w:r>
    </w:p>
    <w:p>
      <w:pPr>
        <w:pStyle w:val="TextBody"/>
        <w:bidi w:val="0"/>
        <w:spacing w:before="1" w:after="1"/>
        <w:ind w:left="1696" w:right="190" w:hanging="0"/>
        <w:jc w:val="both"/>
        <w:rPr>
          <w:sz w:val="20"/>
        </w:rPr>
      </w:pPr>
      <w:r>
        <w:rPr>
          <w:sz w:val="20"/>
        </w:rPr>
        <w:t xml:space="preserve">(2)            </w:t>
      </w:r>
      <w:r>
        <w:rPr>
          <w:i/>
          <w:sz w:val="20"/>
        </w:rPr>
        <w:t xml:space="preserve">Compensation for Defaulted Deliveries. </w:t>
      </w:r>
      <w:r>
        <w:rPr>
          <w:sz w:val="20"/>
        </w:rPr>
        <w:t>If a party defaults in the performance of any obligation required to be settled by delivery, it will on demand (A) compensate the other party to the extent provided for in the relevant Confirmation or elsewhere in this Agreement and (B) unless otherwise provided in the relevant Confirmation or elsewhere in this Agreement, to the extent permitted by applicable law and subject to Section 6(c), pay to the other party interest (before as well as after judgment) on an amount equal to the fair market value of that which was required to be delivered in the same currency as that amount, for the period from (and including) the originally scheduled date for delivery to (but excluding) the date of actual delivery (and excluding any period in respect of which interest or compensation in respect of that amount is due pursuant to clause (4) below), at the Default Rate. The fair market value of any obligation referred to above will be determined as of the originally scheduled date for delivery, in good faith and using commercially reasonable procedures, by the party that was entitled to take delivery.</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107"/>
        <w:gridCol w:w="821"/>
        <w:gridCol w:w="9277"/>
      </w:tblGrid>
      <w:tr>
        <w:trPr/>
        <w:tc>
          <w:tcPr>
            <w:tcW w:w="10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(3)</w:t>
            </w:r>
          </w:p>
        </w:tc>
        <w:tc>
          <w:tcPr>
            <w:tcW w:w="9277" w:type="dxa"/>
            <w:tcBorders/>
            <w:vAlign w:val="center"/>
          </w:tcPr>
          <w:p>
            <w:pPr>
              <w:pStyle w:val="TableContents"/>
              <w:bidi w:val="0"/>
              <w:spacing w:before="0" w:after="283"/>
              <w:jc w:val="both"/>
              <w:rPr/>
            </w:pPr>
            <w:r>
              <w:rPr>
                <w:i/>
              </w:rPr>
              <w:t xml:space="preserve">Interest on Deferred Payments. </w:t>
            </w:r>
            <w:r>
              <w:rPr/>
              <w:t>If:</w:t>
            </w:r>
          </w:p>
        </w:tc>
      </w:tr>
    </w:tbl>
    <w:p>
      <w:pPr>
        <w:pStyle w:val="TextBody"/>
        <w:bidi w:val="0"/>
        <w:spacing w:before="10" w:after="10"/>
        <w:ind w:left="10" w:right="10" w:hanging="0"/>
        <w:jc w:val="left"/>
        <w:rPr/>
      </w:pPr>
      <w:r>
        <w:rPr/>
        <w:t> </w:t>
      </w:r>
    </w:p>
    <w:p>
      <w:pPr>
        <w:pStyle w:val="TextBody"/>
        <w:bidi w:val="0"/>
        <w:ind w:left="2404" w:right="189" w:hanging="0"/>
        <w:jc w:val="both"/>
        <w:rPr>
          <w:sz w:val="20"/>
        </w:rPr>
      </w:pPr>
      <w:r>
        <w:rPr>
          <w:sz w:val="20"/>
        </w:rPr>
        <w:t>(A)           a party does not pay any amount that, but for Section 2(a)(iii), would have been payable, it will, to the extent permitted by applicable law and subject to Section 6(c) and clauses (B) and (C) below, pay interest (before as well as after judgment) on that amount to the other party on demand (after such amount becomes payable) in the same currency as that amount, for the period from (and including) the date the amount would, but for Section 2(a)(iii), have been payable to (but excluding) the date the amount actually becomes payable, at the Applicable Deferral Rate;</w:t>
      </w:r>
    </w:p>
    <w:p>
      <w:pPr>
        <w:pStyle w:val="TextBody"/>
        <w:bidi w:val="0"/>
        <w:spacing w:before="9" w:after="9"/>
        <w:ind w:left="9" w:right="9" w:hanging="0"/>
        <w:jc w:val="left"/>
        <w:rPr/>
      </w:pPr>
      <w:r>
        <w:rPr/>
        <w:t> </w:t>
      </w:r>
    </w:p>
    <w:p>
      <w:pPr>
        <w:pStyle w:val="TextBody"/>
        <w:bidi w:val="0"/>
        <w:spacing w:before="1" w:after="1"/>
        <w:ind w:left="2404" w:right="191" w:hanging="0"/>
        <w:jc w:val="both"/>
        <w:rPr>
          <w:sz w:val="20"/>
        </w:rPr>
      </w:pPr>
      <w:r>
        <w:rPr>
          <w:sz w:val="20"/>
        </w:rPr>
        <w:t>(B)           a payment is deferred pursuant to Section 5(d), the party which would otherwise have been required to make that payment will, to the extent permitted by applicable law, subject to Section 6(c) and for so long as no Event of Default or Potential Event of Default with respect to that party has occurred and is continuing, pay interest (before as well as after judgment) on the amount of the deferred payment to the other party on demand (after such amount becomes payable) in the same currency as the deferred payment, for the period from (and including) the date the amount would, but for Section 5(d), have been payable to (but excluding) the earlier of the date the payment is no longer deferred pursuant to Section 5(d) and the date during the deferral period upon which an Event of Default or Potential Event of Default with respect to that party occurs, at the Applicable Deferral Rate; or</w:t>
      </w:r>
    </w:p>
    <w:p>
      <w:pPr>
        <w:pStyle w:val="TextBody"/>
        <w:bidi w:val="0"/>
        <w:spacing w:before="0" w:after="283"/>
        <w:jc w:val="left"/>
        <w:rPr/>
      </w:pPr>
      <w:r>
        <w:rPr/>
        <w:t> </w:t>
      </w:r>
    </w:p>
    <w:p>
      <w:pPr>
        <w:pStyle w:val="TextBody"/>
        <w:bidi w:val="0"/>
        <w:ind w:left="2404" w:right="192" w:hanging="0"/>
        <w:jc w:val="both"/>
        <w:rPr>
          <w:sz w:val="20"/>
        </w:rPr>
      </w:pPr>
      <w:r>
        <w:rPr>
          <w:sz w:val="20"/>
        </w:rPr>
        <w:t>(C)           a party fails to make any payment due to the occurrence of an Illegality or a Force Majeure Event (after giving effect to any deferral period contemplated by clause (B) above), it will, to the extent permitted by applicable law, subject to Section 6(c) and for so long as the event or circumstance giving rise to that Illegality or Force Majeure Event continues and no Event of Default or Potential Event of Default with respect to that party has occurred and is continuing, pay interest (before as well as after judgment) on the overdue amount to the other party on demand in the same currency as the overdue amount, for the period from (and including) the date the party fails to make the payment due to the occurrence of the relevant Illegality or Force Majeure Event (or, if later, the date the payment is no longer deferred pursuant to Section 5(d)) to (but excluding) the earlier of the date the event or circumstance giving rise to that Illegality or Force Majeure Event ceases to exist and the date during the period upon which an Event of Default or Potential Event of Default with respect to that party occurs (and excluding any period in respect of which interest or compensation in respect of the overdue amount is due pursuant to clause (B) above), at the Applicable Deferral Rate.</w:t>
      </w:r>
    </w:p>
    <w:p>
      <w:pPr>
        <w:pStyle w:val="TextBody"/>
        <w:bidi w:val="0"/>
        <w:ind w:left="2404" w:right="192"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9"/>
        <w:gridCol w:w="682"/>
        <w:gridCol w:w="9434"/>
      </w:tblGrid>
      <w:tr>
        <w:trPr/>
        <w:tc>
          <w:tcPr>
            <w:tcW w:w="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(4)</w:t>
            </w:r>
          </w:p>
        </w:tc>
        <w:tc>
          <w:tcPr>
            <w:tcW w:w="9434" w:type="dxa"/>
            <w:tcBorders/>
            <w:vAlign w:val="center"/>
          </w:tcPr>
          <w:p>
            <w:pPr>
              <w:pStyle w:val="TableContents"/>
              <w:bidi w:val="0"/>
              <w:spacing w:before="0" w:after="283"/>
              <w:jc w:val="both"/>
              <w:rPr/>
            </w:pPr>
            <w:r>
              <w:rPr>
                <w:i/>
              </w:rPr>
              <w:t xml:space="preserve">Compensation for Deferred Deliveries. </w:t>
            </w:r>
            <w:r>
              <w:rPr/>
              <w:t>If:</w:t>
            </w:r>
          </w:p>
        </w:tc>
      </w:tr>
    </w:tbl>
    <w:p>
      <w:pPr>
        <w:pStyle w:val="TextBody"/>
        <w:bidi w:val="0"/>
        <w:spacing w:before="10" w:after="10"/>
        <w:ind w:left="10" w:right="1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9829" w:type="dxa"/>
            <w:tcBorders/>
            <w:vAlign w:val="center"/>
          </w:tcPr>
          <w:p>
            <w:pPr>
              <w:pStyle w:val="TableContents"/>
              <w:bidi w:val="0"/>
              <w:spacing w:before="0" w:after="283"/>
              <w:jc w:val="left"/>
              <w:rPr/>
            </w:pPr>
            <w:r>
              <w:rPr/>
              <w:t>a party does not perform any obligation that, but for Section 2(a)(iii), would have been required to be settled by delivery;</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77"/>
        <w:gridCol w:w="679"/>
        <w:gridCol w:w="9449"/>
      </w:tblGrid>
      <w:tr>
        <w:trPr/>
        <w:tc>
          <w:tcPr>
            <w:tcW w:w="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pPr>
            <w:r>
              <w:rPr/>
              <w:t>(B)</w:t>
            </w:r>
          </w:p>
        </w:tc>
        <w:tc>
          <w:tcPr>
            <w:tcW w:w="9449" w:type="dxa"/>
            <w:tcBorders/>
            <w:vAlign w:val="center"/>
          </w:tcPr>
          <w:p>
            <w:pPr>
              <w:pStyle w:val="TableContents"/>
              <w:bidi w:val="0"/>
              <w:spacing w:before="0" w:after="283"/>
              <w:jc w:val="both"/>
              <w:rPr/>
            </w:pPr>
            <w:r>
              <w:rPr/>
              <w:t>a delivery is deferred pursuant to Section 5(d);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(C)</w:t>
            </w:r>
          </w:p>
        </w:tc>
        <w:tc>
          <w:tcPr>
            <w:tcW w:w="9858" w:type="dxa"/>
            <w:tcBorders/>
            <w:vAlign w:val="center"/>
          </w:tcPr>
          <w:p>
            <w:pPr>
              <w:pStyle w:val="TableContents"/>
              <w:bidi w:val="0"/>
              <w:spacing w:before="0" w:after="283"/>
              <w:jc w:val="left"/>
              <w:rPr/>
            </w:pPr>
            <w:r>
              <w:rPr/>
              <w:t>a party fails to make a delivery due to the occurrence of an Illegality or a Force Majeure Event at a time when any applicable Waiting Period has expired,</w:t>
            </w:r>
          </w:p>
        </w:tc>
      </w:tr>
    </w:tbl>
    <w:p>
      <w:pPr>
        <w:pStyle w:val="TextBody"/>
        <w:bidi w:val="0"/>
        <w:spacing w:before="6" w:after="6"/>
        <w:ind w:left="6" w:right="6" w:hanging="0"/>
        <w:jc w:val="left"/>
        <w:rPr/>
      </w:pPr>
      <w:r>
        <w:rPr/>
        <w:t> </w:t>
      </w:r>
    </w:p>
    <w:p>
      <w:pPr>
        <w:pStyle w:val="TextBody"/>
        <w:bidi w:val="0"/>
        <w:ind w:left="1696" w:right="190" w:hanging="0"/>
        <w:jc w:val="both"/>
        <w:rPr>
          <w:sz w:val="20"/>
        </w:rPr>
      </w:pPr>
      <w:r>
        <w:rPr>
          <w:sz w:val="20"/>
        </w:rPr>
        <w:t>the party required (or that would otherwise have been required) to make the delivery will, to the extent permitted by applicable law and subject to Section 6(c), compensate and pay interest to the other party on demand (after, in the case of clauses (A) and (B) above, such delivery is required) if and to the extent provided for in the relevant Confirmation or elsewhere in this Agreement.</w:t>
      </w:r>
    </w:p>
    <w:p>
      <w:pPr>
        <w:pStyle w:val="TextBody"/>
        <w:bidi w:val="0"/>
        <w:spacing w:before="10" w:after="10"/>
        <w:ind w:left="10" w:right="10" w:hanging="0"/>
        <w:jc w:val="left"/>
        <w:rPr/>
      </w:pPr>
      <w:r>
        <w:rPr/>
        <w:t> </w:t>
      </w:r>
    </w:p>
    <w:p>
      <w:pPr>
        <w:pStyle w:val="TextBody"/>
        <w:bidi w:val="0"/>
        <w:ind w:left="986" w:right="193" w:hanging="0"/>
        <w:jc w:val="both"/>
        <w:rPr>
          <w:sz w:val="20"/>
        </w:rPr>
      </w:pPr>
      <w:r>
        <w:rPr>
          <w:sz w:val="20"/>
        </w:rPr>
        <w:t xml:space="preserve">(ii)            </w:t>
      </w:r>
      <w:r>
        <w:rPr>
          <w:b/>
          <w:i/>
          <w:sz w:val="20"/>
        </w:rPr>
        <w:t xml:space="preserve">Early Termination. </w:t>
      </w:r>
      <w:r>
        <w:rPr>
          <w:sz w:val="20"/>
        </w:rPr>
        <w:t>Upon the occurrence or effective designation of an Early Termination Date in respect of a Transaction:</w:t>
      </w:r>
    </w:p>
    <w:p>
      <w:pPr>
        <w:pStyle w:val="TextBody"/>
        <w:bidi w:val="0"/>
        <w:spacing w:before="4" w:after="4"/>
        <w:ind w:left="4" w:right="4" w:hanging="0"/>
        <w:jc w:val="left"/>
        <w:rPr/>
      </w:pPr>
      <w:r>
        <w:rPr/>
        <w:t> </w:t>
      </w:r>
    </w:p>
    <w:p>
      <w:pPr>
        <w:pStyle w:val="TextBody"/>
        <w:bidi w:val="0"/>
        <w:ind w:left="1696" w:right="191" w:hanging="0"/>
        <w:jc w:val="both"/>
        <w:rPr>
          <w:sz w:val="20"/>
        </w:rPr>
      </w:pPr>
      <w:r>
        <w:rPr>
          <w:sz w:val="20"/>
        </w:rPr>
        <w:t xml:space="preserve">(1)            </w:t>
      </w:r>
      <w:r>
        <w:rPr>
          <w:i/>
          <w:sz w:val="20"/>
        </w:rPr>
        <w:t xml:space="preserve">Unpaid Amounts. </w:t>
      </w:r>
      <w:r>
        <w:rPr>
          <w:sz w:val="20"/>
        </w:rPr>
        <w:t>For the purpose of determining an Unpaid Amount in respect of the relevant Transaction, and to the extent permitted by applicable law, interest will accrue on the amount of any payment obligation or the amount equal to the fair market value of any obligation required to be settled by delivery included in such determination in the same currency as that amount, for the period from (and including) the date the relevant obligation was (or would have been but for Section 2(a)(iii) or 5(d)) required to have been performed to (but excluding) the relevant Early Termination Date, at the Applicable Close-out Rate.</w:t>
      </w:r>
    </w:p>
    <w:p>
      <w:pPr>
        <w:pStyle w:val="TextBody"/>
        <w:bidi w:val="0"/>
        <w:spacing w:before="11" w:after="11"/>
        <w:ind w:left="11" w:right="11" w:hanging="0"/>
        <w:jc w:val="left"/>
        <w:rPr/>
      </w:pPr>
      <w:r>
        <w:rPr/>
        <w:t> </w:t>
      </w:r>
    </w:p>
    <w:p>
      <w:pPr>
        <w:pStyle w:val="TextBody"/>
        <w:bidi w:val="0"/>
        <w:ind w:left="1696" w:right="191" w:hanging="0"/>
        <w:jc w:val="both"/>
        <w:rPr>
          <w:sz w:val="20"/>
        </w:rPr>
      </w:pPr>
      <w:r>
        <w:rPr>
          <w:sz w:val="20"/>
        </w:rPr>
        <w:t xml:space="preserve">(2)            </w:t>
      </w:r>
      <w:r>
        <w:rPr>
          <w:i/>
          <w:sz w:val="20"/>
        </w:rPr>
        <w:t xml:space="preserve">Interest on Early Termination Amounts. </w:t>
      </w:r>
      <w:r>
        <w:rPr>
          <w:sz w:val="20"/>
        </w:rPr>
        <w:t>If an Early Termination Amount is due in respect of such Early Termination Date, that amount will, to the extent permitted by applicable law, be paid together with interest (before as well as after judgment) on that amount in the Termination Currency, for the period from (and including) such Early Termination Date to (but excluding) the date the amount is paid, at the Applicable Close-out Rate.</w:t>
      </w:r>
    </w:p>
    <w:p>
      <w:pPr>
        <w:pStyle w:val="TextBody"/>
        <w:bidi w:val="0"/>
        <w:spacing w:before="10" w:after="10"/>
        <w:ind w:left="10" w:right="10" w:hanging="0"/>
        <w:jc w:val="left"/>
        <w:rPr/>
      </w:pPr>
      <w:r>
        <w:rPr/>
        <w:t> </w:t>
      </w:r>
    </w:p>
    <w:p>
      <w:pPr>
        <w:pStyle w:val="TextBody"/>
        <w:bidi w:val="0"/>
        <w:ind w:left="986" w:right="191" w:hanging="0"/>
        <w:jc w:val="both"/>
        <w:rPr>
          <w:sz w:val="20"/>
        </w:rPr>
      </w:pPr>
      <w:r>
        <w:rPr>
          <w:sz w:val="20"/>
        </w:rPr>
        <w:t xml:space="preserve">(iii)           </w:t>
      </w:r>
      <w:r>
        <w:rPr>
          <w:b/>
          <w:i/>
          <w:sz w:val="20"/>
        </w:rPr>
        <w:t xml:space="preserve">Interest Calculation. </w:t>
      </w:r>
      <w:r>
        <w:rPr>
          <w:sz w:val="20"/>
        </w:rPr>
        <w:t>Any interest pursuant to this Section 9(h) will be calculated on the basis of daily compounding and the actual number of days elapsed.</w:t>
      </w:r>
    </w:p>
    <w:p>
      <w:pPr>
        <w:pStyle w:val="TextBody"/>
        <w:bidi w:val="0"/>
        <w:ind w:left="98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7"/>
        <w:gridCol w:w="1071"/>
        <w:gridCol w:w="9007"/>
      </w:tblGrid>
      <w:tr>
        <w:trPr/>
        <w:tc>
          <w:tcPr>
            <w:tcW w:w="12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pPr>
            <w:r>
              <w:rPr/>
              <w:t>10.</w:t>
            </w:r>
          </w:p>
        </w:tc>
        <w:tc>
          <w:tcPr>
            <w:tcW w:w="9007" w:type="dxa"/>
            <w:tcBorders/>
            <w:vAlign w:val="center"/>
          </w:tcPr>
          <w:p>
            <w:pPr>
              <w:pStyle w:val="TableContents"/>
              <w:bidi w:val="0"/>
              <w:spacing w:before="0" w:after="283"/>
              <w:jc w:val="both"/>
              <w:rPr/>
            </w:pPr>
            <w:r>
              <w:rPr/>
              <w:t>Offices; Multibranch Parties</w:t>
            </w:r>
          </w:p>
        </w:tc>
      </w:tr>
    </w:tbl>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(a)             If Section 10(a) is specified in the Schedule as applying, each party that enters into a Transaction through an Office other than its head or home office represents to and agrees with the other party that, notwithstanding the place of booking or its jurisdiction of incorporation or organisation, its obligations are the same in terms of recourse against it as if it had entered into the Transaction through its head or home office, except that a party will not have recourse to the head or home office of the other party in respect of any payment or delivery deferred pursuant to Section 5(d) for so long as the payment or delivery is so deferred. This representation and agreement will be deemed to be repeated by each party on each date on which the parties enter into a Transaction.</w:t>
      </w:r>
    </w:p>
    <w:p>
      <w:pPr>
        <w:pStyle w:val="TextBody"/>
        <w:bidi w:val="0"/>
        <w:spacing w:before="9" w:after="9"/>
        <w:ind w:left="9" w:right="9" w:hanging="0"/>
        <w:jc w:val="left"/>
        <w:rPr/>
      </w:pPr>
      <w:r>
        <w:rPr/>
        <w:t> </w:t>
      </w:r>
    </w:p>
    <w:p>
      <w:pPr>
        <w:pStyle w:val="TextBody"/>
        <w:bidi w:val="0"/>
        <w:ind w:left="278" w:right="193" w:hanging="0"/>
        <w:jc w:val="both"/>
        <w:rPr>
          <w:sz w:val="20"/>
        </w:rPr>
      </w:pPr>
      <w:r>
        <w:rPr>
          <w:sz w:val="20"/>
        </w:rPr>
        <w:t>(b)            If a party is specified as a Multibranch Party in the Schedule, such party may, subject to clause (c) below, enter into a Transaction through, book a Transaction in and make and receive payments and deliveries with respect to a Transaction through any Office listed in respect of that party in the Schedule (but not any other Office unless otherwise agreed by the parties in writing).</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(c)             The Office through which a party enters into a Transaction will be the Office specified for that party in the relevant Confirmation or as otherwise agreed by the parties in writing, and, if an Office for that party is not specified in the Confirmation or otherwise agreed by the parties in writing, its head or home office. Unless the parties otherwise agree in writing, the Office through which a party enters into a Transaction will also be the Office in which it books the Transaction and the Office through which it makes and receives payments and deliveries with respect to the Transaction. Subject to Section 6(b)(ii), neither party may change the Office in which it books the Transaction or the Office through which it makes and receives payments or deliveries with respect to a Transaction without the prior written consent of the other party.</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pPr>
            <w:r>
              <w:rPr/>
              <w:t>11.</w:t>
            </w:r>
          </w:p>
        </w:tc>
        <w:tc>
          <w:tcPr>
            <w:tcW w:w="7380" w:type="dxa"/>
            <w:tcBorders/>
            <w:vAlign w:val="center"/>
          </w:tcPr>
          <w:p>
            <w:pPr>
              <w:pStyle w:val="TableContents"/>
              <w:bidi w:val="0"/>
              <w:spacing w:before="0" w:after="283"/>
              <w:jc w:val="both"/>
              <w:rPr/>
            </w:pPr>
            <w:r>
              <w:rPr/>
              <w:t>Expenses</w:t>
            </w:r>
          </w:p>
        </w:tc>
      </w:tr>
    </w:tbl>
    <w:p>
      <w:pPr>
        <w:pStyle w:val="TextBody"/>
        <w:bidi w:val="0"/>
        <w:spacing w:before="10" w:after="10"/>
        <w:ind w:left="10" w:right="10" w:hanging="0"/>
        <w:jc w:val="left"/>
        <w:rPr/>
      </w:pPr>
      <w:r>
        <w:rPr/>
        <w:t> </w:t>
      </w:r>
    </w:p>
    <w:p>
      <w:pPr>
        <w:pStyle w:val="TextBody"/>
        <w:bidi w:val="0"/>
        <w:spacing w:before="1" w:after="1"/>
        <w:ind w:left="278" w:right="191" w:hanging="0"/>
        <w:jc w:val="both"/>
        <w:rPr>
          <w:sz w:val="20"/>
        </w:rPr>
      </w:pPr>
      <w:r>
        <w:rPr>
          <w:sz w:val="20"/>
        </w:rPr>
        <w:t>A Defaulting Party will on demand indemnify and hold harmless the other party for and against all reasonable out-of- pocket expenses, including legal fees, execution fees and Stamp Tax, incurred by such other party by reason of the enforcement and protection of its rights under this Agreement or any Credit Support Document to which the Defaulting Party is a party or by reason of the early termination of any Transaction, including, but not limited to, costs of collection.</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348"/>
        <w:gridCol w:w="2934"/>
        <w:gridCol w:w="6923"/>
      </w:tblGrid>
      <w:tr>
        <w:trPr/>
        <w:tc>
          <w:tcPr>
            <w:tcW w:w="34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pPr>
            <w:r>
              <w:rPr/>
              <w:t>12.</w:t>
            </w:r>
          </w:p>
        </w:tc>
        <w:tc>
          <w:tcPr>
            <w:tcW w:w="6923" w:type="dxa"/>
            <w:tcBorders/>
            <w:vAlign w:val="center"/>
          </w:tcPr>
          <w:p>
            <w:pPr>
              <w:pStyle w:val="TableContents"/>
              <w:bidi w:val="0"/>
              <w:spacing w:before="0" w:after="283"/>
              <w:jc w:val="both"/>
              <w:rPr/>
            </w:pPr>
            <w:r>
              <w:rPr/>
              <w:t>Notices</w:t>
            </w:r>
          </w:p>
        </w:tc>
      </w:tr>
    </w:tbl>
    <w:p>
      <w:pPr>
        <w:pStyle w:val="TextBody"/>
        <w:bidi w:val="0"/>
        <w:spacing w:before="1" w:after="1"/>
        <w:ind w:left="1" w:right="1" w:hanging="0"/>
        <w:jc w:val="left"/>
        <w:rPr/>
      </w:pPr>
      <w:r>
        <w:rPr/>
        <w:t> </w:t>
      </w:r>
    </w:p>
    <w:p>
      <w:pPr>
        <w:pStyle w:val="TextBody"/>
        <w:bidi w:val="0"/>
        <w:ind w:left="278" w:right="195" w:hanging="0"/>
        <w:jc w:val="both"/>
        <w:rPr>
          <w:sz w:val="20"/>
        </w:rPr>
      </w:pPr>
      <w:r>
        <w:rPr>
          <w:sz w:val="20"/>
        </w:rPr>
        <w:t xml:space="preserve">(a)             </w:t>
      </w:r>
      <w:r>
        <w:rPr>
          <w:b/>
          <w:i/>
          <w:sz w:val="20"/>
        </w:rPr>
        <w:t xml:space="preserve">Effectiveness. </w:t>
      </w:r>
      <w:r>
        <w:rPr>
          <w:sz w:val="20"/>
        </w:rPr>
        <w:t>Any notice or other communication in respect of this Agreement may be given in any manner described below (except that a notice or other communication under Section 5 or 6 may not be given by electronic messaging system or e-mail) to the address or number or in accordance with the electronic messaging system or e-mail details provided (see the Schedule) and will be deemed effective as indicated:</w:t>
      </w:r>
    </w:p>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if in writing and delivered in person or by courier, on the date it is delivered;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(ii)</w:t>
            </w:r>
          </w:p>
        </w:tc>
        <w:tc>
          <w:tcPr>
            <w:tcW w:w="9698" w:type="dxa"/>
            <w:tcBorders/>
            <w:vAlign w:val="center"/>
          </w:tcPr>
          <w:p>
            <w:pPr>
              <w:pStyle w:val="TableContents"/>
              <w:bidi w:val="0"/>
              <w:spacing w:before="0" w:after="283"/>
              <w:jc w:val="both"/>
              <w:rPr/>
            </w:pPr>
            <w:r>
              <w:rPr/>
              <w:t>if sent by telex, on the date the recipient’s answerback is received;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if sent by facsimile transmission, on the date it is received by a responsible employee of the recipient in legible form (it being agreed that the burden of proving receipt will be on the sender and will not be met by a transmission report generated by the sender’s facsimile machine);</w:t>
            </w:r>
          </w:p>
        </w:tc>
      </w:tr>
    </w:tbl>
    <w:p>
      <w:pPr>
        <w:pStyle w:val="TextBody"/>
        <w:bidi w:val="0"/>
        <w:spacing w:before="11" w:after="11"/>
        <w:ind w:left="11" w:right="11"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(iv)</w:t>
            </w:r>
          </w:p>
        </w:tc>
        <w:tc>
          <w:tcPr>
            <w:tcW w:w="9843" w:type="dxa"/>
            <w:tcBorders/>
            <w:vAlign w:val="center"/>
          </w:tcPr>
          <w:p>
            <w:pPr>
              <w:pStyle w:val="TableContents"/>
              <w:bidi w:val="0"/>
              <w:spacing w:before="0" w:after="283"/>
              <w:jc w:val="both"/>
              <w:rPr/>
            </w:pPr>
            <w:r>
              <w:rPr/>
              <w:t>if sent by certified or registered mail (airmail, if overseas) or the equivalent (return receipt requested), on the date it is delivered or its delivery is attempted;</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57"/>
        <w:gridCol w:w="443"/>
        <w:gridCol w:w="9705"/>
      </w:tblGrid>
      <w:tr>
        <w:trPr/>
        <w:tc>
          <w:tcPr>
            <w:tcW w:w="5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(v)</w:t>
            </w:r>
          </w:p>
        </w:tc>
        <w:tc>
          <w:tcPr>
            <w:tcW w:w="9705" w:type="dxa"/>
            <w:tcBorders/>
            <w:vAlign w:val="center"/>
          </w:tcPr>
          <w:p>
            <w:pPr>
              <w:pStyle w:val="TableContents"/>
              <w:bidi w:val="0"/>
              <w:spacing w:before="0" w:after="283"/>
              <w:jc w:val="both"/>
              <w:rPr/>
            </w:pPr>
            <w:r>
              <w:rPr/>
              <w:t>if sent by electronic messaging system, on the date it is received; or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6"/>
        <w:gridCol w:w="798"/>
        <w:gridCol w:w="9321"/>
      </w:tblGrid>
      <w:tr>
        <w:trPr/>
        <w:tc>
          <w:tcPr>
            <w:tcW w:w="8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(vi)</w:t>
            </w:r>
          </w:p>
        </w:tc>
        <w:tc>
          <w:tcPr>
            <w:tcW w:w="9321" w:type="dxa"/>
            <w:tcBorders/>
            <w:vAlign w:val="center"/>
          </w:tcPr>
          <w:p>
            <w:pPr>
              <w:pStyle w:val="TableContents"/>
              <w:bidi w:val="0"/>
              <w:spacing w:before="0" w:after="283"/>
              <w:jc w:val="both"/>
              <w:rPr/>
            </w:pPr>
            <w:r>
              <w:rPr/>
              <w:t>if sent by e-mail, on the date it is delivered,</w:t>
            </w:r>
          </w:p>
        </w:tc>
      </w:tr>
    </w:tbl>
    <w:p>
      <w:pPr>
        <w:pStyle w:val="TextBody"/>
        <w:bidi w:val="0"/>
        <w:spacing w:before="10" w:after="10"/>
        <w:ind w:left="10" w:right="10" w:hanging="0"/>
        <w:jc w:val="left"/>
        <w:rPr/>
      </w:pPr>
      <w:r>
        <w:rPr/>
        <w:t> </w:t>
      </w:r>
    </w:p>
    <w:p>
      <w:pPr>
        <w:pStyle w:val="TextBody"/>
        <w:bidi w:val="0"/>
        <w:spacing w:before="1" w:after="1"/>
        <w:ind w:left="278" w:right="191" w:hanging="0"/>
        <w:jc w:val="both"/>
        <w:rPr>
          <w:sz w:val="20"/>
        </w:rPr>
      </w:pPr>
      <w:r>
        <w:rPr>
          <w:sz w:val="20"/>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will be deemed given and effective on the first following day that is a Local Business Day.</w:t>
      </w:r>
    </w:p>
    <w:p>
      <w:pPr>
        <w:pStyle w:val="TextBody"/>
        <w:bidi w:val="0"/>
        <w:spacing w:before="9" w:after="9"/>
        <w:ind w:left="9" w:right="9" w:hanging="0"/>
        <w:jc w:val="left"/>
        <w:rPr/>
      </w:pPr>
      <w:r>
        <w:rPr/>
        <w:t> </w:t>
      </w:r>
    </w:p>
    <w:p>
      <w:pPr>
        <w:pStyle w:val="TextBody"/>
        <w:bidi w:val="0"/>
        <w:ind w:left="278" w:right="192" w:hanging="0"/>
        <w:jc w:val="both"/>
        <w:rPr>
          <w:sz w:val="20"/>
        </w:rPr>
      </w:pPr>
      <w:r>
        <w:rPr>
          <w:sz w:val="20"/>
        </w:rPr>
        <w:t xml:space="preserve">(b)            </w:t>
      </w:r>
      <w:r>
        <w:rPr>
          <w:b/>
          <w:i/>
          <w:sz w:val="20"/>
        </w:rPr>
        <w:t xml:space="preserve">Change of Details. </w:t>
      </w:r>
      <w:r>
        <w:rPr>
          <w:sz w:val="20"/>
        </w:rPr>
        <w:t>Either party may by notice to the other change the address, telex or facsimile number or electronic messaging system or e-mail details at which notices or other communications are to be given to it.</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112"/>
        <w:gridCol w:w="945"/>
        <w:gridCol w:w="9148"/>
      </w:tblGrid>
      <w:tr>
        <w:trPr/>
        <w:tc>
          <w:tcPr>
            <w:tcW w:w="1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pPr>
            <w:r>
              <w:rPr/>
              <w:t>13.</w:t>
            </w:r>
          </w:p>
        </w:tc>
        <w:tc>
          <w:tcPr>
            <w:tcW w:w="9148" w:type="dxa"/>
            <w:tcBorders/>
            <w:vAlign w:val="center"/>
          </w:tcPr>
          <w:p>
            <w:pPr>
              <w:pStyle w:val="TableContents"/>
              <w:bidi w:val="0"/>
              <w:spacing w:before="0" w:after="283"/>
              <w:jc w:val="both"/>
              <w:rPr/>
            </w:pPr>
            <w:r>
              <w:rPr/>
              <w:t>Governing Law and Jurisdiction</w:t>
            </w:r>
          </w:p>
        </w:tc>
      </w:tr>
    </w:tbl>
    <w:p>
      <w:pPr>
        <w:pStyle w:val="TextBody"/>
        <w:bidi w:val="0"/>
        <w:spacing w:before="0" w:after="283"/>
        <w:jc w:val="left"/>
        <w:rPr/>
      </w:pPr>
      <w:r>
        <w:rPr/>
        <w:t> </w:t>
      </w:r>
    </w:p>
    <w:p>
      <w:pPr>
        <w:pStyle w:val="TextBody"/>
        <w:bidi w:val="0"/>
        <w:ind w:left="278" w:right="190" w:hanging="0"/>
        <w:jc w:val="both"/>
        <w:rPr>
          <w:sz w:val="20"/>
        </w:rPr>
      </w:pPr>
      <w:r>
        <w:rPr>
          <w:sz w:val="20"/>
        </w:rPr>
        <w:t xml:space="preserve">(a)             </w:t>
      </w:r>
      <w:r>
        <w:rPr>
          <w:b/>
          <w:i/>
          <w:sz w:val="20"/>
        </w:rPr>
        <w:t xml:space="preserve">Governing Law. </w:t>
      </w:r>
      <w:r>
        <w:rPr>
          <w:sz w:val="20"/>
        </w:rPr>
        <w:t>This Agreement will be governed by and construed in accordance with the law specified in the Schedule.</w:t>
      </w:r>
    </w:p>
    <w:p>
      <w:pPr>
        <w:pStyle w:val="TextBody"/>
        <w:bidi w:val="0"/>
        <w:spacing w:before="5" w:after="5"/>
        <w:ind w:left="5" w:right="5" w:hanging="0"/>
        <w:jc w:val="left"/>
        <w:rPr/>
      </w:pPr>
      <w:r>
        <w:rPr/>
        <w:t> </w:t>
      </w:r>
    </w:p>
    <w:p>
      <w:pPr>
        <w:pStyle w:val="TextBody"/>
        <w:bidi w:val="0"/>
        <w:ind w:left="278" w:right="192" w:hanging="0"/>
        <w:jc w:val="both"/>
        <w:rPr>
          <w:sz w:val="20"/>
        </w:rPr>
      </w:pPr>
      <w:r>
        <w:rPr>
          <w:sz w:val="20"/>
        </w:rPr>
        <w:t xml:space="preserve">(b)            </w:t>
      </w:r>
      <w:r>
        <w:rPr>
          <w:b/>
          <w:i/>
          <w:sz w:val="20"/>
        </w:rPr>
        <w:t xml:space="preserve">Jurisdiction. </w:t>
      </w:r>
      <w:r>
        <w:rPr>
          <w:sz w:val="20"/>
        </w:rPr>
        <w:t>With respect to any suit, action or proceedings relating to any dispute arising out of or in connection with this Agreement (“Proceedings”), each party irrevocably:</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358"/>
        <w:gridCol w:w="2167"/>
        <w:gridCol w:w="7680"/>
      </w:tblGrid>
      <w:tr>
        <w:trPr/>
        <w:tc>
          <w:tcPr>
            <w:tcW w:w="35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pPr>
            <w:r>
              <w:rPr/>
              <w:t>(i)</w:t>
            </w:r>
          </w:p>
        </w:tc>
        <w:tc>
          <w:tcPr>
            <w:tcW w:w="7680" w:type="dxa"/>
            <w:tcBorders/>
            <w:vAlign w:val="center"/>
          </w:tcPr>
          <w:p>
            <w:pPr>
              <w:pStyle w:val="TableContents"/>
              <w:bidi w:val="0"/>
              <w:spacing w:before="0" w:after="283"/>
              <w:jc w:val="both"/>
              <w:rPr/>
            </w:pPr>
            <w:r>
              <w:rPr/>
              <w:t>submits:</w:t>
            </w:r>
          </w:p>
        </w:tc>
      </w:tr>
    </w:tbl>
    <w:p>
      <w:pPr>
        <w:pStyle w:val="TextBody"/>
        <w:bidi w:val="0"/>
        <w:spacing w:before="10" w:after="10"/>
        <w:ind w:left="10" w:right="10" w:hanging="0"/>
        <w:jc w:val="left"/>
        <w:rPr/>
      </w:pPr>
      <w:r>
        <w:rPr/>
        <w:t> </w:t>
      </w:r>
    </w:p>
    <w:p>
      <w:pPr>
        <w:pStyle w:val="TextBody"/>
        <w:bidi w:val="0"/>
        <w:ind w:left="1696" w:right="192" w:hanging="0"/>
        <w:jc w:val="both"/>
        <w:rPr>
          <w:sz w:val="20"/>
        </w:rPr>
      </w:pPr>
      <w:r>
        <w:rPr>
          <w:sz w:val="20"/>
        </w:rPr>
        <w:t>(1)            if this Agreement is expressed to be governed by English law, to (A) the non-exclusive jurisdiction of the English courts if the Proceedings do not involve a Convention Court and (B) the exclusive jurisdiction of the English courts if the Proceedings do involve a Convention Court; or</w:t>
      </w:r>
    </w:p>
    <w:p>
      <w:pPr>
        <w:pStyle w:val="TextBody"/>
        <w:bidi w:val="0"/>
        <w:spacing w:before="7" w:after="7"/>
        <w:ind w:left="7" w:right="7" w:hanging="0"/>
        <w:jc w:val="left"/>
        <w:rPr/>
      </w:pPr>
      <w:r>
        <w:rPr/>
        <w:t> </w:t>
      </w:r>
    </w:p>
    <w:p>
      <w:pPr>
        <w:pStyle w:val="TextBody"/>
        <w:bidi w:val="0"/>
        <w:ind w:left="1696" w:right="192" w:hanging="0"/>
        <w:jc w:val="both"/>
        <w:rPr>
          <w:sz w:val="20"/>
        </w:rPr>
      </w:pPr>
      <w:r>
        <w:rPr>
          <w:sz w:val="20"/>
        </w:rPr>
        <w:t>(2)            if this Agreement is expressed to be governed by the laws of the State of New York, to the non-exclusive jurisdiction of the courts of the State of New York and the United States District Court located in the Borough of Manhattan in New York City;</w:t>
      </w:r>
    </w:p>
    <w:p>
      <w:pPr>
        <w:pStyle w:val="TextBody"/>
        <w:bidi w:val="0"/>
        <w:spacing w:before="7" w:after="7"/>
        <w:ind w:left="7" w:right="7" w:hanging="0"/>
        <w:jc w:val="left"/>
        <w:rPr/>
      </w:pPr>
      <w:r>
        <w:rPr/>
        <w:t> </w:t>
      </w:r>
    </w:p>
    <w:p>
      <w:pPr>
        <w:pStyle w:val="TextBody"/>
        <w:bidi w:val="0"/>
        <w:ind w:left="986" w:right="192" w:hanging="0"/>
        <w:jc w:val="both"/>
        <w:rPr>
          <w:sz w:val="20"/>
        </w:rPr>
      </w:pPr>
      <w:r>
        <w:rPr>
          <w:sz w:val="20"/>
        </w:rPr>
        <w:t>(ii)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and</w:t>
      </w:r>
    </w:p>
    <w:p>
      <w:pPr>
        <w:pStyle w:val="TextBody"/>
        <w:bidi w:val="0"/>
        <w:spacing w:before="8" w:after="8"/>
        <w:ind w:left="8" w:right="8" w:hanging="0"/>
        <w:jc w:val="left"/>
        <w:rPr/>
      </w:pPr>
      <w:r>
        <w:rPr/>
        <w:t> </w:t>
      </w:r>
    </w:p>
    <w:p>
      <w:pPr>
        <w:pStyle w:val="TextBody"/>
        <w:bidi w:val="0"/>
        <w:ind w:left="986" w:right="193" w:hanging="0"/>
        <w:jc w:val="both"/>
        <w:rPr>
          <w:sz w:val="20"/>
        </w:rPr>
      </w:pPr>
      <w:r>
        <w:rPr>
          <w:sz w:val="20"/>
        </w:rPr>
        <w:t>(iii)           agrees, to the extent permitted by applicable law, that the bringing of Proceedings in any one or more jurisdictions will not preclude the bringing of Proceedings in any other jurisdiction.</w:t>
      </w:r>
    </w:p>
    <w:p>
      <w:pPr>
        <w:pStyle w:val="TextBody"/>
        <w:bidi w:val="0"/>
        <w:spacing w:before="186" w:after="186"/>
        <w:ind w:left="278" w:right="190" w:hanging="0"/>
        <w:jc w:val="both"/>
        <w:rPr>
          <w:sz w:val="20"/>
        </w:rPr>
      </w:pPr>
      <w:r>
        <w:rPr>
          <w:sz w:val="20"/>
        </w:rPr>
        <w:t xml:space="preserve">(c)             </w:t>
      </w:r>
      <w:r>
        <w:rPr>
          <w:b/>
          <w:i/>
          <w:sz w:val="20"/>
        </w:rPr>
        <w:t xml:space="preserve">Service of Process. </w:t>
      </w:r>
      <w:r>
        <w:rPr>
          <w:sz w:val="20"/>
        </w:rPr>
        <w:t>Each party irrevocably appoints the Process Agent, if any, specified opposite its name in the Schedule to receive, for it and on its behalf, service of process in any Proceedings. If for any reason any party’s Process Agent is unable to act as such, such party will promptly notify the other party and within 30 days appoint a substitute process agent acceptable to the other party. The parties irrevocably consent to service of process given in the manner provided for notices in Section 12(a)(i), 12(a)(iii) or 12(a)(iv). Nothing in this Agreement will affect the right of either party to serve process in any other manner permitted by applicable law.</w:t>
      </w:r>
    </w:p>
    <w:p>
      <w:pPr>
        <w:pStyle w:val="TextBody"/>
        <w:bidi w:val="0"/>
        <w:spacing w:before="9" w:after="9"/>
        <w:ind w:left="9" w:right="9" w:hanging="0"/>
        <w:jc w:val="left"/>
        <w:rPr/>
      </w:pPr>
      <w:r>
        <w:rPr/>
        <w:t> </w:t>
      </w:r>
    </w:p>
    <w:p>
      <w:pPr>
        <w:pStyle w:val="TextBody"/>
        <w:bidi w:val="0"/>
        <w:ind w:left="278" w:right="190" w:hanging="0"/>
        <w:jc w:val="both"/>
        <w:rPr>
          <w:sz w:val="20"/>
        </w:rPr>
      </w:pPr>
      <w:r>
        <w:rPr>
          <w:sz w:val="20"/>
        </w:rPr>
        <w:t xml:space="preserve">(d)            </w:t>
      </w:r>
      <w:r>
        <w:rPr>
          <w:b/>
          <w:i/>
          <w:sz w:val="20"/>
        </w:rPr>
        <w:t xml:space="preserve">Waiver of Immunities. </w:t>
      </w:r>
      <w:r>
        <w:rPr>
          <w:sz w:val="20"/>
        </w:rPr>
        <w:t>Each party irrevocably waives, to the extent permitted by applicable law, with respect to itself and its revenues and assets (irrespective of their use or intended use), all immunity on the grounds of sovereignty or other similar grounds from (i) suit, (ii) jurisdiction of any court, (iii) relief by way of injunction or order for specific performance 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pStyle w:val="TextBody"/>
        <w:bidi w:val="0"/>
        <w:spacing w:before="10" w:after="10"/>
        <w:ind w:left="278"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68"/>
        <w:gridCol w:w="2263"/>
        <w:gridCol w:w="7674"/>
      </w:tblGrid>
      <w:tr>
        <w:trPr/>
        <w:tc>
          <w:tcPr>
            <w:tcW w:w="2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pPr>
            <w:r>
              <w:rPr/>
              <w:t>14.</w:t>
            </w:r>
          </w:p>
        </w:tc>
        <w:tc>
          <w:tcPr>
            <w:tcW w:w="7674" w:type="dxa"/>
            <w:tcBorders/>
            <w:vAlign w:val="center"/>
          </w:tcPr>
          <w:p>
            <w:pPr>
              <w:pStyle w:val="TableContents"/>
              <w:bidi w:val="0"/>
              <w:spacing w:before="0" w:after="283"/>
              <w:jc w:val="both"/>
              <w:rPr/>
            </w:pPr>
            <w:r>
              <w:rPr/>
              <w:t>Definitions</w:t>
            </w:r>
          </w:p>
        </w:tc>
      </w:tr>
    </w:tbl>
    <w:p>
      <w:pPr>
        <w:pStyle w:val="TextBody"/>
        <w:bidi w:val="0"/>
        <w:spacing w:before="10" w:after="10"/>
        <w:ind w:left="10" w:right="10" w:hanging="0"/>
        <w:jc w:val="left"/>
        <w:rPr/>
      </w:pPr>
      <w:r>
        <w:rPr/>
        <w:t> </w:t>
      </w:r>
    </w:p>
    <w:p>
      <w:pPr>
        <w:pStyle w:val="TextBody"/>
        <w:bidi w:val="0"/>
        <w:ind w:left="278" w:right="0" w:hanging="0"/>
        <w:jc w:val="both"/>
        <w:rPr>
          <w:sz w:val="20"/>
        </w:rPr>
      </w:pPr>
      <w:r>
        <w:rPr>
          <w:sz w:val="20"/>
        </w:rPr>
        <w:t>As used in this Agreement:</w:t>
      </w:r>
    </w:p>
    <w:p>
      <w:pPr>
        <w:pStyle w:val="TextBody"/>
        <w:bidi w:val="0"/>
        <w:spacing w:before="175" w:after="175"/>
        <w:ind w:left="278" w:right="3116" w:hanging="0"/>
        <w:jc w:val="left"/>
        <w:rPr/>
      </w:pPr>
      <w:r>
        <w:rPr/>
        <w:t>“</w:t>
      </w:r>
      <w:r>
        <w:rPr>
          <w:b/>
          <w:i/>
          <w:sz w:val="20"/>
        </w:rPr>
        <w:t xml:space="preserve">Additional Representation” </w:t>
      </w:r>
      <w:r>
        <w:rPr>
          <w:sz w:val="20"/>
        </w:rPr>
        <w:t xml:space="preserve">has the meaning specified in Section 3. </w:t>
      </w:r>
    </w:p>
    <w:p>
      <w:pPr>
        <w:pStyle w:val="TextBody"/>
        <w:bidi w:val="0"/>
        <w:spacing w:before="175" w:after="175"/>
        <w:ind w:left="278" w:right="3116" w:hanging="0"/>
        <w:jc w:val="left"/>
        <w:rPr/>
      </w:pPr>
      <w:r>
        <w:rPr/>
        <w:t>“</w:t>
      </w:r>
      <w:r>
        <w:rPr>
          <w:b/>
          <w:i/>
          <w:sz w:val="20"/>
        </w:rPr>
        <w:t xml:space="preserve">Additional Termination Event” </w:t>
      </w:r>
      <w:r>
        <w:rPr>
          <w:sz w:val="20"/>
        </w:rPr>
        <w:t xml:space="preserve">has the meaning specified in Section 5(b). </w:t>
      </w:r>
    </w:p>
    <w:p>
      <w:pPr>
        <w:pStyle w:val="TextBody"/>
        <w:bidi w:val="0"/>
        <w:spacing w:before="175" w:after="175"/>
        <w:ind w:left="278" w:right="3116" w:hanging="0"/>
        <w:jc w:val="left"/>
        <w:rPr/>
      </w:pPr>
      <w:r>
        <w:rPr/>
        <w:t>“</w:t>
      </w:r>
      <w:r>
        <w:rPr>
          <w:b/>
          <w:i/>
          <w:sz w:val="20"/>
        </w:rPr>
        <w:t xml:space="preserve">Affected Party” </w:t>
      </w:r>
      <w:r>
        <w:rPr>
          <w:sz w:val="20"/>
        </w:rPr>
        <w:t>has the meaning specified in Section 5(b).</w:t>
      </w:r>
    </w:p>
    <w:p>
      <w:pPr>
        <w:pStyle w:val="TextBody"/>
        <w:bidi w:val="0"/>
        <w:spacing w:before="171" w:after="0"/>
        <w:ind w:left="278" w:right="191" w:hanging="0"/>
        <w:jc w:val="both"/>
        <w:rPr/>
      </w:pPr>
      <w:r>
        <w:rPr/>
        <w:t>“</w:t>
      </w:r>
      <w:r>
        <w:rPr>
          <w:b/>
          <w:i/>
          <w:sz w:val="20"/>
        </w:rPr>
        <w:t xml:space="preserve">Affected Transactions” </w:t>
      </w:r>
      <w:r>
        <w:rPr>
          <w:sz w:val="20"/>
        </w:rPr>
        <w:t>means (a) with respect to any Termination Event consisting of an Illegality, Force Majeure Event, Tax Event or Tax Event Upon Merger, all Transactions affected by the occurrence of such Termination Event (which, in the case of an Illegality under Section 5(b)(i)(2) or a Force Majeure Event under Section 5(b)(ii)(2), means all Transactions unless the relevant Credit Support Document references only certain Transactions, in which case those Transactions and, if the relevant Credit Support Document constitutes a Confirmation for a Transaction, that Transaction) and (b) with respect to any other Termination Event, all Transactions.</w:t>
      </w:r>
    </w:p>
    <w:p>
      <w:pPr>
        <w:pStyle w:val="TextBody"/>
        <w:bidi w:val="0"/>
        <w:spacing w:before="187" w:after="187"/>
        <w:ind w:left="278" w:right="188" w:hanging="0"/>
        <w:jc w:val="both"/>
        <w:rPr/>
      </w:pPr>
      <w:r>
        <w:rPr/>
        <w:t>“</w:t>
      </w:r>
      <w:r>
        <w:rPr>
          <w:b/>
          <w:i/>
          <w:sz w:val="20"/>
        </w:rPr>
        <w:t xml:space="preserve">Affiliate” </w:t>
      </w:r>
      <w:r>
        <w:rPr>
          <w:sz w:val="20"/>
        </w:rPr>
        <w:t>means, subject to the Schedule, in relation to any person, any entity controlled, directly or indirectly, by the person, any entity that controls, directly or indirectly, the person or any entity directly or indirectly under common control with the person. For this purpose, “control” of any entity or person means ownership of a majority of the voting power of the entity or person.</w:t>
      </w:r>
    </w:p>
    <w:p>
      <w:pPr>
        <w:pStyle w:val="TextBody"/>
        <w:bidi w:val="0"/>
        <w:spacing w:before="175" w:after="175"/>
        <w:ind w:left="278" w:right="175" w:hanging="0"/>
        <w:jc w:val="left"/>
        <w:rPr/>
      </w:pPr>
      <w:r>
        <w:rPr/>
        <w:t>“</w:t>
      </w:r>
      <w:r>
        <w:rPr>
          <w:b/>
          <w:i/>
          <w:sz w:val="20"/>
        </w:rPr>
        <w:t xml:space="preserve">Agreement” </w:t>
      </w:r>
      <w:r>
        <w:rPr>
          <w:sz w:val="20"/>
        </w:rPr>
        <w:t>has the meaning specified in Section 1(c).</w:t>
      </w:r>
    </w:p>
    <w:p>
      <w:pPr>
        <w:pStyle w:val="TextBody"/>
        <w:bidi w:val="0"/>
        <w:spacing w:before="132" w:after="132"/>
        <w:ind w:left="278" w:right="132" w:hanging="0"/>
        <w:jc w:val="left"/>
        <w:rPr/>
      </w:pPr>
      <w:r>
        <w:rPr/>
        <w:t>“</w:t>
      </w:r>
      <w:r>
        <w:rPr>
          <w:b/>
          <w:i/>
          <w:sz w:val="20"/>
        </w:rPr>
        <w:t xml:space="preserve">Applicable Close-out Rate” </w:t>
      </w:r>
      <w:r>
        <w:rPr>
          <w:b w:val="false"/>
          <w:i w:val="false"/>
          <w:caps w:val="false"/>
          <w:smallCaps w:val="false"/>
          <w:sz w:val="20"/>
        </w:rPr>
        <w:t>means:</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71"/>
        <w:gridCol w:w="519"/>
        <w:gridCol w:w="9615"/>
      </w:tblGrid>
      <w:tr>
        <w:trPr/>
        <w:tc>
          <w:tcPr>
            <w:tcW w:w="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(a)</w:t>
            </w:r>
          </w:p>
        </w:tc>
        <w:tc>
          <w:tcPr>
            <w:tcW w:w="9615" w:type="dxa"/>
            <w:tcBorders/>
            <w:vAlign w:val="center"/>
          </w:tcPr>
          <w:p>
            <w:pPr>
              <w:pStyle w:val="TableContents"/>
              <w:bidi w:val="0"/>
              <w:spacing w:before="0" w:after="283"/>
              <w:jc w:val="both"/>
              <w:rPr/>
            </w:pPr>
            <w:r>
              <w:rPr/>
              <w:t>in respect of the determination of an Unpaid Amount:</w:t>
            </w:r>
          </w:p>
        </w:tc>
      </w:tr>
    </w:tbl>
    <w:p>
      <w:pPr>
        <w:pStyle w:val="TextBody"/>
        <w:bidi w:val="0"/>
        <w:spacing w:before="10" w:after="10"/>
        <w:ind w:left="10" w:right="10" w:hanging="0"/>
        <w:jc w:val="left"/>
        <w:rPr/>
      </w:pPr>
      <w:r>
        <w:rPr/>
        <w:t> </w:t>
      </w:r>
    </w:p>
    <w:p>
      <w:pPr>
        <w:pStyle w:val="TextBody"/>
        <w:bidi w:val="0"/>
        <w:ind w:left="986" w:right="195" w:hanging="0"/>
        <w:jc w:val="both"/>
        <w:rPr>
          <w:sz w:val="20"/>
        </w:rPr>
      </w:pPr>
      <w:r>
        <w:rPr>
          <w:sz w:val="20"/>
        </w:rPr>
        <w:t>(i)             in respect of obligations payable or deliverable (or which would have been but for Section 2(a)(iii)) by a Defaulting Party, the Default Rate;</w:t>
      </w:r>
    </w:p>
    <w:p>
      <w:pPr>
        <w:pStyle w:val="TextBody"/>
        <w:bidi w:val="0"/>
        <w:spacing w:before="6" w:after="6"/>
        <w:ind w:left="6" w:right="6" w:hanging="0"/>
        <w:jc w:val="left"/>
        <w:rPr/>
      </w:pPr>
      <w:r>
        <w:rPr/>
        <w:t> </w:t>
      </w:r>
    </w:p>
    <w:p>
      <w:pPr>
        <w:pStyle w:val="TextBody"/>
        <w:bidi w:val="0"/>
        <w:ind w:left="986" w:right="195" w:hanging="0"/>
        <w:jc w:val="both"/>
        <w:rPr>
          <w:sz w:val="20"/>
        </w:rPr>
      </w:pPr>
      <w:r>
        <w:rPr>
          <w:sz w:val="20"/>
        </w:rPr>
        <w:t>(ii)            in respect of obligations payable or deliverable (or which would have been but for Section 2(a)(iii)) by a Non-defaulting Party, the Non-default Rate;</w:t>
      </w:r>
    </w:p>
    <w:p>
      <w:pPr>
        <w:pStyle w:val="TextBody"/>
        <w:bidi w:val="0"/>
        <w:spacing w:before="7" w:after="7"/>
        <w:ind w:left="7" w:right="7" w:hanging="0"/>
        <w:jc w:val="left"/>
        <w:rPr/>
      </w:pPr>
      <w:r>
        <w:rPr/>
        <w:t> </w:t>
      </w:r>
    </w:p>
    <w:p>
      <w:pPr>
        <w:pStyle w:val="TextBody"/>
        <w:bidi w:val="0"/>
        <w:ind w:left="986" w:right="195" w:hanging="0"/>
        <w:jc w:val="both"/>
        <w:rPr>
          <w:sz w:val="20"/>
        </w:rPr>
      </w:pPr>
      <w:r>
        <w:rPr>
          <w:sz w:val="20"/>
        </w:rPr>
        <w:t>(iii)           in respect of obligations deferred pursuant to Section 5(d), if there is no Defaulting Party and for so long as the deferral period continues, the Applicable Deferral Rate; and</w:t>
      </w:r>
    </w:p>
    <w:p>
      <w:pPr>
        <w:pStyle w:val="TextBody"/>
        <w:bidi w:val="0"/>
        <w:spacing w:before="6" w:after="6"/>
        <w:ind w:left="6" w:right="6" w:hanging="0"/>
        <w:jc w:val="left"/>
        <w:rPr/>
      </w:pPr>
      <w:r>
        <w:rPr/>
        <w:t> </w:t>
      </w:r>
    </w:p>
    <w:p>
      <w:pPr>
        <w:pStyle w:val="TextBody"/>
        <w:bidi w:val="0"/>
        <w:ind w:left="986" w:right="194" w:hanging="0"/>
        <w:jc w:val="both"/>
        <w:rPr>
          <w:sz w:val="20"/>
        </w:rPr>
      </w:pPr>
      <w:r>
        <w:rPr>
          <w:sz w:val="20"/>
        </w:rPr>
        <w:t>(iv)           in all other cases following the occurrence of a Termination Event (except where interest accrues pursuant to clause (iii) above), the Applicable Deferral Rate; and</w:t>
      </w:r>
    </w:p>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86"/>
        <w:gridCol w:w="659"/>
        <w:gridCol w:w="9460"/>
      </w:tblGrid>
      <w:tr>
        <w:trPr/>
        <w:tc>
          <w:tcPr>
            <w:tcW w:w="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pPr>
            <w:r>
              <w:rPr/>
              <w:t>(b)</w:t>
            </w:r>
          </w:p>
        </w:tc>
        <w:tc>
          <w:tcPr>
            <w:tcW w:w="9460" w:type="dxa"/>
            <w:tcBorders/>
            <w:vAlign w:val="center"/>
          </w:tcPr>
          <w:p>
            <w:pPr>
              <w:pStyle w:val="TableContents"/>
              <w:bidi w:val="0"/>
              <w:spacing w:before="0" w:after="283"/>
              <w:jc w:val="both"/>
              <w:rPr/>
            </w:pPr>
            <w:r>
              <w:rPr/>
              <w:t>in respect of an Early Termination Amount:</w:t>
            </w:r>
          </w:p>
        </w:tc>
      </w:tr>
    </w:tbl>
    <w:p>
      <w:pPr>
        <w:pStyle w:val="TextBody"/>
        <w:bidi w:val="0"/>
        <w:spacing w:before="10" w:after="10"/>
        <w:ind w:left="10" w:right="10" w:hanging="0"/>
        <w:jc w:val="left"/>
        <w:rPr/>
      </w:pPr>
      <w:r>
        <w:rPr/>
        <w:t> </w:t>
      </w:r>
    </w:p>
    <w:p>
      <w:pPr>
        <w:pStyle w:val="TextBody"/>
        <w:bidi w:val="0"/>
        <w:ind w:left="986" w:right="194" w:hanging="0"/>
        <w:jc w:val="both"/>
        <w:rPr>
          <w:sz w:val="20"/>
        </w:rPr>
      </w:pPr>
      <w:r>
        <w:rPr>
          <w:sz w:val="20"/>
        </w:rPr>
        <w:t>(i)             for the period from (and including) the relevant Early Termination Date to (but excluding) the date (determined in accordance with Section 6(d)(ii)) on which that amount is payable:</w:t>
      </w:r>
    </w:p>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46"/>
        <w:gridCol w:w="357"/>
        <w:gridCol w:w="9802"/>
      </w:tblGrid>
      <w:tr>
        <w:trPr/>
        <w:tc>
          <w:tcPr>
            <w:tcW w:w="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(1)</w:t>
            </w:r>
          </w:p>
        </w:tc>
        <w:tc>
          <w:tcPr>
            <w:tcW w:w="9802" w:type="dxa"/>
            <w:tcBorders/>
            <w:vAlign w:val="center"/>
          </w:tcPr>
          <w:p>
            <w:pPr>
              <w:pStyle w:val="TableContents"/>
              <w:bidi w:val="0"/>
              <w:spacing w:before="0" w:after="283"/>
              <w:jc w:val="both"/>
              <w:rPr/>
            </w:pPr>
            <w:r>
              <w:rPr/>
              <w:t>if the Early Termination Amount is payable by a Defaulting Party, the Default Rate;</w:t>
            </w:r>
          </w:p>
        </w:tc>
      </w:tr>
    </w:tbl>
    <w:p>
      <w:pPr>
        <w:pStyle w:val="TextBody"/>
        <w:bidi w:val="0"/>
        <w:spacing w:before="0" w:after="283"/>
        <w:jc w:val="left"/>
        <w:rPr/>
      </w:pPr>
      <w:r>
        <w:rPr/>
        <w:t> </w:t>
      </w:r>
    </w:p>
    <w:tbl>
      <w:tblPr>
        <w:tblW w:w="9558" w:type="dxa"/>
        <w:jc w:val="left"/>
        <w:tblInd w:w="0" w:type="dxa"/>
        <w:tblLayout w:type="fixed"/>
        <w:tblCellMar>
          <w:top w:w="0" w:type="dxa"/>
          <w:left w:w="0" w:type="dxa"/>
          <w:bottom w:w="0" w:type="dxa"/>
          <w:right w:w="0" w:type="dxa"/>
        </w:tblCellMar>
      </w:tblPr>
      <w:tblGrid>
        <w:gridCol w:w="38"/>
        <w:gridCol w:w="29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230" w:type="dxa"/>
            <w:tcBorders/>
            <w:vAlign w:val="center"/>
          </w:tcPr>
          <w:p>
            <w:pPr>
              <w:pStyle w:val="TableContents"/>
              <w:bidi w:val="0"/>
              <w:spacing w:before="0" w:after="283"/>
              <w:jc w:val="both"/>
              <w:rPr/>
            </w:pPr>
            <w:r>
              <w:rPr/>
              <w:t>if the Early Termination Amount is payable by a Non-defaulting Party, the Non-default Rate; and</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566"/>
        <w:gridCol w:w="9565"/>
      </w:tblGrid>
      <w:tr>
        <w:trPr/>
        <w:tc>
          <w:tcPr>
            <w:tcW w:w="7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pPr>
            <w:r>
              <w:rPr/>
              <w:t>(3)</w:t>
            </w:r>
          </w:p>
        </w:tc>
        <w:tc>
          <w:tcPr>
            <w:tcW w:w="9565" w:type="dxa"/>
            <w:tcBorders/>
            <w:vAlign w:val="center"/>
          </w:tcPr>
          <w:p>
            <w:pPr>
              <w:pStyle w:val="TableContents"/>
              <w:bidi w:val="0"/>
              <w:spacing w:before="0" w:after="283"/>
              <w:jc w:val="both"/>
              <w:rPr/>
            </w:pPr>
            <w:r>
              <w:rPr/>
              <w:t>in all other cases, the Applicable Deferral Rate;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2" w:hanging="0"/>
        <w:jc w:val="both"/>
        <w:rPr>
          <w:sz w:val="20"/>
        </w:rPr>
      </w:pPr>
      <w:r>
        <w:rPr>
          <w:sz w:val="20"/>
        </w:rPr>
        <w:t>(ii)            for the period from (and including) the date (determined in accordance with Section 6(d)(ii)) on which that amount is payable to (but excluding) the date of actual payment:</w:t>
      </w:r>
    </w:p>
    <w:p>
      <w:pPr>
        <w:pStyle w:val="TextBody"/>
        <w:bidi w:val="0"/>
        <w:spacing w:before="6" w:after="6"/>
        <w:ind w:left="6" w:right="6" w:hanging="0"/>
        <w:jc w:val="left"/>
        <w:rPr/>
      </w:pPr>
      <w:r>
        <w:rPr/>
        <w:t> </w:t>
      </w:r>
    </w:p>
    <w:p>
      <w:pPr>
        <w:pStyle w:val="TextBody"/>
        <w:bidi w:val="0"/>
        <w:spacing w:before="1" w:after="1"/>
        <w:ind w:left="1696" w:right="189" w:hanging="0"/>
        <w:jc w:val="both"/>
        <w:rPr>
          <w:sz w:val="20"/>
        </w:rPr>
      </w:pPr>
      <w:r>
        <w:rPr>
          <w:sz w:val="20"/>
        </w:rPr>
        <w:t>(1)           if a party fails to pay the Early Termination Amount due to the occurrence of an event or circumstance which would, if it occurred with respect to a payment or delivery under a Transaction, constitute or give rise to an Illegality or a Force Majeure Event, and for so long as the Early Termination Amount remains unpaid due to the continuing existence of such event or circumstance, the Applicable Deferral Rate;</w:t>
      </w:r>
    </w:p>
    <w:p>
      <w:pPr>
        <w:pStyle w:val="TextBody"/>
        <w:bidi w:val="0"/>
        <w:spacing w:before="8" w:after="8"/>
        <w:ind w:left="8" w:right="8" w:hanging="0"/>
        <w:jc w:val="left"/>
        <w:rPr/>
      </w:pPr>
      <w:r>
        <w:rPr/>
        <w:t> </w:t>
      </w:r>
    </w:p>
    <w:p>
      <w:pPr>
        <w:pStyle w:val="TextBody"/>
        <w:bidi w:val="0"/>
        <w:ind w:left="1696" w:right="190" w:hanging="0"/>
        <w:jc w:val="both"/>
        <w:rPr>
          <w:sz w:val="20"/>
        </w:rPr>
      </w:pPr>
      <w:r>
        <w:rPr>
          <w:sz w:val="20"/>
        </w:rPr>
        <w:t>(2)           if the Early Termination Amount is payable by a Defaulting Party (but excluding any period in respect of which clause (1) above applies), the Default Rate;</w:t>
      </w:r>
    </w:p>
    <w:p>
      <w:pPr>
        <w:pStyle w:val="TextBody"/>
        <w:bidi w:val="0"/>
        <w:spacing w:before="6" w:after="6"/>
        <w:ind w:left="6" w:right="6" w:hanging="0"/>
        <w:jc w:val="left"/>
        <w:rPr/>
      </w:pPr>
      <w:r>
        <w:rPr/>
        <w:t> </w:t>
      </w:r>
    </w:p>
    <w:p>
      <w:pPr>
        <w:pStyle w:val="TextBody"/>
        <w:bidi w:val="0"/>
        <w:ind w:left="1696" w:right="190" w:hanging="0"/>
        <w:jc w:val="both"/>
        <w:rPr>
          <w:sz w:val="20"/>
        </w:rPr>
      </w:pPr>
      <w:r>
        <w:rPr>
          <w:sz w:val="20"/>
        </w:rPr>
        <w:t>(3)           if the Early Termination Amount is payable by a Non-defaulting Party (but excluding any period in respect of which clause (1) above applies), the Non-default Rate; and</w:t>
      </w:r>
    </w:p>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94"/>
        <w:gridCol w:w="722"/>
        <w:gridCol w:w="9389"/>
      </w:tblGrid>
      <w:tr>
        <w:trPr/>
        <w:tc>
          <w:tcPr>
            <w:tcW w:w="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(4)</w:t>
            </w:r>
          </w:p>
        </w:tc>
        <w:tc>
          <w:tcPr>
            <w:tcW w:w="9389" w:type="dxa"/>
            <w:tcBorders/>
            <w:vAlign w:val="center"/>
          </w:tcPr>
          <w:p>
            <w:pPr>
              <w:pStyle w:val="TableContents"/>
              <w:bidi w:val="0"/>
              <w:spacing w:before="0" w:after="283"/>
              <w:jc w:val="both"/>
              <w:rPr/>
            </w:pPr>
            <w:r>
              <w:rPr/>
              <w:t>in all other cases, the Termination Rate.</w:t>
            </w:r>
          </w:p>
        </w:tc>
      </w:tr>
    </w:tbl>
    <w:p>
      <w:pPr>
        <w:pStyle w:val="TextBody"/>
        <w:bidi w:val="0"/>
        <w:spacing w:before="174" w:after="174"/>
        <w:ind w:left="278" w:right="174" w:hanging="0"/>
        <w:jc w:val="both"/>
        <w:rPr/>
      </w:pPr>
      <w:r>
        <w:rPr/>
        <w:t>“</w:t>
      </w:r>
      <w:r>
        <w:rPr>
          <w:b/>
          <w:i/>
          <w:sz w:val="20"/>
        </w:rPr>
        <w:t xml:space="preserve">Applicable Deferral Rate” </w:t>
      </w:r>
      <w:r>
        <w:rPr>
          <w:sz w:val="20"/>
        </w:rPr>
        <w:t>means:</w:t>
      </w:r>
    </w:p>
    <w:p>
      <w:pPr>
        <w:pStyle w:val="TextBody"/>
        <w:bidi w:val="0"/>
        <w:spacing w:before="3" w:after="3"/>
        <w:ind w:left="3" w:right="3" w:hanging="0"/>
        <w:jc w:val="left"/>
        <w:rPr/>
      </w:pPr>
      <w:r>
        <w:rPr/>
        <w:t> </w:t>
      </w:r>
    </w:p>
    <w:p>
      <w:pPr>
        <w:pStyle w:val="TextBody"/>
        <w:bidi w:val="0"/>
        <w:ind w:left="278" w:right="191" w:hanging="0"/>
        <w:jc w:val="both"/>
        <w:rPr>
          <w:sz w:val="20"/>
        </w:rPr>
      </w:pPr>
      <w:r>
        <w:rPr>
          <w:sz w:val="20"/>
        </w:rPr>
        <w:t>(a)             for the purpose of Section 9(h)(i)(3)(A), the rate certified by the relevant payer to be a rate offered to the payer by a major bank in a relevant interbank market for overnight deposits in the applicable currency, such bank to be selected in good faith by the payer for the purpose of obtaining a representative rate that will reasonably reflect conditions prevailing at the time in that relevant market;</w:t>
      </w:r>
    </w:p>
    <w:p>
      <w:pPr>
        <w:pStyle w:val="TextBody"/>
        <w:bidi w:val="0"/>
        <w:spacing w:before="8" w:after="8"/>
        <w:ind w:left="8" w:right="8" w:hanging="0"/>
        <w:jc w:val="left"/>
        <w:rPr/>
      </w:pPr>
      <w:r>
        <w:rPr/>
        <w:t> </w:t>
      </w:r>
    </w:p>
    <w:p>
      <w:pPr>
        <w:pStyle w:val="TextBody"/>
        <w:bidi w:val="0"/>
        <w:ind w:left="278" w:right="188" w:hanging="0"/>
        <w:jc w:val="both"/>
        <w:rPr>
          <w:sz w:val="20"/>
        </w:rPr>
      </w:pPr>
      <w:r>
        <w:rPr>
          <w:sz w:val="20"/>
        </w:rPr>
        <w:t>(b)            for purposes of Section 9(h)(i)(3)(B) and clause (a)(iii) of the definition of Applicable Close-out Rate, the rate certified by the relevant payer to be a rate offered to prime banks by a major bank in a relevant interbank market for overnight deposits in the applicable currency, such bank to be selected in good faith by the payer after consultation with the other party, if practicable, for the purpose of obtaining a representative rate that will reasonably reflect conditions prevailing at the time in that relevant market; and</w:t>
      </w:r>
    </w:p>
    <w:p>
      <w:pPr>
        <w:pStyle w:val="TextBody"/>
        <w:bidi w:val="0"/>
        <w:spacing w:before="8" w:after="8"/>
        <w:ind w:left="8" w:right="8" w:hanging="0"/>
        <w:jc w:val="left"/>
        <w:rPr/>
      </w:pPr>
      <w:r>
        <w:rPr/>
        <w:t> </w:t>
      </w:r>
    </w:p>
    <w:p>
      <w:pPr>
        <w:pStyle w:val="TextBody"/>
        <w:bidi w:val="0"/>
        <w:ind w:left="278" w:right="190" w:hanging="0"/>
        <w:jc w:val="both"/>
        <w:rPr>
          <w:sz w:val="20"/>
        </w:rPr>
      </w:pPr>
      <w:r>
        <w:rPr>
          <w:sz w:val="20"/>
        </w:rPr>
        <w:t>(c)             for purposes of Section 9(h)(i)(3)(C) and clauses (a)(iv), (b)(i)(3) and (b)(ii)(1) of the definition of Applicable Close-out Rate, a rate equal to the arithmetic mean of the rate determined pursuant to clause (a) above and a rate per annum equal to the cost (without proof or evidence of any actual cost) to the relevant payee (as certified by it) if it were to fund or of funding the relevant amount.</w:t>
      </w:r>
    </w:p>
    <w:p>
      <w:pPr>
        <w:pStyle w:val="TextBody"/>
        <w:bidi w:val="0"/>
        <w:spacing w:before="172" w:after="172"/>
        <w:ind w:left="278" w:right="172" w:hanging="0"/>
        <w:jc w:val="both"/>
        <w:rPr/>
      </w:pPr>
      <w:r>
        <w:rPr/>
        <w:t>“</w:t>
      </w:r>
      <w:r>
        <w:rPr>
          <w:b/>
          <w:i/>
          <w:sz w:val="20"/>
        </w:rPr>
        <w:t xml:space="preserve">Automatic Early Termination” </w:t>
      </w:r>
      <w:r>
        <w:rPr>
          <w:sz w:val="20"/>
        </w:rPr>
        <w:t>has the meaning specified in Section 6(a).</w:t>
      </w:r>
    </w:p>
    <w:p>
      <w:pPr>
        <w:pStyle w:val="TextBody"/>
        <w:bidi w:val="0"/>
        <w:spacing w:before="133" w:after="133"/>
        <w:ind w:left="278" w:right="133" w:hanging="0"/>
        <w:jc w:val="both"/>
        <w:rPr/>
      </w:pPr>
      <w:r>
        <w:rPr/>
        <w:t>“</w:t>
      </w:r>
      <w:r>
        <w:rPr>
          <w:b/>
          <w:i/>
          <w:sz w:val="20"/>
        </w:rPr>
        <w:t xml:space="preserve">Burdened Party” </w:t>
      </w:r>
      <w:r>
        <w:rPr>
          <w:sz w:val="20"/>
        </w:rPr>
        <w:t>has the meaning specified in Section 5(b)(iv).</w:t>
      </w:r>
    </w:p>
    <w:p>
      <w:pPr>
        <w:pStyle w:val="TextBody"/>
        <w:bidi w:val="0"/>
        <w:spacing w:before="148" w:after="148"/>
        <w:ind w:left="278" w:right="193" w:hanging="0"/>
        <w:jc w:val="both"/>
        <w:rPr/>
      </w:pPr>
      <w:r>
        <w:rPr/>
        <w:t>“</w:t>
      </w:r>
      <w:r>
        <w:rPr>
          <w:b/>
          <w:i/>
          <w:sz w:val="20"/>
        </w:rPr>
        <w:t xml:space="preserve">Change in Tax Law” </w:t>
      </w:r>
      <w:r>
        <w:rPr>
          <w:sz w:val="20"/>
        </w:rPr>
        <w:t>means the enactment, promulgation, execution or ratification of, or any change in or amendment to, any law (or in the application or official interpretation of any law) that occurs after the parties enter into the relevant Transaction.</w:t>
      </w:r>
    </w:p>
    <w:p>
      <w:pPr>
        <w:pStyle w:val="TextBody"/>
        <w:bidi w:val="0"/>
        <w:spacing w:before="191" w:after="191"/>
        <w:ind w:left="278" w:right="192" w:hanging="1"/>
        <w:jc w:val="both"/>
        <w:rPr/>
      </w:pPr>
      <w:r>
        <w:rPr/>
        <w:t>“</w:t>
      </w:r>
      <w:r>
        <w:rPr>
          <w:b/>
          <w:i/>
          <w:sz w:val="20"/>
        </w:rPr>
        <w:t xml:space="preserve">Close-out Amount” </w:t>
      </w:r>
      <w:r>
        <w:rPr>
          <w:sz w:val="20"/>
        </w:rPr>
        <w:t>means, with respect to each Terminated Transaction or each group of Terminated Transactions and a Determining Party, the amount of the losses or costs of the Determining Party that are or would be incurred under then prevailing circumstances (expressed as a positive number) or gains of the Determining Party that are or would be realised under then prevailing circumstances (expressed as a negative number) in replacing, or in providing for the Determining Party the economic equivalent of, (a) the material terms of that Terminated Transaction or group of Terminated Transactions, including the payments and deliveries by the parties under Section 2(a)(i) in respect of that Terminated Transaction or group of Terminated Transactions that would, but for the occurrence of the relevant Early Termination Date, have been required after that date (assuming satisfaction of the conditions precedent in Section 2(a)(iii)) and (b) the option rights of the parties in respect of that Terminated Transaction or group of Terminated Transactions.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1" w:after="1"/>
        <w:ind w:left="278" w:right="192" w:hanging="0"/>
        <w:jc w:val="both"/>
        <w:rPr>
          <w:sz w:val="20"/>
        </w:rPr>
      </w:pPr>
      <w:r>
        <w:rPr>
          <w:sz w:val="20"/>
        </w:rPr>
        <w:t>Any Close-out Amount will be determined by the Determining Party (or its agent), which will act in good faith and use commercially reasonable procedures in order to produce a commercially reasonable result. The Determining Party may determine a Close-out Amount for any group of Terminated Transactions or any individual Terminated Transaction but, in the aggregate, for not less than all Terminated Transactions. Each Close-out Amount will be determined as of the Early Termination Date or, if that would not be commercially reasonable, as of the date or dates following the Early Termination Date as would be commercially reasonable.</w:t>
      </w:r>
    </w:p>
    <w:p>
      <w:pPr>
        <w:pStyle w:val="TextBody"/>
        <w:bidi w:val="0"/>
        <w:spacing w:before="8" w:after="8"/>
        <w:ind w:left="8" w:right="8" w:hanging="0"/>
        <w:jc w:val="left"/>
        <w:rPr/>
      </w:pPr>
      <w:r>
        <w:rPr/>
        <w:t> </w:t>
      </w:r>
    </w:p>
    <w:p>
      <w:pPr>
        <w:pStyle w:val="TextBody"/>
        <w:bidi w:val="0"/>
        <w:ind w:left="278" w:right="190" w:hanging="0"/>
        <w:jc w:val="both"/>
        <w:rPr>
          <w:sz w:val="20"/>
        </w:rPr>
      </w:pPr>
      <w:r>
        <w:rPr>
          <w:sz w:val="20"/>
        </w:rPr>
        <w:t>Unpaid Amounts in respect of a Terminated Transaction or group of Terminated Transactions and legal fees and out- of-pocket expenses referred to in Section 11 are to be excluded in all determinations of Close-out Amounts.</w:t>
      </w:r>
    </w:p>
    <w:p>
      <w:pPr>
        <w:pStyle w:val="TextBody"/>
        <w:bidi w:val="0"/>
        <w:spacing w:before="7" w:after="7"/>
        <w:ind w:left="7" w:right="7" w:hanging="0"/>
        <w:jc w:val="left"/>
        <w:rPr/>
      </w:pPr>
      <w:r>
        <w:rPr/>
        <w:t> </w:t>
      </w:r>
    </w:p>
    <w:p>
      <w:pPr>
        <w:pStyle w:val="TextBody"/>
        <w:bidi w:val="0"/>
        <w:ind w:left="278" w:right="192" w:hanging="0"/>
        <w:jc w:val="both"/>
        <w:rPr>
          <w:sz w:val="20"/>
        </w:rPr>
      </w:pPr>
      <w:r>
        <w:rPr>
          <w:sz w:val="20"/>
        </w:rPr>
        <w:t>In determining a Close-out Amount, the Determining Party may consider any relevant information, including, without limitation, one or more of the following types of information:</w:t>
      </w:r>
    </w:p>
    <w:p>
      <w:pPr>
        <w:pStyle w:val="TextBody"/>
        <w:bidi w:val="0"/>
        <w:spacing w:before="6" w:after="6"/>
        <w:ind w:left="6" w:right="6" w:hanging="0"/>
        <w:jc w:val="left"/>
        <w:rPr/>
      </w:pPr>
      <w:r>
        <w:rPr/>
        <w:t> </w:t>
      </w:r>
    </w:p>
    <w:p>
      <w:pPr>
        <w:pStyle w:val="TextBody"/>
        <w:bidi w:val="0"/>
        <w:ind w:left="278" w:right="192" w:hanging="0"/>
        <w:jc w:val="both"/>
        <w:rPr>
          <w:sz w:val="20"/>
        </w:rPr>
      </w:pPr>
      <w:r>
        <w:rPr>
          <w:sz w:val="20"/>
        </w:rPr>
        <w:t>(i)             quotations (either firm or indicative) for replacement transactions supplied by one or more third parties that may take into account the creditworthiness of the Determining Party at the time the quotation is provided and the terms of any relevant documentation, including credit support documentation, between the Determining Party and the third party providing the quotation;</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(ii)            information consisting of relevant market data in the relevant market supplied by one or more third parties including, without limitation, relevant rates, prices, yields, yield curves, volatilities, spreads, correlations or other relevant market data in the relevant market; or</w:t>
      </w:r>
    </w:p>
    <w:p>
      <w:pPr>
        <w:pStyle w:val="TextBody"/>
        <w:bidi w:val="0"/>
        <w:spacing w:before="7" w:after="7"/>
        <w:ind w:left="7" w:right="7" w:hanging="0"/>
        <w:jc w:val="left"/>
        <w:rPr/>
      </w:pPr>
      <w:r>
        <w:rPr/>
        <w:t> </w:t>
      </w:r>
    </w:p>
    <w:p>
      <w:pPr>
        <w:pStyle w:val="TextBody"/>
        <w:bidi w:val="0"/>
        <w:ind w:left="278" w:right="194" w:hanging="0"/>
        <w:jc w:val="both"/>
        <w:rPr>
          <w:sz w:val="20"/>
        </w:rPr>
      </w:pPr>
      <w:r>
        <w:rPr>
          <w:sz w:val="20"/>
        </w:rPr>
        <w:t>(iii)           information of the types described in clause (i) or (ii) above from internal sources (including any of the Determining Party’s Affiliates) if that information is of the same type used by the Determining Party in the regular course of its business for the valuation of similar transactions.</w:t>
      </w:r>
    </w:p>
    <w:p>
      <w:pPr>
        <w:pStyle w:val="TextBody"/>
        <w:bidi w:val="0"/>
        <w:spacing w:before="7" w:after="7"/>
        <w:ind w:left="7" w:right="7" w:hanging="0"/>
        <w:jc w:val="left"/>
        <w:rPr/>
      </w:pPr>
      <w:r>
        <w:rPr/>
        <w:t> </w:t>
      </w:r>
    </w:p>
    <w:p>
      <w:pPr>
        <w:pStyle w:val="TextBody"/>
        <w:bidi w:val="0"/>
        <w:ind w:left="278" w:right="192" w:hanging="0"/>
        <w:jc w:val="both"/>
        <w:rPr>
          <w:sz w:val="20"/>
        </w:rPr>
      </w:pPr>
      <w:r>
        <w:rPr>
          <w:sz w:val="20"/>
        </w:rPr>
        <w:t>The Determining Party will consider, taking into account the standards and procedures described in this definition, quotations pursuant to clause (i) above or relevant market data pursuant to clause (ii) above unless the Determining Party reasonably believes in good faith that such quotations or relevant market data are not readily available or would produce a result that would not satisfy those standards. When considering information described in clause (i), (ii) or (iii) above, the Determining Party may include costs of funding, to the extent costs of funding are not and would not be a component of the other information being utilised. Third parties supplying quotations pursuant to clause (i) above or market data pursuant to clause (ii) above may include, without limitation, dealers in the relevant markets, end-users of the relevant product, information vendors, brokers and other sources of market information.</w:t>
      </w:r>
    </w:p>
    <w:p>
      <w:pPr>
        <w:pStyle w:val="TextBody"/>
        <w:bidi w:val="0"/>
        <w:spacing w:before="7" w:after="7"/>
        <w:ind w:left="7" w:right="7" w:hanging="0"/>
        <w:jc w:val="left"/>
        <w:rPr/>
      </w:pPr>
      <w:r>
        <w:rPr/>
        <w:t> </w:t>
      </w:r>
    </w:p>
    <w:p>
      <w:pPr>
        <w:pStyle w:val="TextBody"/>
        <w:bidi w:val="0"/>
        <w:ind w:left="278" w:right="191" w:hanging="0"/>
        <w:jc w:val="both"/>
        <w:rPr>
          <w:sz w:val="20"/>
        </w:rPr>
      </w:pPr>
      <w:r>
        <w:rPr>
          <w:sz w:val="20"/>
        </w:rPr>
        <w:t>Without duplication of amounts calculated based on information described in clause (i), (ii) or (iii) above, or other relevant information, and when it is commercially reasonable to do so, the Determining Party may in addition consider in calculating a Close-out Amount any loss or cost incurred in connection with its terminating, liquidating or re-establishing any hedge related to a Terminated Transaction or group of Terminated Transactions (or any gain resulting from any of them).</w:t>
      </w:r>
    </w:p>
    <w:p>
      <w:pPr>
        <w:pStyle w:val="TextBody"/>
        <w:bidi w:val="0"/>
        <w:spacing w:before="8" w:after="8"/>
        <w:ind w:left="8" w:right="8" w:hanging="0"/>
        <w:jc w:val="left"/>
        <w:rPr/>
      </w:pPr>
      <w:r>
        <w:rPr/>
        <w:t> </w:t>
      </w:r>
    </w:p>
    <w:p>
      <w:pPr>
        <w:pStyle w:val="TextBody"/>
        <w:bidi w:val="0"/>
        <w:spacing w:before="1" w:after="1"/>
        <w:ind w:left="278" w:right="1" w:hanging="0"/>
        <w:jc w:val="both"/>
        <w:rPr>
          <w:sz w:val="20"/>
        </w:rPr>
      </w:pPr>
      <w:r>
        <w:rPr>
          <w:sz w:val="20"/>
        </w:rPr>
        <w:t>Commercially reasonable procedures used in determining a Close-out Amount may include the following:</w:t>
      </w:r>
    </w:p>
    <w:p>
      <w:pPr>
        <w:pStyle w:val="TextBody"/>
        <w:bidi w:val="0"/>
        <w:spacing w:before="10" w:after="10"/>
        <w:ind w:left="10" w:right="10" w:hanging="0"/>
        <w:jc w:val="left"/>
        <w:rPr/>
      </w:pPr>
      <w:r>
        <w:rPr/>
        <w:t> </w:t>
      </w:r>
    </w:p>
    <w:p>
      <w:pPr>
        <w:pStyle w:val="TextBody"/>
        <w:bidi w:val="0"/>
        <w:ind w:left="278" w:right="191" w:hanging="0"/>
        <w:jc w:val="both"/>
        <w:rPr>
          <w:sz w:val="20"/>
        </w:rPr>
      </w:pPr>
      <w:r>
        <w:rPr>
          <w:sz w:val="20"/>
        </w:rPr>
        <w:t>(1)            application to relevant market data from third parties pursuant to clause (ii) above or information from internal sources pursuant to clause (iii) above of pricing or other valuation models that are, at the time of the determination of the Close-out Amount, used by the Determining Party in the regular course of its business in pricing or valuing transactions between the Determining Party and unrelated third parties that are similar to the Terminated Transaction or group of Terminated Transactions; and</w:t>
      </w:r>
    </w:p>
    <w:p>
      <w:pPr>
        <w:pStyle w:val="TextBody"/>
        <w:bidi w:val="0"/>
        <w:ind w:left="278"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278" w:right="193" w:hanging="0"/>
        <w:jc w:val="both"/>
        <w:rPr>
          <w:sz w:val="20"/>
        </w:rPr>
      </w:pPr>
      <w:r>
        <w:rPr>
          <w:sz w:val="20"/>
        </w:rPr>
        <w:t>(2)            application of different valuation methods to Terminated Transactions or groups of Terminated Transactions depending on the type, complexity, size or number of the Terminated Transactions or group of Terminated Transactions.</w:t>
      </w:r>
    </w:p>
    <w:p>
      <w:pPr>
        <w:pStyle w:val="TextBody"/>
        <w:bidi w:val="0"/>
        <w:spacing w:before="169" w:after="169"/>
        <w:ind w:left="278" w:right="169" w:hanging="0"/>
        <w:jc w:val="both"/>
        <w:rPr/>
      </w:pPr>
      <w:r>
        <w:rPr/>
        <w:t>“</w:t>
      </w:r>
      <w:r>
        <w:rPr>
          <w:b/>
          <w:i/>
          <w:sz w:val="20"/>
        </w:rPr>
        <w:t xml:space="preserve">Confirmation” </w:t>
      </w:r>
      <w:r>
        <w:rPr>
          <w:sz w:val="20"/>
        </w:rPr>
        <w:t>has the meaning specified in the preamble.</w:t>
      </w:r>
    </w:p>
    <w:p>
      <w:pPr>
        <w:pStyle w:val="TextBody"/>
        <w:bidi w:val="0"/>
        <w:spacing w:before="163" w:after="163"/>
        <w:ind w:left="278" w:right="195" w:hanging="0"/>
        <w:jc w:val="both"/>
        <w:rPr/>
      </w:pPr>
      <w:r>
        <w:rPr/>
        <w:t>“</w:t>
      </w:r>
      <w:r>
        <w:rPr>
          <w:b/>
          <w:i/>
          <w:sz w:val="20"/>
        </w:rPr>
        <w:t xml:space="preserve">consent” </w:t>
      </w:r>
      <w:r>
        <w:rPr>
          <w:sz w:val="20"/>
        </w:rPr>
        <w:t>includes a consent, approval, action, authorisation, exemption, notice, filing, registration or exchange control consent.</w:t>
      </w:r>
    </w:p>
    <w:p>
      <w:pPr>
        <w:pStyle w:val="TextBody"/>
        <w:bidi w:val="0"/>
        <w:spacing w:before="179" w:after="179"/>
        <w:ind w:left="278" w:right="179" w:hanging="0"/>
        <w:jc w:val="left"/>
        <w:rPr/>
      </w:pPr>
      <w:r>
        <w:rPr/>
        <w:t>“</w:t>
      </w:r>
      <w:r>
        <w:rPr>
          <w:b/>
          <w:i/>
          <w:sz w:val="20"/>
        </w:rPr>
        <w:t xml:space="preserve">Contractual Currency” </w:t>
      </w:r>
      <w:r>
        <w:rPr>
          <w:sz w:val="20"/>
        </w:rPr>
        <w:t>has the meaning specified in Section 8(a).</w:t>
      </w:r>
    </w:p>
    <w:p>
      <w:pPr>
        <w:pStyle w:val="TextBody"/>
        <w:bidi w:val="0"/>
        <w:spacing w:before="166" w:after="166"/>
        <w:ind w:left="278" w:right="166" w:hanging="0"/>
        <w:jc w:val="left"/>
        <w:rPr/>
      </w:pPr>
      <w:r>
        <w:rPr/>
        <w:t>“</w:t>
      </w:r>
      <w:r>
        <w:rPr>
          <w:b/>
          <w:i/>
          <w:sz w:val="20"/>
        </w:rPr>
        <w:t xml:space="preserve">Convention Court” </w:t>
      </w:r>
      <w:r>
        <w:rPr>
          <w:sz w:val="20"/>
        </w:rPr>
        <w:t>means any court which is bound to apply to the Proceedings either Article 17 of the 1968 Brussels Convention on Jurisdiction and the Enforcement of Judgments in Civil and Commercial Matters or Article 17 of the 1988 Lugano Convention on Jurisdiction and the Enforcement of Judgments in Civil and Commercial Matters.</w:t>
      </w:r>
    </w:p>
    <w:p>
      <w:pPr>
        <w:pStyle w:val="TextBody"/>
        <w:bidi w:val="0"/>
        <w:spacing w:before="171" w:after="171"/>
        <w:ind w:left="278" w:right="171" w:hanging="0"/>
        <w:jc w:val="left"/>
        <w:rPr/>
      </w:pPr>
      <w:r>
        <w:rPr/>
        <w:t>“</w:t>
      </w:r>
      <w:r>
        <w:rPr>
          <w:b/>
          <w:i/>
          <w:sz w:val="20"/>
        </w:rPr>
        <w:t xml:space="preserve">Credit Event Upon Merger” </w:t>
      </w:r>
      <w:r>
        <w:rPr>
          <w:sz w:val="20"/>
        </w:rPr>
        <w:t>has the meaning specified in Section 5(b).</w:t>
      </w:r>
    </w:p>
    <w:p>
      <w:pPr>
        <w:pStyle w:val="TextBody"/>
        <w:bidi w:val="0"/>
        <w:spacing w:before="133" w:after="133"/>
        <w:ind w:left="278" w:right="133" w:hanging="0"/>
        <w:jc w:val="left"/>
        <w:rPr/>
      </w:pPr>
      <w:r>
        <w:rPr/>
        <w:t>“</w:t>
      </w:r>
      <w:r>
        <w:rPr>
          <w:b/>
          <w:i/>
          <w:sz w:val="20"/>
        </w:rPr>
        <w:t xml:space="preserve">Credit Support Document” </w:t>
      </w:r>
      <w:r>
        <w:rPr>
          <w:sz w:val="20"/>
        </w:rPr>
        <w:t>means any agreement or instrument that is specified as such in this Agreement.</w:t>
      </w:r>
    </w:p>
    <w:p>
      <w:pPr>
        <w:pStyle w:val="TextBody"/>
        <w:bidi w:val="0"/>
        <w:spacing w:before="132" w:after="132"/>
        <w:ind w:left="278" w:right="132" w:hanging="0"/>
        <w:jc w:val="left"/>
        <w:rPr/>
      </w:pPr>
      <w:r>
        <w:rPr/>
        <w:t>“</w:t>
      </w:r>
      <w:r>
        <w:rPr>
          <w:b/>
          <w:i/>
          <w:sz w:val="20"/>
        </w:rPr>
        <w:t xml:space="preserve">Credit Support Provider” </w:t>
      </w:r>
      <w:r>
        <w:rPr>
          <w:sz w:val="20"/>
        </w:rPr>
        <w:t>has the meaning specified in the Schedule.</w:t>
      </w:r>
    </w:p>
    <w:p>
      <w:pPr>
        <w:pStyle w:val="TextBody"/>
        <w:bidi w:val="0"/>
        <w:spacing w:before="133" w:after="133"/>
        <w:ind w:left="278" w:right="133" w:hanging="0"/>
        <w:jc w:val="left"/>
        <w:rPr/>
      </w:pPr>
      <w:r>
        <w:rPr/>
        <w:t>“</w:t>
      </w:r>
      <w:r>
        <w:rPr>
          <w:b/>
          <w:i/>
          <w:sz w:val="20"/>
        </w:rPr>
        <w:t xml:space="preserve">Cross-Default” </w:t>
      </w:r>
      <w:r>
        <w:rPr>
          <w:sz w:val="20"/>
        </w:rPr>
        <w:t>means the event specified in Section 5(a)(vi).</w:t>
      </w:r>
    </w:p>
    <w:p>
      <w:pPr>
        <w:pStyle w:val="TextBody"/>
        <w:bidi w:val="0"/>
        <w:spacing w:before="166" w:after="166"/>
        <w:ind w:left="278" w:right="106" w:hanging="0"/>
        <w:jc w:val="left"/>
        <w:rPr/>
      </w:pPr>
      <w:r>
        <w:rPr/>
        <w:t>“</w:t>
      </w:r>
      <w:r>
        <w:rPr>
          <w:b/>
          <w:i/>
          <w:sz w:val="20"/>
        </w:rPr>
        <w:t xml:space="preserve">Default Rate” </w:t>
      </w:r>
      <w:r>
        <w:rPr>
          <w:sz w:val="20"/>
        </w:rPr>
        <w:t>means a rate per annum equal to the cost (without proof or evidence of any actual cost) to the relevant payee (as certified by it) if it were to fund or of funding the relevant amount plus 1% per annum.</w:t>
      </w:r>
    </w:p>
    <w:p>
      <w:pPr>
        <w:pStyle w:val="TextBody"/>
        <w:bidi w:val="0"/>
        <w:spacing w:before="179" w:after="179"/>
        <w:ind w:left="278" w:right="3617" w:hanging="0"/>
        <w:jc w:val="left"/>
        <w:rPr/>
      </w:pPr>
      <w:r>
        <w:rPr/>
        <w:t>“</w:t>
      </w:r>
      <w:r>
        <w:rPr>
          <w:b/>
          <w:i/>
          <w:sz w:val="20"/>
        </w:rPr>
        <w:t xml:space="preserve">Defaulting Party” </w:t>
      </w:r>
      <w:r>
        <w:rPr>
          <w:sz w:val="20"/>
        </w:rPr>
        <w:t xml:space="preserve">has the meaning specified in Section 6(a). </w:t>
      </w:r>
    </w:p>
    <w:p>
      <w:pPr>
        <w:pStyle w:val="TextBody"/>
        <w:bidi w:val="0"/>
        <w:spacing w:before="179" w:after="179"/>
        <w:ind w:left="278" w:right="3617" w:hanging="0"/>
        <w:jc w:val="left"/>
        <w:rPr/>
      </w:pPr>
      <w:r>
        <w:rPr/>
        <w:t>“</w:t>
      </w:r>
      <w:r>
        <w:rPr>
          <w:b/>
          <w:i/>
          <w:sz w:val="20"/>
        </w:rPr>
        <w:t xml:space="preserve">Designated Event” </w:t>
      </w:r>
      <w:r>
        <w:rPr>
          <w:sz w:val="20"/>
        </w:rPr>
        <w:t>has the meaning specified in Section 5(b)(v).</w:t>
      </w:r>
    </w:p>
    <w:p>
      <w:pPr>
        <w:pStyle w:val="TextBody"/>
        <w:bidi w:val="0"/>
        <w:spacing w:before="179" w:after="179"/>
        <w:ind w:left="278" w:right="3617" w:hanging="0"/>
        <w:jc w:val="left"/>
        <w:rPr/>
      </w:pPr>
      <w:r>
        <w:rPr/>
        <w:t>“</w:t>
      </w:r>
      <w:r>
        <w:rPr>
          <w:b/>
          <w:i/>
          <w:sz w:val="20"/>
        </w:rPr>
        <w:t xml:space="preserve">Determining Party” </w:t>
      </w:r>
      <w:r>
        <w:rPr>
          <w:sz w:val="20"/>
        </w:rPr>
        <w:t>means the party determining a Close-out Amount.</w:t>
      </w:r>
    </w:p>
    <w:p>
      <w:pPr>
        <w:pStyle w:val="TextBody"/>
        <w:bidi w:val="0"/>
        <w:spacing w:before="179" w:after="179"/>
        <w:ind w:left="278" w:right="3617" w:hanging="0"/>
        <w:jc w:val="left"/>
        <w:rPr/>
      </w:pPr>
      <w:r>
        <w:rPr/>
        <w:t>“</w:t>
      </w:r>
      <w:r>
        <w:rPr>
          <w:b/>
          <w:i/>
          <w:sz w:val="20"/>
        </w:rPr>
        <w:t xml:space="preserve">Early Termination Amount” </w:t>
      </w:r>
      <w:r>
        <w:rPr>
          <w:sz w:val="20"/>
        </w:rPr>
        <w:t>has the meaning specified in Section 6(e).</w:t>
      </w:r>
    </w:p>
    <w:p>
      <w:pPr>
        <w:pStyle w:val="TextBody"/>
        <w:bidi w:val="0"/>
        <w:ind w:left="278" w:right="0" w:hanging="0"/>
        <w:jc w:val="left"/>
        <w:rPr/>
      </w:pPr>
      <w:r>
        <w:rPr/>
        <w:t>“</w:t>
      </w:r>
      <w:r>
        <w:rPr>
          <w:b/>
          <w:i/>
          <w:sz w:val="20"/>
        </w:rPr>
        <w:t xml:space="preserve">Early Termination Date” </w:t>
      </w:r>
      <w:r>
        <w:rPr>
          <w:sz w:val="20"/>
        </w:rPr>
        <w:t>means the date determined in accordance with Section 6(a) or 6(b)(iv).</w:t>
      </w:r>
    </w:p>
    <w:p>
      <w:pPr>
        <w:pStyle w:val="TextBody"/>
        <w:bidi w:val="0"/>
        <w:spacing w:before="132" w:after="132"/>
        <w:ind w:left="278" w:right="132" w:hanging="0"/>
        <w:jc w:val="left"/>
        <w:rPr/>
      </w:pPr>
      <w:r>
        <w:rPr/>
        <w:t>“</w:t>
      </w:r>
      <w:r>
        <w:rPr>
          <w:b/>
          <w:i/>
          <w:sz w:val="20"/>
        </w:rPr>
        <w:t xml:space="preserve">electronic messages” </w:t>
      </w:r>
      <w:r>
        <w:rPr>
          <w:sz w:val="20"/>
        </w:rPr>
        <w:t>does not include e-mails but does include documents expressed in markup languages, and</w:t>
      </w:r>
    </w:p>
    <w:p>
      <w:pPr>
        <w:pStyle w:val="TextBody"/>
        <w:bidi w:val="0"/>
        <w:ind w:left="278" w:right="0" w:hanging="0"/>
        <w:jc w:val="left"/>
        <w:rPr/>
      </w:pPr>
      <w:r>
        <w:rPr/>
        <w:t>“</w:t>
      </w:r>
      <w:r>
        <w:rPr>
          <w:b/>
          <w:i/>
          <w:sz w:val="20"/>
        </w:rPr>
        <w:t xml:space="preserve">electronic messaging system” </w:t>
      </w:r>
      <w:r>
        <w:rPr>
          <w:sz w:val="20"/>
        </w:rPr>
        <w:t>will be construed accordingly.</w:t>
      </w:r>
    </w:p>
    <w:p>
      <w:pPr>
        <w:pStyle w:val="TextBody"/>
        <w:bidi w:val="0"/>
        <w:spacing w:before="133" w:after="133"/>
        <w:ind w:left="278" w:right="1302" w:hanging="0"/>
        <w:jc w:val="left"/>
        <w:rPr/>
      </w:pPr>
      <w:r>
        <w:rPr/>
        <w:t>“</w:t>
      </w:r>
      <w:r>
        <w:rPr>
          <w:b/>
          <w:i/>
          <w:sz w:val="20"/>
        </w:rPr>
        <w:t xml:space="preserve">English law” </w:t>
      </w:r>
      <w:r>
        <w:rPr>
          <w:sz w:val="20"/>
        </w:rPr>
        <w:t>means the law of England and Wales, and “</w:t>
      </w:r>
      <w:r>
        <w:rPr>
          <w:b/>
          <w:i/>
          <w:sz w:val="20"/>
        </w:rPr>
        <w:t xml:space="preserve">English” </w:t>
      </w:r>
      <w:r>
        <w:rPr>
          <w:sz w:val="20"/>
        </w:rPr>
        <w:t>will be construed accordingly.</w:t>
      </w:r>
    </w:p>
    <w:p>
      <w:pPr>
        <w:pStyle w:val="TextBody"/>
        <w:bidi w:val="0"/>
        <w:spacing w:before="133" w:after="133"/>
        <w:ind w:left="278" w:right="1302" w:hanging="0"/>
        <w:jc w:val="left"/>
        <w:rPr/>
      </w:pPr>
      <w:r>
        <w:rPr/>
        <w:t>“</w:t>
      </w:r>
      <w:r>
        <w:rPr>
          <w:b/>
          <w:i/>
          <w:sz w:val="20"/>
        </w:rPr>
        <w:t xml:space="preserve">Event of Default” </w:t>
      </w:r>
      <w:r>
        <w:rPr>
          <w:sz w:val="20"/>
        </w:rPr>
        <w:t xml:space="preserve">has the meaning specified in Section 5(a) and, if applicable, in the Schedule. </w:t>
      </w:r>
    </w:p>
    <w:p>
      <w:pPr>
        <w:pStyle w:val="TextBody"/>
        <w:bidi w:val="0"/>
        <w:spacing w:before="133" w:after="133"/>
        <w:ind w:left="278" w:right="1302" w:hanging="0"/>
        <w:jc w:val="left"/>
        <w:rPr/>
      </w:pPr>
      <w:r>
        <w:rPr/>
        <w:t>“</w:t>
      </w:r>
      <w:r>
        <w:rPr>
          <w:b/>
          <w:i/>
          <w:sz w:val="20"/>
        </w:rPr>
        <w:t xml:space="preserve">Force Majeure Event” </w:t>
      </w:r>
      <w:r>
        <w:rPr>
          <w:sz w:val="20"/>
        </w:rPr>
        <w:t>has the meaning specified in Section 5(b).</w:t>
      </w:r>
    </w:p>
    <w:p>
      <w:pPr>
        <w:pStyle w:val="TextBody"/>
        <w:bidi w:val="0"/>
        <w:spacing w:before="36" w:after="36"/>
        <w:ind w:left="278" w:right="106" w:hanging="0"/>
        <w:jc w:val="left"/>
        <w:rPr/>
      </w:pPr>
      <w:r>
        <w:rPr/>
        <w:t>“</w:t>
      </w:r>
      <w:r>
        <w:rPr>
          <w:b/>
          <w:i/>
          <w:sz w:val="20"/>
        </w:rPr>
        <w:t xml:space="preserve">General Business Day” </w:t>
      </w:r>
      <w:r>
        <w:rPr>
          <w:sz w:val="20"/>
        </w:rPr>
        <w:t>means a day on which commercial banks are open for general business (including dealings in foreign exchange and foreign currency deposits).</w:t>
      </w:r>
    </w:p>
    <w:p>
      <w:pPr>
        <w:pStyle w:val="TextBody"/>
        <w:bidi w:val="0"/>
        <w:spacing w:before="177" w:after="177"/>
        <w:ind w:left="278" w:right="177" w:hanging="0"/>
        <w:jc w:val="left"/>
        <w:rPr/>
      </w:pPr>
      <w:r>
        <w:rPr/>
        <w:t>“</w:t>
      </w:r>
      <w:r>
        <w:rPr>
          <w:b/>
          <w:i/>
          <w:sz w:val="20"/>
        </w:rPr>
        <w:t xml:space="preserve">Illegality” </w:t>
      </w:r>
      <w:r>
        <w:rPr>
          <w:sz w:val="20"/>
        </w:rPr>
        <w:t>has the meaning specified in Section 5(b).</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278" w:right="189" w:hanging="0"/>
        <w:jc w:val="both"/>
        <w:rPr/>
      </w:pPr>
      <w:r>
        <w:rPr/>
        <w:t>“</w:t>
      </w:r>
      <w:r>
        <w:rPr>
          <w:b/>
          <w:i/>
          <w:sz w:val="20"/>
        </w:rPr>
        <w:t xml:space="preserve">Indemnifiable Tax” </w:t>
      </w:r>
      <w:r>
        <w:rPr>
          <w:sz w:val="20"/>
        </w:rPr>
        <w:t>means any Tax other than a Tax that would not be imposed in respect of a payment under this Agreement but for a present or former 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pStyle w:val="TextBody"/>
        <w:bidi w:val="0"/>
        <w:spacing w:before="7" w:after="7"/>
        <w:ind w:left="7" w:right="7" w:hanging="0"/>
        <w:jc w:val="left"/>
        <w:rPr/>
      </w:pPr>
      <w:r>
        <w:rPr/>
        <w:t> </w:t>
      </w:r>
    </w:p>
    <w:p>
      <w:pPr>
        <w:pStyle w:val="TextBody"/>
        <w:bidi w:val="0"/>
        <w:ind w:left="278" w:right="188" w:hanging="0"/>
        <w:jc w:val="both"/>
        <w:rPr/>
      </w:pPr>
      <w:r>
        <w:rPr/>
        <w:t>“</w:t>
      </w:r>
      <w:r>
        <w:rPr>
          <w:b/>
          <w:i/>
          <w:sz w:val="20"/>
        </w:rPr>
        <w:t xml:space="preserve">law” </w:t>
      </w:r>
      <w:r>
        <w:rPr>
          <w:sz w:val="20"/>
        </w:rPr>
        <w:t>includes any treaty, law, rule or regulation (as modified, in the case of tax matters, by the practice of any relevant governmental revenue authority), and “</w:t>
      </w:r>
      <w:r>
        <w:rPr>
          <w:b/>
          <w:i/>
          <w:sz w:val="20"/>
        </w:rPr>
        <w:t xml:space="preserve">unlawful” </w:t>
      </w:r>
      <w:r>
        <w:rPr>
          <w:sz w:val="20"/>
        </w:rPr>
        <w:t>will be construed accordingly.</w:t>
      </w:r>
    </w:p>
    <w:p>
      <w:pPr>
        <w:pStyle w:val="TextBody"/>
        <w:bidi w:val="0"/>
        <w:spacing w:before="173" w:after="173"/>
        <w:ind w:left="278" w:right="194" w:hanging="0"/>
        <w:jc w:val="both"/>
        <w:rPr/>
      </w:pPr>
      <w:r>
        <w:rPr/>
        <w:t>“</w:t>
      </w:r>
      <w:r>
        <w:rPr>
          <w:b/>
          <w:i/>
          <w:sz w:val="20"/>
        </w:rPr>
        <w:t xml:space="preserve">Local Business Day” </w:t>
      </w:r>
      <w:r>
        <w:rPr>
          <w:sz w:val="20"/>
        </w:rPr>
        <w:t>means (a) in relation to any obligation under Section 2(a)(i), a General Business Day in the place or places specified in the relevant Confirmation and a day on which a relevant settlement system is open or operating as specified in the relevant Confirmation or, if a place or a settlement system is not so specified, as otherwise agreed by the parties in writing or determined pursuant to provisions contained, or incorporated by reference, in this Agreement, (b) for the purpose of determining when a Waiting Period expires, a General Business Day in the place where the event or circumstance that constitutes or gives rise to the Illegality or Force Majeure Event, as the case may be, occurs, (c) in relation to any other payment, a General Business Day in the place where the relevant account is located and, if different, in the principal financial centre, if any, of the currency of such payment and, if that currency does not have a single recognised principal financial centre, a day on which the settlement system necessary to accomplish such payment is open, (d) in relation to any notice or other communication, including notice contemplated under Section 5(a)(i), a General Business Day (or a day that would have been a General Business Day but for the occurrence of an event or circumstance which would, if it occurred with respect to payment, delivery or compliance related to a Transaction, constitute or give rise to an Illegality or a Force Majeure Event) in the place specified in the address for notice provided by the recipient and, in the case of a notice contemplated by Section 2(b), in the place where the relevant new account is to be located and (e) in relation to Section 5(a)(v)(2), a General Business Day in the relevant locations for performance with respect to such Specified Transaction.</w:t>
      </w:r>
    </w:p>
    <w:p>
      <w:pPr>
        <w:pStyle w:val="TextBody"/>
        <w:bidi w:val="0"/>
        <w:spacing w:before="193" w:after="193"/>
        <w:ind w:left="278" w:right="188" w:hanging="0"/>
        <w:jc w:val="both"/>
        <w:rPr/>
      </w:pPr>
      <w:r>
        <w:rPr/>
        <w:t>“</w:t>
      </w:r>
      <w:r>
        <w:rPr>
          <w:b/>
          <w:i/>
          <w:sz w:val="20"/>
        </w:rPr>
        <w:t xml:space="preserve">Local Delivery Day” </w:t>
      </w:r>
      <w:r>
        <w:rPr>
          <w:sz w:val="20"/>
        </w:rPr>
        <w:t>means, for purposes of Sections 5(a)(i) and 5(d), a day on which settlement systems necessary to accomplish the relevant delivery are generally open for business so that the delivery is capable of being accomplished in accordance with customary market practice, in the place specified in the relevant Confirmation or, if not so specified, in a location as determined in accordance with customary market practice for the relevant delivery.</w:t>
      </w:r>
    </w:p>
    <w:p>
      <w:pPr>
        <w:pStyle w:val="TextBody"/>
        <w:bidi w:val="0"/>
        <w:spacing w:before="175" w:after="175"/>
        <w:ind w:left="278" w:right="175" w:hanging="0"/>
        <w:jc w:val="left"/>
        <w:rPr/>
      </w:pPr>
      <w:r>
        <w:rPr/>
        <w:t>“</w:t>
      </w:r>
      <w:r>
        <w:rPr>
          <w:b/>
          <w:i/>
          <w:sz w:val="20"/>
        </w:rPr>
        <w:t xml:space="preserve">Master Agreement” </w:t>
      </w:r>
      <w:r>
        <w:rPr>
          <w:sz w:val="20"/>
        </w:rPr>
        <w:t>has the meaning specified in the preamble.</w:t>
      </w:r>
    </w:p>
    <w:p>
      <w:pPr>
        <w:pStyle w:val="TextBody"/>
        <w:bidi w:val="0"/>
        <w:spacing w:before="132" w:after="132"/>
        <w:ind w:left="278" w:right="2473" w:hanging="0"/>
        <w:jc w:val="left"/>
        <w:rPr/>
      </w:pPr>
      <w:r>
        <w:rPr/>
        <w:t>“</w:t>
      </w:r>
      <w:r>
        <w:rPr>
          <w:b/>
          <w:i/>
          <w:sz w:val="20"/>
        </w:rPr>
        <w:t xml:space="preserve">Merger Without Assumption” </w:t>
      </w:r>
      <w:r>
        <w:rPr>
          <w:sz w:val="20"/>
        </w:rPr>
        <w:t xml:space="preserve">means the event specified in Section 5(a)(viii). </w:t>
      </w:r>
    </w:p>
    <w:p>
      <w:pPr>
        <w:pStyle w:val="TextBody"/>
        <w:bidi w:val="0"/>
        <w:spacing w:before="132" w:after="132"/>
        <w:ind w:left="278" w:right="2473" w:hanging="0"/>
        <w:jc w:val="left"/>
        <w:rPr/>
      </w:pPr>
      <w:r>
        <w:rPr/>
        <w:t>“</w:t>
      </w:r>
      <w:r>
        <w:rPr>
          <w:b/>
          <w:i/>
          <w:sz w:val="20"/>
        </w:rPr>
        <w:t xml:space="preserve">Multiple Transaction Payment Netting” </w:t>
      </w:r>
      <w:r>
        <w:rPr>
          <w:sz w:val="20"/>
        </w:rPr>
        <w:t>has the meaning specified in Section 2(c).</w:t>
      </w:r>
    </w:p>
    <w:p>
      <w:pPr>
        <w:pStyle w:val="TextBody"/>
        <w:bidi w:val="0"/>
        <w:spacing w:before="132" w:after="132"/>
        <w:ind w:left="278" w:right="2473" w:hanging="0"/>
        <w:jc w:val="left"/>
        <w:rPr/>
      </w:pPr>
      <w:r>
        <w:rPr/>
        <w:t>“</w:t>
      </w:r>
      <w:r>
        <w:rPr>
          <w:b/>
          <w:i/>
          <w:sz w:val="20"/>
        </w:rPr>
        <w:t xml:space="preserve">Non-affected Party” </w:t>
      </w:r>
      <w:r>
        <w:rPr>
          <w:sz w:val="20"/>
        </w:rPr>
        <w:t>means, so long as there is only one Affected Party, the other party.</w:t>
      </w:r>
    </w:p>
    <w:p>
      <w:pPr>
        <w:pStyle w:val="TextBody"/>
        <w:bidi w:val="0"/>
        <w:spacing w:before="16" w:after="16"/>
        <w:ind w:left="278" w:right="191" w:hanging="0"/>
        <w:jc w:val="both"/>
        <w:rPr/>
      </w:pPr>
      <w:r>
        <w:rPr/>
        <w:t>“</w:t>
      </w:r>
      <w:r>
        <w:rPr>
          <w:b/>
          <w:i/>
          <w:sz w:val="20"/>
        </w:rPr>
        <w:t xml:space="preserve">Non-default Rate” </w:t>
      </w:r>
      <w:r>
        <w:rPr>
          <w:sz w:val="20"/>
        </w:rPr>
        <w:t>means the rate certified by the Non-defaulting Party to be a rate offered to the Non-defaulting Party by a major bank in a relevant interbank market for overnight deposits in the applicable currency, such bank to be selected in good faith by the Non-defaulting Party for the purpose of obtaining a representative rate that will reasonably reflect conditions prevailing at the time in that relevant market.</w:t>
      </w:r>
    </w:p>
    <w:p>
      <w:pPr>
        <w:pStyle w:val="TextBody"/>
        <w:bidi w:val="0"/>
        <w:spacing w:before="175" w:after="175"/>
        <w:ind w:left="278" w:right="175" w:hanging="0"/>
        <w:jc w:val="left"/>
        <w:rPr/>
      </w:pPr>
      <w:r>
        <w:rPr/>
        <w:t>“</w:t>
      </w:r>
      <w:r>
        <w:rPr>
          <w:b/>
          <w:i/>
          <w:sz w:val="20"/>
        </w:rPr>
        <w:t xml:space="preserve">Non-defaulting Party” </w:t>
      </w:r>
      <w:r>
        <w:rPr>
          <w:sz w:val="20"/>
        </w:rPr>
        <w:t>has the meaning specified in Section 6(a).</w:t>
      </w:r>
    </w:p>
    <w:p>
      <w:pPr>
        <w:pStyle w:val="TextBody"/>
        <w:bidi w:val="0"/>
        <w:spacing w:before="132" w:after="132"/>
        <w:ind w:left="278" w:right="132" w:hanging="0"/>
        <w:jc w:val="left"/>
        <w:rPr/>
      </w:pPr>
      <w:r>
        <w:rPr/>
        <w:t>“</w:t>
      </w:r>
      <w:r>
        <w:rPr>
          <w:b/>
          <w:i/>
          <w:sz w:val="20"/>
        </w:rPr>
        <w:t xml:space="preserve">Office” </w:t>
      </w:r>
      <w:r>
        <w:rPr>
          <w:sz w:val="20"/>
        </w:rPr>
        <w:t>means a branch or office of a party, which may be such party’s head or home office.</w:t>
      </w:r>
    </w:p>
    <w:p>
      <w:pPr>
        <w:pStyle w:val="TextBody"/>
        <w:bidi w:val="0"/>
        <w:spacing w:before="133" w:after="133"/>
        <w:ind w:left="278" w:right="133" w:hanging="0"/>
        <w:jc w:val="left"/>
        <w:rPr/>
      </w:pPr>
      <w:r>
        <w:rPr/>
        <w:t>“</w:t>
      </w:r>
      <w:r>
        <w:rPr>
          <w:b/>
          <w:i/>
          <w:sz w:val="20"/>
        </w:rPr>
        <w:t xml:space="preserve">Other Amounts” </w:t>
      </w:r>
      <w:r>
        <w:rPr>
          <w:sz w:val="20"/>
        </w:rPr>
        <w:t>has the meaning specified in Section 6(f).</w:t>
      </w:r>
    </w:p>
    <w:p>
      <w:pPr>
        <w:pStyle w:val="TextBody"/>
        <w:bidi w:val="0"/>
        <w:spacing w:before="133" w:after="133"/>
        <w:ind w:left="278" w:right="133"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46" w:after="146"/>
        <w:ind w:left="278" w:right="146" w:hanging="0"/>
        <w:jc w:val="left"/>
        <w:rPr/>
      </w:pPr>
      <w:r>
        <w:rPr/>
        <w:t>“</w:t>
      </w:r>
      <w:r>
        <w:rPr>
          <w:b/>
          <w:i/>
          <w:sz w:val="20"/>
        </w:rPr>
        <w:t xml:space="preserve">Payee” </w:t>
      </w:r>
      <w:r>
        <w:rPr>
          <w:sz w:val="20"/>
        </w:rPr>
        <w:t>has the meaning specified in Section 6(f).</w:t>
      </w:r>
    </w:p>
    <w:p>
      <w:pPr>
        <w:pStyle w:val="TextBody"/>
        <w:bidi w:val="0"/>
        <w:spacing w:before="130" w:after="130"/>
        <w:ind w:left="278" w:right="130" w:hanging="0"/>
        <w:jc w:val="left"/>
        <w:rPr/>
      </w:pPr>
      <w:r>
        <w:rPr/>
        <w:t>“</w:t>
      </w:r>
      <w:r>
        <w:rPr>
          <w:b/>
          <w:i/>
          <w:sz w:val="20"/>
        </w:rPr>
        <w:t xml:space="preserve">Payer” </w:t>
      </w:r>
      <w:r>
        <w:rPr>
          <w:sz w:val="20"/>
        </w:rPr>
        <w:t>has the meaning specified in Section 6(f).</w:t>
      </w:r>
    </w:p>
    <w:p>
      <w:pPr>
        <w:pStyle w:val="TextBody"/>
        <w:bidi w:val="0"/>
        <w:spacing w:before="164" w:after="164"/>
        <w:ind w:left="278" w:right="164" w:hanging="0"/>
        <w:jc w:val="left"/>
        <w:rPr/>
      </w:pPr>
      <w:r>
        <w:rPr/>
        <w:t>“</w:t>
      </w:r>
      <w:r>
        <w:rPr>
          <w:b/>
          <w:i/>
          <w:sz w:val="20"/>
        </w:rPr>
        <w:t xml:space="preserve">Potential Event of Default” </w:t>
      </w:r>
      <w:r>
        <w:rPr>
          <w:sz w:val="20"/>
        </w:rPr>
        <w:t>means any event which, with the giving of notice or the lapse of time or both, would constitute an Event of Default.</w:t>
      </w:r>
    </w:p>
    <w:p>
      <w:pPr>
        <w:pStyle w:val="TextBody"/>
        <w:bidi w:val="0"/>
        <w:spacing w:before="179" w:after="179"/>
        <w:ind w:left="278" w:right="179" w:hanging="0"/>
        <w:jc w:val="left"/>
        <w:rPr/>
      </w:pPr>
      <w:r>
        <w:rPr/>
        <w:t>“</w:t>
      </w:r>
      <w:r>
        <w:rPr>
          <w:b/>
          <w:i/>
          <w:sz w:val="20"/>
        </w:rPr>
        <w:t xml:space="preserve">Proceedings” </w:t>
      </w:r>
      <w:r>
        <w:rPr>
          <w:sz w:val="20"/>
        </w:rPr>
        <w:t>has the meaning specified in Section 13(b).</w:t>
      </w:r>
    </w:p>
    <w:p>
      <w:pPr>
        <w:pStyle w:val="TextBody"/>
        <w:bidi w:val="0"/>
        <w:spacing w:before="132" w:after="132"/>
        <w:ind w:left="278" w:right="132" w:hanging="0"/>
        <w:jc w:val="left"/>
        <w:rPr/>
      </w:pPr>
      <w:r>
        <w:rPr/>
        <w:t>“</w:t>
      </w:r>
      <w:r>
        <w:rPr>
          <w:b/>
          <w:i/>
          <w:sz w:val="20"/>
        </w:rPr>
        <w:t xml:space="preserve">Process Agent” </w:t>
      </w:r>
      <w:r>
        <w:rPr>
          <w:sz w:val="20"/>
        </w:rPr>
        <w:t>has the meaning specified in the Schedule.</w:t>
      </w:r>
    </w:p>
    <w:p>
      <w:pPr>
        <w:pStyle w:val="TextBody"/>
        <w:bidi w:val="0"/>
        <w:spacing w:before="166" w:after="166"/>
        <w:ind w:left="278" w:right="166" w:hanging="0"/>
        <w:jc w:val="left"/>
        <w:rPr/>
      </w:pPr>
      <w:r>
        <w:rPr/>
        <w:t>“</w:t>
      </w:r>
      <w:r>
        <w:rPr>
          <w:b/>
          <w:i/>
          <w:sz w:val="20"/>
        </w:rPr>
        <w:t xml:space="preserve">rate of exchange” </w:t>
      </w:r>
      <w:r>
        <w:rPr>
          <w:sz w:val="20"/>
        </w:rPr>
        <w:t>includes, without limitation, any premiums and costs of exchange payable in connection with the purchase of or conversion into the Contractual Currency.</w:t>
      </w:r>
    </w:p>
    <w:p>
      <w:pPr>
        <w:pStyle w:val="TextBody"/>
        <w:bidi w:val="0"/>
        <w:spacing w:before="192" w:after="192"/>
        <w:ind w:left="278" w:right="192" w:hanging="0"/>
        <w:jc w:val="both"/>
        <w:rPr/>
      </w:pPr>
      <w:r>
        <w:rPr/>
        <w:t>“</w:t>
      </w:r>
      <w:r>
        <w:rPr>
          <w:b/>
          <w:i/>
          <w:sz w:val="20"/>
        </w:rPr>
        <w:t xml:space="preserve">Relevant Jurisdiction” </w:t>
      </w:r>
      <w:r>
        <w:rPr>
          <w:sz w:val="20"/>
        </w:rPr>
        <w:t>means, with respect to a party, the jurisdictions (a) in which the party is incorporated, organised, managed and controlled or considered to have its seat, (b) where an Office through which the party is acting for purposes of this Agreement is located, (c) in which the party executes this Agreement and (d) in relation to any payment, from or through which such payment is made.</w:t>
      </w:r>
    </w:p>
    <w:p>
      <w:pPr>
        <w:pStyle w:val="TextBody"/>
        <w:bidi w:val="0"/>
        <w:spacing w:before="175" w:after="175"/>
        <w:ind w:left="278" w:right="175" w:hanging="0"/>
        <w:jc w:val="both"/>
        <w:rPr/>
      </w:pPr>
      <w:r>
        <w:rPr/>
        <w:t>“</w:t>
      </w:r>
      <w:r>
        <w:rPr>
          <w:b/>
          <w:i/>
          <w:sz w:val="20"/>
        </w:rPr>
        <w:t xml:space="preserve">Schedule” </w:t>
      </w:r>
      <w:r>
        <w:rPr>
          <w:sz w:val="20"/>
        </w:rPr>
        <w:t>has the meaning specified in the preamble.</w:t>
      </w:r>
    </w:p>
    <w:p>
      <w:pPr>
        <w:pStyle w:val="TextBody"/>
        <w:bidi w:val="0"/>
        <w:spacing w:before="166" w:after="166"/>
        <w:ind w:left="278" w:right="191" w:hanging="0"/>
        <w:jc w:val="both"/>
        <w:rPr/>
      </w:pPr>
      <w:r>
        <w:rPr/>
        <w:t>“</w:t>
      </w:r>
      <w:r>
        <w:rPr>
          <w:b/>
          <w:i/>
          <w:sz w:val="20"/>
        </w:rPr>
        <w:t xml:space="preserve">Scheduled Settlement Date” </w:t>
      </w:r>
      <w:r>
        <w:rPr>
          <w:sz w:val="20"/>
        </w:rPr>
        <w:t>means a date on which a payment or delivery is to be made under Section 2(a)(i) with respect to a Transaction.</w:t>
      </w:r>
    </w:p>
    <w:p>
      <w:pPr>
        <w:pStyle w:val="TextBody"/>
        <w:bidi w:val="0"/>
        <w:spacing w:before="178" w:after="178"/>
        <w:ind w:left="278" w:right="178" w:hanging="0"/>
        <w:jc w:val="left"/>
        <w:rPr/>
      </w:pPr>
      <w:r>
        <w:rPr/>
        <w:t>“</w:t>
      </w:r>
      <w:r>
        <w:rPr>
          <w:b/>
          <w:i/>
          <w:sz w:val="20"/>
        </w:rPr>
        <w:t xml:space="preserve">Specified Entity” </w:t>
      </w:r>
      <w:r>
        <w:rPr>
          <w:sz w:val="20"/>
        </w:rPr>
        <w:t>has the meaning specified in the Schedule.</w:t>
      </w:r>
    </w:p>
    <w:p>
      <w:pPr>
        <w:pStyle w:val="TextBody"/>
        <w:bidi w:val="0"/>
        <w:spacing w:before="166" w:after="166"/>
        <w:ind w:left="278" w:right="194" w:hanging="0"/>
        <w:jc w:val="both"/>
        <w:rPr/>
      </w:pPr>
      <w:r>
        <w:rPr/>
        <w:t>“</w:t>
      </w:r>
      <w:r>
        <w:rPr>
          <w:b/>
          <w:i/>
          <w:sz w:val="20"/>
        </w:rPr>
        <w:t xml:space="preserve">Specified Indebtedness” </w:t>
      </w:r>
      <w:r>
        <w:rPr>
          <w:sz w:val="20"/>
        </w:rPr>
        <w:t>means, subject to the Schedule, any obligation (whether present or future, contingent or otherwise, as principal or surety or otherwise) in respect of borrowed money.</w:t>
      </w:r>
    </w:p>
    <w:p>
      <w:pPr>
        <w:pStyle w:val="TextBody"/>
        <w:bidi w:val="0"/>
        <w:spacing w:before="194" w:after="194"/>
        <w:ind w:left="278" w:right="192" w:hanging="0"/>
        <w:jc w:val="both"/>
        <w:rPr/>
      </w:pPr>
      <w:r>
        <w:rPr/>
        <w:t>“</w:t>
      </w:r>
      <w:r>
        <w:rPr>
          <w:b/>
          <w:i/>
          <w:sz w:val="20"/>
        </w:rPr>
        <w:t xml:space="preserve">Specified Transaction” </w:t>
      </w:r>
      <w:r>
        <w:rPr>
          <w:sz w:val="20"/>
        </w:rPr>
        <w:t>means, subject to the Schedule, (a) any transaction (including an agreement with respect to any such transaction) now existing or hereafter entered into 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not a Transaction under this Agreement but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(b) any combination of these transactions and (c) any other transaction identified as a Specified Transaction in this Agreement or the relevant confirmation.</w:t>
      </w:r>
    </w:p>
    <w:p>
      <w:pPr>
        <w:pStyle w:val="TextBody"/>
        <w:bidi w:val="0"/>
        <w:spacing w:before="174" w:after="174"/>
        <w:ind w:left="278" w:right="174" w:hanging="0"/>
        <w:jc w:val="left"/>
        <w:rPr/>
      </w:pPr>
      <w:r>
        <w:rPr/>
        <w:t>“</w:t>
      </w:r>
      <w:r>
        <w:rPr>
          <w:b/>
          <w:i/>
          <w:sz w:val="20"/>
        </w:rPr>
        <w:t xml:space="preserve">Stamp Tax” </w:t>
      </w:r>
      <w:r>
        <w:rPr>
          <w:sz w:val="20"/>
        </w:rPr>
        <w:t>means any stamp, registration, documentation or similar tax.</w:t>
      </w:r>
    </w:p>
    <w:p>
      <w:pPr>
        <w:pStyle w:val="TextBody"/>
        <w:bidi w:val="0"/>
        <w:spacing w:before="133" w:after="133"/>
        <w:ind w:left="278" w:right="133" w:hanging="0"/>
        <w:jc w:val="left"/>
        <w:rPr/>
      </w:pPr>
      <w:r>
        <w:rPr/>
        <w:t>“</w:t>
      </w:r>
      <w:r>
        <w:rPr>
          <w:b/>
          <w:i/>
          <w:sz w:val="20"/>
        </w:rPr>
        <w:t xml:space="preserve">Stamp Tax Jurisdiction” </w:t>
      </w:r>
      <w:r>
        <w:rPr>
          <w:sz w:val="20"/>
        </w:rPr>
        <w:t>has the meaning specified in Section 4(e).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64" w:after="164"/>
        <w:ind w:left="278" w:right="189" w:hanging="0"/>
        <w:jc w:val="both"/>
        <w:rPr/>
      </w:pPr>
      <w:r>
        <w:rPr/>
        <w:t>“</w:t>
      </w:r>
      <w:r>
        <w:rPr>
          <w:b/>
          <w:i/>
          <w:sz w:val="20"/>
        </w:rPr>
        <w:t xml:space="preserve">Tax” </w:t>
      </w:r>
      <w:r>
        <w:rPr>
          <w:sz w:val="20"/>
        </w:rPr>
        <w:t>means any present or future tax, levy, impost, duty, charge, assessment or fee of any nature (including interest, penalties and additions thereto) that is imposed by any government or other taxing authority in respect of any payment under this Agreement other than a stamp, registration, documentation or similar tax.</w:t>
      </w:r>
    </w:p>
    <w:p>
      <w:pPr>
        <w:pStyle w:val="TextBody"/>
        <w:bidi w:val="0"/>
        <w:spacing w:before="176" w:after="176"/>
        <w:ind w:left="278" w:right="176" w:hanging="0"/>
        <w:jc w:val="both"/>
        <w:rPr/>
      </w:pPr>
      <w:r>
        <w:rPr/>
        <w:t>“</w:t>
      </w:r>
      <w:r>
        <w:rPr>
          <w:b/>
          <w:i/>
          <w:sz w:val="20"/>
        </w:rPr>
        <w:t xml:space="preserve">Tax Event” </w:t>
      </w:r>
      <w:r>
        <w:rPr>
          <w:sz w:val="20"/>
        </w:rPr>
        <w:t>has the meaning specified in Section 5(b).</w:t>
      </w:r>
    </w:p>
    <w:p>
      <w:pPr>
        <w:pStyle w:val="TextBody"/>
        <w:bidi w:val="0"/>
        <w:spacing w:before="132" w:after="132"/>
        <w:ind w:left="278" w:right="132" w:hanging="0"/>
        <w:jc w:val="both"/>
        <w:rPr/>
      </w:pPr>
      <w:r>
        <w:rPr/>
        <w:t>“</w:t>
      </w:r>
      <w:r>
        <w:rPr>
          <w:b/>
          <w:i/>
          <w:sz w:val="20"/>
        </w:rPr>
        <w:t xml:space="preserve">Tax Event Upon Merger” </w:t>
      </w:r>
      <w:r>
        <w:rPr>
          <w:sz w:val="20"/>
        </w:rPr>
        <w:t>has the meaning specified in Section 5(b).</w:t>
      </w:r>
    </w:p>
    <w:p>
      <w:pPr>
        <w:pStyle w:val="TextBody"/>
        <w:bidi w:val="0"/>
        <w:spacing w:before="148" w:after="148"/>
        <w:ind w:left="278" w:right="193" w:hanging="0"/>
        <w:jc w:val="both"/>
        <w:rPr/>
      </w:pPr>
      <w:r>
        <w:rPr/>
        <w:t>“</w:t>
      </w:r>
      <w:r>
        <w:rPr>
          <w:b/>
          <w:i/>
          <w:sz w:val="20"/>
        </w:rPr>
        <w:t xml:space="preserve">Terminated Transactions” </w:t>
      </w:r>
      <w:r>
        <w:rPr>
          <w:sz w:val="20"/>
        </w:rPr>
        <w:t>means, with respect to any Early Termination Date, (a) if resulting from an Illegality or a Force Majeure Event, all Affected Transactions specified in the notice given pursuant to Section 6(b)(iv), (b) if resulting from any other Termination Event, all Affected Transactions and (c) if resulting from an Event of Default, all Transactions in effect either immediately before the effectiveness of the notice designating that Early Termination Date or, if Automatic Early Termination applies, immediately before that Early Termination Date.</w:t>
      </w:r>
    </w:p>
    <w:p>
      <w:pPr>
        <w:pStyle w:val="TextBody"/>
        <w:bidi w:val="0"/>
        <w:spacing w:before="186" w:after="186"/>
        <w:ind w:left="278" w:right="189" w:hanging="0"/>
        <w:jc w:val="both"/>
        <w:rPr/>
      </w:pPr>
      <w:r>
        <w:rPr/>
        <w:t>“</w:t>
      </w:r>
      <w:r>
        <w:rPr>
          <w:b/>
          <w:i/>
          <w:sz w:val="20"/>
        </w:rPr>
        <w:t xml:space="preserve">Termination Currency” </w:t>
      </w:r>
      <w:r>
        <w:rPr>
          <w:sz w:val="20"/>
        </w:rPr>
        <w:t>means (a) if a Termination Currency is specified in the Schedule and that currency is freely available, that currency, and (b) otherwise, euro if this Agreement is expressed to be governed by English law or United States Dollars if this Agreement is expressed to be governed by the laws of the State of New York.</w:t>
      </w:r>
    </w:p>
    <w:p>
      <w:pPr>
        <w:pStyle w:val="TextBody"/>
        <w:bidi w:val="0"/>
        <w:spacing w:before="191" w:after="191"/>
        <w:ind w:left="278" w:right="190" w:hanging="0"/>
        <w:jc w:val="both"/>
        <w:rPr/>
      </w:pPr>
      <w:r>
        <w:rPr/>
        <w:t>“</w:t>
      </w:r>
      <w:r>
        <w:rPr>
          <w:b/>
          <w:i/>
          <w:sz w:val="20"/>
        </w:rPr>
        <w:t xml:space="preserve">Termination Currency Equivalent” </w:t>
      </w:r>
      <w:r>
        <w:rPr>
          <w:sz w:val="20"/>
        </w:rPr>
        <w:t>means, in respect of any amount denominated in the Termination Currency, such Termination Currency amount and, in 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Close-out Amount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pStyle w:val="TextBody"/>
        <w:bidi w:val="0"/>
        <w:spacing w:before="0" w:after="283"/>
        <w:jc w:val="left"/>
        <w:rPr/>
      </w:pPr>
      <w:r>
        <w:rPr/>
        <w:t> </w:t>
      </w:r>
    </w:p>
    <w:p>
      <w:pPr>
        <w:pStyle w:val="TextBody"/>
        <w:bidi w:val="0"/>
        <w:ind w:left="278" w:right="191" w:hanging="0"/>
        <w:jc w:val="both"/>
        <w:rPr/>
      </w:pPr>
      <w:r>
        <w:rPr/>
        <w:t>“</w:t>
      </w:r>
      <w:r>
        <w:rPr>
          <w:b/>
          <w:i/>
          <w:sz w:val="20"/>
        </w:rPr>
        <w:t xml:space="preserve">Termination Event” </w:t>
      </w:r>
      <w:r>
        <w:rPr>
          <w:sz w:val="20"/>
        </w:rPr>
        <w:t>means an Illegality, a Force Majeure Event, a Tax Event, a Tax Event Upon Merger or, if specified to be applicable, a Credit Event Upon Merger or an Additional Termination Event.</w:t>
      </w:r>
    </w:p>
    <w:p>
      <w:pPr>
        <w:pStyle w:val="TextBody"/>
        <w:bidi w:val="0"/>
        <w:spacing w:before="5" w:after="5"/>
        <w:ind w:left="5" w:right="5" w:hanging="0"/>
        <w:jc w:val="left"/>
        <w:rPr/>
      </w:pPr>
      <w:r>
        <w:rPr/>
        <w:t> </w:t>
      </w:r>
    </w:p>
    <w:p>
      <w:pPr>
        <w:pStyle w:val="TextBody"/>
        <w:bidi w:val="0"/>
        <w:spacing w:before="1" w:after="1"/>
        <w:ind w:left="278" w:right="192" w:hanging="0"/>
        <w:jc w:val="both"/>
        <w:rPr/>
      </w:pPr>
      <w:r>
        <w:rPr/>
        <w:t>“</w:t>
      </w:r>
      <w:r>
        <w:rPr>
          <w:b/>
          <w:i/>
          <w:sz w:val="20"/>
        </w:rPr>
        <w:t xml:space="preserve">Termination Rate” </w:t>
      </w:r>
      <w:r>
        <w:rPr>
          <w:sz w:val="20"/>
        </w:rPr>
        <w:t>means a rate per annum equal to the arithmetic mean of the cost (without proof or evidence of any actual cost) to each party (as certified by such party) if it were to fund or of funding such amounts.</w:t>
      </w:r>
    </w:p>
    <w:p>
      <w:pPr>
        <w:pStyle w:val="TextBody"/>
        <w:bidi w:val="0"/>
        <w:spacing w:before="178" w:after="178"/>
        <w:ind w:left="278" w:right="178" w:hanging="0"/>
        <w:jc w:val="both"/>
        <w:rPr/>
      </w:pPr>
      <w:r>
        <w:rPr/>
        <w:t>“</w:t>
      </w:r>
      <w:r>
        <w:rPr>
          <w:b/>
          <w:i/>
          <w:sz w:val="20"/>
        </w:rPr>
        <w:t xml:space="preserve">Threshold Amount” </w:t>
      </w:r>
      <w:r>
        <w:rPr>
          <w:sz w:val="20"/>
        </w:rPr>
        <w:t>means the amount, if any, specified as such in the Schedule.</w:t>
      </w:r>
    </w:p>
    <w:p>
      <w:pPr>
        <w:pStyle w:val="TextBody"/>
        <w:bidi w:val="0"/>
        <w:spacing w:before="133" w:after="133"/>
        <w:ind w:left="278" w:right="133" w:hanging="0"/>
        <w:jc w:val="both"/>
        <w:rPr/>
      </w:pPr>
      <w:r>
        <w:rPr/>
        <w:t>“</w:t>
      </w:r>
      <w:r>
        <w:rPr>
          <w:b/>
          <w:i/>
          <w:sz w:val="20"/>
        </w:rPr>
        <w:t xml:space="preserve">Transaction” </w:t>
      </w:r>
      <w:r>
        <w:rPr>
          <w:sz w:val="20"/>
        </w:rPr>
        <w:t>has the meaning specified in the preamble.</w:t>
      </w:r>
    </w:p>
    <w:p>
      <w:pPr>
        <w:pStyle w:val="TextBody"/>
        <w:bidi w:val="0"/>
        <w:spacing w:before="148" w:after="148"/>
        <w:ind w:left="278" w:right="191" w:hanging="0"/>
        <w:jc w:val="both"/>
        <w:rPr/>
      </w:pPr>
      <w:r>
        <w:rPr/>
        <w:t>“</w:t>
      </w:r>
      <w:r>
        <w:rPr>
          <w:b/>
          <w:i/>
          <w:sz w:val="20"/>
        </w:rPr>
        <w:t xml:space="preserve">Unpaid Amounts” </w:t>
      </w:r>
      <w:r>
        <w:rPr>
          <w:sz w:val="20"/>
        </w:rPr>
        <w:t>owing to any party means, with respect to an Early Termination Date, the aggregate of (a) in respect of all Terminated Transactions, the amounts that became payable (or that would have become payable but for Section 2(a)(iii) or due but for Section 5(d)) to such party under Section 2(a)(i) or 2(d)(i)(4) on or prior to such Early Termination Date and which remain unpaid as at such Early Termination Date, (b) in respect of each Terminated Transaction, for each obligation under Section 2(a)(i) which was (or would have been but for Section 2(a)(iii) or 5(d)) required to be settled by delivery to such party on or prior to such Early Termination Date and which has not been so settled as at such Early Termination Date, an amount equal to the fair market value of that which was (or would have been) required to be delivered and (c) if the Early Termination Date results from an Event of Default, a Credit Event Upon Merger or an Additional Termination Event in respect of which all outstanding Transactions are Affected Transactions, any Early Termination Amount due prior to such Early Termination Date and which remains unpaid as of such Early Termination Date, in each case together with any amount of interest accrued or other compensation in respect of that obligation or deferred obligation, as the case may be, pursuant to Section 9(h)(ii)(1) or (2), as appropriate. The fair market value of any obligation referred to in clause (b) above will be determined as of the originally scheduled date for delivery, in good faith and using commercially reasonable procedures, by the party obliged to make the determination under Section 6(e) or, if each party is so obliged, it will be the average of the Termination Currency Equivalents of the fair market values so determined by both parties.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97" w:after="197"/>
        <w:ind w:left="328" w:right="197" w:hanging="0"/>
        <w:jc w:val="both"/>
        <w:rPr/>
      </w:pPr>
      <w:r>
        <w:rPr/>
        <w:t>“</w:t>
      </w:r>
      <w:r>
        <w:rPr>
          <w:b/>
          <w:i/>
          <w:sz w:val="20"/>
        </w:rPr>
        <w:t xml:space="preserve">Waiting Period” </w:t>
      </w:r>
      <w:r>
        <w:rPr>
          <w:sz w:val="20"/>
        </w:rPr>
        <w:t>means:</w:t>
      </w:r>
    </w:p>
    <w:p>
      <w:pPr>
        <w:pStyle w:val="TextBody"/>
        <w:bidi w:val="0"/>
        <w:spacing w:before="2" w:after="2"/>
        <w:ind w:left="2" w:right="2" w:hanging="0"/>
        <w:jc w:val="left"/>
        <w:rPr/>
      </w:pPr>
      <w:r>
        <w:rPr/>
        <w:t> </w:t>
      </w:r>
    </w:p>
    <w:p>
      <w:pPr>
        <w:pStyle w:val="TextBody"/>
        <w:bidi w:val="0"/>
        <w:spacing w:before="1" w:after="1"/>
        <w:ind w:left="278" w:right="193" w:hanging="0"/>
        <w:jc w:val="both"/>
        <w:rPr>
          <w:sz w:val="20"/>
        </w:rPr>
      </w:pPr>
      <w:r>
        <w:rPr>
          <w:sz w:val="20"/>
        </w:rPr>
        <w:t>(a)             in respect of an event or circumstance under Section 5(b)(i), other than in the case of Section 5(b)(i)(2) where the relevant payment, delivery or compliance is actually required on the relevant day (in which case no Waiting Period will apply), a period of three Local Business Days (or days that would have been Local Business Days but for the occurrence of that event or circumstance) following the occurrence of that event or circumstance; and</w:t>
      </w:r>
    </w:p>
    <w:p>
      <w:pPr>
        <w:pStyle w:val="TextBody"/>
        <w:bidi w:val="0"/>
        <w:spacing w:before="8" w:after="8"/>
        <w:ind w:left="8" w:right="8" w:hanging="0"/>
        <w:jc w:val="left"/>
        <w:rPr/>
      </w:pPr>
      <w:r>
        <w:rPr/>
        <w:t> </w:t>
      </w:r>
    </w:p>
    <w:p>
      <w:pPr>
        <w:pStyle w:val="TextBody"/>
        <w:bidi w:val="0"/>
        <w:ind w:left="278" w:right="194" w:hanging="0"/>
        <w:jc w:val="both"/>
        <w:rPr>
          <w:sz w:val="20"/>
        </w:rPr>
      </w:pPr>
      <w:r>
        <w:rPr>
          <w:sz w:val="20"/>
        </w:rPr>
        <w:t>(b)            in respect of an event or circumstance under Section 5(b)(ii), other than in the case of Section 5(b)(ii)(2) where the relevant payment, delivery or compliance is actually required on the relevant day (in which case no Waiting Period will apply), a period of eight Local Business Days (or days that would have been Local Business Days but for the occurrence of that event or circumstance) following the occurrence of that event or circumstance.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 w:after="6"/>
        <w:ind w:left="6" w:right="6" w:hanging="0"/>
        <w:jc w:val="left"/>
        <w:rPr/>
      </w:pPr>
      <w:r>
        <w:rPr/>
        <w:t> </w:t>
      </w:r>
    </w:p>
    <w:p>
      <w:pPr>
        <w:pStyle w:val="TextBody"/>
        <w:bidi w:val="0"/>
        <w:ind w:left="278" w:right="192" w:hanging="0"/>
        <w:jc w:val="both"/>
        <w:rPr>
          <w:sz w:val="20"/>
        </w:rPr>
      </w:pPr>
      <w:r>
        <w:rPr>
          <w:sz w:val="20"/>
        </w:rPr>
        <w:t>IN WITNESS WHEREOF the parties have executed this document on the respective dates specified below with effect from the date specified on the first page of this document.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990" w:type="dxa"/>
        <w:jc w:val="left"/>
        <w:tblInd w:w="0" w:type="dxa"/>
        <w:tblLayout w:type="fixed"/>
        <w:tblCellMar>
          <w:top w:w="0" w:type="dxa"/>
          <w:left w:w="0" w:type="dxa"/>
          <w:bottom w:w="0" w:type="dxa"/>
          <w:right w:w="0" w:type="dxa"/>
        </w:tblCellMar>
      </w:tblPr>
      <w:tblGrid>
        <w:gridCol w:w="5435"/>
        <w:gridCol w:w="60"/>
        <w:gridCol w:w="5495"/>
      </w:tblGrid>
      <w:tr>
        <w:trPr/>
        <w:tc>
          <w:tcPr>
            <w:tcW w:w="5435" w:type="dxa"/>
            <w:tcBorders/>
            <w:vAlign w:val="center"/>
          </w:tcPr>
          <w:p>
            <w:pPr>
              <w:pStyle w:val="TableContents"/>
              <w:bidi w:val="0"/>
              <w:spacing w:before="0" w:after="283"/>
              <w:jc w:val="left"/>
              <w:rPr/>
            </w:pPr>
            <w:r>
              <w:rPr/>
              <w:t>BLOCKCHAIN.COM (BVI) II LIMITED</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SONO GROUP N.V.</w:t>
            </w:r>
          </w:p>
        </w:tc>
      </w:tr>
      <w:tr>
        <w:trPr/>
        <w:tc>
          <w:tcPr>
            <w:tcW w:w="543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pPr>
            <w:r>
              <w:rPr/>
              <w:t>...........................................................................................</w:t>
            </w:r>
          </w:p>
        </w:tc>
      </w:tr>
      <w:tr>
        <w:trPr/>
        <w:tc>
          <w:tcPr>
            <w:tcW w:w="5435" w:type="dxa"/>
            <w:tcBorders/>
            <w:vAlign w:val="center"/>
          </w:tcPr>
          <w:p>
            <w:pPr>
              <w:pStyle w:val="TableContents"/>
              <w:bidi w:val="0"/>
              <w:spacing w:before="0" w:after="283"/>
              <w:jc w:val="center"/>
              <w:rPr/>
            </w:pPr>
            <w:r>
              <w:rPr/>
              <w:t>(Name of Party)</w:t>
            </w:r>
          </w:p>
        </w:tc>
        <w:tc>
          <w:tcPr>
            <w:tcW w:w="60" w:type="dxa"/>
            <w:tcBorders/>
            <w:vAlign w:val="center"/>
          </w:tcPr>
          <w:p>
            <w:pPr>
              <w:pStyle w:val="TableContents"/>
              <w:bidi w:val="0"/>
              <w:spacing w:before="0" w:after="283"/>
              <w:jc w:val="center"/>
              <w:rPr/>
            </w:pPr>
            <w:r>
              <w:rPr/>
              <w:t> </w:t>
            </w:r>
          </w:p>
        </w:tc>
        <w:tc>
          <w:tcPr>
            <w:tcW w:w="5495" w:type="dxa"/>
            <w:tcBorders/>
            <w:vAlign w:val="center"/>
          </w:tcPr>
          <w:p>
            <w:pPr>
              <w:pStyle w:val="TableContents"/>
              <w:bidi w:val="0"/>
              <w:spacing w:before="0" w:after="283"/>
              <w:jc w:val="center"/>
              <w:rPr/>
            </w:pPr>
            <w:r>
              <w:rPr/>
              <w:t>(Name of Party)</w:t>
            </w:r>
          </w:p>
        </w:tc>
      </w:tr>
    </w:tbl>
    <w:p>
      <w:pPr>
        <w:pStyle w:val="TextBody"/>
        <w:bidi w:val="0"/>
        <w:spacing w:before="94" w:after="94"/>
        <w:ind w:left="364" w:right="94" w:hanging="0"/>
        <w:jc w:val="left"/>
        <w:rPr/>
      </w:pPr>
      <w:r>
        <w:rPr/>
        <w:t> </w:t>
      </w:r>
    </w:p>
    <w:p>
      <w:pPr>
        <w:pStyle w:val="TextBody"/>
        <w:bidi w:val="0"/>
        <w:spacing w:before="94" w:after="94"/>
        <w:ind w:left="364" w:right="94" w:hanging="0"/>
        <w:jc w:val="left"/>
        <w:rPr/>
      </w:pPr>
      <w:r>
        <w:rPr/>
        <w:t> </w:t>
      </w:r>
    </w:p>
    <w:tbl>
      <w:tblPr>
        <w:tblW w:w="5870" w:type="dxa"/>
        <w:jc w:val="left"/>
        <w:tblInd w:w="0" w:type="dxa"/>
        <w:tblLayout w:type="fixed"/>
        <w:tblCellMar>
          <w:top w:w="0" w:type="dxa"/>
          <w:left w:w="0" w:type="dxa"/>
          <w:bottom w:w="0" w:type="dxa"/>
          <w:right w:w="0" w:type="dxa"/>
        </w:tblCellMar>
      </w:tblPr>
      <w:tblGrid>
        <w:gridCol w:w="380"/>
        <w:gridCol w:w="2675"/>
        <w:gridCol w:w="60"/>
        <w:gridCol w:w="365"/>
        <w:gridCol w:w="2390"/>
      </w:tblGrid>
      <w:tr>
        <w:trPr/>
        <w:tc>
          <w:tcPr>
            <w:tcW w:w="380" w:type="dxa"/>
            <w:tcBorders/>
            <w:vAlign w:val="center"/>
          </w:tcPr>
          <w:p>
            <w:pPr>
              <w:pStyle w:val="TableContents"/>
              <w:bidi w:val="0"/>
              <w:spacing w:before="0" w:after="283"/>
              <w:jc w:val="left"/>
              <w:rPr/>
            </w:pPr>
            <w:r>
              <w:rPr/>
              <w:t>By:</w:t>
            </w:r>
          </w:p>
        </w:tc>
        <w:tc>
          <w:tcPr>
            <w:tcW w:w="2675" w:type="dxa"/>
            <w:tcBorders/>
            <w:vAlign w:val="center"/>
          </w:tcPr>
          <w:p>
            <w:pPr>
              <w:pStyle w:val="TableContents"/>
              <w:bidi w:val="0"/>
              <w:spacing w:before="0" w:after="283"/>
              <w:jc w:val="left"/>
              <w:rPr/>
            </w:pPr>
            <w:r>
              <w:rPr/>
              <w:t>/s/ Allan Gregory Boyd</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2390" w:type="dxa"/>
            <w:tcBorders/>
            <w:vAlign w:val="center"/>
          </w:tcPr>
          <w:p>
            <w:pPr>
              <w:pStyle w:val="TableContents"/>
              <w:bidi w:val="0"/>
              <w:spacing w:before="0" w:after="283"/>
              <w:jc w:val="left"/>
              <w:rPr/>
            </w:pPr>
            <w:r>
              <w:rPr/>
              <w:t>/s/ Kevin J. McGurn</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Name: Allan Gregory Boyd</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Name: Kevin J. McGurn</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Title: Director</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Title: CEO</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right"/>
        <w:rPr>
          <w:b/>
        </w:rPr>
      </w:pPr>
      <w:bookmarkStart w:id="26" w:name="exh_102.htm"/>
      <w:bookmarkStart w:id="27" w:name="ksexh_102"/>
      <w:bookmarkEnd w:id="26"/>
      <w:bookmarkEnd w:id="27"/>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sz w:val="20"/>
        </w:rPr>
      </w:pPr>
      <w:r>
        <w:rPr>
          <w:b/>
          <w:sz w:val="48"/>
        </w:rPr>
        <w:t>ISDA</w:t>
      </w:r>
      <w:r>
        <w:rPr>
          <w:sz w:val="20"/>
        </w:rPr>
        <w:t>®</w:t>
      </w:r>
    </w:p>
    <w:p>
      <w:pPr>
        <w:pStyle w:val="TextBody"/>
        <w:bidi w:val="0"/>
        <w:spacing w:before="0" w:after="0"/>
        <w:ind w:left="0" w:right="0" w:hanging="0"/>
        <w:jc w:val="center"/>
        <w:rPr>
          <w:sz w:val="20"/>
        </w:rPr>
      </w:pPr>
      <w:r>
        <w:rPr>
          <w:sz w:val="20"/>
        </w:rPr>
        <w:t>International Swaps and Derivatives Association,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SCHEDULE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to the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2002 Master Agreement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dated as of 10 March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between</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246"/>
        <w:gridCol w:w="320"/>
        <w:gridCol w:w="5639"/>
      </w:tblGrid>
      <w:tr>
        <w:trPr/>
        <w:tc>
          <w:tcPr>
            <w:tcW w:w="4246" w:type="dxa"/>
            <w:tcBorders/>
            <w:vAlign w:val="center"/>
          </w:tcPr>
          <w:p>
            <w:pPr>
              <w:pStyle w:val="TableContents"/>
              <w:bidi w:val="0"/>
              <w:spacing w:before="0" w:after="0"/>
              <w:ind w:left="0" w:right="0" w:hanging="0"/>
              <w:jc w:val="center"/>
              <w:rPr>
                <w:sz w:val="20"/>
              </w:rPr>
            </w:pPr>
            <w:r>
              <w:rPr>
                <w:b/>
                <w:sz w:val="20"/>
              </w:rPr>
              <w:t>Blockchain.com (BVI) II Limited</w:t>
            </w:r>
            <w:r>
              <w:rPr>
                <w:i/>
                <w:sz w:val="20"/>
              </w:rPr>
              <w:t>,</w:t>
            </w:r>
          </w:p>
          <w:p>
            <w:pPr>
              <w:pStyle w:val="TableContents"/>
              <w:bidi w:val="0"/>
              <w:spacing w:before="0" w:after="0"/>
              <w:ind w:left="0" w:right="0" w:hanging="0"/>
              <w:jc w:val="center"/>
              <w:rPr>
                <w:i/>
                <w:sz w:val="20"/>
              </w:rPr>
            </w:pPr>
            <w:r>
              <w:rPr>
                <w:i/>
                <w:sz w:val="20"/>
              </w:rPr>
              <w:t>a business company incorporated under the laws of the British Virgin Islands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sz w:val="20"/>
              </w:rPr>
            </w:pPr>
            <w:r>
              <w:rPr>
                <w:sz w:val="20"/>
              </w:rPr>
              <w:t>(“</w:t>
            </w:r>
            <w:r>
              <w:rPr>
                <w:b/>
                <w:i/>
                <w:sz w:val="20"/>
              </w:rPr>
              <w:t>Party A</w:t>
            </w:r>
            <w:r>
              <w:rPr>
                <w:sz w:val="20"/>
              </w:rPr>
              <w:t>”)</w:t>
            </w:r>
          </w:p>
          <w:p>
            <w:pPr>
              <w:pStyle w:val="TableContents"/>
              <w:bidi w:val="0"/>
              <w:spacing w:before="0" w:after="0"/>
              <w:ind w:left="0" w:right="0" w:hanging="0"/>
              <w:jc w:val="center"/>
              <w:rPr/>
            </w:pPr>
            <w:r>
              <w:rPr/>
              <w:t> </w:t>
            </w:r>
          </w:p>
        </w:tc>
        <w:tc>
          <w:tcPr>
            <w:tcW w:w="320" w:type="dxa"/>
            <w:tcBorders/>
            <w:vAlign w:val="center"/>
          </w:tcPr>
          <w:p>
            <w:pPr>
              <w:pStyle w:val="TableContents"/>
              <w:bidi w:val="0"/>
              <w:spacing w:before="0" w:after="283"/>
              <w:jc w:val="center"/>
              <w:rPr>
                <w:sz w:val="20"/>
              </w:rPr>
            </w:pPr>
            <w:r>
              <w:rPr>
                <w:sz w:val="20"/>
              </w:rPr>
              <w:t>and</w:t>
            </w:r>
          </w:p>
        </w:tc>
        <w:tc>
          <w:tcPr>
            <w:tcW w:w="5639" w:type="dxa"/>
            <w:tcBorders/>
            <w:vAlign w:val="center"/>
          </w:tcPr>
          <w:p>
            <w:pPr>
              <w:pStyle w:val="TableContents"/>
              <w:bidi w:val="0"/>
              <w:spacing w:before="0" w:after="0"/>
              <w:ind w:left="0" w:right="0" w:hanging="0"/>
              <w:jc w:val="center"/>
              <w:rPr>
                <w:sz w:val="20"/>
              </w:rPr>
            </w:pPr>
            <w:r>
              <w:rPr>
                <w:b/>
                <w:sz w:val="20"/>
              </w:rPr>
              <w:t>Sono Group N.V.</w:t>
            </w:r>
            <w:r>
              <w:rPr>
                <w:i/>
                <w:sz w:val="20"/>
              </w:rPr>
              <w:t>,</w:t>
            </w:r>
          </w:p>
          <w:p>
            <w:pPr>
              <w:pStyle w:val="TableContents"/>
              <w:bidi w:val="0"/>
              <w:spacing w:before="0" w:after="0"/>
              <w:ind w:left="0" w:right="0" w:hanging="0"/>
              <w:jc w:val="center"/>
              <w:rPr>
                <w:i/>
                <w:sz w:val="20"/>
              </w:rPr>
            </w:pPr>
            <w:r>
              <w:rPr>
                <w:i/>
                <w:sz w:val="20"/>
              </w:rPr>
              <w:t>a public limited liability company (naamloze vennootschap) incorporated under the laws of the Netherlands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sz w:val="20"/>
              </w:rPr>
            </w:pPr>
            <w:r>
              <w:rPr>
                <w:sz w:val="20"/>
              </w:rPr>
              <w:t>(“</w:t>
            </w:r>
            <w:r>
              <w:rPr>
                <w:b/>
                <w:i/>
                <w:sz w:val="20"/>
              </w:rPr>
              <w:t>Party B</w:t>
            </w:r>
            <w:r>
              <w:rPr>
                <w:sz w:val="20"/>
              </w:rPr>
              <w:t>”)</w:t>
            </w:r>
          </w:p>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3"/>
        <w:gridCol w:w="1407"/>
        <w:gridCol w:w="8685"/>
      </w:tblGrid>
      <w:tr>
        <w:trPr/>
        <w:tc>
          <w:tcPr>
            <w:tcW w:w="11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b/>
              </w:rPr>
            </w:pPr>
            <w:r>
              <w:rPr>
                <w:b/>
              </w:rPr>
              <w:t>Part</w:t>
            </w:r>
          </w:p>
        </w:tc>
        <w:tc>
          <w:tcPr>
            <w:tcW w:w="8685" w:type="dxa"/>
            <w:tcBorders/>
            <w:vAlign w:val="center"/>
          </w:tcPr>
          <w:p>
            <w:pPr>
              <w:pStyle w:val="TableContents"/>
              <w:bidi w:val="0"/>
              <w:spacing w:before="0" w:after="283"/>
              <w:jc w:val="both"/>
              <w:rPr>
                <w:b/>
              </w:rPr>
            </w:pPr>
            <w:r>
              <w:rPr>
                <w:b/>
              </w:rPr>
              <w:t>1.    Termination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7"/>
        <w:gridCol w:w="1000"/>
        <w:gridCol w:w="9068"/>
      </w:tblGrid>
      <w:tr>
        <w:trPr/>
        <w:tc>
          <w:tcPr>
            <w:tcW w:w="13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spacing w:before="0" w:after="283"/>
              <w:jc w:val="both"/>
              <w:rPr/>
            </w:pPr>
            <w:r>
              <w:rPr/>
              <w:t>“</w:t>
            </w:r>
            <w:r>
              <w:rPr>
                <w:b/>
                <w:i/>
              </w:rPr>
              <w:t>Specified Entity</w:t>
            </w:r>
            <w:r>
              <w:rPr/>
              <w:t>” means: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
        <w:gridCol w:w="575"/>
        <w:gridCol w:w="9536"/>
      </w:tblGrid>
      <w:tr>
        <w:trPr/>
        <w:tc>
          <w:tcPr>
            <w:tcW w:w="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(i)</w:t>
            </w:r>
          </w:p>
        </w:tc>
        <w:tc>
          <w:tcPr>
            <w:tcW w:w="9536" w:type="dxa"/>
            <w:tcBorders/>
            <w:vAlign w:val="center"/>
          </w:tcPr>
          <w:p>
            <w:pPr>
              <w:pStyle w:val="TableContents"/>
              <w:bidi w:val="0"/>
              <w:spacing w:before="0" w:after="283"/>
              <w:jc w:val="both"/>
              <w:rPr/>
            </w:pPr>
            <w:r>
              <w:rPr/>
              <w:t>in relation to Party A for the purpose 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w:t>
            </w:r>
          </w:p>
        </w:tc>
        <w:tc>
          <w:tcPr>
            <w:tcW w:w="9713" w:type="dxa"/>
            <w:tcBorders/>
            <w:vAlign w:val="center"/>
          </w:tcPr>
          <w:p>
            <w:pPr>
              <w:pStyle w:val="TableContents"/>
              <w:bidi w:val="0"/>
              <w:spacing w:before="0" w:after="283"/>
              <w:jc w:val="both"/>
              <w:rPr/>
            </w:pPr>
            <w:r>
              <w:rPr/>
              <w:t>Section 5(a)(v) (</w:t>
            </w:r>
            <w:r>
              <w:rPr>
                <w:i/>
              </w:rPr>
              <w:t>Default Under Specified Transaction</w:t>
            </w:r>
            <w:r>
              <w:rPr/>
              <w:t xml:space="preserve">): </w:t>
              <w:tab/>
              <w:t>its Affiliates;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6"/>
        <w:gridCol w:w="736"/>
        <w:gridCol w:w="9373"/>
      </w:tblGrid>
      <w:tr>
        <w:trPr/>
        <w:tc>
          <w:tcPr>
            <w:tcW w:w="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(2)</w:t>
            </w:r>
          </w:p>
        </w:tc>
        <w:tc>
          <w:tcPr>
            <w:tcW w:w="9373" w:type="dxa"/>
            <w:tcBorders/>
            <w:vAlign w:val="center"/>
          </w:tcPr>
          <w:p>
            <w:pPr>
              <w:pStyle w:val="TableContents"/>
              <w:bidi w:val="0"/>
              <w:spacing w:before="0" w:after="283"/>
              <w:jc w:val="both"/>
              <w:rPr/>
            </w:pPr>
            <w:r>
              <w:rPr/>
              <w:t>Section 5(a)(vi) (</w:t>
            </w:r>
            <w:r>
              <w:rPr>
                <w:i/>
              </w:rPr>
              <w:t>Cross-Default</w:t>
            </w:r>
            <w:r>
              <w:rPr/>
              <w:t xml:space="preserve">): </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(3)</w:t>
            </w:r>
          </w:p>
        </w:tc>
        <w:tc>
          <w:tcPr>
            <w:tcW w:w="9321" w:type="dxa"/>
            <w:tcBorders/>
            <w:vAlign w:val="center"/>
          </w:tcPr>
          <w:p>
            <w:pPr>
              <w:pStyle w:val="TableContents"/>
              <w:bidi w:val="0"/>
              <w:spacing w:before="0" w:after="283"/>
              <w:jc w:val="both"/>
              <w:rPr/>
            </w:pPr>
            <w:r>
              <w:rPr/>
              <w:t>Section 5(a)(vii) (</w:t>
            </w:r>
            <w:r>
              <w:rPr>
                <w:i/>
              </w:rPr>
              <w:t>Bankruptcy</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9"/>
        <w:gridCol w:w="533"/>
        <w:gridCol w:w="9603"/>
      </w:tblGrid>
      <w:tr>
        <w:trPr/>
        <w:tc>
          <w:tcPr>
            <w:tcW w:w="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(4)</w:t>
            </w:r>
          </w:p>
        </w:tc>
        <w:tc>
          <w:tcPr>
            <w:tcW w:w="9603" w:type="dxa"/>
            <w:tcBorders/>
            <w:vAlign w:val="center"/>
          </w:tcPr>
          <w:p>
            <w:pPr>
              <w:pStyle w:val="TableContents"/>
              <w:bidi w:val="0"/>
              <w:spacing w:before="0" w:after="283"/>
              <w:jc w:val="both"/>
              <w:rPr/>
            </w:pPr>
            <w:r>
              <w:rPr/>
              <w:t>Section 5(b)(v) (</w:t>
            </w:r>
            <w:r>
              <w:rPr>
                <w:i/>
              </w:rPr>
              <w:t>Credit Event Upon Merger</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5"/>
        <w:gridCol w:w="499"/>
        <w:gridCol w:w="9641"/>
      </w:tblGrid>
      <w:tr>
        <w:trPr/>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(5)</w:t>
            </w:r>
          </w:p>
        </w:tc>
        <w:tc>
          <w:tcPr>
            <w:tcW w:w="9641" w:type="dxa"/>
            <w:tcBorders/>
            <w:vAlign w:val="center"/>
          </w:tcPr>
          <w:p>
            <w:pPr>
              <w:pStyle w:val="TableContents"/>
              <w:bidi w:val="0"/>
              <w:spacing w:before="0" w:after="283"/>
              <w:jc w:val="both"/>
              <w:rPr/>
            </w:pPr>
            <w:r>
              <w:rPr/>
              <w:t>Section 5(b)(vi) (</w:t>
            </w:r>
            <w:r>
              <w:rPr>
                <w:i/>
              </w:rPr>
              <w:t>Additional Termination Event</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
        <w:gridCol w:w="717"/>
        <w:gridCol w:w="9395"/>
      </w:tblGrid>
      <w:tr>
        <w:trPr/>
        <w:tc>
          <w:tcPr>
            <w:tcW w:w="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(ii)</w:t>
            </w:r>
          </w:p>
        </w:tc>
        <w:tc>
          <w:tcPr>
            <w:tcW w:w="9395" w:type="dxa"/>
            <w:tcBorders/>
            <w:vAlign w:val="center"/>
          </w:tcPr>
          <w:p>
            <w:pPr>
              <w:pStyle w:val="TableContents"/>
              <w:bidi w:val="0"/>
              <w:spacing w:before="0" w:after="283"/>
              <w:jc w:val="both"/>
              <w:rPr/>
            </w:pPr>
            <w:r>
              <w:rPr/>
              <w:t>in relation to Party B for the purpose 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w:t>
            </w:r>
          </w:p>
        </w:tc>
        <w:tc>
          <w:tcPr>
            <w:tcW w:w="9713" w:type="dxa"/>
            <w:tcBorders/>
            <w:vAlign w:val="center"/>
          </w:tcPr>
          <w:p>
            <w:pPr>
              <w:pStyle w:val="TableContents"/>
              <w:bidi w:val="0"/>
              <w:spacing w:before="0" w:after="283"/>
              <w:jc w:val="both"/>
              <w:rPr/>
            </w:pPr>
            <w:r>
              <w:rPr/>
              <w:t>Section 5(a)(v) (</w:t>
            </w:r>
            <w:r>
              <w:rPr>
                <w:i/>
              </w:rPr>
              <w:t>Default Under Specified Transaction</w:t>
            </w:r>
            <w:r>
              <w:rPr/>
              <w:t xml:space="preserve">): </w:t>
              <w:tab/>
              <w:t>its Affiliates;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6"/>
        <w:gridCol w:w="736"/>
        <w:gridCol w:w="9373"/>
      </w:tblGrid>
      <w:tr>
        <w:trPr/>
        <w:tc>
          <w:tcPr>
            <w:tcW w:w="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(2)</w:t>
            </w:r>
          </w:p>
        </w:tc>
        <w:tc>
          <w:tcPr>
            <w:tcW w:w="9373" w:type="dxa"/>
            <w:tcBorders/>
            <w:vAlign w:val="center"/>
          </w:tcPr>
          <w:p>
            <w:pPr>
              <w:pStyle w:val="TableContents"/>
              <w:bidi w:val="0"/>
              <w:spacing w:before="0" w:after="283"/>
              <w:jc w:val="both"/>
              <w:rPr/>
            </w:pPr>
            <w:r>
              <w:rPr/>
              <w:t>Section 5(a)(vi) (</w:t>
            </w:r>
            <w:r>
              <w:rPr>
                <w:i/>
              </w:rPr>
              <w:t>Cross-Default</w:t>
            </w:r>
            <w:r>
              <w:rPr/>
              <w:t xml:space="preserve">): </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(3)</w:t>
            </w:r>
          </w:p>
        </w:tc>
        <w:tc>
          <w:tcPr>
            <w:tcW w:w="9321" w:type="dxa"/>
            <w:tcBorders/>
            <w:vAlign w:val="center"/>
          </w:tcPr>
          <w:p>
            <w:pPr>
              <w:pStyle w:val="TableContents"/>
              <w:bidi w:val="0"/>
              <w:spacing w:before="0" w:after="283"/>
              <w:jc w:val="both"/>
              <w:rPr/>
            </w:pPr>
            <w:r>
              <w:rPr/>
              <w:t>Section 5(a)(vii) (</w:t>
            </w:r>
            <w:r>
              <w:rPr>
                <w:i/>
              </w:rPr>
              <w:t>Bankruptcy</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9"/>
        <w:gridCol w:w="533"/>
        <w:gridCol w:w="9603"/>
      </w:tblGrid>
      <w:tr>
        <w:trPr/>
        <w:tc>
          <w:tcPr>
            <w:tcW w:w="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(4)</w:t>
            </w:r>
          </w:p>
        </w:tc>
        <w:tc>
          <w:tcPr>
            <w:tcW w:w="9603" w:type="dxa"/>
            <w:tcBorders/>
            <w:vAlign w:val="center"/>
          </w:tcPr>
          <w:p>
            <w:pPr>
              <w:pStyle w:val="TableContents"/>
              <w:bidi w:val="0"/>
              <w:spacing w:before="0" w:after="283"/>
              <w:jc w:val="both"/>
              <w:rPr/>
            </w:pPr>
            <w:r>
              <w:rPr/>
              <w:t>Section 5(b)(v) (</w:t>
            </w:r>
            <w:r>
              <w:rPr>
                <w:i/>
              </w:rPr>
              <w:t>Credit Event Upon Merger</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
        <w:gridCol w:w="542"/>
        <w:gridCol w:w="9593"/>
      </w:tblGrid>
      <w:tr>
        <w:trPr/>
        <w:tc>
          <w:tcPr>
            <w:tcW w:w="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(5)</w:t>
            </w:r>
          </w:p>
        </w:tc>
        <w:tc>
          <w:tcPr>
            <w:tcW w:w="9593" w:type="dxa"/>
            <w:tcBorders/>
            <w:vAlign w:val="center"/>
          </w:tcPr>
          <w:p>
            <w:pPr>
              <w:pStyle w:val="TableContents"/>
              <w:bidi w:val="0"/>
              <w:spacing w:before="0" w:after="283"/>
              <w:jc w:val="both"/>
              <w:rPr/>
            </w:pPr>
            <w:r>
              <w:rPr/>
              <w:t>Section 5(b)(vi) (</w:t>
            </w:r>
            <w:r>
              <w:rPr>
                <w:i/>
              </w:rPr>
              <w:t>Additional Termination Event</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w:t>
            </w:r>
            <w:r>
              <w:rPr>
                <w:b/>
                <w:i/>
              </w:rPr>
              <w:t>Specified Transaction</w:t>
            </w:r>
            <w:r>
              <w:rPr/>
              <w:t>” has the meaning specified in Section 14 (</w:t>
            </w:r>
            <w:r>
              <w:rPr>
                <w:i/>
              </w:rPr>
              <w:t>Definitions</w:t>
            </w:r>
            <w:r>
              <w:rPr/>
              <w:t xml:space="preserve">) of this Agreement; </w:t>
            </w:r>
            <w:r>
              <w:rPr>
                <w:i/>
              </w:rPr>
              <w:t xml:space="preserve">provided that </w:t>
            </w:r>
            <w:r>
              <w:rPr/>
              <w:t>Specified Transactions shall also include Crypto Activities (as defined in Part 5(m) (</w:t>
            </w:r>
            <w:r>
              <w:rPr>
                <w:i/>
              </w:rPr>
              <w:t>Additional Definitions</w:t>
            </w:r>
            <w:r>
              <w:rPr/>
              <w:t>) hereof).</w:t>
            </w:r>
          </w:p>
        </w:tc>
      </w:tr>
    </w:tbl>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536"/>
        <w:gridCol w:w="9596"/>
      </w:tblGrid>
      <w:tr>
        <w:trPr/>
        <w:tc>
          <w:tcPr>
            <w:tcW w:w="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(c)</w:t>
            </w:r>
          </w:p>
        </w:tc>
        <w:tc>
          <w:tcPr>
            <w:tcW w:w="9596" w:type="dxa"/>
            <w:tcBorders/>
            <w:vAlign w:val="center"/>
          </w:tcPr>
          <w:p>
            <w:pPr>
              <w:pStyle w:val="TableContents"/>
              <w:bidi w:val="0"/>
              <w:spacing w:before="0" w:after="283"/>
              <w:jc w:val="both"/>
              <w:rPr/>
            </w:pPr>
            <w:r>
              <w:rPr/>
              <w:t>The “</w:t>
            </w:r>
            <w:r>
              <w:rPr>
                <w:b/>
                <w:i/>
              </w:rPr>
              <w:t>Cross-Default</w:t>
            </w:r>
            <w:r>
              <w:rPr/>
              <w:t>” provisions of Section 5(a)(vi):</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(i)</w:t>
            </w:r>
          </w:p>
        </w:tc>
        <w:tc>
          <w:tcPr>
            <w:tcW w:w="9210" w:type="dxa"/>
            <w:tcBorders/>
            <w:vAlign w:val="center"/>
          </w:tcPr>
          <w:p>
            <w:pPr>
              <w:pStyle w:val="TableContents"/>
              <w:bidi w:val="0"/>
              <w:spacing w:before="0" w:after="283"/>
              <w:jc w:val="both"/>
              <w:rPr/>
            </w:pPr>
            <w:r>
              <w:rPr/>
              <w:t>will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2"/>
        <w:gridCol w:w="1239"/>
        <w:gridCol w:w="8804"/>
      </w:tblGrid>
      <w:tr>
        <w:trPr/>
        <w:tc>
          <w:tcPr>
            <w:tcW w:w="1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pPr>
            <w:r>
              <w:rPr/>
              <w:t>(ii)</w:t>
            </w:r>
          </w:p>
        </w:tc>
        <w:tc>
          <w:tcPr>
            <w:tcW w:w="8804" w:type="dxa"/>
            <w:tcBorders/>
            <w:vAlign w:val="center"/>
          </w:tcPr>
          <w:p>
            <w:pPr>
              <w:pStyle w:val="TableContents"/>
              <w:bidi w:val="0"/>
              <w:spacing w:before="0" w:after="283"/>
              <w:jc w:val="both"/>
              <w:rPr/>
            </w:pPr>
            <w:r>
              <w:rPr/>
              <w:t>will apply to Party B;</w:t>
            </w:r>
          </w:p>
        </w:tc>
      </w:tr>
    </w:tbl>
    <w:p>
      <w:pPr>
        <w:pStyle w:val="TextBody"/>
        <w:bidi w:val="0"/>
        <w:spacing w:before="0" w:after="0"/>
        <w:jc w:val="left"/>
        <w:rPr/>
      </w:pPr>
      <w:r>
        <w:rPr/>
        <w:t> </w:t>
      </w:r>
    </w:p>
    <w:p>
      <w:pPr>
        <w:pStyle w:val="TextBody"/>
        <w:bidi w:val="0"/>
        <w:spacing w:before="0" w:after="0"/>
        <w:ind w:left="720" w:right="0" w:hanging="0"/>
        <w:jc w:val="both"/>
        <w:rPr>
          <w:sz w:val="20"/>
        </w:rPr>
      </w:pPr>
      <w:r>
        <w:rPr>
          <w:i/>
          <w:sz w:val="20"/>
        </w:rPr>
        <w:t>provided, however</w:t>
      </w:r>
      <w:r>
        <w:rPr>
          <w:sz w:val="20"/>
        </w:rPr>
        <w:t>, that Section 5(a)(vi) shall be amended by:</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(x)</w:t>
            </w:r>
          </w:p>
        </w:tc>
        <w:tc>
          <w:tcPr>
            <w:tcW w:w="9872" w:type="dxa"/>
            <w:tcBorders/>
            <w:vAlign w:val="center"/>
          </w:tcPr>
          <w:p>
            <w:pPr>
              <w:pStyle w:val="TableContents"/>
              <w:bidi w:val="0"/>
              <w:spacing w:before="0" w:after="283"/>
              <w:jc w:val="both"/>
              <w:rPr/>
            </w:pPr>
            <w:r>
              <w:rPr/>
              <w:t>deleting the phrase “, or becoming capable at such time of being declared” from clause (1) thereof;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
        <w:gridCol w:w="570"/>
        <w:gridCol w:w="9561"/>
      </w:tblGrid>
      <w:tr>
        <w:trPr/>
        <w:tc>
          <w:tcPr>
            <w:tcW w:w="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(y)</w:t>
            </w:r>
          </w:p>
        </w:tc>
        <w:tc>
          <w:tcPr>
            <w:tcW w:w="9561" w:type="dxa"/>
            <w:tcBorders/>
            <w:vAlign w:val="center"/>
          </w:tcPr>
          <w:p>
            <w:pPr>
              <w:pStyle w:val="TableContents"/>
              <w:bidi w:val="0"/>
              <w:spacing w:before="0" w:after="283"/>
              <w:jc w:val="both"/>
              <w:rPr/>
            </w:pPr>
            <w:r>
              <w:rPr/>
              <w:t>inserting the following provision at the end thereof:</w:t>
            </w:r>
          </w:p>
        </w:tc>
      </w:tr>
    </w:tbl>
    <w:p>
      <w:pPr>
        <w:pStyle w:val="TextBody"/>
        <w:bidi w:val="0"/>
        <w:spacing w:before="0" w:after="0"/>
        <w:jc w:val="left"/>
        <w:rPr/>
      </w:pPr>
      <w:r>
        <w:rPr/>
        <w:t> </w:t>
      </w:r>
    </w:p>
    <w:p>
      <w:pPr>
        <w:pStyle w:val="TextBody"/>
        <w:bidi w:val="0"/>
        <w:spacing w:before="0" w:after="0"/>
        <w:ind w:left="1418" w:right="0" w:hanging="0"/>
        <w:jc w:val="both"/>
        <w:rPr/>
      </w:pPr>
      <w:r>
        <w:rPr/>
        <w:t>“</w:t>
      </w:r>
      <w:r>
        <w:rPr>
          <w:sz w:val="20"/>
        </w:rPr>
        <w:t>; provided, however, that notwithstanding the foregoing, an Event of Default shall not occur under either Section 5(a)(vi)(1) or (2) above, if (a) the default, event of default or similar event or condition referred to in Section 5(a)(vi)(1) or the failure to pay referred to in Section 5(a)(vi)(2) is a failure to pay or deliver caused by an error or omission of an administrative or operational nature, (b) funds were available to such party to enable it to make the relevant payment or delivery when due, and (c) such relevant payment or delivery is made within three (3) Local Business Days following receipt of written notice from the relevant party.”</w:t>
      </w:r>
    </w:p>
    <w:p>
      <w:pPr>
        <w:pStyle w:val="TextBody"/>
        <w:bidi w:val="0"/>
        <w:spacing w:before="0" w:after="0"/>
        <w:ind w:left="1418" w:right="0" w:hanging="0"/>
        <w:jc w:val="both"/>
        <w:rPr/>
      </w:pPr>
      <w:r>
        <w:rPr/>
        <w:t> </w:t>
      </w:r>
    </w:p>
    <w:p>
      <w:pPr>
        <w:pStyle w:val="TextBody"/>
        <w:bidi w:val="0"/>
        <w:spacing w:before="0" w:after="0"/>
        <w:ind w:left="709" w:right="0" w:hanging="0"/>
        <w:jc w:val="both"/>
        <w:rPr>
          <w:sz w:val="20"/>
        </w:rPr>
      </w:pPr>
      <w:r>
        <w:rPr>
          <w:sz w:val="20"/>
        </w:rPr>
        <w:t>For purposes of Section 5(a)(vi):</w:t>
      </w:r>
    </w:p>
    <w:p>
      <w:pPr>
        <w:pStyle w:val="TextBody"/>
        <w:bidi w:val="0"/>
        <w:spacing w:before="0" w:after="0"/>
        <w:ind w:left="709" w:right="0" w:hanging="0"/>
        <w:jc w:val="both"/>
        <w:rPr/>
      </w:pPr>
      <w:r>
        <w:rPr/>
        <w:t> </w:t>
      </w:r>
    </w:p>
    <w:p>
      <w:pPr>
        <w:pStyle w:val="TextBody"/>
        <w:bidi w:val="0"/>
        <w:spacing w:before="0" w:after="0"/>
        <w:ind w:left="720" w:right="0" w:firstLine="698"/>
        <w:jc w:val="both"/>
        <w:rPr/>
      </w:pPr>
      <w:r>
        <w:rPr/>
        <w:t>“</w:t>
      </w:r>
      <w:r>
        <w:rPr>
          <w:b/>
          <w:i/>
          <w:sz w:val="20"/>
        </w:rPr>
        <w:t>Specified Indebtedness</w:t>
      </w:r>
      <w:r>
        <w:rPr>
          <w:sz w:val="20"/>
        </w:rPr>
        <w:t>” has the meaning specified in Section 14 of this Agreement; and</w:t>
      </w:r>
    </w:p>
    <w:p>
      <w:pPr>
        <w:pStyle w:val="TextBody"/>
        <w:bidi w:val="0"/>
        <w:spacing w:before="0" w:after="0"/>
        <w:ind w:left="720" w:right="0" w:firstLine="698"/>
        <w:jc w:val="both"/>
        <w:rPr/>
      </w:pPr>
      <w:r>
        <w:rPr/>
        <w:t> </w:t>
      </w:r>
    </w:p>
    <w:p>
      <w:pPr>
        <w:pStyle w:val="TextBody"/>
        <w:bidi w:val="0"/>
        <w:spacing w:before="0" w:after="0"/>
        <w:ind w:left="1418" w:right="0" w:hanging="0"/>
        <w:jc w:val="both"/>
        <w:rPr/>
      </w:pPr>
      <w:r>
        <w:rPr/>
        <w:t>“</w:t>
      </w:r>
      <w:r>
        <w:rPr>
          <w:b/>
          <w:i/>
          <w:sz w:val="20"/>
        </w:rPr>
        <w:t>Threshold Amount</w:t>
      </w:r>
      <w:r>
        <w:rPr>
          <w:sz w:val="20"/>
        </w:rPr>
        <w:t>” means USD 3,000,000 (three million United States Dollars (“</w:t>
      </w:r>
      <w:r>
        <w:rPr>
          <w:b/>
          <w:i/>
          <w:sz w:val="20"/>
        </w:rPr>
        <w:t>USD</w:t>
      </w:r>
      <w:r>
        <w:rPr>
          <w:sz w:val="20"/>
        </w:rPr>
        <w:t>” or “</w:t>
      </w:r>
      <w:r>
        <w:rPr>
          <w:b/>
          <w:i/>
          <w:sz w:val="20"/>
        </w:rPr>
        <w:t>US$</w:t>
      </w:r>
      <w:r>
        <w:rPr>
          <w:sz w:val="20"/>
        </w:rPr>
        <w:t>”)) or its equivalent in any other currencies.</w:t>
      </w:r>
    </w:p>
    <w:p>
      <w:pPr>
        <w:pStyle w:val="TextBody"/>
        <w:bidi w:val="0"/>
        <w:spacing w:before="0" w:after="0"/>
        <w:ind w:left="1418"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8"/>
        <w:gridCol w:w="9688"/>
      </w:tblGrid>
      <w:tr>
        <w:trPr/>
        <w:tc>
          <w:tcPr>
            <w:tcW w:w="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(d)</w:t>
            </w:r>
          </w:p>
        </w:tc>
        <w:tc>
          <w:tcPr>
            <w:tcW w:w="9688" w:type="dxa"/>
            <w:tcBorders/>
            <w:vAlign w:val="center"/>
          </w:tcPr>
          <w:p>
            <w:pPr>
              <w:pStyle w:val="TableContents"/>
              <w:bidi w:val="0"/>
              <w:spacing w:before="0" w:after="283"/>
              <w:jc w:val="both"/>
              <w:rPr/>
            </w:pPr>
            <w:r>
              <w:rPr/>
              <w:t>The “</w:t>
            </w:r>
            <w:r>
              <w:rPr>
                <w:b/>
                <w:i/>
              </w:rPr>
              <w:t>Credit Event Upon Merger</w:t>
            </w:r>
            <w:r>
              <w:rPr/>
              <w:t>” provisions of Section 5(b)(v):</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(i)</w:t>
            </w:r>
          </w:p>
        </w:tc>
        <w:tc>
          <w:tcPr>
            <w:tcW w:w="9210" w:type="dxa"/>
            <w:tcBorders/>
            <w:vAlign w:val="center"/>
          </w:tcPr>
          <w:p>
            <w:pPr>
              <w:pStyle w:val="TableContents"/>
              <w:bidi w:val="0"/>
              <w:spacing w:before="0" w:after="283"/>
              <w:jc w:val="both"/>
              <w:rPr/>
            </w:pPr>
            <w:r>
              <w:rPr/>
              <w:t>will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2"/>
        <w:gridCol w:w="1239"/>
        <w:gridCol w:w="8804"/>
      </w:tblGrid>
      <w:tr>
        <w:trPr/>
        <w:tc>
          <w:tcPr>
            <w:tcW w:w="1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pPr>
            <w:r>
              <w:rPr/>
              <w:t>(ii)</w:t>
            </w:r>
          </w:p>
        </w:tc>
        <w:tc>
          <w:tcPr>
            <w:tcW w:w="8804" w:type="dxa"/>
            <w:tcBorders/>
            <w:vAlign w:val="center"/>
          </w:tcPr>
          <w:p>
            <w:pPr>
              <w:pStyle w:val="TableContents"/>
              <w:bidi w:val="0"/>
              <w:spacing w:before="0" w:after="283"/>
              <w:jc w:val="both"/>
              <w:rPr/>
            </w:pPr>
            <w:r>
              <w:rPr/>
              <w:t>will apply to Party B.</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(e)</w:t>
            </w:r>
          </w:p>
        </w:tc>
        <w:tc>
          <w:tcPr>
            <w:tcW w:w="9900" w:type="dxa"/>
            <w:tcBorders/>
            <w:vAlign w:val="center"/>
          </w:tcPr>
          <w:p>
            <w:pPr>
              <w:pStyle w:val="TableContents"/>
              <w:bidi w:val="0"/>
              <w:spacing w:before="0" w:after="283"/>
              <w:jc w:val="both"/>
              <w:rPr/>
            </w:pPr>
            <w:r>
              <w:rPr/>
              <w:t>The “</w:t>
            </w:r>
            <w:r>
              <w:rPr>
                <w:b/>
                <w:i/>
              </w:rPr>
              <w:t>Automatic Early Termination</w:t>
            </w:r>
            <w:r>
              <w:rPr/>
              <w:t>” provision of Section 6(a) (</w:t>
            </w:r>
            <w:r>
              <w:rPr>
                <w:i/>
              </w:rPr>
              <w:t>Right to Terminate Following Event of Default</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4"/>
        <w:gridCol w:w="755"/>
        <w:gridCol w:w="9326"/>
      </w:tblGrid>
      <w:tr>
        <w:trPr/>
        <w:tc>
          <w:tcPr>
            <w:tcW w:w="12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(i)</w:t>
            </w:r>
          </w:p>
        </w:tc>
        <w:tc>
          <w:tcPr>
            <w:tcW w:w="9326" w:type="dxa"/>
            <w:tcBorders/>
            <w:vAlign w:val="center"/>
          </w:tcPr>
          <w:p>
            <w:pPr>
              <w:pStyle w:val="TableContents"/>
              <w:bidi w:val="0"/>
              <w:spacing w:before="0" w:after="283"/>
              <w:jc w:val="both"/>
              <w:rPr/>
            </w:pPr>
            <w:r>
              <w:rPr/>
              <w:t>will not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1076"/>
        <w:gridCol w:w="8988"/>
      </w:tblGrid>
      <w:tr>
        <w:trPr/>
        <w:tc>
          <w:tcPr>
            <w:tcW w:w="1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(ii)</w:t>
            </w:r>
          </w:p>
        </w:tc>
        <w:tc>
          <w:tcPr>
            <w:tcW w:w="8988" w:type="dxa"/>
            <w:tcBorders/>
            <w:vAlign w:val="center"/>
          </w:tcPr>
          <w:p>
            <w:pPr>
              <w:pStyle w:val="TableContents"/>
              <w:bidi w:val="0"/>
              <w:spacing w:before="0" w:after="283"/>
              <w:jc w:val="both"/>
              <w:rPr/>
            </w:pPr>
            <w:r>
              <w:rPr/>
              <w:t>will not apply to Party B;</w:t>
            </w:r>
          </w:p>
        </w:tc>
      </w:tr>
    </w:tbl>
    <w:p>
      <w:pPr>
        <w:pStyle w:val="TextBody"/>
        <w:bidi w:val="0"/>
        <w:spacing w:before="0" w:after="0"/>
        <w:jc w:val="left"/>
        <w:rPr/>
      </w:pPr>
      <w:r>
        <w:rPr/>
        <w:t> </w:t>
      </w:r>
    </w:p>
    <w:p>
      <w:pPr>
        <w:pStyle w:val="TextBody"/>
        <w:bidi w:val="0"/>
        <w:spacing w:before="0" w:after="0"/>
        <w:ind w:left="720" w:right="0" w:hanging="0"/>
        <w:jc w:val="both"/>
        <w:rPr>
          <w:sz w:val="20"/>
        </w:rPr>
      </w:pPr>
      <w:r>
        <w:rPr>
          <w:i/>
          <w:sz w:val="20"/>
        </w:rPr>
        <w:t>provided, however,</w:t>
      </w:r>
      <w:r>
        <w:rPr>
          <w:sz w:val="20"/>
        </w:rPr>
        <w:t xml:space="preserve"> that, with respect to a party, where the Event of Default specified in Section 5(a)(vii)(1), (3), (4), (5), (6) or, to the extent analogous thereto, (8) is governed by a system of law which does not permit termination to take place after the occurrence of the relevant Event of Default, then the Automatic Early Termination provision of Section 6(a) will apply to such party.</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624"/>
        <w:gridCol w:w="9485"/>
      </w:tblGrid>
      <w:tr>
        <w:trPr/>
        <w:tc>
          <w:tcPr>
            <w:tcW w:w="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(f)</w:t>
            </w:r>
          </w:p>
        </w:tc>
        <w:tc>
          <w:tcPr>
            <w:tcW w:w="9485" w:type="dxa"/>
            <w:tcBorders/>
            <w:vAlign w:val="center"/>
          </w:tcPr>
          <w:p>
            <w:pPr>
              <w:pStyle w:val="TableContents"/>
              <w:bidi w:val="0"/>
              <w:spacing w:before="0" w:after="283"/>
              <w:jc w:val="both"/>
              <w:rPr/>
            </w:pPr>
            <w:r>
              <w:rPr/>
              <w:t>“</w:t>
            </w:r>
            <w:r>
              <w:rPr>
                <w:b/>
                <w:i/>
              </w:rPr>
              <w:t>Termination Currency</w:t>
            </w:r>
            <w:r>
              <w:rPr/>
              <w:t>” means USD.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b/>
                <w:i/>
              </w:rPr>
              <w:t xml:space="preserve">Additional Termination Event </w:t>
            </w:r>
            <w:r>
              <w:rPr/>
              <w:t>will apply. Each of the following will constitute an Additional Termination Event for purposes of Section 5(b)(vi) (</w:t>
            </w:r>
            <w:r>
              <w:rPr>
                <w:i/>
              </w:rPr>
              <w:t>Additional Termination Event</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
        <w:gridCol w:w="254"/>
        <w:gridCol w:w="9910"/>
      </w:tblGrid>
      <w:tr>
        <w:trPr/>
        <w:tc>
          <w:tcPr>
            <w:tcW w:w="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w:t>
            </w:r>
          </w:p>
        </w:tc>
        <w:tc>
          <w:tcPr>
            <w:tcW w:w="9910" w:type="dxa"/>
            <w:tcBorders/>
            <w:vAlign w:val="center"/>
          </w:tcPr>
          <w:p>
            <w:pPr>
              <w:pStyle w:val="TableContents"/>
              <w:bidi w:val="0"/>
              <w:spacing w:before="0" w:after="283"/>
              <w:jc w:val="both"/>
              <w:rPr/>
            </w:pPr>
            <w:r>
              <w:rPr>
                <w:b/>
                <w:i/>
              </w:rPr>
              <w:t xml:space="preserve">Adverse Government Action. </w:t>
            </w:r>
            <w:r>
              <w:rPr/>
              <w:t>A party or any Credit Support Provider of a party, as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565"/>
        <w:gridCol w:w="9567"/>
      </w:tblGrid>
      <w:tr>
        <w:trPr/>
        <w:tc>
          <w:tcPr>
            <w:tcW w:w="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pPr>
            <w:r>
              <w:rPr/>
              <w:t>(1)</w:t>
            </w:r>
          </w:p>
        </w:tc>
        <w:tc>
          <w:tcPr>
            <w:tcW w:w="9567" w:type="dxa"/>
            <w:tcBorders/>
            <w:vAlign w:val="center"/>
          </w:tcPr>
          <w:p>
            <w:pPr>
              <w:pStyle w:val="TableContents"/>
              <w:bidi w:val="0"/>
              <w:spacing w:before="0" w:after="283"/>
              <w:jc w:val="both"/>
              <w:rPr/>
            </w:pPr>
            <w:r>
              <w:rPr/>
              <w:t>either (x) is indicted for or (y) is convicted of either: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
        <w:gridCol w:w="336"/>
        <w:gridCol w:w="9795"/>
      </w:tblGrid>
      <w:tr>
        <w:trPr/>
        <w:tc>
          <w:tcPr>
            <w:tcW w:w="74"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(A)</w:t>
            </w:r>
          </w:p>
        </w:tc>
        <w:tc>
          <w:tcPr>
            <w:tcW w:w="9795" w:type="dxa"/>
            <w:tcBorders/>
            <w:vAlign w:val="center"/>
          </w:tcPr>
          <w:p>
            <w:pPr>
              <w:pStyle w:val="TableContents"/>
              <w:bidi w:val="0"/>
              <w:spacing w:before="0" w:after="283"/>
              <w:jc w:val="both"/>
              <w:rPr/>
            </w:pPr>
            <w:r>
              <w:rPr/>
              <w:t>any felony; or</w:t>
            </w:r>
          </w:p>
        </w:tc>
      </w:tr>
      <w:tr>
        <w:trPr/>
        <w:tc>
          <w:tcPr>
            <w:tcW w:w="74"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(B)</w:t>
            </w:r>
          </w:p>
        </w:tc>
        <w:tc>
          <w:tcPr>
            <w:tcW w:w="9795" w:type="dxa"/>
            <w:tcBorders/>
            <w:vAlign w:val="center"/>
          </w:tcPr>
          <w:p>
            <w:pPr>
              <w:pStyle w:val="TableContents"/>
              <w:bidi w:val="0"/>
              <w:spacing w:before="0" w:after="283"/>
              <w:jc w:val="both"/>
              <w:rPr/>
            </w:pPr>
            <w:r>
              <w:rPr/>
              <w:t>any other crime relating to securities, investment management or any Crypto Activities, or involving fraud or breach of trust;</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(2)</w:t>
            </w:r>
          </w:p>
        </w:tc>
        <w:tc>
          <w:tcPr>
            <w:tcW w:w="9826" w:type="dxa"/>
            <w:tcBorders/>
            <w:vAlign w:val="center"/>
          </w:tcPr>
          <w:p>
            <w:pPr>
              <w:pStyle w:val="TableContents"/>
              <w:bidi w:val="0"/>
              <w:spacing w:before="0" w:after="283"/>
              <w:jc w:val="both"/>
              <w:rPr/>
            </w:pPr>
            <w:r>
              <w:rPr/>
              <w:t>becomes a Sanctioned Person (as defined in Part 5(m) (Additional Definitions) hereof);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283"/>
              <w:jc w:val="both"/>
              <w:rPr/>
            </w:pPr>
            <w:r>
              <w:rPr/>
              <w:t>is subject to a final, non-appealable order, judgment, or decree by a Governmental Authority (as defined in Part 5(m) (Additional Definitions) hereof) that results in any of the following:</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(A)</w:t>
            </w:r>
          </w:p>
        </w:tc>
        <w:tc>
          <w:tcPr>
            <w:tcW w:w="9848" w:type="dxa"/>
            <w:tcBorders/>
            <w:vAlign w:val="center"/>
          </w:tcPr>
          <w:p>
            <w:pPr>
              <w:pStyle w:val="TableContents"/>
              <w:bidi w:val="0"/>
              <w:spacing w:before="0" w:after="283"/>
              <w:jc w:val="both"/>
              <w:rPr/>
            </w:pPr>
            <w:r>
              <w:rPr/>
              <w:t>the suspension or revocation of any license, registration, or authorization material to its ability to perform its obligations under this Agreement or any Transaction;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
        <w:gridCol w:w="344"/>
        <w:gridCol w:w="9822"/>
      </w:tblGrid>
      <w:tr>
        <w:trPr/>
        <w:tc>
          <w:tcPr>
            <w:tcW w:w="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(B)</w:t>
            </w:r>
          </w:p>
        </w:tc>
        <w:tc>
          <w:tcPr>
            <w:tcW w:w="9822" w:type="dxa"/>
            <w:tcBorders/>
            <w:vAlign w:val="center"/>
          </w:tcPr>
          <w:p>
            <w:pPr>
              <w:pStyle w:val="TableContents"/>
              <w:bidi w:val="0"/>
              <w:spacing w:before="0" w:after="283"/>
              <w:jc w:val="both"/>
              <w:rPr/>
            </w:pPr>
            <w:r>
              <w:rPr/>
              <w:t>the imposition of a fine or monetary penalty in an amount exceeding US$1,000,000 or its equivalent.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b/>
                <w:i/>
              </w:rPr>
              <w:t>Change in Law</w:t>
            </w:r>
            <w:r>
              <w:rPr/>
              <w:t>. After a Transaction is entered into, due to (1) the adoption of or any change in applicable law or regulation or interpretation thereof (including, without limitation, any tax law); or (2) the promulgation of or any change in the interpretation by any Governmental Authority with competent jurisdiction of any applicable law or regulation (including any action taken by a taxing authority), a party determines in good faith that either (x) such Transaction or the performance thereunder has become illegal; or (y) it will incur a materially increased cost in performing its obligations under any Transaction (including, without limitation, due to the imposition of increased regulatory requirements, any increase in tax liability, decrease in tax benefit or other adverse effect on its tax position).</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For purposes of this Part 1(g):</w:t>
      </w:r>
    </w:p>
    <w:p>
      <w:pPr>
        <w:pStyle w:val="TextBody"/>
        <w:bidi w:val="0"/>
        <w:spacing w:before="0" w:after="0"/>
        <w:ind w:left="720" w:right="0" w:hanging="0"/>
        <w:jc w:val="both"/>
        <w:rPr/>
      </w:pPr>
      <w:r>
        <w:rPr/>
        <w:t> </w:t>
      </w:r>
    </w:p>
    <w:p>
      <w:pPr>
        <w:pStyle w:val="TextBody"/>
        <w:bidi w:val="0"/>
        <w:spacing w:before="0" w:after="0"/>
        <w:ind w:left="1418" w:right="0" w:hanging="0"/>
        <w:jc w:val="both"/>
        <w:rPr>
          <w:sz w:val="20"/>
        </w:rPr>
      </w:pPr>
      <w:r>
        <w:rPr>
          <w:sz w:val="20"/>
        </w:rPr>
        <w:t>(x)       with respect to the Additional Termination Event set forth in Part 1(g)(i) (</w:t>
      </w:r>
      <w:r>
        <w:rPr>
          <w:i/>
          <w:sz w:val="20"/>
        </w:rPr>
        <w:t>Adverse Government Action</w:t>
      </w:r>
      <w:r>
        <w:rPr>
          <w:sz w:val="20"/>
        </w:rPr>
        <w:t>) above, the party with respect to which the event occurred shall be the sole Affected Party and all Transactions shall be Affected Transactions; and</w:t>
      </w:r>
    </w:p>
    <w:p>
      <w:pPr>
        <w:pStyle w:val="TextBody"/>
        <w:bidi w:val="0"/>
        <w:spacing w:before="0" w:after="0"/>
        <w:ind w:left="1418" w:right="0" w:hanging="0"/>
        <w:jc w:val="both"/>
        <w:rPr/>
      </w:pPr>
      <w:r>
        <w:rPr/>
        <w:t> </w:t>
      </w:r>
    </w:p>
    <w:p>
      <w:pPr>
        <w:pStyle w:val="TextBody"/>
        <w:bidi w:val="0"/>
        <w:spacing w:before="0" w:after="0"/>
        <w:ind w:left="1418" w:right="0" w:hanging="0"/>
        <w:jc w:val="both"/>
        <w:rPr>
          <w:sz w:val="20"/>
        </w:rPr>
      </w:pPr>
      <w:r>
        <w:rPr>
          <w:sz w:val="20"/>
        </w:rPr>
        <w:t>(y)       with respect to the Additional Termination Event set forth in Part 1(g)(ii) (</w:t>
      </w:r>
      <w:r>
        <w:rPr>
          <w:i/>
          <w:sz w:val="20"/>
        </w:rPr>
        <w:t>Change in Law</w:t>
      </w:r>
      <w:r>
        <w:rPr>
          <w:sz w:val="20"/>
        </w:rPr>
        <w:t>) above, Party A and Party B shall each be an Affected Party and only affected Crypto Transactions shall be Affected Transactions.</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2"/>
        <w:gridCol w:w="1890"/>
        <w:gridCol w:w="8163"/>
      </w:tblGrid>
      <w:tr>
        <w:trPr/>
        <w:tc>
          <w:tcPr>
            <w:tcW w:w="15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b/>
              </w:rPr>
            </w:pPr>
            <w:r>
              <w:rPr>
                <w:b/>
              </w:rPr>
              <w:t>Part</w:t>
            </w:r>
          </w:p>
        </w:tc>
        <w:tc>
          <w:tcPr>
            <w:tcW w:w="8163" w:type="dxa"/>
            <w:tcBorders/>
            <w:vAlign w:val="center"/>
          </w:tcPr>
          <w:p>
            <w:pPr>
              <w:pStyle w:val="TableContents"/>
              <w:bidi w:val="0"/>
              <w:spacing w:before="0" w:after="283"/>
              <w:jc w:val="both"/>
              <w:rPr>
                <w:b/>
              </w:rPr>
            </w:pPr>
            <w:r>
              <w:rPr>
                <w:b/>
              </w:rPr>
              <w:t>2.    Tax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b/>
                <w:i/>
              </w:rPr>
              <w:t>Payer Tax Representations.</w:t>
            </w:r>
            <w:r>
              <w:rPr/>
              <w:t xml:space="preserve"> For the purpose of Section 3(e) (</w:t>
            </w:r>
            <w:r>
              <w:rPr>
                <w:i/>
              </w:rPr>
              <w:t>Payer Tax Representation</w:t>
            </w:r>
            <w:r>
              <w:rPr/>
              <w:t>) of this Agreement, each of Party A and Party B makes the following representation:</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It is not required by any applicable law, as modified by the practice of any relevant governmental revenue authority, of any Relevant Jurisdiction to make any deduction or withholding for or on account of any Tax from any payment (other than interest under Section 9(h) of this Agreement) to be made by it to the other party under this Agreement. In making this representation, it may rely on (i) the accuracy of any representations made by the other party pursuant to Section 3(f) of this Agreement, (ii) the satisfaction of the agreement contained in Section 4(a)(i) or 4(a)(iii) of this Agreement and the accuracy and effectiveness of any document provided by the other party pursuant to Section 4(a)(i) or 4(a)(iii) of this Agreement and (iii) the satisfaction of the agreement of the other party contained in Section 4(d) of this Agreement, except that it will not be a breach of this representation where reliance is placed on clause (ii) above and the other party does not deliver a form or document under Section 4(a)(iii) by reason of material prejudice to its legal or commercial position.</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376"/>
        <w:gridCol w:w="9780"/>
      </w:tblGrid>
      <w:tr>
        <w:trPr/>
        <w:tc>
          <w:tcPr>
            <w:tcW w:w="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(b)</w:t>
            </w:r>
          </w:p>
        </w:tc>
        <w:tc>
          <w:tcPr>
            <w:tcW w:w="9780" w:type="dxa"/>
            <w:tcBorders/>
            <w:vAlign w:val="center"/>
          </w:tcPr>
          <w:p>
            <w:pPr>
              <w:pStyle w:val="TableContents"/>
              <w:bidi w:val="0"/>
              <w:spacing w:before="0" w:after="283"/>
              <w:jc w:val="both"/>
              <w:rPr/>
            </w:pPr>
            <w:r>
              <w:rPr>
                <w:b/>
                <w:i/>
              </w:rPr>
              <w:t>Payee Tax Representations.</w:t>
            </w:r>
            <w:r>
              <w:rPr/>
              <w:t xml:space="preserve"> For the purpose of Section 3(f)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0"/>
        <w:gridCol w:w="731"/>
        <w:gridCol w:w="9354"/>
      </w:tblGrid>
      <w:tr>
        <w:trPr/>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(i)</w:t>
            </w:r>
          </w:p>
        </w:tc>
        <w:tc>
          <w:tcPr>
            <w:tcW w:w="9354" w:type="dxa"/>
            <w:tcBorders/>
            <w:vAlign w:val="center"/>
          </w:tcPr>
          <w:p>
            <w:pPr>
              <w:pStyle w:val="TableContents"/>
              <w:bidi w:val="0"/>
              <w:spacing w:before="0" w:after="283"/>
              <w:jc w:val="both"/>
              <w:rPr/>
            </w:pPr>
            <w:r>
              <w:rPr/>
              <w:t>Party A hereby represents that: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
        <w:gridCol w:w="352"/>
        <w:gridCol w:w="9807"/>
      </w:tblGrid>
      <w:tr>
        <w:trPr/>
        <w:tc>
          <w:tcPr>
            <w:tcW w:w="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(1)</w:t>
            </w:r>
          </w:p>
        </w:tc>
        <w:tc>
          <w:tcPr>
            <w:tcW w:w="9807" w:type="dxa"/>
            <w:tcBorders/>
            <w:vAlign w:val="center"/>
          </w:tcPr>
          <w:p>
            <w:pPr>
              <w:pStyle w:val="TableContents"/>
              <w:bidi w:val="0"/>
              <w:spacing w:before="0" w:after="283"/>
              <w:jc w:val="both"/>
              <w:rPr/>
            </w:pPr>
            <w:r>
              <w:rPr/>
              <w:t>It is a private limited company organized under the laws of the British Virgin Islands.</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It is a “non-U.S. branch of a foreign person” (as that term is used in section 1.1441-4(a)(3)(ii) of United States Treasury Regulations) for United States federal income tax purposes.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8"/>
        <w:gridCol w:w="909"/>
        <w:gridCol w:w="9178"/>
      </w:tblGrid>
      <w:tr>
        <w:trPr/>
        <w:tc>
          <w:tcPr>
            <w:tcW w:w="11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pPr>
            <w:r>
              <w:rPr/>
              <w:t>(ii)</w:t>
            </w:r>
          </w:p>
        </w:tc>
        <w:tc>
          <w:tcPr>
            <w:tcW w:w="9178" w:type="dxa"/>
            <w:tcBorders/>
            <w:vAlign w:val="center"/>
          </w:tcPr>
          <w:p>
            <w:pPr>
              <w:pStyle w:val="TableContents"/>
              <w:bidi w:val="0"/>
              <w:spacing w:before="0" w:after="283"/>
              <w:jc w:val="both"/>
              <w:rPr/>
            </w:pPr>
            <w:r>
              <w:rPr/>
              <w:t>Party B hereby represents that: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283"/>
              <w:jc w:val="both"/>
              <w:rPr/>
            </w:pPr>
            <w:r>
              <w:rPr/>
              <w:t>It is a public limited liability company (</w:t>
            </w:r>
            <w:r>
              <w:rPr>
                <w:i/>
              </w:rPr>
              <w:t>naamloze vennootschap</w:t>
            </w:r>
            <w:r>
              <w:rPr/>
              <w:t>) organized under the laws of the Netherlands.</w:t>
            </w:r>
          </w:p>
        </w:tc>
      </w:tr>
    </w:tbl>
    <w:p>
      <w:pPr>
        <w:pStyle w:val="TextBody"/>
        <w:bidi w:val="0"/>
        <w:spacing w:before="0" w:after="0"/>
        <w:ind w:left="21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It is a “non-U.S. branch of a foreign person” (as that term is used in section 1.1441-4(a)(3)(ii) of United States Treasury Regulations) for United States federal income tax purposes.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b/>
                <w:i/>
              </w:rPr>
              <w:t>Certain Withholding Taxes.</w:t>
            </w:r>
            <w:r>
              <w:rPr/>
              <w:t xml:space="preserve"> “</w:t>
            </w:r>
            <w:r>
              <w:rPr>
                <w:b/>
                <w:i/>
              </w:rPr>
              <w:t>Tax</w:t>
            </w:r>
            <w:r>
              <w:rPr/>
              <w:t>” as used in Part 2(a) (</w:t>
            </w:r>
            <w:r>
              <w:rPr>
                <w:i/>
              </w:rPr>
              <w:t>Payer Tax Representations</w:t>
            </w:r>
            <w:r>
              <w:rPr/>
              <w:t>) of this Schedule and “</w:t>
            </w:r>
            <w:r>
              <w:rPr>
                <w:b/>
                <w:i/>
              </w:rPr>
              <w:t>Indemnifiable Tax</w:t>
            </w:r>
            <w:r>
              <w:rPr/>
              <w:t>” as defined in Section 14 of this Agreement shall not include any withholding tax imposed or collected pursuant to Sections 1471 through 1474 of the Code (as defined in Part 5(m) (</w:t>
            </w:r>
            <w:r>
              <w:rPr>
                <w:i/>
              </w:rPr>
              <w:t>Additional Definitions</w:t>
            </w:r>
            <w:r>
              <w:rPr/>
              <w:t>) hereof),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b/>
                <w:i/>
              </w:rPr>
              <w:t>FATCA Withholding Tax</w:t>
            </w:r>
            <w:r>
              <w:rPr/>
              <w:t>”). For the avoidance of doubt, a FATCA Withholding Tax is a Tax the deduction or withholding of which is required by applicable law for the purposes of Section 2(d) (</w:t>
            </w:r>
            <w:r>
              <w:rPr>
                <w:i/>
              </w:rPr>
              <w:t>Deduction or Withholding for Tax</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b/>
                <w:i/>
              </w:rPr>
              <w:t xml:space="preserve">Waiver of Confidentiality for US Tax Treatment. </w:t>
            </w:r>
            <w:r>
              <w:rPr/>
              <w:t>Notwithstanding anything to the contrary in this Agreement, Party A and Party B (and each employee, representative, or other agent of Party A or Party B) may each disclose to any and all persons, without limitation of any kind, the U.S. tax treatment and U.S. tax structure of the Transaction and all materials of any kind (including opinions or other tax analyses) that are provided to them relating to such US tax treatment and US tax structure (as those terms are used in Treasury Regulations under Sections 6011, 6111 and 6112 of the Code), other than any information for which nondisclosure is reasonably necessary in order to comply with applicable securities laws. To the extent not inconsistent with the previous sentence, Party A and Party B will each keep confidential (except as required by law) all information unless the other party has consented in writing to the disclosure of such information.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8"/>
        <w:gridCol w:w="1090"/>
        <w:gridCol w:w="9027"/>
      </w:tblGrid>
      <w:tr>
        <w:trPr/>
        <w:tc>
          <w:tcPr>
            <w:tcW w:w="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Part</w:t>
            </w:r>
          </w:p>
        </w:tc>
        <w:tc>
          <w:tcPr>
            <w:tcW w:w="9027" w:type="dxa"/>
            <w:tcBorders/>
            <w:vAlign w:val="center"/>
          </w:tcPr>
          <w:p>
            <w:pPr>
              <w:pStyle w:val="TableContents"/>
              <w:bidi w:val="0"/>
              <w:spacing w:before="0" w:after="283"/>
              <w:jc w:val="both"/>
              <w:rPr>
                <w:b/>
              </w:rPr>
            </w:pPr>
            <w:r>
              <w:rPr>
                <w:b/>
              </w:rPr>
              <w:t>3.    Agreement to Deliver Documents.</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For the purpose of Sections 4(a)(i) and 4(a)(ii) of this Agreement, each party agrees to deliver the following documents, as applicable: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497"/>
        <w:gridCol w:w="9640"/>
      </w:tblGrid>
      <w:tr>
        <w:trPr/>
        <w:tc>
          <w:tcPr>
            <w:tcW w:w="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(a)</w:t>
            </w:r>
          </w:p>
        </w:tc>
        <w:tc>
          <w:tcPr>
            <w:tcW w:w="9640" w:type="dxa"/>
            <w:tcBorders/>
            <w:vAlign w:val="center"/>
          </w:tcPr>
          <w:p>
            <w:pPr>
              <w:pStyle w:val="TableContents"/>
              <w:bidi w:val="0"/>
              <w:spacing w:before="0" w:after="283"/>
              <w:jc w:val="both"/>
              <w:rPr/>
            </w:pPr>
            <w:r>
              <w:rPr/>
              <w:t>Tax forms, documents or certificates to be delivered are: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28" w:type="dxa"/>
        </w:tblCellMar>
      </w:tblPr>
      <w:tblGrid>
        <w:gridCol w:w="1413"/>
        <w:gridCol w:w="3601"/>
        <w:gridCol w:w="5191"/>
      </w:tblGrid>
      <w:tr>
        <w:trPr/>
        <w:tc>
          <w:tcPr>
            <w:tcW w:w="1413"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3601"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5191"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Date by which to be delivered</w:t>
            </w:r>
          </w:p>
        </w:tc>
      </w:tr>
      <w:tr>
        <w:trPr/>
        <w:tc>
          <w:tcPr>
            <w:tcW w:w="1413"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     Party A</w:t>
            </w:r>
          </w:p>
        </w:tc>
        <w:tc>
          <w:tcPr>
            <w:tcW w:w="3601"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An accurate, properly completed and validly executed US Internal Revenue Service Form W-8BEN-E (or successor form, as the case may be)</w:t>
            </w:r>
          </w:p>
        </w:tc>
        <w:tc>
          <w:tcPr>
            <w:tcW w:w="5191" w:type="dxa"/>
            <w:tcBorders>
              <w:bottom w:val="single" w:sz="8" w:space="0" w:color="000000"/>
            </w:tcBorders>
            <w:tcMar>
              <w:right w:w="0" w:type="dxa"/>
            </w:tcMar>
            <w:vAlign w:val="center"/>
          </w:tcPr>
          <w:p>
            <w:pPr>
              <w:pStyle w:val="TableContents"/>
              <w:bidi w:val="0"/>
              <w:spacing w:before="0" w:after="283"/>
              <w:jc w:val="left"/>
              <w:rPr>
                <w:sz w:val="20"/>
              </w:rPr>
            </w:pPr>
            <w:r>
              <w:rPr>
                <w:sz w:val="20"/>
              </w:rPr>
              <w:t>(x) Upon execution of this Agreement; (y) promptly upon reasonable demand by Party B; and (z) promptly upon learning that any such form previously provided by Party A has become obsolete, incorrect or expired.</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28" w:type="dxa"/>
        </w:tblCellMar>
      </w:tblPr>
      <w:tblGrid>
        <w:gridCol w:w="1134"/>
        <w:gridCol w:w="6067"/>
        <w:gridCol w:w="3004"/>
      </w:tblGrid>
      <w:tr>
        <w:trPr/>
        <w:tc>
          <w:tcPr>
            <w:tcW w:w="1134"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6067"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3004"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Date by which to be delivered</w:t>
            </w:r>
          </w:p>
        </w:tc>
      </w:tr>
      <w:tr>
        <w:trPr/>
        <w:tc>
          <w:tcPr>
            <w:tcW w:w="1134"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   Party B</w:t>
            </w:r>
          </w:p>
        </w:tc>
        <w:tc>
          <w:tcPr>
            <w:tcW w:w="606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An accurate, properly completed and validly executed US Internal Revenue Service Form W-8BEN-E (or successor form, as the case may be).</w:t>
            </w:r>
          </w:p>
        </w:tc>
        <w:tc>
          <w:tcPr>
            <w:tcW w:w="3004"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(x) Upon execution of this Agreement; (y) promptly upon reasonable demand by Party A; and (z) promptly upon learning that any such form previously provided by Party B has become obsolete, incorrect or expired.</w:t>
            </w:r>
          </w:p>
        </w:tc>
      </w:tr>
      <w:tr>
        <w:trPr/>
        <w:tc>
          <w:tcPr>
            <w:tcW w:w="1134" w:type="dxa"/>
            <w:tcBorders>
              <w:right w:val="single" w:sz="8" w:space="0" w:color="000000"/>
            </w:tcBorders>
            <w:tcMar>
              <w:bottom w:w="0" w:type="dxa"/>
            </w:tcMar>
            <w:vAlign w:val="center"/>
          </w:tcPr>
          <w:p>
            <w:pPr>
              <w:pStyle w:val="TableContents"/>
              <w:bidi w:val="0"/>
              <w:spacing w:before="0" w:after="283"/>
              <w:jc w:val="left"/>
              <w:rPr>
                <w:sz w:val="20"/>
              </w:rPr>
            </w:pPr>
            <w:r>
              <w:rPr>
                <w:sz w:val="20"/>
              </w:rPr>
              <w:t>(iii)  Party A and Party B</w:t>
            </w:r>
          </w:p>
        </w:tc>
        <w:tc>
          <w:tcPr>
            <w:tcW w:w="6067" w:type="dxa"/>
            <w:tcBorders>
              <w:right w:val="single" w:sz="8" w:space="0" w:color="000000"/>
            </w:tcBorders>
            <w:tcMar>
              <w:bottom w:w="0" w:type="dxa"/>
            </w:tcMar>
            <w:vAlign w:val="center"/>
          </w:tcPr>
          <w:p>
            <w:pPr>
              <w:pStyle w:val="TableContents"/>
              <w:bidi w:val="0"/>
              <w:spacing w:before="0" w:after="283"/>
              <w:jc w:val="left"/>
              <w:rPr>
                <w:sz w:val="20"/>
              </w:rPr>
            </w:pPr>
            <w:r>
              <w:rPr>
                <w:sz w:val="20"/>
              </w:rPr>
              <w:t>Any other form or document, accurately completed and in a manner reasonably satisfactory to the other party, that may be required or reasonably requested by the other party under Section 4(a)(iii) in order to allow the other party to make a payment under this Agreement without any deduction or withholding for or on account of any Tax or with such deduction at a reduced rate or to comply with any reporting, including reporting implemented pursuant to the OECD Common Reporting Standard.</w:t>
            </w:r>
          </w:p>
        </w:tc>
        <w:tc>
          <w:tcPr>
            <w:tcW w:w="3004" w:type="dxa"/>
            <w:tcBorders/>
            <w:tcMar>
              <w:bottom w:w="0" w:type="dxa"/>
              <w:right w:w="0" w:type="dxa"/>
            </w:tcMar>
            <w:vAlign w:val="center"/>
          </w:tcPr>
          <w:p>
            <w:pPr>
              <w:pStyle w:val="TableContents"/>
              <w:bidi w:val="0"/>
              <w:spacing w:before="0" w:after="283"/>
              <w:jc w:val="left"/>
              <w:rPr>
                <w:sz w:val="20"/>
              </w:rPr>
            </w:pPr>
            <w:r>
              <w:rPr>
                <w:sz w:val="20"/>
              </w:rPr>
              <w:t>Promptly upon reasonable request by the other party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0"/>
        <w:gridCol w:w="770"/>
        <w:gridCol w:w="9335"/>
      </w:tblGrid>
      <w:tr>
        <w:trPr/>
        <w:tc>
          <w:tcPr>
            <w:tcW w:w="1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(b)</w:t>
            </w:r>
          </w:p>
        </w:tc>
        <w:tc>
          <w:tcPr>
            <w:tcW w:w="9335" w:type="dxa"/>
            <w:tcBorders/>
            <w:vAlign w:val="center"/>
          </w:tcPr>
          <w:p>
            <w:pPr>
              <w:pStyle w:val="TableContents"/>
              <w:bidi w:val="0"/>
              <w:spacing w:before="0" w:after="283"/>
              <w:jc w:val="both"/>
              <w:rPr/>
            </w:pPr>
            <w:r>
              <w:rPr/>
              <w:t>Other documents to be delivered are: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28" w:type="dxa"/>
        </w:tblCellMar>
      </w:tblPr>
      <w:tblGrid>
        <w:gridCol w:w="1278"/>
        <w:gridCol w:w="5627"/>
        <w:gridCol w:w="2328"/>
        <w:gridCol w:w="972"/>
      </w:tblGrid>
      <w:tr>
        <w:trPr/>
        <w:tc>
          <w:tcPr>
            <w:tcW w:w="1278"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5627"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2328"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Date by which to be delivered</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Covered by Section 3(d) Representation</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Certified copies, in form and substance reasonably satisfactory to the other party, of (x) signature specimen of authorized individuals and (y) all other documents authorizing the execution, delivery and performance of this Agreement and any Credit Support Document (if applicable) by the delivering party</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Promptly upon request by the other party</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Duly executed copy of each Credit Support Document</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Upon execution of this Agreement and, thereafter, upon amendment thereof</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Copies of its Core Documents</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Upon execution of this Agreement and, thereafter, promptly following material amendment thereof</w:t>
            </w:r>
          </w:p>
        </w:tc>
        <w:tc>
          <w:tcPr>
            <w:tcW w:w="972" w:type="dxa"/>
            <w:tcBorders>
              <w:bottom w:val="single" w:sz="8" w:space="0" w:color="000000"/>
            </w:tcBorders>
            <w:tcMar>
              <w:right w:w="0" w:type="dxa"/>
            </w:tcMar>
            <w:vAlign w:val="center"/>
          </w:tcPr>
          <w:p>
            <w:pPr>
              <w:pStyle w:val="TableContents"/>
              <w:bidi w:val="0"/>
              <w:spacing w:before="0" w:after="283"/>
              <w:jc w:val="left"/>
              <w:rPr>
                <w:sz w:val="20"/>
              </w:rPr>
            </w:pPr>
            <w:r>
              <w:rPr>
                <w:sz w:val="20"/>
              </w:rPr>
              <w:t>Yes</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28" w:type="dxa"/>
        </w:tblCellMar>
      </w:tblPr>
      <w:tblGrid>
        <w:gridCol w:w="1399"/>
        <w:gridCol w:w="5783"/>
        <w:gridCol w:w="1885"/>
        <w:gridCol w:w="1138"/>
      </w:tblGrid>
      <w:tr>
        <w:trPr/>
        <w:tc>
          <w:tcPr>
            <w:tcW w:w="1399"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5783"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1885"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Date by which to be delivered</w:t>
            </w:r>
          </w:p>
        </w:tc>
        <w:tc>
          <w:tcPr>
            <w:tcW w:w="1138"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Covered by Section 3(d) Representation</w:t>
            </w:r>
          </w:p>
        </w:tc>
      </w:tr>
      <w:tr>
        <w:trPr/>
        <w:tc>
          <w:tcPr>
            <w:tcW w:w="1399"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(iv)  Party A and Party B</w:t>
            </w:r>
          </w:p>
        </w:tc>
        <w:tc>
          <w:tcPr>
            <w:tcW w:w="5783"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Such documentation and other evidence as is reasonably required by the other party in order to carry out and be satisfied it has complied with all necessary “know your customer” or other similar checks under applicable laws and regulations</w:t>
            </w:r>
          </w:p>
        </w:tc>
        <w:tc>
          <w:tcPr>
            <w:tcW w:w="1885"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Promptly upon a change of control and otherwise upon request</w:t>
            </w:r>
          </w:p>
        </w:tc>
        <w:tc>
          <w:tcPr>
            <w:tcW w:w="1138"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399" w:type="dxa"/>
            <w:tcBorders>
              <w:right w:val="single" w:sz="8" w:space="0" w:color="000000"/>
            </w:tcBorders>
            <w:tcMar>
              <w:bottom w:w="0" w:type="dxa"/>
            </w:tcMar>
            <w:vAlign w:val="center"/>
          </w:tcPr>
          <w:p>
            <w:pPr>
              <w:pStyle w:val="TableContents"/>
              <w:bidi w:val="0"/>
              <w:spacing w:before="0" w:after="283"/>
              <w:jc w:val="left"/>
              <w:rPr>
                <w:sz w:val="20"/>
              </w:rPr>
            </w:pPr>
            <w:r>
              <w:rPr>
                <w:sz w:val="20"/>
              </w:rPr>
              <w:t>(v)    Party A and Party B</w:t>
            </w:r>
          </w:p>
        </w:tc>
        <w:tc>
          <w:tcPr>
            <w:tcW w:w="5783" w:type="dxa"/>
            <w:tcBorders>
              <w:right w:val="single" w:sz="8" w:space="0" w:color="000000"/>
            </w:tcBorders>
            <w:tcMar>
              <w:bottom w:w="0" w:type="dxa"/>
            </w:tcMar>
            <w:vAlign w:val="center"/>
          </w:tcPr>
          <w:p>
            <w:pPr>
              <w:pStyle w:val="TableContents"/>
              <w:bidi w:val="0"/>
              <w:spacing w:before="0" w:after="283"/>
              <w:jc w:val="left"/>
              <w:rPr>
                <w:sz w:val="20"/>
              </w:rPr>
            </w:pPr>
            <w:r>
              <w:rPr>
                <w:sz w:val="20"/>
              </w:rPr>
              <w:t>Prior notice of any change to the registered address of a party or the location from which the party administers its business (the party’s “center of main interests”)</w:t>
            </w:r>
          </w:p>
        </w:tc>
        <w:tc>
          <w:tcPr>
            <w:tcW w:w="1885" w:type="dxa"/>
            <w:tcBorders>
              <w:right w:val="single" w:sz="8" w:space="0" w:color="000000"/>
            </w:tcBorders>
            <w:tcMar>
              <w:bottom w:w="0" w:type="dxa"/>
            </w:tcMar>
            <w:vAlign w:val="center"/>
          </w:tcPr>
          <w:p>
            <w:pPr>
              <w:pStyle w:val="TableContents"/>
              <w:bidi w:val="0"/>
              <w:spacing w:before="0" w:after="283"/>
              <w:jc w:val="left"/>
              <w:rPr>
                <w:sz w:val="20"/>
              </w:rPr>
            </w:pPr>
            <w:r>
              <w:rPr>
                <w:sz w:val="20"/>
              </w:rPr>
              <w:t>At least 10 calendar days prior to any change</w:t>
            </w:r>
          </w:p>
        </w:tc>
        <w:tc>
          <w:tcPr>
            <w:tcW w:w="1138" w:type="dxa"/>
            <w:tcBorders/>
            <w:tcMar>
              <w:bottom w:w="0" w:type="dxa"/>
              <w:right w:w="0" w:type="dxa"/>
            </w:tcMar>
            <w:vAlign w:val="center"/>
          </w:tcPr>
          <w:p>
            <w:pPr>
              <w:pStyle w:val="TableContents"/>
              <w:bidi w:val="0"/>
              <w:spacing w:before="0" w:after="283"/>
              <w:jc w:val="left"/>
              <w:rPr>
                <w:sz w:val="20"/>
              </w:rPr>
            </w:pPr>
            <w:r>
              <w:rPr>
                <w:sz w:val="20"/>
              </w:rPr>
              <w:t>Yes</w:t>
            </w:r>
          </w:p>
        </w:tc>
      </w:tr>
    </w:tbl>
    <w:p>
      <w:pPr>
        <w:pStyle w:val="TextBody"/>
        <w:bidi w:val="0"/>
        <w:spacing w:before="0" w:after="0"/>
        <w:ind w:left="720" w:right="0" w:hanging="0"/>
        <w:jc w:val="both"/>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1971"/>
        <w:gridCol w:w="8075"/>
      </w:tblGrid>
      <w:tr>
        <w:trPr/>
        <w:tc>
          <w:tcPr>
            <w:tcW w:w="15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b/>
              </w:rPr>
            </w:pPr>
            <w:r>
              <w:rPr>
                <w:b/>
              </w:rPr>
              <w:t>Part</w:t>
            </w:r>
          </w:p>
        </w:tc>
        <w:tc>
          <w:tcPr>
            <w:tcW w:w="8075" w:type="dxa"/>
            <w:tcBorders/>
            <w:vAlign w:val="center"/>
          </w:tcPr>
          <w:p>
            <w:pPr>
              <w:pStyle w:val="TableContents"/>
              <w:bidi w:val="0"/>
              <w:spacing w:before="0" w:after="283"/>
              <w:jc w:val="both"/>
              <w:rPr>
                <w:b/>
              </w:rPr>
            </w:pPr>
            <w:r>
              <w:rPr>
                <w:b/>
              </w:rPr>
              <w:t>4.    Miscellaneous.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17"/>
        <w:gridCol w:w="9845"/>
      </w:tblGrid>
      <w:tr>
        <w:trPr/>
        <w:tc>
          <w:tcPr>
            <w:tcW w:w="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283"/>
              <w:jc w:val="both"/>
              <w:rPr/>
            </w:pPr>
            <w:r>
              <w:rPr>
                <w:b/>
                <w:i/>
              </w:rPr>
              <w:t>Addresses for Notices.</w:t>
            </w:r>
            <w:r>
              <w:rPr/>
              <w:t xml:space="preserve"> For the purpose of Section 12(a) (</w:t>
            </w:r>
            <w:r>
              <w:rPr>
                <w:i/>
              </w:rPr>
              <w:t>Effectiveness</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
        <w:gridCol w:w="461"/>
        <w:gridCol w:w="9668"/>
      </w:tblGrid>
      <w:tr>
        <w:trPr/>
        <w:tc>
          <w:tcPr>
            <w:tcW w:w="7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(i)</w:t>
            </w:r>
          </w:p>
        </w:tc>
        <w:tc>
          <w:tcPr>
            <w:tcW w:w="9668" w:type="dxa"/>
            <w:tcBorders/>
            <w:vAlign w:val="center"/>
          </w:tcPr>
          <w:p>
            <w:pPr>
              <w:pStyle w:val="TableContents"/>
              <w:bidi w:val="0"/>
              <w:spacing w:before="0" w:after="283"/>
              <w:jc w:val="both"/>
              <w:rPr/>
            </w:pPr>
            <w:r>
              <w:rPr/>
              <w:t>Address for notices or communications to Party 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1819"/>
        <w:gridCol w:w="8228"/>
      </w:tblGrid>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b/>
              </w:rPr>
            </w:pPr>
            <w:r>
              <w:rPr>
                <w:b/>
              </w:rPr>
              <w:t>Blockchain.com (BVI) II Limited</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Address:</w:t>
            </w:r>
          </w:p>
        </w:tc>
        <w:tc>
          <w:tcPr>
            <w:tcW w:w="8228" w:type="dxa"/>
            <w:tcBorders/>
            <w:vAlign w:val="center"/>
          </w:tcPr>
          <w:p>
            <w:pPr>
              <w:pStyle w:val="TableContents"/>
              <w:bidi w:val="0"/>
              <w:spacing w:before="0" w:after="283"/>
              <w:jc w:val="left"/>
              <w:rPr/>
            </w:pPr>
            <w:r>
              <w:rPr/>
              <w:t>2nd Floor Water’s Edge Building</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pPr>
            <w:r>
              <w:rPr/>
              <w:t>Wickhams Cay II, Road Town</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pPr>
            <w:r>
              <w:rPr/>
              <w:t>Tortola, VG 1110, British Virgin Islands</w:t>
            </w:r>
          </w:p>
        </w:tc>
      </w:tr>
      <w:tr>
        <w:trPr/>
        <w:tc>
          <w:tcPr>
            <w:tcW w:w="15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pPr>
            <w:r>
              <w:rPr/>
              <w:t>Email:</w:t>
            </w:r>
          </w:p>
        </w:tc>
        <w:tc>
          <w:tcPr>
            <w:tcW w:w="8228"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5"/>
        <w:gridCol w:w="577"/>
        <w:gridCol w:w="9553"/>
      </w:tblGrid>
      <w:tr>
        <w:trPr/>
        <w:tc>
          <w:tcPr>
            <w:tcW w:w="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(ii)</w:t>
            </w:r>
          </w:p>
        </w:tc>
        <w:tc>
          <w:tcPr>
            <w:tcW w:w="9553" w:type="dxa"/>
            <w:tcBorders/>
            <w:vAlign w:val="center"/>
          </w:tcPr>
          <w:p>
            <w:pPr>
              <w:pStyle w:val="TableContents"/>
              <w:bidi w:val="0"/>
              <w:spacing w:before="0" w:after="283"/>
              <w:jc w:val="both"/>
              <w:rPr/>
            </w:pPr>
            <w:r>
              <w:rPr/>
              <w:t>Address for notices or communications to Party B:</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2316"/>
        <w:gridCol w:w="7688"/>
      </w:tblGrid>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b/>
              </w:rPr>
            </w:pPr>
            <w:r>
              <w:rPr>
                <w:b/>
              </w:rPr>
              <w:t>Sono Group N.V.</w:t>
            </w:r>
          </w:p>
        </w:tc>
      </w:tr>
      <w:tr>
        <w:trPr/>
        <w:tc>
          <w:tcPr>
            <w:tcW w:w="20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pPr>
            <w:r>
              <w:rPr/>
              <w:t>Address:</w:t>
            </w:r>
          </w:p>
        </w:tc>
        <w:tc>
          <w:tcPr>
            <w:tcW w:w="7688" w:type="dxa"/>
            <w:tcBorders/>
            <w:vAlign w:val="center"/>
          </w:tcPr>
          <w:p>
            <w:pPr>
              <w:pStyle w:val="TableContents"/>
              <w:bidi w:val="0"/>
              <w:spacing w:before="0" w:after="283"/>
              <w:jc w:val="both"/>
              <w:rPr/>
            </w:pPr>
            <w:r>
              <w:rPr/>
              <w:t>Waldmeisterstrasse 93</w:t>
            </w:r>
          </w:p>
        </w:tc>
      </w:tr>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pPr>
            <w:r>
              <w:rPr/>
              <w:t>80935 Munich</w:t>
            </w:r>
          </w:p>
        </w:tc>
      </w:tr>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pPr>
            <w:r>
              <w:rPr/>
              <w:t>Federal Republic of Germany</w:t>
            </w:r>
          </w:p>
        </w:tc>
      </w:tr>
      <w:tr>
        <w:trPr/>
        <w:tc>
          <w:tcPr>
            <w:tcW w:w="20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pPr>
            <w:r>
              <w:rPr/>
              <w:t>Email:</w:t>
            </w:r>
          </w:p>
        </w:tc>
        <w:tc>
          <w:tcPr>
            <w:tcW w:w="7688" w:type="dxa"/>
            <w:tcBorders/>
            <w:vAlign w:val="center"/>
          </w:tcPr>
          <w:p>
            <w:pPr>
              <w:pStyle w:val="TableContents"/>
              <w:bidi w:val="0"/>
              <w:spacing w:before="0" w:after="283"/>
              <w:jc w:val="both"/>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
        <w:gridCol w:w="340"/>
        <w:gridCol w:w="9821"/>
      </w:tblGrid>
      <w:tr>
        <w:trPr/>
        <w:tc>
          <w:tcPr>
            <w:tcW w:w="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(b)</w:t>
            </w:r>
          </w:p>
        </w:tc>
        <w:tc>
          <w:tcPr>
            <w:tcW w:w="9821" w:type="dxa"/>
            <w:tcBorders/>
            <w:vAlign w:val="center"/>
          </w:tcPr>
          <w:p>
            <w:pPr>
              <w:pStyle w:val="TableContents"/>
              <w:bidi w:val="0"/>
              <w:spacing w:before="0" w:after="283"/>
              <w:jc w:val="both"/>
              <w:rPr/>
            </w:pPr>
            <w:r>
              <w:rPr>
                <w:b/>
                <w:i/>
              </w:rPr>
              <w:t>Process Agent.</w:t>
            </w:r>
            <w:r>
              <w:rPr/>
              <w:t xml:space="preserve"> For the purpose of Section 13(c) (</w:t>
            </w:r>
            <w:r>
              <w:rPr>
                <w:i/>
              </w:rPr>
              <w:t>Service of Process</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
        <w:gridCol w:w="601"/>
        <w:gridCol w:w="9505"/>
      </w:tblGrid>
      <w:tr>
        <w:trPr/>
        <w:tc>
          <w:tcPr>
            <w:tcW w:w="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(i)</w:t>
            </w:r>
          </w:p>
        </w:tc>
        <w:tc>
          <w:tcPr>
            <w:tcW w:w="9505" w:type="dxa"/>
            <w:tcBorders/>
            <w:vAlign w:val="center"/>
          </w:tcPr>
          <w:p>
            <w:pPr>
              <w:pStyle w:val="TableContents"/>
              <w:bidi w:val="0"/>
              <w:spacing w:before="0" w:after="283"/>
              <w:jc w:val="both"/>
              <w:rPr/>
            </w:pPr>
            <w:r>
              <w:rPr/>
              <w:t>Party A appoints as its Process Agent:</w:t>
            </w:r>
          </w:p>
        </w:tc>
      </w:tr>
    </w:tbl>
    <w:p>
      <w:pPr>
        <w:pStyle w:val="TextBody"/>
        <w:bidi w:val="0"/>
        <w:spacing w:before="0" w:after="0"/>
        <w:jc w:val="left"/>
        <w:rPr/>
      </w:pPr>
      <w:r>
        <w:rPr/>
        <w:t> </w:t>
      </w:r>
    </w:p>
    <w:p>
      <w:pPr>
        <w:pStyle w:val="TextBody"/>
        <w:bidi w:val="0"/>
        <w:spacing w:before="0" w:after="0"/>
        <w:ind w:left="3600" w:right="0" w:hanging="1440"/>
        <w:jc w:val="both"/>
        <w:rPr>
          <w:b/>
          <w:sz w:val="20"/>
        </w:rPr>
      </w:pPr>
      <w:r>
        <w:rPr>
          <w:b/>
          <w:sz w:val="20"/>
        </w:rPr>
        <w:t>Blockchain Access UK Limited</w:t>
      </w:r>
    </w:p>
    <w:p>
      <w:pPr>
        <w:pStyle w:val="TextBody"/>
        <w:bidi w:val="0"/>
        <w:spacing w:before="0" w:after="0"/>
        <w:ind w:left="3600" w:right="0" w:hanging="1440"/>
        <w:jc w:val="both"/>
        <w:rPr>
          <w:sz w:val="20"/>
        </w:rPr>
      </w:pPr>
      <w:r>
        <w:rPr>
          <w:sz w:val="20"/>
        </w:rPr>
        <w:t>Minshull House, 67 Wellington Road North</w:t>
      </w:r>
    </w:p>
    <w:p>
      <w:pPr>
        <w:pStyle w:val="TextBody"/>
        <w:bidi w:val="0"/>
        <w:spacing w:before="0" w:after="0"/>
        <w:ind w:left="3600" w:right="0" w:hanging="1440"/>
        <w:jc w:val="both"/>
        <w:rPr>
          <w:sz w:val="20"/>
        </w:rPr>
      </w:pPr>
      <w:r>
        <w:rPr>
          <w:sz w:val="20"/>
        </w:rPr>
        <w:t>Cheshire, SK4 2LP, United Kingdom</w:t>
      </w:r>
    </w:p>
    <w:p>
      <w:pPr>
        <w:pStyle w:val="TextBody"/>
        <w:bidi w:val="0"/>
        <w:spacing w:before="0" w:after="0"/>
        <w:ind w:left="3600" w:right="0" w:hanging="1440"/>
        <w:jc w:val="both"/>
        <w:rPr/>
      </w:pPr>
      <w:r>
        <w:rPr/>
        <w:t> </w:t>
      </w:r>
    </w:p>
    <w:tbl>
      <w:tblPr>
        <w:tblW w:w="5000" w:type="pct"/>
        <w:jc w:val="left"/>
        <w:tblInd w:w="0" w:type="dxa"/>
        <w:tblLayout w:type="fixed"/>
        <w:tblCellMar>
          <w:top w:w="0" w:type="dxa"/>
          <w:left w:w="0" w:type="dxa"/>
          <w:bottom w:w="0" w:type="dxa"/>
          <w:right w:w="0" w:type="dxa"/>
        </w:tblCellMar>
      </w:tblPr>
      <w:tblGrid>
        <w:gridCol w:w="71"/>
        <w:gridCol w:w="550"/>
        <w:gridCol w:w="9584"/>
      </w:tblGrid>
      <w:tr>
        <w:trPr/>
        <w:tc>
          <w:tcPr>
            <w:tcW w:w="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(ii)</w:t>
            </w:r>
          </w:p>
        </w:tc>
        <w:tc>
          <w:tcPr>
            <w:tcW w:w="9584" w:type="dxa"/>
            <w:tcBorders/>
            <w:vAlign w:val="center"/>
          </w:tcPr>
          <w:p>
            <w:pPr>
              <w:pStyle w:val="TableContents"/>
              <w:bidi w:val="0"/>
              <w:spacing w:before="0" w:after="283"/>
              <w:jc w:val="both"/>
              <w:rPr/>
            </w:pPr>
            <w:r>
              <w:rPr/>
              <w:t>Party B appoints as its Process Agent: Not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
        <w:gridCol w:w="404"/>
        <w:gridCol w:w="9746"/>
      </w:tblGrid>
      <w:tr>
        <w:trPr/>
        <w:tc>
          <w:tcPr>
            <w:tcW w:w="5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(c)</w:t>
            </w:r>
          </w:p>
        </w:tc>
        <w:tc>
          <w:tcPr>
            <w:tcW w:w="9746" w:type="dxa"/>
            <w:tcBorders/>
            <w:vAlign w:val="center"/>
          </w:tcPr>
          <w:p>
            <w:pPr>
              <w:pStyle w:val="TableContents"/>
              <w:bidi w:val="0"/>
              <w:spacing w:before="0" w:after="283"/>
              <w:jc w:val="both"/>
              <w:rPr/>
            </w:pPr>
            <w:r>
              <w:rPr>
                <w:b/>
                <w:i/>
              </w:rPr>
              <w:t>Offices.</w:t>
            </w:r>
            <w:r>
              <w:rPr/>
              <w:t xml:space="preserve"> The provisions of Section 10(a) will apply to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(d)</w:t>
            </w:r>
          </w:p>
        </w:tc>
        <w:tc>
          <w:tcPr>
            <w:tcW w:w="9892" w:type="dxa"/>
            <w:tcBorders/>
            <w:vAlign w:val="center"/>
          </w:tcPr>
          <w:p>
            <w:pPr>
              <w:pStyle w:val="TableContents"/>
              <w:bidi w:val="0"/>
              <w:spacing w:before="0" w:after="283"/>
              <w:jc w:val="both"/>
              <w:rPr/>
            </w:pPr>
            <w:r>
              <w:rPr>
                <w:b/>
                <w:i/>
              </w:rPr>
              <w:t>Multibranch Party.</w:t>
            </w:r>
            <w:r>
              <w:rPr/>
              <w:t xml:space="preserve"> For the purpose of Section 10(b) of this Agreement, neither Party A nor Party B is a Multibranch Party.</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b/>
                <w:i/>
              </w:rPr>
              <w:t>Calculation Agent.</w:t>
            </w:r>
            <w:r>
              <w:rPr/>
              <w:t xml:space="preserve"> The Calculation Agent is Party A unless (i) an Event of Default or a Termination Event occurs and is continuing in respect of which Party A is the Defaulting Party or the sole Affected Party, respectively, in which case Party B shall appoint a third party to act as Calculation Agent; or (ii) the Calculation Agent is otherwise specified in a Confirmation in relation to the relevant Transaction. Each party agrees that the Calculation Agent is not acting as a fiduciary for, or as an advisor to, such party in respect of its duties as Calculation Agent in connection with any Transaction. In the event that the party which is not the Calculation Agent disputes the calculations of the Calculation Agent, the parties shall first seek to resolve the dispute in good faith and in a commercially reasonable manner. In the event the parties are unable to agree on a final calculation, the parties will designate a mutually acceptable leading market participant in the relevant market to act as substitute Calculation Agent (the “</w:t>
            </w:r>
            <w:r>
              <w:rPr>
                <w:b/>
                <w:i/>
              </w:rPr>
              <w:t>Substitute Calculation Agent</w:t>
            </w:r>
            <w:r>
              <w:rPr/>
              <w:t>”) whose fees and expenses shall be met equally by both parties; provided, however, that if the calculation by the Substitute Calculation Agent is substantially similar to the party acting as Calculation Agent, then the fees and expenses of the Substitute Calculation Agent shall be the sole responsibility of the disputing party. If the parties cannot agree on a Substitute Calculation Agent, each party shall nominate a recognized leading market participant in the market who shall together elect the “Substitute Calculation Agent”. Any determinations by the Substitute Calculation Agent shall be binding absent manifest error.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1" w:type="dxa"/>
            <w:tcBorders/>
            <w:vAlign w:val="center"/>
          </w:tcPr>
          <w:p>
            <w:pPr>
              <w:pStyle w:val="TableContents"/>
              <w:bidi w:val="0"/>
              <w:spacing w:before="0" w:after="283"/>
              <w:jc w:val="both"/>
              <w:rPr/>
            </w:pPr>
            <w:r>
              <w:rPr>
                <w:b/>
                <w:i/>
              </w:rPr>
              <w:t>Credit Support Document.</w:t>
            </w:r>
            <w:r>
              <w:rPr/>
              <w:t xml:space="preserve"> “</w:t>
            </w:r>
            <w:r>
              <w:rPr>
                <w:b/>
                <w:i/>
              </w:rPr>
              <w:t>Credit Support Document</w:t>
            </w:r>
            <w:r>
              <w:rPr/>
              <w:t>” means, in relation to Party A and Party B, the ISDA Credit Support Annex (Bilateral Form – Transfer – ISDA Agreements Subject to English Law) dated as of the date hereof, which supplements, forms part of and is subject to this Agreement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
        <w:gridCol w:w="486"/>
        <w:gridCol w:w="9656"/>
      </w:tblGrid>
      <w:tr>
        <w:trPr/>
        <w:tc>
          <w:tcPr>
            <w:tcW w:w="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(g)</w:t>
            </w:r>
          </w:p>
        </w:tc>
        <w:tc>
          <w:tcPr>
            <w:tcW w:w="9656" w:type="dxa"/>
            <w:tcBorders/>
            <w:vAlign w:val="center"/>
          </w:tcPr>
          <w:p>
            <w:pPr>
              <w:pStyle w:val="TableContents"/>
              <w:bidi w:val="0"/>
              <w:spacing w:before="0" w:after="283"/>
              <w:jc w:val="both"/>
              <w:rPr/>
            </w:pPr>
            <w:r>
              <w:rPr>
                <w:b/>
                <w:i/>
              </w:rPr>
              <w:t>Credit Support Provider.</w:t>
            </w:r>
            <w:r>
              <w:rPr/>
              <w:t xml:space="preserve"> “</w:t>
            </w:r>
            <w:r>
              <w:rPr>
                <w:b/>
                <w:i/>
              </w:rPr>
              <w:t>Credit Support Provider</w:t>
            </w:r>
            <w:r>
              <w:rPr/>
              <w:t>” means: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8"/>
        <w:gridCol w:w="717"/>
        <w:gridCol w:w="9370"/>
      </w:tblGrid>
      <w:tr>
        <w:trPr/>
        <w:tc>
          <w:tcPr>
            <w:tcW w:w="1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w:t>
            </w:r>
          </w:p>
        </w:tc>
        <w:tc>
          <w:tcPr>
            <w:tcW w:w="9370" w:type="dxa"/>
            <w:tcBorders/>
            <w:vAlign w:val="center"/>
          </w:tcPr>
          <w:p>
            <w:pPr>
              <w:pStyle w:val="TableContents"/>
              <w:bidi w:val="0"/>
              <w:spacing w:before="0" w:after="283"/>
              <w:jc w:val="both"/>
              <w:rPr/>
            </w:pPr>
            <w:r>
              <w:rPr/>
              <w:t>in relation to Party A:</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
        <w:gridCol w:w="1016"/>
        <w:gridCol w:w="9057"/>
      </w:tblGrid>
      <w:tr>
        <w:trPr/>
        <w:tc>
          <w:tcPr>
            <w:tcW w:w="1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pPr>
            <w:r>
              <w:rPr/>
              <w:t>(ii)</w:t>
            </w:r>
          </w:p>
        </w:tc>
        <w:tc>
          <w:tcPr>
            <w:tcW w:w="9057" w:type="dxa"/>
            <w:tcBorders/>
            <w:vAlign w:val="center"/>
          </w:tcPr>
          <w:p>
            <w:pPr>
              <w:pStyle w:val="TableContents"/>
              <w:bidi w:val="0"/>
              <w:spacing w:before="0" w:after="283"/>
              <w:jc w:val="both"/>
              <w:rPr/>
            </w:pPr>
            <w:r>
              <w:rPr/>
              <w:t>in relation to Party B:</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(h)</w:t>
            </w:r>
          </w:p>
        </w:tc>
        <w:tc>
          <w:tcPr>
            <w:tcW w:w="9881" w:type="dxa"/>
            <w:tcBorders/>
            <w:vAlign w:val="center"/>
          </w:tcPr>
          <w:p>
            <w:pPr>
              <w:pStyle w:val="TableContents"/>
              <w:bidi w:val="0"/>
              <w:spacing w:before="0" w:after="283"/>
              <w:jc w:val="both"/>
              <w:rPr/>
            </w:pPr>
            <w:r>
              <w:rPr>
                <w:b/>
                <w:i/>
              </w:rPr>
              <w:t>Governing Law.</w:t>
            </w:r>
            <w:r>
              <w:rPr/>
              <w:t xml:space="preserve"> Sections 13(a) and (b) of this Agreement shall be deleted and replaced with the following:</w:t>
            </w:r>
          </w:p>
        </w:tc>
      </w:tr>
    </w:tbl>
    <w:p>
      <w:pPr>
        <w:pStyle w:val="TextBody"/>
        <w:bidi w:val="0"/>
        <w:spacing w:before="0" w:after="0"/>
        <w:jc w:val="left"/>
        <w:rPr/>
      </w:pPr>
      <w:r>
        <w:rPr/>
        <w:t> </w:t>
      </w:r>
    </w:p>
    <w:p>
      <w:pPr>
        <w:pStyle w:val="TextBody"/>
        <w:bidi w:val="0"/>
        <w:spacing w:before="0" w:after="0"/>
        <w:ind w:left="709" w:right="0" w:hanging="0"/>
        <w:jc w:val="both"/>
        <w:rPr/>
      </w:pPr>
      <w:r>
        <w:rPr/>
        <w:t>“</w:t>
      </w:r>
      <w:r>
        <w:rPr>
          <w:sz w:val="20"/>
        </w:rPr>
        <w:t>(a)</w:t>
        <w:tab/>
      </w:r>
      <w:r>
        <w:rPr>
          <w:b/>
          <w:i/>
          <w:sz w:val="20"/>
        </w:rPr>
        <w:t>Governing Law</w:t>
      </w:r>
      <w:r>
        <w:rPr>
          <w:sz w:val="20"/>
        </w:rPr>
        <w:t>. This Agreement and any contractual or non-contractual obligations arising out of or in relation to this Agreement shall be governed by and construed in accordance with the laws of England and Wales.</w:t>
      </w:r>
    </w:p>
    <w:p>
      <w:pPr>
        <w:pStyle w:val="TextBody"/>
        <w:bidi w:val="0"/>
        <w:spacing w:before="0" w:after="0"/>
        <w:ind w:left="709" w:right="0" w:hanging="0"/>
        <w:jc w:val="both"/>
        <w:rPr/>
      </w:pPr>
      <w:r>
        <w:rPr/>
        <w:t> </w:t>
      </w:r>
    </w:p>
    <w:p>
      <w:pPr>
        <w:pStyle w:val="TextBody"/>
        <w:bidi w:val="0"/>
        <w:spacing w:before="0" w:after="0"/>
        <w:ind w:left="709" w:right="0" w:hanging="0"/>
        <w:jc w:val="both"/>
        <w:rPr>
          <w:sz w:val="20"/>
        </w:rPr>
      </w:pPr>
      <w:r>
        <w:rPr>
          <w:sz w:val="20"/>
        </w:rPr>
        <w:t>(b)       </w:t>
      </w:r>
      <w:r>
        <w:rPr>
          <w:b/>
          <w:i/>
          <w:sz w:val="20"/>
        </w:rPr>
        <w:t>Jurisdiction</w:t>
      </w:r>
      <w:r>
        <w:rPr>
          <w:sz w:val="20"/>
        </w:rPr>
        <w:t>. With respect to any suit, action or proceedings relating to any dispute arising out of or in connection with this Agreement (“</w:t>
      </w:r>
      <w:r>
        <w:rPr>
          <w:b/>
          <w:i/>
          <w:sz w:val="20"/>
        </w:rPr>
        <w:t>Proceedings</w:t>
      </w:r>
      <w:r>
        <w:rPr>
          <w:sz w:val="20"/>
        </w:rPr>
        <w:t>”), each party:</w:t>
      </w:r>
    </w:p>
    <w:p>
      <w:pPr>
        <w:pStyle w:val="TextBody"/>
        <w:bidi w:val="0"/>
        <w:spacing w:before="0" w:after="0"/>
        <w:ind w:left="709" w:right="0" w:hanging="0"/>
        <w:jc w:val="both"/>
        <w:rPr/>
      </w:pPr>
      <w:r>
        <w:rPr/>
        <w:t> </w:t>
      </w:r>
    </w:p>
    <w:p>
      <w:pPr>
        <w:pStyle w:val="TextBody"/>
        <w:bidi w:val="0"/>
        <w:spacing w:before="0" w:after="0"/>
        <w:ind w:left="720" w:right="0" w:firstLine="720"/>
        <w:jc w:val="both"/>
        <w:rPr>
          <w:sz w:val="20"/>
        </w:rPr>
      </w:pPr>
      <w:r>
        <w:rPr>
          <w:sz w:val="20"/>
        </w:rPr>
        <w:t>(1)       irrevocably submits to the exclusive jurisdiction of the courts of England and Wales; and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(2)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pStyle w:val="TextBody"/>
        <w:bidi w:val="0"/>
        <w:spacing w:before="0" w:after="0"/>
        <w:ind w:left="72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b/>
                <w:i/>
              </w:rPr>
              <w:t>Netting of Payments.</w:t>
            </w:r>
            <w:r>
              <w:rPr/>
              <w:t xml:space="preserve"> “</w:t>
            </w:r>
            <w:r>
              <w:rPr>
                <w:b/>
                <w:i/>
              </w:rPr>
              <w:t>Multiple Transaction Payment Netting</w:t>
            </w:r>
            <w:r>
              <w:rPr/>
              <w:t>” will apply for the purpose of Section 2(c) (</w:t>
            </w:r>
            <w:r>
              <w:rPr>
                <w:i/>
              </w:rPr>
              <w:t>Netting of Payments</w:t>
            </w:r>
            <w:r>
              <w:rPr/>
              <w:t>) of this Agreement to all Transactions under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(j)</w:t>
            </w:r>
          </w:p>
        </w:tc>
        <w:tc>
          <w:tcPr>
            <w:tcW w:w="9839" w:type="dxa"/>
            <w:tcBorders/>
            <w:vAlign w:val="center"/>
          </w:tcPr>
          <w:p>
            <w:pPr>
              <w:pStyle w:val="TableContents"/>
              <w:bidi w:val="0"/>
              <w:spacing w:before="0" w:after="283"/>
              <w:jc w:val="both"/>
              <w:rPr/>
            </w:pPr>
            <w:r>
              <w:rPr/>
              <w:t>“</w:t>
            </w:r>
            <w:r>
              <w:rPr>
                <w:b/>
                <w:i/>
              </w:rPr>
              <w:t>Affiliate</w:t>
            </w:r>
            <w:r>
              <w:rPr/>
              <w:t>” will have the meaning specified in Section 14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(k)</w:t>
            </w:r>
          </w:p>
        </w:tc>
        <w:tc>
          <w:tcPr>
            <w:tcW w:w="9855" w:type="dxa"/>
            <w:tcBorders/>
            <w:vAlign w:val="center"/>
          </w:tcPr>
          <w:p>
            <w:pPr>
              <w:pStyle w:val="TableContents"/>
              <w:bidi w:val="0"/>
              <w:spacing w:before="0" w:after="283"/>
              <w:jc w:val="both"/>
              <w:rPr/>
            </w:pPr>
            <w:r>
              <w:rPr>
                <w:b/>
                <w:i/>
              </w:rPr>
              <w:t>Absence of Litigation.</w:t>
            </w:r>
            <w:r>
              <w:rPr/>
              <w:t xml:space="preserve"> For the purpose of Section 3(c) (</w:t>
            </w:r>
            <w:r>
              <w:rPr>
                <w:i/>
              </w:rPr>
              <w:t>Absence of Litigation</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
        <w:gridCol w:w="405"/>
        <w:gridCol w:w="9734"/>
      </w:tblGrid>
      <w:tr>
        <w:trPr/>
        <w:tc>
          <w:tcPr>
            <w:tcW w:w="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(i)</w:t>
            </w:r>
          </w:p>
        </w:tc>
        <w:tc>
          <w:tcPr>
            <w:tcW w:w="9734" w:type="dxa"/>
            <w:tcBorders/>
            <w:vAlign w:val="center"/>
          </w:tcPr>
          <w:p>
            <w:pPr>
              <w:pStyle w:val="TableContents"/>
              <w:bidi w:val="0"/>
              <w:spacing w:before="0" w:after="283"/>
              <w:jc w:val="both"/>
              <w:rPr/>
            </w:pPr>
            <w:r>
              <w:rPr/>
              <w:t>“</w:t>
            </w:r>
            <w:r>
              <w:rPr>
                <w:b/>
                <w:i/>
              </w:rPr>
              <w:t>Specified Entity</w:t>
            </w:r>
            <w:r>
              <w:rPr/>
              <w:t>” means, in relation to Party A:</w:t>
              <w:tab/>
              <w:t>none; and</w:t>
              <w:tab/>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
        <w:gridCol w:w="545"/>
        <w:gridCol w:w="9589"/>
      </w:tblGrid>
      <w:tr>
        <w:trPr/>
        <w:tc>
          <w:tcPr>
            <w:tcW w:w="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(ii)</w:t>
            </w:r>
          </w:p>
        </w:tc>
        <w:tc>
          <w:tcPr>
            <w:tcW w:w="9589" w:type="dxa"/>
            <w:tcBorders/>
            <w:vAlign w:val="center"/>
          </w:tcPr>
          <w:p>
            <w:pPr>
              <w:pStyle w:val="TableContents"/>
              <w:bidi w:val="0"/>
              <w:spacing w:before="0" w:after="283"/>
              <w:jc w:val="both"/>
              <w:rPr/>
            </w:pPr>
            <w:r>
              <w:rPr/>
              <w:t>“</w:t>
            </w:r>
            <w:r>
              <w:rPr>
                <w:b/>
                <w:i/>
              </w:rPr>
              <w:t>Specified Entity</w:t>
            </w:r>
            <w:r>
              <w:rPr/>
              <w:t>” means, in relation to Party B:</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
        <w:gridCol w:w="278"/>
        <w:gridCol w:w="9882"/>
      </w:tblGrid>
      <w:tr>
        <w:trPr/>
        <w:tc>
          <w:tcPr>
            <w:tcW w:w="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(l)</w:t>
            </w:r>
          </w:p>
        </w:tc>
        <w:tc>
          <w:tcPr>
            <w:tcW w:w="9882" w:type="dxa"/>
            <w:tcBorders/>
            <w:vAlign w:val="center"/>
          </w:tcPr>
          <w:p>
            <w:pPr>
              <w:pStyle w:val="TableContents"/>
              <w:bidi w:val="0"/>
              <w:spacing w:before="0" w:after="283"/>
              <w:jc w:val="both"/>
              <w:rPr/>
            </w:pPr>
            <w:r>
              <w:rPr>
                <w:b/>
                <w:i/>
              </w:rPr>
              <w:t>No Agency.</w:t>
            </w:r>
            <w:r>
              <w:rPr/>
              <w:t xml:space="preserve"> The provisions of Section 3(g) (</w:t>
            </w:r>
            <w:r>
              <w:rPr>
                <w:i/>
              </w:rPr>
              <w:t>No Agency</w:t>
            </w:r>
            <w:r>
              <w:rPr/>
              <w:t>) will apply to this Agreement.</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(m)</w:t>
            </w:r>
          </w:p>
        </w:tc>
        <w:tc>
          <w:tcPr>
            <w:tcW w:w="9849" w:type="dxa"/>
            <w:tcBorders/>
            <w:vAlign w:val="center"/>
          </w:tcPr>
          <w:p>
            <w:pPr>
              <w:pStyle w:val="TableContents"/>
              <w:bidi w:val="0"/>
              <w:spacing w:before="0" w:after="283"/>
              <w:jc w:val="both"/>
              <w:rPr/>
            </w:pPr>
            <w:r>
              <w:rPr>
                <w:b/>
                <w:i/>
              </w:rPr>
              <w:t xml:space="preserve">Additional Representation </w:t>
            </w:r>
            <w:r>
              <w:rPr/>
              <w:t>will apply. For the purpose of Section 3 (</w:t>
            </w:r>
            <w:r>
              <w:rPr>
                <w:i/>
              </w:rPr>
              <w:t>Representations</w:t>
            </w:r>
            <w:r>
              <w:rPr/>
              <w:t>) of this Agreement, the following will constitute an Additional Representation: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b/>
                <w:i/>
              </w:rPr>
              <w:t>Relationship Between Parties.</w:t>
            </w:r>
            <w:r>
              <w:rPr/>
              <w:t xml:space="preserve"> Each party will be deemed to represent to the other party on the date on which it enters into a Transaction that (absent a written agreement between the parties that expressly imposes affirmative obligations to the contrary for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b/>
                <w:i/>
              </w:rPr>
              <w:t>Non-Reliance.</w:t>
            </w:r>
            <w:r>
              <w:rPr/>
              <w:t xml:space="preserve"> It is acting for its own account, and it has made its own independent decisions to enter into that Transaction and as to whether that 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will not be considered investment advice or a recommendation to enter into that Transaction. No communication (written or oral) received from the other party will be deemed to be an assurance or guarantee as to the expected results of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b/>
                <w:i/>
              </w:rPr>
              <w:t>Assessment and Understanding.</w:t>
            </w:r>
            <w:r>
              <w:rPr/>
              <w:t xml:space="preserve"> It is capable of assessing the merits of and understanding (on its own behalf or through independent professional advice), and understands and accepts, the terms, conditions and risks of that Transaction. It is also capable of assuming, and assumes, the risks of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283"/>
              <w:jc w:val="both"/>
              <w:rPr/>
            </w:pPr>
            <w:r>
              <w:rPr>
                <w:b/>
                <w:i/>
              </w:rPr>
              <w:t>Status of Parties.</w:t>
            </w:r>
            <w:r>
              <w:rPr/>
              <w:t xml:space="preserve"> The other party is not acting as a fiduciary for or an adviser to it in respect of that Transaction.</w:t>
            </w:r>
          </w:p>
        </w:tc>
      </w:tr>
    </w:tbl>
    <w:p>
      <w:pPr>
        <w:pStyle w:val="TextBody"/>
        <w:bidi w:val="0"/>
        <w:spacing w:before="0" w:after="0"/>
        <w:ind w:left="21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b/>
                <w:i/>
              </w:rPr>
              <w:t xml:space="preserve">Eligible Contract Participant. </w:t>
            </w:r>
            <w:r>
              <w:rPr/>
              <w:t>Each party will be deemed to represent to the other party on the date on which it enters into a Transaction that it and its Credit Support Provider(s), if any, is an “eligible contract participant,” as such term is defined in Section 1a(18) of the Commodity Exchange Act, as amended (“</w:t>
            </w:r>
            <w:r>
              <w:rPr>
                <w:b/>
                <w:i/>
              </w:rPr>
              <w:t>CEA</w:t>
            </w:r>
            <w:r>
              <w:rPr/>
              <w:t>”), and that it qualifies as an “eligible counterparty” as defined in Article 30 of Directive 2014/65/EU of the European Parliament and of the Council of 15 May 2014 on markets in financial instruments.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b/>
                <w:i/>
              </w:rPr>
              <w:t>No Regulated Swaps Entity.</w:t>
            </w:r>
            <w:r>
              <w:rPr/>
              <w:t xml:space="preserve"> Party A represents that (1) it is not registered with the United States Commodity Futures Trading Commission (the “</w:t>
            </w:r>
            <w:r>
              <w:rPr>
                <w:b/>
                <w:i/>
              </w:rPr>
              <w:t>CFTC</w:t>
            </w:r>
            <w:r>
              <w:rPr/>
              <w:t>”) as a swap dealer or major swap participant (each as defined in the CEA and rules promulgated thereunder) and is not a U.S. Person pursuant to applicable CFTC guidance (each, a “</w:t>
            </w:r>
            <w:r>
              <w:rPr>
                <w:b/>
                <w:i/>
              </w:rPr>
              <w:t>DF Swap Entity</w:t>
            </w:r>
            <w:r>
              <w:rPr/>
              <w:t>”), (2) it is not guaranteed by a DF Swap Entity, and (3) it is not a financial counterparty for purposes of Regulation (EU) No 648/2012 (“</w:t>
            </w:r>
            <w:r>
              <w:rPr>
                <w:b/>
                <w:i/>
              </w:rPr>
              <w:t>EMIR</w:t>
            </w:r>
            <w:r>
              <w:rPr/>
              <w:t>”) on OTC derivatives, central counterparties and trade repositories. Accordingly, Party A is not required to, and will not, report the details of any Transaction under this Agreement to any trade repository pursuant to EU EMIR, UK EMIR, or the rules of the CFTC.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
        <w:gridCol w:w="689"/>
        <w:gridCol w:w="9426"/>
      </w:tblGrid>
      <w:tr>
        <w:trPr/>
        <w:tc>
          <w:tcPr>
            <w:tcW w:w="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pPr>
            <w:r>
              <w:rPr/>
              <w:t>(n)</w:t>
            </w:r>
          </w:p>
        </w:tc>
        <w:tc>
          <w:tcPr>
            <w:tcW w:w="9426" w:type="dxa"/>
            <w:tcBorders/>
            <w:vAlign w:val="center"/>
          </w:tcPr>
          <w:p>
            <w:pPr>
              <w:pStyle w:val="TableContents"/>
              <w:bidi w:val="0"/>
              <w:spacing w:before="0" w:after="283"/>
              <w:jc w:val="both"/>
              <w:rPr/>
            </w:pPr>
            <w:r>
              <w:rPr>
                <w:b/>
                <w:i/>
              </w:rPr>
              <w:t>Recording of Conversations.</w:t>
            </w:r>
            <w:r>
              <w:rPr/>
              <w:t xml:space="preserve"> Each party: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both"/>
              <w:rPr/>
            </w:pPr>
            <w:r>
              <w:rPr/>
              <w:t>consents to the recording of telephone conversations between the trading, marketing and other relevant personnel of the parties in connection with this Agreement or any potential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283"/>
              <w:jc w:val="both"/>
              <w:rPr/>
            </w:pPr>
            <w:r>
              <w:rPr/>
              <w:t>agrees to obtain any necessary consent of, and give any necessary notice of such recording to, its relevant personnel;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agrees, to the extent permitted by applicable law, that recordings may be submitted in evidence in any Proceedings, subject to applicable rules of discovery and evidence.</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1755"/>
        <w:gridCol w:w="8309"/>
      </w:tblGrid>
      <w:tr>
        <w:trPr/>
        <w:tc>
          <w:tcPr>
            <w:tcW w:w="14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b/>
              </w:rPr>
            </w:pPr>
            <w:r>
              <w:rPr>
                <w:b/>
              </w:rPr>
              <w:t>Part</w:t>
            </w:r>
          </w:p>
        </w:tc>
        <w:tc>
          <w:tcPr>
            <w:tcW w:w="8309" w:type="dxa"/>
            <w:tcBorders/>
            <w:vAlign w:val="center"/>
          </w:tcPr>
          <w:p>
            <w:pPr>
              <w:pStyle w:val="TableContents"/>
              <w:bidi w:val="0"/>
              <w:spacing w:before="0" w:after="283"/>
              <w:jc w:val="both"/>
              <w:rPr>
                <w:b/>
              </w:rPr>
            </w:pPr>
            <w:r>
              <w:rPr>
                <w:b/>
              </w:rPr>
              <w:t>5.    Other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b/>
                <w:i/>
              </w:rPr>
              <w:t>ISDA Definitions.</w:t>
            </w:r>
            <w:r>
              <w:rPr/>
              <w:t xml:space="preserve"> Reference is hereby made to the 2006 ISDA Definitions as published by ISDA (the “</w:t>
            </w:r>
            <w:r>
              <w:rPr>
                <w:b/>
                <w:i/>
              </w:rPr>
              <w:t>Definitions</w:t>
            </w:r>
            <w:r>
              <w:rPr/>
              <w:t>”), which are hereby incorporated by reference herein. Any terms used and not otherwise defined herein which are contained in the Definitions shall have the meaning set forth therein.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b/>
                <w:i/>
              </w:rPr>
              <w:t>Severability.</w:t>
            </w:r>
            <w:r>
              <w:rPr/>
              <w:t xml:space="preserve"> If any term, provision, covenant or condition of this Agreement, or the application thereof to any party or circumstance, shall be held to be invalid or unenforceable (in whole or in part) for any reason,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 The parties hereto shall endeavor in good faith negotiations to replace the prohibited or unenforceable provision with a valid provision the economic effect of which comes as close as possible to that of the prohibited or unenforceable provision.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b/>
                <w:i/>
              </w:rPr>
              <w:t xml:space="preserve">Limitation of Liability. </w:t>
            </w:r>
            <w:r>
              <w:rPr/>
              <w:t>Without prejudice to the definition of “Close-out Amount” and payments calculated by reference to the provisions in Section 6(e) (</w:t>
            </w:r>
            <w:r>
              <w:rPr>
                <w:i/>
              </w:rPr>
              <w:t>Payments on Early Termination</w:t>
            </w:r>
            <w:r>
              <w:rPr/>
              <w:t>), the parties agree that neither party shall be required to pay or be liable to the other party for any consequential, indirect or punitive damages, opportunity costs or lost profits (whether arising from its negligence or breach of contract or otherwise), save only that nothing shall exclude liability for gross negligence, willful misconduct or fraud.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b/>
                <w:i/>
              </w:rPr>
              <w:t>Accuracy of Specified Information.</w:t>
            </w:r>
            <w:r>
              <w:rPr/>
              <w:t xml:space="preserve"> Section 3(d) (</w:t>
            </w:r>
            <w:r>
              <w:rPr>
                <w:i/>
              </w:rPr>
              <w:t>Accuracy of Specified Information</w:t>
            </w:r>
            <w:r>
              <w:rPr/>
              <w:t>) of this Agreement is hereby amended by adding in the third line thereof, between the word “respect” and the period at the end, the words:</w:t>
            </w:r>
          </w:p>
        </w:tc>
      </w:tr>
    </w:tbl>
    <w:p>
      <w:pPr>
        <w:pStyle w:val="TextBody"/>
        <w:bidi w:val="0"/>
        <w:spacing w:before="0" w:after="0"/>
        <w:jc w:val="left"/>
        <w:rPr/>
      </w:pPr>
      <w:r>
        <w:rPr/>
        <w:t> </w:t>
      </w:r>
    </w:p>
    <w:p>
      <w:pPr>
        <w:pStyle w:val="TextBody"/>
        <w:bidi w:val="0"/>
        <w:spacing w:before="0" w:after="0"/>
        <w:ind w:left="1440" w:right="722" w:hanging="0"/>
        <w:jc w:val="both"/>
        <w:rPr/>
      </w:pPr>
      <w:r>
        <w:rPr/>
        <w:t>“</w:t>
      </w:r>
      <w:r>
        <w:rPr>
          <w:sz w:val="20"/>
        </w:rPr>
        <w:t>or, in the case of audited or unaudited financial statements or balance sheets, a fair presentation of the financial condition of the relevant person”.</w:t>
      </w:r>
    </w:p>
    <w:p>
      <w:pPr>
        <w:pStyle w:val="TextBody"/>
        <w:bidi w:val="0"/>
        <w:spacing w:before="0" w:after="0"/>
        <w:ind w:left="1440" w:right="722"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b/>
                <w:i/>
              </w:rPr>
              <w:t xml:space="preserve">Scope of Agreement. </w:t>
            </w:r>
            <w:r>
              <w:rPr/>
              <w:t>Any Crypto Derivative between Party A and Party B, which would otherwise be a Specified Transaction under this Agreement, the confirmation of which fails by its terms expressly to exclude application of this Agreement, shall be governed by and be subject to this Agreement. Any such confirmation shall be a “Confirmation”, and any such Crypto Derivative shall be a “Transaction”, for all purposes under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(f)</w:t>
            </w:r>
          </w:p>
        </w:tc>
        <w:tc>
          <w:tcPr>
            <w:tcW w:w="9946" w:type="dxa"/>
            <w:tcBorders/>
            <w:vAlign w:val="center"/>
          </w:tcPr>
          <w:p>
            <w:pPr>
              <w:pStyle w:val="TableContents"/>
              <w:bidi w:val="0"/>
              <w:spacing w:before="0" w:after="283"/>
              <w:jc w:val="both"/>
              <w:rPr/>
            </w:pPr>
            <w:r>
              <w:rPr>
                <w:b/>
                <w:i/>
              </w:rPr>
              <w:t>Inconsistency.</w:t>
            </w:r>
            <w:r>
              <w:rPr/>
              <w:t xml:space="preserve"> In the event of any inconsistency between any of the following documents, the relevant document first listed below shall govern: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1313"/>
        <w:gridCol w:w="8676"/>
      </w:tblGrid>
      <w:tr>
        <w:trPr/>
        <w:tc>
          <w:tcPr>
            <w:tcW w:w="21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pPr>
            <w:r>
              <w:rPr/>
              <w:t>(i)</w:t>
            </w:r>
          </w:p>
        </w:tc>
        <w:tc>
          <w:tcPr>
            <w:tcW w:w="8676" w:type="dxa"/>
            <w:tcBorders/>
            <w:vAlign w:val="center"/>
          </w:tcPr>
          <w:p>
            <w:pPr>
              <w:pStyle w:val="TableContents"/>
              <w:bidi w:val="0"/>
              <w:spacing w:before="0" w:after="283"/>
              <w:jc w:val="both"/>
              <w:rPr/>
            </w:pPr>
            <w:r>
              <w:rPr/>
              <w:t>a Confirmation;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0"/>
        <w:gridCol w:w="1758"/>
        <w:gridCol w:w="8217"/>
      </w:tblGrid>
      <w:tr>
        <w:trPr/>
        <w:tc>
          <w:tcPr>
            <w:tcW w:w="23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pPr>
            <w:r>
              <w:rPr/>
              <w:t>(ii)</w:t>
            </w:r>
          </w:p>
        </w:tc>
        <w:tc>
          <w:tcPr>
            <w:tcW w:w="8217" w:type="dxa"/>
            <w:tcBorders/>
            <w:vAlign w:val="center"/>
          </w:tcPr>
          <w:p>
            <w:pPr>
              <w:pStyle w:val="TableContents"/>
              <w:bidi w:val="0"/>
              <w:spacing w:before="0" w:after="283"/>
              <w:jc w:val="both"/>
              <w:rPr/>
            </w:pPr>
            <w:r>
              <w:rPr/>
              <w:t>this Schedule;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9"/>
        <w:gridCol w:w="1565"/>
        <w:gridCol w:w="8471"/>
      </w:tblGrid>
      <w:tr>
        <w:trPr/>
        <w:tc>
          <w:tcPr>
            <w:tcW w:w="16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pPr>
            <w:r>
              <w:rPr/>
              <w:t>(iii)</w:t>
            </w:r>
          </w:p>
        </w:tc>
        <w:tc>
          <w:tcPr>
            <w:tcW w:w="8471" w:type="dxa"/>
            <w:tcBorders/>
            <w:vAlign w:val="center"/>
          </w:tcPr>
          <w:p>
            <w:pPr>
              <w:pStyle w:val="TableContents"/>
              <w:bidi w:val="0"/>
              <w:spacing w:before="0" w:after="283"/>
              <w:jc w:val="both"/>
              <w:rPr/>
            </w:pPr>
            <w:r>
              <w:rPr/>
              <w:t>the Definitions;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682"/>
        <w:gridCol w:w="9450"/>
      </w:tblGrid>
      <w:tr>
        <w:trPr/>
        <w:tc>
          <w:tcPr>
            <w:tcW w:w="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(iv)</w:t>
            </w:r>
          </w:p>
        </w:tc>
        <w:tc>
          <w:tcPr>
            <w:tcW w:w="9450" w:type="dxa"/>
            <w:tcBorders/>
            <w:vAlign w:val="center"/>
          </w:tcPr>
          <w:p>
            <w:pPr>
              <w:pStyle w:val="TableContents"/>
              <w:bidi w:val="0"/>
              <w:spacing w:before="0" w:after="283"/>
              <w:jc w:val="both"/>
              <w:rPr/>
            </w:pPr>
            <w:r>
              <w:rPr/>
              <w:t>the printed form of 2002 ISDA Master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(g)</w:t>
            </w:r>
          </w:p>
        </w:tc>
        <w:tc>
          <w:tcPr>
            <w:tcW w:w="9936" w:type="dxa"/>
            <w:tcBorders/>
            <w:vAlign w:val="center"/>
          </w:tcPr>
          <w:p>
            <w:pPr>
              <w:pStyle w:val="TableContents"/>
              <w:bidi w:val="0"/>
              <w:spacing w:before="0" w:after="283"/>
              <w:jc w:val="both"/>
              <w:rPr/>
            </w:pPr>
            <w:r>
              <w:rPr>
                <w:b/>
                <w:i/>
              </w:rPr>
              <w:t xml:space="preserve">2002 Master Agreement Protocol. </w:t>
            </w:r>
            <w:r>
              <w:rPr/>
              <w:t>The definitions and provisions contained in Annexes 1 to 18 and Section 6 of the 2002 Master Agreement Protocol published by ISDA on July 15, 2003 (the “</w:t>
            </w:r>
            <w:r>
              <w:rPr>
                <w:b/>
                <w:i/>
              </w:rPr>
              <w:t>Protocol</w:t>
            </w:r>
            <w:r>
              <w:rPr/>
              <w:t>”), are incorporated into and apply to this Agreement. References in the Protocol to any “ISDA 2002 Master Agreement” and/or “2002 Master” shall be deemed to be references to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(h)</w:t>
            </w:r>
          </w:p>
        </w:tc>
        <w:tc>
          <w:tcPr>
            <w:tcW w:w="9907" w:type="dxa"/>
            <w:tcBorders/>
            <w:vAlign w:val="center"/>
          </w:tcPr>
          <w:p>
            <w:pPr>
              <w:pStyle w:val="TableContents"/>
              <w:bidi w:val="0"/>
              <w:spacing w:before="0" w:after="283"/>
              <w:jc w:val="both"/>
              <w:rPr/>
            </w:pPr>
            <w:r>
              <w:rPr>
                <w:b/>
                <w:i/>
              </w:rPr>
              <w:t xml:space="preserve">Transfer. </w:t>
            </w:r>
            <w:r>
              <w:rPr/>
              <w:t>Section 7 shall be amended by adding the words “, which consent shall not be unreasonably withheld,” after the word “party” in the third line thereof.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b/>
                <w:i/>
              </w:rPr>
              <w:t>Amendments</w:t>
            </w:r>
            <w:r>
              <w:rPr/>
              <w:t>. Section 9(b) shall be amended by adding the words “or PDF file via email transmission” after the word “transmission” in the second line thereof.</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(j)</w:t>
            </w:r>
          </w:p>
        </w:tc>
        <w:tc>
          <w:tcPr>
            <w:tcW w:w="10000" w:type="dxa"/>
            <w:tcBorders/>
            <w:vAlign w:val="center"/>
          </w:tcPr>
          <w:p>
            <w:pPr>
              <w:pStyle w:val="TableContents"/>
              <w:bidi w:val="0"/>
              <w:spacing w:before="0" w:after="283"/>
              <w:jc w:val="both"/>
              <w:rPr/>
            </w:pPr>
            <w:r>
              <w:rPr>
                <w:b/>
                <w:i/>
              </w:rPr>
              <w:t xml:space="preserve">Confidentiality. </w:t>
            </w:r>
            <w:r>
              <w:rPr/>
              <w:t>All information provided by a party to the Agreement and/or its representatives (the “</w:t>
            </w:r>
            <w:r>
              <w:rPr>
                <w:b/>
                <w:i/>
              </w:rPr>
              <w:t>Delivering Party</w:t>
            </w:r>
            <w:r>
              <w:rPr/>
              <w:t>”) in connection with the Transactions, whether written or oral (including without limitation this Agreement, documents delivered pursuant to Part 3 of this Agreement, and any Confirmation entered into hereunder, “</w:t>
            </w:r>
            <w:r>
              <w:rPr>
                <w:b/>
                <w:i/>
              </w:rPr>
              <w:t>Confidential Information</w:t>
            </w:r>
            <w:r>
              <w:rPr/>
              <w:t>”), shall at all times be treated as confidential and proprietary to the Delivering Party. For this purpose, Confidential Information does not include information which: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283"/>
              <w:jc w:val="both"/>
              <w:rPr/>
            </w:pPr>
            <w:r>
              <w:rPr/>
              <w:t>was or becomes generally available to the public other than as a result of disclosure by the other party to the Agreement or its representatives (the “</w:t>
            </w:r>
            <w:r>
              <w:rPr>
                <w:b/>
                <w:i/>
              </w:rPr>
              <w:t>Receiving Party</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both"/>
              <w:rPr/>
            </w:pPr>
            <w:r>
              <w:rPr/>
              <w:t xml:space="preserve">was or becomes available to the Receiving Party on a non-confidential basis from a source other than the Delivering Party, </w:t>
            </w:r>
            <w:r>
              <w:rPr>
                <w:i/>
              </w:rPr>
              <w:t>provided that</w:t>
            </w:r>
            <w:r>
              <w:rPr/>
              <w:t xml:space="preserve"> such source is not, to the knowledge of the Receiving Party, itself bound by a confidentiality agreement with the Delivering Party;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(iii)</w:t>
            </w:r>
          </w:p>
        </w:tc>
        <w:tc>
          <w:tcPr>
            <w:tcW w:w="9834" w:type="dxa"/>
            <w:tcBorders/>
            <w:vAlign w:val="center"/>
          </w:tcPr>
          <w:p>
            <w:pPr>
              <w:pStyle w:val="TableContents"/>
              <w:bidi w:val="0"/>
              <w:spacing w:before="0" w:after="283"/>
              <w:jc w:val="both"/>
              <w:rPr/>
            </w:pPr>
            <w:r>
              <w:rPr/>
              <w:t>was in the Receiving Party’s possession without any obligation of confidentiality prior to its disclosure by the Delivering Party.</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Notwithstanding any provision herein to the contrary, the Receiving Party may disclose Confidential Information to the extent expressly compelled by applicable law or order issued by any administrative, governmental, regulatory, or judicial authority with competent jurisdiction or requested by a regulatory authority having jurisdiction over such Receiving Party. In addition, the Receiving Party may disclose Confidential Information to any Affiliate, director, officer, manager, shareholder, co-investor, member, advisor, agent, employee, financial advisor, consultant, attorney, accountant, financing source or other authorized representative for purposes of evaluating any Transaction or performing its obligations or enforcing its rights under the Agreement or any Confirmations.</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(k)</w:t>
            </w:r>
          </w:p>
        </w:tc>
        <w:tc>
          <w:tcPr>
            <w:tcW w:w="9918" w:type="dxa"/>
            <w:tcBorders/>
            <w:vAlign w:val="center"/>
          </w:tcPr>
          <w:p>
            <w:pPr>
              <w:pStyle w:val="TableContents"/>
              <w:bidi w:val="0"/>
              <w:spacing w:before="0" w:after="283"/>
              <w:jc w:val="both"/>
              <w:rPr/>
            </w:pPr>
            <w:r>
              <w:rPr>
                <w:b/>
                <w:i/>
              </w:rPr>
              <w:t>Effectiveness of Notices.</w:t>
            </w:r>
            <w:r>
              <w:rPr/>
              <w:t xml:space="preserve"> Section 12(a) is modified by deleting the phrase “(except that a notice or other communication under Section 5 or 6 may not be given by electronic messaging system or e-mail)”.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(l)</w:t>
            </w:r>
          </w:p>
        </w:tc>
        <w:tc>
          <w:tcPr>
            <w:tcW w:w="9997" w:type="dxa"/>
            <w:tcBorders/>
            <w:vAlign w:val="center"/>
          </w:tcPr>
          <w:p>
            <w:pPr>
              <w:pStyle w:val="TableContents"/>
              <w:bidi w:val="0"/>
              <w:spacing w:before="0" w:after="283"/>
              <w:jc w:val="both"/>
              <w:rPr/>
            </w:pPr>
            <w:r>
              <w:rPr>
                <w:b/>
                <w:i/>
              </w:rPr>
              <w:t>Electronic Signatures.</w:t>
            </w:r>
            <w:r>
              <w:rPr/>
              <w:t xml:space="preserve"> The parties acknowledge and agree that the words “execution,” “signed,” “signature” and words of like import in this Agreement and any Confirmation shall be deemed to include electronic signatures or the keeping of records in electronic form, each of which shall be of the same legal effect, validity and enforceability as a manually executed signature or the use of a paper-based recordkeeping system.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(m)</w:t>
            </w:r>
          </w:p>
        </w:tc>
        <w:tc>
          <w:tcPr>
            <w:tcW w:w="9850" w:type="dxa"/>
            <w:tcBorders/>
            <w:vAlign w:val="center"/>
          </w:tcPr>
          <w:p>
            <w:pPr>
              <w:pStyle w:val="TableContents"/>
              <w:bidi w:val="0"/>
              <w:spacing w:before="0" w:after="283"/>
              <w:jc w:val="both"/>
              <w:rPr/>
            </w:pPr>
            <w:r>
              <w:rPr>
                <w:b/>
                <w:i/>
              </w:rPr>
              <w:t>Additional Definitions.</w:t>
            </w:r>
            <w:r>
              <w:rPr/>
              <w:t xml:space="preserve"> The following terms and their corresponding definitions shall be added to Section 14 of this Agreement in the appropriate alphabetical position: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
        <w:gridCol w:w="369"/>
        <w:gridCol w:w="9776"/>
      </w:tblGrid>
      <w:tr>
        <w:trPr/>
        <w:tc>
          <w:tcPr>
            <w:tcW w:w="6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(i)</w:t>
            </w:r>
          </w:p>
        </w:tc>
        <w:tc>
          <w:tcPr>
            <w:tcW w:w="9776" w:type="dxa"/>
            <w:tcBorders/>
            <w:vAlign w:val="center"/>
          </w:tcPr>
          <w:p>
            <w:pPr>
              <w:pStyle w:val="TableContents"/>
              <w:bidi w:val="0"/>
              <w:spacing w:before="0" w:after="283"/>
              <w:jc w:val="both"/>
              <w:rPr/>
            </w:pPr>
            <w:r>
              <w:rPr/>
              <w:t>“</w:t>
            </w:r>
            <w:r>
              <w:rPr>
                <w:b/>
                <w:i/>
              </w:rPr>
              <w:t>Code</w:t>
            </w:r>
            <w:r>
              <w:rPr/>
              <w:t>” means the Internal Revenue Code of 1986, as amended;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w:t>
            </w:r>
            <w:r>
              <w:rPr>
                <w:b/>
                <w:i/>
              </w:rPr>
              <w:t>Constitutive Documents</w:t>
            </w:r>
            <w:r>
              <w:rPr/>
              <w:t>” means, in relation to a party, such party’s certificate of incorporation or limited partnership, memorandum of association, commercial registration documents or other analogous document(s), as applicable (in each case,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38" w:type="dxa"/>
            <w:tcBorders/>
            <w:vAlign w:val="center"/>
          </w:tcPr>
          <w:p>
            <w:pPr>
              <w:pStyle w:val="TableContents"/>
              <w:bidi w:val="0"/>
              <w:spacing w:before="0" w:after="283"/>
              <w:jc w:val="both"/>
              <w:rPr/>
            </w:pPr>
            <w:r>
              <w:rPr/>
              <w:t>“</w:t>
            </w:r>
            <w:r>
              <w:rPr>
                <w:b/>
                <w:i/>
              </w:rPr>
              <w:t>Core Documents</w:t>
            </w:r>
            <w:r>
              <w:rPr/>
              <w:t>” means, in relation to a party, such party’s Constitutive Documents, Governing Documents, and organizational chart;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(iv)</w:t>
            </w:r>
          </w:p>
        </w:tc>
        <w:tc>
          <w:tcPr>
            <w:tcW w:w="9877" w:type="dxa"/>
            <w:tcBorders/>
            <w:vAlign w:val="center"/>
          </w:tcPr>
          <w:p>
            <w:pPr>
              <w:pStyle w:val="TableContents"/>
              <w:bidi w:val="0"/>
              <w:spacing w:before="0" w:after="283"/>
              <w:jc w:val="both"/>
              <w:rPr/>
            </w:pPr>
            <w:r>
              <w:rPr/>
              <w:t>“</w:t>
            </w:r>
            <w:r>
              <w:rPr>
                <w:b/>
                <w:i/>
              </w:rPr>
              <w:t>Crypto Activities</w:t>
            </w:r>
            <w:r>
              <w:rPr/>
              <w:t>” means any activities involving Crypto Assets including, without limitation, any brokerage arrangement in respect of Crypto Asset trading activities; any lending transaction whereby the loan is paid, or collateral is provided in respect thereof, in one or more Crypto Assets; any “spot” or “cash” purchase or sale of a Crypto Asset for immediate or near-immediate delivery; and any Crypto Derivatives;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(v)</w:t>
            </w:r>
          </w:p>
        </w:tc>
        <w:tc>
          <w:tcPr>
            <w:tcW w:w="9920" w:type="dxa"/>
            <w:tcBorders/>
            <w:vAlign w:val="center"/>
          </w:tcPr>
          <w:p>
            <w:pPr>
              <w:pStyle w:val="TableContents"/>
              <w:bidi w:val="0"/>
              <w:spacing w:before="0" w:after="283"/>
              <w:jc w:val="both"/>
              <w:rPr/>
            </w:pPr>
            <w:r>
              <w:rPr/>
              <w:t>“</w:t>
            </w:r>
            <w:r>
              <w:rPr>
                <w:b/>
                <w:i/>
              </w:rPr>
              <w:t>Crypto Asset</w:t>
            </w:r>
            <w:r>
              <w:rPr/>
              <w:t>” means a digital asset that encompasses any digital representation of value or unit of account, whether taking the form of a unit, token, coin or otherwise, that is or can be used as a medium of exchange;</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(vi)</w:t>
            </w:r>
          </w:p>
        </w:tc>
        <w:tc>
          <w:tcPr>
            <w:tcW w:w="9845" w:type="dxa"/>
            <w:tcBorders/>
            <w:vAlign w:val="center"/>
          </w:tcPr>
          <w:p>
            <w:pPr>
              <w:pStyle w:val="TableContents"/>
              <w:bidi w:val="0"/>
              <w:spacing w:before="0" w:after="283"/>
              <w:jc w:val="both"/>
              <w:rPr/>
            </w:pPr>
            <w:r>
              <w:rPr/>
              <w:t>“</w:t>
            </w:r>
            <w:r>
              <w:rPr>
                <w:b/>
                <w:i/>
              </w:rPr>
              <w:t>Crypto Derivatives</w:t>
            </w:r>
            <w:r>
              <w:rPr/>
              <w:t>” means any forward, swap, future, option or other derivatives transaction on one or more Crypto Assets (including any index thereon);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(vii)</w:t>
            </w:r>
          </w:p>
        </w:tc>
        <w:tc>
          <w:tcPr>
            <w:tcW w:w="9768" w:type="dxa"/>
            <w:tcBorders/>
            <w:vAlign w:val="center"/>
          </w:tcPr>
          <w:p>
            <w:pPr>
              <w:pStyle w:val="TableContents"/>
              <w:bidi w:val="0"/>
              <w:spacing w:before="0" w:after="283"/>
              <w:jc w:val="both"/>
              <w:rPr/>
            </w:pPr>
            <w:r>
              <w:rPr/>
              <w:t>“</w:t>
            </w:r>
            <w:r>
              <w:rPr>
                <w:b/>
                <w:i/>
              </w:rPr>
              <w:t>Crypto Transaction</w:t>
            </w:r>
            <w:r>
              <w:rPr/>
              <w:t>” means any Transaction in respect of Crypto Derivatives entered into by the parties hereunder;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15"/>
        <w:gridCol w:w="9753"/>
      </w:tblGrid>
      <w:tr>
        <w:trPr/>
        <w:tc>
          <w:tcPr>
            <w:tcW w:w="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(viii)</w:t>
            </w:r>
          </w:p>
        </w:tc>
        <w:tc>
          <w:tcPr>
            <w:tcW w:w="9753" w:type="dxa"/>
            <w:tcBorders/>
            <w:vAlign w:val="center"/>
          </w:tcPr>
          <w:p>
            <w:pPr>
              <w:pStyle w:val="TableContents"/>
              <w:bidi w:val="0"/>
              <w:spacing w:before="0" w:after="283"/>
              <w:jc w:val="both"/>
              <w:rPr/>
            </w:pPr>
            <w:r>
              <w:rPr/>
              <w:t>“</w:t>
            </w:r>
            <w:r>
              <w:rPr>
                <w:b/>
                <w:i/>
              </w:rPr>
              <w:t>Governing Documents</w:t>
            </w:r>
            <w:r>
              <w:rPr/>
              <w:t>” means, in relation to a party, such party’s limited partnership agreement, limited liability company agreement, corporate bylaws, articles of association or other analogous document(s), as applicable (in each case,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(ix)</w:t>
            </w:r>
          </w:p>
        </w:tc>
        <w:tc>
          <w:tcPr>
            <w:tcW w:w="9863" w:type="dxa"/>
            <w:tcBorders/>
            <w:vAlign w:val="center"/>
          </w:tcPr>
          <w:p>
            <w:pPr>
              <w:pStyle w:val="TableContents"/>
              <w:bidi w:val="0"/>
              <w:spacing w:before="0" w:after="283"/>
              <w:jc w:val="both"/>
              <w:rPr/>
            </w:pPr>
            <w:r>
              <w:rPr/>
              <w:t>“</w:t>
            </w:r>
            <w:r>
              <w:rPr>
                <w:b/>
                <w:i/>
              </w:rPr>
              <w:t>Governmental Authority</w:t>
            </w:r>
            <w:r>
              <w:rPr/>
              <w:t>” means any nation or government, any state or other political subdivision thereof, and any entity exercising executive, legislative, judicial, regulatory or administrative functions of or pertaining to government;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
        <w:gridCol w:w="479"/>
        <w:gridCol w:w="9664"/>
      </w:tblGrid>
      <w:tr>
        <w:trPr/>
        <w:tc>
          <w:tcPr>
            <w:tcW w:w="6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(x)</w:t>
            </w:r>
          </w:p>
        </w:tc>
        <w:tc>
          <w:tcPr>
            <w:tcW w:w="9664" w:type="dxa"/>
            <w:tcBorders/>
            <w:vAlign w:val="center"/>
          </w:tcPr>
          <w:p>
            <w:pPr>
              <w:pStyle w:val="TableContents"/>
              <w:bidi w:val="0"/>
              <w:spacing w:before="0" w:after="283"/>
              <w:jc w:val="both"/>
              <w:rPr/>
            </w:pPr>
            <w:r>
              <w:rPr/>
              <w:t>“</w:t>
            </w:r>
            <w:r>
              <w:rPr>
                <w:b/>
                <w:i/>
              </w:rPr>
              <w:t>Local Business Day</w:t>
            </w:r>
            <w:r>
              <w:rPr/>
              <w:t>” means London, United Kingdom;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(xi)</w:t>
            </w:r>
          </w:p>
        </w:tc>
        <w:tc>
          <w:tcPr>
            <w:tcW w:w="9883" w:type="dxa"/>
            <w:tcBorders/>
            <w:vAlign w:val="center"/>
          </w:tcPr>
          <w:p>
            <w:pPr>
              <w:pStyle w:val="TableContents"/>
              <w:bidi w:val="0"/>
              <w:spacing w:before="0" w:after="283"/>
              <w:jc w:val="both"/>
              <w:rPr/>
            </w:pPr>
            <w:r>
              <w:rPr/>
              <w:t>“</w:t>
            </w:r>
            <w:r>
              <w:rPr>
                <w:b/>
                <w:i/>
              </w:rPr>
              <w:t>Sanctioned Person</w:t>
            </w:r>
            <w:r>
              <w:rPr/>
              <w:t>” means any person: (A) listed on any sanctions-related list of designated persons maintained by the Office of Foreign Assets Control of the U.S. Department of the Treasury, the U.S. Department of State, the United Nations Security Council, the European Union, His Majesty’s Treasury of the United Kingdom, or the competent sanctions authority of any other relevant jurisdiction; (B) located, organized, or resident in a country or territory that is, or whose government is, the subject of comprehensive territorial sanctions; or (C) owned 50 percent or more or controlled by any such person or persons described in the foregoing paragraphs (A) or (B).</w:t>
            </w:r>
          </w:p>
        </w:tc>
      </w:tr>
    </w:tbl>
    <w:p>
      <w:pPr>
        <w:pStyle w:val="TextBody"/>
        <w:bidi w:val="0"/>
        <w:spacing w:before="0" w:after="0"/>
        <w:jc w:val="left"/>
        <w:rPr/>
      </w:pPr>
      <w:r>
        <w:rPr/>
        <w:t> </w:t>
      </w:r>
    </w:p>
    <w:p>
      <w:pPr>
        <w:pStyle w:val="TextBody"/>
        <w:bidi w:val="0"/>
        <w:spacing w:before="0" w:after="0"/>
        <w:ind w:left="0" w:right="0" w:hanging="0"/>
        <w:jc w:val="center"/>
        <w:rPr>
          <w:i/>
          <w:sz w:val="20"/>
        </w:rPr>
      </w:pPr>
      <w:r>
        <w:rPr>
          <w:i/>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b/>
          <w:sz w:val="20"/>
        </w:rPr>
        <w:t>IN WITNESS WHEREOF,</w:t>
      </w:r>
      <w:r>
        <w:rPr>
          <w:sz w:val="20"/>
        </w:rPr>
        <w:t xml:space="preserve"> the parties have executed this Schedule on the respective dates specified below, with effect from the date specified on the first page.</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79"/>
        <w:gridCol w:w="6340"/>
        <w:gridCol w:w="545"/>
        <w:gridCol w:w="841"/>
      </w:tblGrid>
      <w:tr>
        <w:trPr/>
        <w:tc>
          <w:tcPr>
            <w:tcW w:w="8819" w:type="dxa"/>
            <w:gridSpan w:val="2"/>
            <w:tcBorders/>
            <w:vAlign w:val="center"/>
          </w:tcPr>
          <w:p>
            <w:pPr>
              <w:pStyle w:val="TableContents"/>
              <w:bidi w:val="0"/>
              <w:spacing w:before="0" w:after="283"/>
              <w:ind w:left="0" w:right="0" w:hanging="720"/>
              <w:jc w:val="center"/>
              <w:rPr>
                <w:b/>
                <w:sz w:val="20"/>
              </w:rPr>
            </w:pPr>
            <w:r>
              <w:rPr>
                <w:b/>
                <w:sz w:val="20"/>
              </w:rPr>
              <w:t>BLOCKCHAIN.COM (BVI) II LIMITED</w:t>
            </w:r>
          </w:p>
        </w:tc>
        <w:tc>
          <w:tcPr>
            <w:tcW w:w="1386" w:type="dxa"/>
            <w:gridSpan w:val="2"/>
            <w:tcBorders/>
            <w:vAlign w:val="center"/>
          </w:tcPr>
          <w:p>
            <w:pPr>
              <w:pStyle w:val="TableContents"/>
              <w:bidi w:val="0"/>
              <w:spacing w:before="0" w:after="283"/>
              <w:jc w:val="center"/>
              <w:rPr>
                <w:b/>
                <w:sz w:val="20"/>
              </w:rPr>
            </w:pPr>
            <w:r>
              <w:rPr>
                <w:b/>
                <w:sz w:val="20"/>
              </w:rPr>
              <w:t>SONO GROUP N.V.</w:t>
            </w:r>
          </w:p>
        </w:tc>
      </w:tr>
      <w:tr>
        <w:trPr/>
        <w:tc>
          <w:tcPr>
            <w:tcW w:w="8819" w:type="dxa"/>
            <w:gridSpan w:val="2"/>
            <w:tcBorders/>
            <w:vAlign w:val="center"/>
          </w:tcPr>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sz w:val="20"/>
              </w:rPr>
            </w:pPr>
            <w:r>
              <w:rPr>
                <w:sz w:val="20"/>
              </w:rPr>
              <w:t>By: /s/ Allan Gregory Boyd</w:t>
            </w:r>
          </w:p>
          <w:p>
            <w:pPr>
              <w:pStyle w:val="TableContents"/>
              <w:bidi w:val="0"/>
              <w:spacing w:before="0" w:after="0"/>
              <w:ind w:left="720" w:right="0" w:hanging="720"/>
              <w:jc w:val="left"/>
              <w:rPr/>
            </w:pPr>
            <w:r>
              <w:rPr/>
              <w:t> </w:t>
            </w:r>
          </w:p>
        </w:tc>
        <w:tc>
          <w:tcPr>
            <w:tcW w:w="1386" w:type="dxa"/>
            <w:gridSpan w:val="2"/>
            <w:tcBorders/>
            <w:vAlign w:val="center"/>
          </w:tcPr>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sz w:val="20"/>
              </w:rPr>
            </w:pPr>
            <w:r>
              <w:rPr>
                <w:sz w:val="20"/>
              </w:rPr>
              <w:t>By:</w:t>
              <w:tab/>
              <w:t>/s/ Kevin J. McGurn</w:t>
            </w:r>
          </w:p>
          <w:p>
            <w:pPr>
              <w:pStyle w:val="TableContents"/>
              <w:bidi w:val="0"/>
              <w:spacing w:before="0" w:after="0"/>
              <w:ind w:left="0" w:right="0" w:hanging="720"/>
              <w:jc w:val="left"/>
              <w:rPr/>
            </w:pPr>
            <w:r>
              <w:rPr/>
              <w:t> </w:t>
            </w:r>
          </w:p>
        </w:tc>
      </w:tr>
      <w:tr>
        <w:trPr/>
        <w:tc>
          <w:tcPr>
            <w:tcW w:w="2479" w:type="dxa"/>
            <w:tcBorders/>
            <w:vAlign w:val="center"/>
          </w:tcPr>
          <w:p>
            <w:pPr>
              <w:pStyle w:val="TableContents"/>
              <w:bidi w:val="0"/>
              <w:spacing w:before="0" w:after="283"/>
              <w:ind w:left="0" w:right="0" w:hanging="720"/>
              <w:jc w:val="left"/>
              <w:rPr>
                <w:sz w:val="20"/>
              </w:rPr>
            </w:pPr>
            <w:r>
              <w:rPr>
                <w:sz w:val="20"/>
              </w:rPr>
              <w:t>Name:</w:t>
            </w:r>
          </w:p>
        </w:tc>
        <w:tc>
          <w:tcPr>
            <w:tcW w:w="6340" w:type="dxa"/>
            <w:tcBorders/>
            <w:vAlign w:val="center"/>
          </w:tcPr>
          <w:p>
            <w:pPr>
              <w:pStyle w:val="TableContents"/>
              <w:bidi w:val="0"/>
              <w:spacing w:before="0" w:after="283"/>
              <w:ind w:left="0" w:right="0" w:hanging="720"/>
              <w:jc w:val="left"/>
              <w:rPr>
                <w:sz w:val="20"/>
              </w:rPr>
            </w:pPr>
            <w:r>
              <w:rPr>
                <w:sz w:val="20"/>
              </w:rPr>
              <w:t>Allan Gregory Boyd</w:t>
            </w:r>
          </w:p>
        </w:tc>
        <w:tc>
          <w:tcPr>
            <w:tcW w:w="545" w:type="dxa"/>
            <w:tcBorders/>
            <w:vAlign w:val="center"/>
          </w:tcPr>
          <w:p>
            <w:pPr>
              <w:pStyle w:val="TableContents"/>
              <w:bidi w:val="0"/>
              <w:spacing w:before="0" w:after="283"/>
              <w:ind w:left="0" w:right="0" w:hanging="720"/>
              <w:jc w:val="left"/>
              <w:rPr>
                <w:sz w:val="20"/>
              </w:rPr>
            </w:pPr>
            <w:r>
              <w:rPr>
                <w:sz w:val="20"/>
              </w:rPr>
              <w:t>Name:</w:t>
            </w:r>
          </w:p>
        </w:tc>
        <w:tc>
          <w:tcPr>
            <w:tcW w:w="841" w:type="dxa"/>
            <w:tcBorders/>
            <w:vAlign w:val="center"/>
          </w:tcPr>
          <w:p>
            <w:pPr>
              <w:pStyle w:val="TableContents"/>
              <w:bidi w:val="0"/>
              <w:spacing w:before="0" w:after="283"/>
              <w:ind w:left="0" w:right="0" w:hanging="720"/>
              <w:jc w:val="left"/>
              <w:rPr>
                <w:sz w:val="20"/>
              </w:rPr>
            </w:pPr>
            <w:r>
              <w:rPr>
                <w:sz w:val="20"/>
              </w:rPr>
              <w:t>Kevin J. McGurn</w:t>
            </w:r>
          </w:p>
        </w:tc>
      </w:tr>
      <w:tr>
        <w:trPr/>
        <w:tc>
          <w:tcPr>
            <w:tcW w:w="2479" w:type="dxa"/>
            <w:tcBorders/>
            <w:vAlign w:val="center"/>
          </w:tcPr>
          <w:p>
            <w:pPr>
              <w:pStyle w:val="TableContents"/>
              <w:bidi w:val="0"/>
              <w:spacing w:before="0" w:after="283"/>
              <w:ind w:left="0" w:right="0" w:hanging="720"/>
              <w:jc w:val="left"/>
              <w:rPr/>
            </w:pPr>
            <w:r>
              <w:rPr/>
              <w:t> </w:t>
            </w:r>
          </w:p>
        </w:tc>
        <w:tc>
          <w:tcPr>
            <w:tcW w:w="6340" w:type="dxa"/>
            <w:tcBorders/>
            <w:vAlign w:val="center"/>
          </w:tcPr>
          <w:p>
            <w:pPr>
              <w:pStyle w:val="TableContents"/>
              <w:bidi w:val="0"/>
              <w:spacing w:before="0" w:after="283"/>
              <w:ind w:left="0" w:right="0" w:hanging="720"/>
              <w:jc w:val="left"/>
              <w:rPr/>
            </w:pPr>
            <w:r>
              <w:rPr/>
              <w:t> </w:t>
            </w:r>
          </w:p>
        </w:tc>
        <w:tc>
          <w:tcPr>
            <w:tcW w:w="545" w:type="dxa"/>
            <w:tcBorders/>
            <w:vAlign w:val="center"/>
          </w:tcPr>
          <w:p>
            <w:pPr>
              <w:pStyle w:val="TableContents"/>
              <w:bidi w:val="0"/>
              <w:spacing w:before="0" w:after="283"/>
              <w:ind w:left="0" w:right="0" w:hanging="720"/>
              <w:jc w:val="left"/>
              <w:rPr/>
            </w:pPr>
            <w:r>
              <w:rPr/>
              <w:t> </w:t>
            </w:r>
          </w:p>
        </w:tc>
        <w:tc>
          <w:tcPr>
            <w:tcW w:w="841" w:type="dxa"/>
            <w:tcBorders/>
            <w:vAlign w:val="center"/>
          </w:tcPr>
          <w:p>
            <w:pPr>
              <w:pStyle w:val="TableContents"/>
              <w:bidi w:val="0"/>
              <w:spacing w:before="0" w:after="283"/>
              <w:ind w:left="0" w:right="0" w:hanging="720"/>
              <w:jc w:val="left"/>
              <w:rPr/>
            </w:pPr>
            <w:r>
              <w:rPr/>
              <w:t> </w:t>
            </w:r>
          </w:p>
        </w:tc>
      </w:tr>
      <w:tr>
        <w:trPr/>
        <w:tc>
          <w:tcPr>
            <w:tcW w:w="2479" w:type="dxa"/>
            <w:tcBorders/>
            <w:vAlign w:val="center"/>
          </w:tcPr>
          <w:p>
            <w:pPr>
              <w:pStyle w:val="TableContents"/>
              <w:bidi w:val="0"/>
              <w:spacing w:before="0" w:after="283"/>
              <w:ind w:left="0" w:right="0" w:hanging="720"/>
              <w:jc w:val="left"/>
              <w:rPr>
                <w:sz w:val="20"/>
              </w:rPr>
            </w:pPr>
            <w:r>
              <w:rPr>
                <w:sz w:val="20"/>
              </w:rPr>
              <w:t>Title:</w:t>
            </w:r>
          </w:p>
        </w:tc>
        <w:tc>
          <w:tcPr>
            <w:tcW w:w="6340" w:type="dxa"/>
            <w:tcBorders/>
            <w:vAlign w:val="center"/>
          </w:tcPr>
          <w:p>
            <w:pPr>
              <w:pStyle w:val="TableContents"/>
              <w:bidi w:val="0"/>
              <w:spacing w:before="0" w:after="283"/>
              <w:ind w:left="0" w:right="0" w:hanging="720"/>
              <w:jc w:val="left"/>
              <w:rPr>
                <w:sz w:val="20"/>
              </w:rPr>
            </w:pPr>
            <w:r>
              <w:rPr>
                <w:sz w:val="20"/>
              </w:rPr>
              <w:t>Director</w:t>
            </w:r>
          </w:p>
        </w:tc>
        <w:tc>
          <w:tcPr>
            <w:tcW w:w="545" w:type="dxa"/>
            <w:tcBorders/>
            <w:vAlign w:val="center"/>
          </w:tcPr>
          <w:p>
            <w:pPr>
              <w:pStyle w:val="TableContents"/>
              <w:bidi w:val="0"/>
              <w:spacing w:before="0" w:after="283"/>
              <w:ind w:left="0" w:right="0" w:hanging="720"/>
              <w:jc w:val="left"/>
              <w:rPr>
                <w:sz w:val="20"/>
              </w:rPr>
            </w:pPr>
            <w:r>
              <w:rPr>
                <w:sz w:val="20"/>
              </w:rPr>
              <w:t>Title:</w:t>
            </w:r>
          </w:p>
        </w:tc>
        <w:tc>
          <w:tcPr>
            <w:tcW w:w="841" w:type="dxa"/>
            <w:tcBorders/>
            <w:vAlign w:val="center"/>
          </w:tcPr>
          <w:p>
            <w:pPr>
              <w:pStyle w:val="TableContents"/>
              <w:bidi w:val="0"/>
              <w:spacing w:before="0" w:after="283"/>
              <w:ind w:left="0" w:right="0" w:hanging="720"/>
              <w:jc w:val="left"/>
              <w:rPr>
                <w:sz w:val="20"/>
              </w:rPr>
            </w:pPr>
            <w:r>
              <w:rPr>
                <w:sz w:val="20"/>
              </w:rPr>
              <w:t xml:space="preserve">CEO, Sono Group N.V. </w:t>
            </w:r>
          </w:p>
        </w:tc>
      </w:tr>
      <w:tr>
        <w:trPr/>
        <w:tc>
          <w:tcPr>
            <w:tcW w:w="2479" w:type="dxa"/>
            <w:tcBorders/>
            <w:vAlign w:val="center"/>
          </w:tcPr>
          <w:p>
            <w:pPr>
              <w:pStyle w:val="TableContents"/>
              <w:bidi w:val="0"/>
              <w:spacing w:before="0" w:after="283"/>
              <w:ind w:left="0" w:right="0" w:hanging="720"/>
              <w:jc w:val="left"/>
              <w:rPr/>
            </w:pPr>
            <w:r>
              <w:rPr/>
              <w:t> </w:t>
            </w:r>
          </w:p>
        </w:tc>
        <w:tc>
          <w:tcPr>
            <w:tcW w:w="6340" w:type="dxa"/>
            <w:tcBorders/>
            <w:vAlign w:val="center"/>
          </w:tcPr>
          <w:p>
            <w:pPr>
              <w:pStyle w:val="TableContents"/>
              <w:bidi w:val="0"/>
              <w:spacing w:before="0" w:after="283"/>
              <w:ind w:left="0" w:right="0" w:hanging="720"/>
              <w:jc w:val="left"/>
              <w:rPr/>
            </w:pPr>
            <w:r>
              <w:rPr/>
              <w:t> </w:t>
            </w:r>
          </w:p>
        </w:tc>
        <w:tc>
          <w:tcPr>
            <w:tcW w:w="545" w:type="dxa"/>
            <w:tcBorders/>
            <w:vAlign w:val="center"/>
          </w:tcPr>
          <w:p>
            <w:pPr>
              <w:pStyle w:val="TableContents"/>
              <w:bidi w:val="0"/>
              <w:spacing w:before="0" w:after="283"/>
              <w:ind w:left="0" w:right="0" w:hanging="720"/>
              <w:jc w:val="left"/>
              <w:rPr/>
            </w:pPr>
            <w:r>
              <w:rPr/>
              <w:t> </w:t>
            </w:r>
          </w:p>
        </w:tc>
        <w:tc>
          <w:tcPr>
            <w:tcW w:w="841" w:type="dxa"/>
            <w:tcBorders/>
            <w:vAlign w:val="center"/>
          </w:tcPr>
          <w:p>
            <w:pPr>
              <w:pStyle w:val="TableContents"/>
              <w:bidi w:val="0"/>
              <w:spacing w:before="0" w:after="283"/>
              <w:jc w:val="left"/>
              <w:rPr/>
            </w:pPr>
            <w:r>
              <w:rPr/>
              <w:t> </w:t>
            </w:r>
          </w:p>
        </w:tc>
      </w:tr>
      <w:tr>
        <w:trPr/>
        <w:tc>
          <w:tcPr>
            <w:tcW w:w="8819" w:type="dxa"/>
            <w:gridSpan w:val="2"/>
            <w:tcBorders/>
            <w:vAlign w:val="center"/>
          </w:tcPr>
          <w:p>
            <w:pPr>
              <w:pStyle w:val="TableContents"/>
              <w:bidi w:val="0"/>
              <w:spacing w:before="0" w:after="0"/>
              <w:ind w:left="0" w:right="0" w:hanging="0"/>
              <w:jc w:val="left"/>
              <w:rPr>
                <w:sz w:val="20"/>
              </w:rPr>
            </w:pPr>
            <w:r>
              <w:rPr>
                <w:sz w:val="20"/>
              </w:rPr>
              <w:t>The entity that you are contracting with is Blockchain.com (BVI) II Limited (which is a separate entity from Blockchain.com (Singapore) Pte. Ltd.).</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Blockchain.com (BVI) II Limited, and its trading business, are not regulated by the Monetary Authority of Singapore (“</w:t>
            </w:r>
            <w:r>
              <w:rPr>
                <w:b/>
                <w:sz w:val="20"/>
              </w:rPr>
              <w:t>MAS</w:t>
            </w:r>
            <w:r>
              <w:rPr>
                <w:sz w:val="20"/>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As Blockchain.com (BVI) II Limited, and its trading business, are not regulated by MAS, you will not have the benefit of any regulatory safeguards or protections that would be applicable to financial or payment products and services which are regulated by MAS.</w:t>
            </w:r>
          </w:p>
          <w:p>
            <w:pPr>
              <w:pStyle w:val="TableContents"/>
              <w:bidi w:val="0"/>
              <w:spacing w:before="0" w:after="0"/>
              <w:ind w:left="0" w:right="0" w:hanging="720"/>
              <w:jc w:val="left"/>
              <w:rPr/>
            </w:pPr>
            <w:r>
              <w:rPr/>
              <w:t> </w:t>
            </w:r>
          </w:p>
        </w:tc>
        <w:tc>
          <w:tcPr>
            <w:tcW w:w="138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8" w:name="exh_103.htm"/>
      <w:bookmarkStart w:id="29" w:name="ksexh_103"/>
      <w:bookmarkEnd w:id="28"/>
      <w:bookmarkEnd w:id="29"/>
      <w:r>
        <w:rPr>
          <w:b/>
        </w:rPr>
        <w:t>Exhibit 10.3</w:t>
      </w:r>
      <w:r>
        <w:br w:type="page"/>
      </w:r>
    </w:p>
    <w:p>
      <w:pPr>
        <w:pStyle w:val="TextBody"/>
        <w:bidi w:val="0"/>
        <w:spacing w:before="0" w:after="283"/>
        <w:jc w:val="left"/>
        <w:rPr/>
      </w:pPr>
      <w:r>
        <w:rPr/>
        <w:t> </w:t>
      </w:r>
    </w:p>
    <w:tbl>
      <w:tblPr>
        <w:tblW w:w="5980" w:type="dxa"/>
        <w:jc w:val="left"/>
        <w:tblInd w:w="0" w:type="dxa"/>
        <w:tblLayout w:type="fixed"/>
        <w:tblCellMar>
          <w:top w:w="0" w:type="dxa"/>
          <w:left w:w="0" w:type="dxa"/>
          <w:bottom w:w="0" w:type="dxa"/>
          <w:right w:w="0" w:type="dxa"/>
        </w:tblCellMar>
      </w:tblPr>
      <w:tblGrid>
        <w:gridCol w:w="2345"/>
        <w:gridCol w:w="3635"/>
      </w:tblGrid>
      <w:tr>
        <w:trPr/>
        <w:tc>
          <w:tcPr>
            <w:tcW w:w="2345" w:type="dxa"/>
            <w:tcBorders/>
            <w:vAlign w:val="center"/>
          </w:tcPr>
          <w:p>
            <w:pPr>
              <w:pStyle w:val="TableContents"/>
              <w:bidi w:val="0"/>
              <w:spacing w:before="0" w:after="283"/>
              <w:jc w:val="left"/>
              <w:rPr>
                <w:b/>
                <w:sz w:val="20"/>
              </w:rPr>
            </w:pPr>
            <w:r>
              <w:rPr>
                <w:b/>
                <w:sz w:val="20"/>
              </w:rPr>
              <w:t>(Bilateral Form - Transfer)</w:t>
            </w:r>
          </w:p>
        </w:tc>
        <w:tc>
          <w:tcPr>
            <w:tcW w:w="3635" w:type="dxa"/>
            <w:tcBorders/>
            <w:vAlign w:val="center"/>
          </w:tcPr>
          <w:p>
            <w:pPr>
              <w:pStyle w:val="TableContents"/>
              <w:bidi w:val="0"/>
              <w:spacing w:before="0" w:after="283"/>
              <w:jc w:val="right"/>
              <w:rPr>
                <w:b/>
                <w:sz w:val="20"/>
              </w:rPr>
            </w:pPr>
            <w:r>
              <w:rPr>
                <w:b/>
                <w:sz w:val="20"/>
              </w:rPr>
              <w:t>(ISDA Agreements Subject to English Law)</w:t>
            </w:r>
          </w:p>
        </w:tc>
      </w:tr>
    </w:tbl>
    <w:p>
      <w:pPr>
        <w:pStyle w:val="TextBody"/>
        <w:bidi w:val="0"/>
        <w:spacing w:before="0" w:after="0"/>
        <w:ind w:left="0" w:right="0" w:hanging="0"/>
        <w:jc w:val="left"/>
        <w:rPr/>
      </w:pPr>
      <w:r>
        <w:rPr/>
        <w:t> </w:t>
      </w:r>
    </w:p>
    <w:p>
      <w:pPr>
        <w:pStyle w:val="TextBody"/>
        <w:bidi w:val="0"/>
        <w:spacing w:before="0" w:after="0"/>
        <w:ind w:left="39" w:right="0" w:firstLine="39"/>
        <w:jc w:val="center"/>
        <w:rPr>
          <w:b/>
          <w:sz w:val="48"/>
        </w:rPr>
      </w:pPr>
      <w:r>
        <w:rPr>
          <w:b/>
          <w:sz w:val="48"/>
        </w:rPr>
        <w:t>ISDA</w:t>
      </w:r>
      <w:r>
        <w:rPr>
          <w:b/>
          <w:sz w:val="20"/>
        </w:rPr>
        <w:t>®</w:t>
      </w:r>
    </w:p>
    <w:p>
      <w:pPr>
        <w:pStyle w:val="TextBody"/>
        <w:bidi w:val="0"/>
        <w:spacing w:before="0" w:after="0"/>
        <w:ind w:left="73" w:right="0" w:hanging="0"/>
        <w:jc w:val="center"/>
        <w:rPr>
          <w:sz w:val="20"/>
        </w:rPr>
      </w:pPr>
      <w:r>
        <w:rPr>
          <w:sz w:val="20"/>
        </w:rPr>
        <w:t>International Swaps and Derivatives Association, Inc.</w:t>
      </w:r>
    </w:p>
    <w:p>
      <w:pPr>
        <w:pStyle w:val="TextBody"/>
        <w:bidi w:val="0"/>
        <w:spacing w:before="0" w:after="0"/>
        <w:ind w:left="0" w:right="0" w:hanging="0"/>
        <w:jc w:val="left"/>
        <w:rPr/>
      </w:pPr>
      <w:r>
        <w:rPr/>
        <w:t> </w:t>
      </w:r>
    </w:p>
    <w:p>
      <w:pPr>
        <w:pStyle w:val="TextBody"/>
        <w:bidi w:val="0"/>
        <w:spacing w:before="0" w:after="0"/>
        <w:ind w:left="8" w:right="0" w:hanging="0"/>
        <w:jc w:val="center"/>
        <w:rPr>
          <w:b/>
          <w:sz w:val="48"/>
        </w:rPr>
      </w:pPr>
      <w:r>
        <w:rPr>
          <w:b/>
          <w:sz w:val="48"/>
        </w:rPr>
        <w:t>CREDIT SUPPORT ANNEX</w:t>
      </w:r>
    </w:p>
    <w:p>
      <w:pPr>
        <w:pStyle w:val="TextBody"/>
        <w:bidi w:val="0"/>
        <w:spacing w:before="0" w:after="0"/>
        <w:ind w:left="1" w:right="0" w:hanging="0"/>
        <w:jc w:val="center"/>
        <w:rPr>
          <w:sz w:val="20"/>
        </w:rPr>
      </w:pPr>
      <w:r>
        <w:rPr>
          <w:sz w:val="20"/>
        </w:rPr>
        <w:t>to the Schedule to the</w:t>
      </w:r>
    </w:p>
    <w:p>
      <w:pPr>
        <w:pStyle w:val="TextBody"/>
        <w:bidi w:val="0"/>
        <w:spacing w:before="0" w:after="0"/>
        <w:ind w:left="24" w:right="0" w:hanging="0"/>
        <w:jc w:val="center"/>
        <w:rPr>
          <w:b/>
          <w:sz w:val="36"/>
        </w:rPr>
      </w:pPr>
      <w:r>
        <w:rPr>
          <w:b/>
          <w:sz w:val="36"/>
        </w:rPr>
        <w:t>2002 ISDA Master Agreement</w:t>
      </w:r>
    </w:p>
    <w:p>
      <w:pPr>
        <w:pStyle w:val="TextBody"/>
        <w:bidi w:val="0"/>
        <w:spacing w:before="0" w:after="0"/>
        <w:ind w:left="2875" w:right="2871" w:hanging="0"/>
        <w:jc w:val="center"/>
        <w:rPr>
          <w:sz w:val="20"/>
        </w:rPr>
      </w:pPr>
      <w:r>
        <w:rPr>
          <w:sz w:val="20"/>
        </w:rPr>
        <w:t>dated as of 10 March 2026</w:t>
      </w:r>
    </w:p>
    <w:p>
      <w:pPr>
        <w:pStyle w:val="TextBody"/>
        <w:bidi w:val="0"/>
        <w:spacing w:before="0" w:after="0"/>
        <w:ind w:left="2875" w:right="2871" w:hanging="0"/>
        <w:jc w:val="center"/>
        <w:rPr>
          <w:sz w:val="20"/>
        </w:rPr>
      </w:pPr>
      <w:r>
        <w:rPr>
          <w:sz w:val="20"/>
        </w:rPr>
        <w:t>between</w:t>
      </w:r>
    </w:p>
    <w:p>
      <w:pPr>
        <w:pStyle w:val="TextBody"/>
        <w:bidi w:val="0"/>
        <w:spacing w:before="0" w:after="0"/>
        <w:ind w:left="2875" w:right="2871" w:hanging="0"/>
        <w:jc w:val="center"/>
        <w:rPr/>
      </w:pPr>
      <w:r>
        <w:rPr/>
        <w:t> </w:t>
      </w:r>
    </w:p>
    <w:p>
      <w:pPr>
        <w:pStyle w:val="TextBody"/>
        <w:bidi w:val="0"/>
        <w:spacing w:before="0" w:after="0"/>
        <w:ind w:left="2875" w:right="2871" w:hanging="0"/>
        <w:jc w:val="center"/>
        <w:rPr/>
      </w:pPr>
      <w:r>
        <w:rPr/>
        <w:t> </w:t>
      </w:r>
    </w:p>
    <w:tbl>
      <w:tblPr>
        <w:tblW w:w="10205" w:type="dxa"/>
        <w:jc w:val="left"/>
        <w:tblInd w:w="0" w:type="dxa"/>
        <w:tblLayout w:type="fixed"/>
        <w:tblCellMar>
          <w:top w:w="0" w:type="dxa"/>
          <w:left w:w="0" w:type="dxa"/>
          <w:bottom w:w="0" w:type="dxa"/>
          <w:right w:w="0" w:type="dxa"/>
        </w:tblCellMar>
      </w:tblPr>
      <w:tblGrid>
        <w:gridCol w:w="6729"/>
        <w:gridCol w:w="96"/>
        <w:gridCol w:w="3380"/>
      </w:tblGrid>
      <w:tr>
        <w:trPr/>
        <w:tc>
          <w:tcPr>
            <w:tcW w:w="6729" w:type="dxa"/>
            <w:tcBorders/>
            <w:vAlign w:val="center"/>
          </w:tcPr>
          <w:p>
            <w:pPr>
              <w:pStyle w:val="TableContents"/>
              <w:bidi w:val="0"/>
              <w:spacing w:before="0" w:after="283"/>
              <w:jc w:val="center"/>
              <w:rPr/>
            </w:pPr>
            <w:r>
              <w:rPr/>
              <w:t>BLOCKCHAIN.COM (BVI) II LIMITED</w:t>
            </w:r>
          </w:p>
        </w:tc>
        <w:tc>
          <w:tcPr>
            <w:tcW w:w="96"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pPr>
            <w:r>
              <w:rPr/>
              <w:t>SONO GROUP N.V.</w:t>
            </w:r>
          </w:p>
        </w:tc>
      </w:tr>
      <w:tr>
        <w:trPr/>
        <w:tc>
          <w:tcPr>
            <w:tcW w:w="10205" w:type="dxa"/>
            <w:gridSpan w:val="3"/>
            <w:tcBorders/>
            <w:vAlign w:val="center"/>
          </w:tcPr>
          <w:p>
            <w:pPr>
              <w:pStyle w:val="TableContents"/>
              <w:bidi w:val="0"/>
              <w:spacing w:before="0" w:after="283"/>
              <w:jc w:val="center"/>
              <w:rPr/>
            </w:pPr>
            <w:r>
              <w:rPr/>
              <w:t>.................................................................................... and .....................................................................................</w:t>
            </w:r>
          </w:p>
        </w:tc>
      </w:tr>
      <w:tr>
        <w:trPr/>
        <w:tc>
          <w:tcPr>
            <w:tcW w:w="6729" w:type="dxa"/>
            <w:tcBorders/>
            <w:vAlign w:val="center"/>
          </w:tcPr>
          <w:p>
            <w:pPr>
              <w:pStyle w:val="TableContents"/>
              <w:bidi w:val="0"/>
              <w:spacing w:before="0" w:after="283"/>
              <w:jc w:val="center"/>
              <w:rPr>
                <w:b/>
              </w:rPr>
            </w:pPr>
            <w:r>
              <w:rPr>
                <w:b/>
              </w:rPr>
              <w:t>("Party A")</w:t>
            </w:r>
          </w:p>
        </w:tc>
        <w:tc>
          <w:tcPr>
            <w:tcW w:w="96"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b/>
              </w:rPr>
            </w:pPr>
            <w:r>
              <w:rPr>
                <w:b/>
              </w:rPr>
              <w:t>("Party B")</w:t>
            </w:r>
          </w:p>
        </w:tc>
      </w:tr>
    </w:tbl>
    <w:p>
      <w:pPr>
        <w:pStyle w:val="TextBody"/>
        <w:bidi w:val="0"/>
        <w:spacing w:before="0" w:after="0"/>
        <w:ind w:left="2875" w:right="2871" w:hanging="0"/>
        <w:jc w:val="center"/>
        <w:rPr/>
      </w:pPr>
      <w:r>
        <w:rPr/>
        <w:t> </w:t>
      </w:r>
    </w:p>
    <w:p>
      <w:pPr>
        <w:pStyle w:val="TextBody"/>
        <w:bidi w:val="0"/>
        <w:spacing w:before="0" w:after="0"/>
        <w:ind w:left="159" w:right="0" w:hanging="0"/>
        <w:jc w:val="both"/>
        <w:rPr>
          <w:sz w:val="20"/>
        </w:rPr>
      </w:pPr>
      <w:r>
        <w:rPr>
          <w:sz w:val="20"/>
        </w:rPr>
        <w:t>This Annex supplements, forms part of, and is subject to, the ISDA Master Agreement referred to above and is part of its Schedule. For the purposes of this Agreement, including, without limitation, Sections 1(c), 2(a), 5 and 6, the credit support arrangements set out in this Annex constitute a Transaction (for which this Annex constitutes the Confirmation).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59" w:right="0" w:hanging="0"/>
        <w:jc w:val="both"/>
        <w:rPr>
          <w:b/>
          <w:sz w:val="20"/>
        </w:rPr>
      </w:pPr>
      <w:r>
        <w:rPr>
          <w:b/>
          <w:sz w:val="20"/>
        </w:rPr>
        <w:t>Paragraph 1. Interpretation</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Capitalised terms not otherwise defined in this Annex or elsewhere in this Agreement have the meanings specified pursuant to Paragraph 10, and all references in this Annex to Paragraphs are to Paragraphs of this Annex. In the event of any inconsistency between this Annex and the other provisions of this Schedule,this Annex will prevail, and in the event of any inconsistency between Paragraph 11 and the other provisions of this Annex, Paragraph 11 will prevail. For the avoidance of doubt, references to "transfer" in this Annex mean, in relation to cash, payment and, in relation to other assets, delivery.</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690" w:right="690" w:hanging="0"/>
        <w:jc w:val="left"/>
        <w:rPr/>
      </w:pPr>
      <w:r>
        <w:rPr/>
        <w:t> </w:t>
      </w:r>
    </w:p>
    <w:p>
      <w:pPr>
        <w:pStyle w:val="TextBody"/>
        <w:bidi w:val="0"/>
        <w:spacing w:before="0" w:after="0"/>
        <w:ind w:left="83" w:right="0" w:hanging="0"/>
        <w:jc w:val="center"/>
        <w:rPr>
          <w:sz w:val="16"/>
        </w:rPr>
      </w:pPr>
      <w:r>
        <w:rPr>
          <w:sz w:val="16"/>
        </w:rPr>
        <w:t>Copyright © 1995 by International Swaps and Derivatives Association, Inc.</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59" w:right="0" w:hanging="0"/>
        <w:jc w:val="left"/>
        <w:rPr>
          <w:b/>
          <w:sz w:val="20"/>
        </w:rPr>
      </w:pPr>
      <w:r>
        <w:rPr>
          <w:b/>
          <w:sz w:val="20"/>
        </w:rPr>
        <w:t>Paragraph 2. Credit Support Obligations</w:t>
      </w:r>
    </w:p>
    <w:p>
      <w:pPr>
        <w:pStyle w:val="TextBody"/>
        <w:bidi w:val="0"/>
        <w:spacing w:before="0" w:after="0"/>
        <w:ind w:left="0" w:right="0" w:hanging="0"/>
        <w:jc w:val="left"/>
        <w:rPr/>
      </w:pPr>
      <w:r>
        <w:rPr/>
        <w:t> </w:t>
      </w:r>
    </w:p>
    <w:p>
      <w:pPr>
        <w:pStyle w:val="TextBody"/>
        <w:bidi w:val="0"/>
        <w:spacing w:before="0" w:after="0"/>
        <w:ind w:left="159" w:right="0" w:hanging="0"/>
        <w:jc w:val="both"/>
        <w:rPr>
          <w:sz w:val="20"/>
        </w:rPr>
      </w:pPr>
      <w:r>
        <w:rPr>
          <w:sz w:val="20"/>
        </w:rPr>
        <w:t xml:space="preserve">(a)              </w:t>
      </w:r>
      <w:r>
        <w:rPr>
          <w:b/>
          <w:i/>
          <w:sz w:val="20"/>
        </w:rPr>
        <w:t xml:space="preserve">Delivery Amount. </w:t>
      </w:r>
      <w:r>
        <w:rPr>
          <w:sz w:val="20"/>
        </w:rPr>
        <w:t>Subject to Paragraphs 3 and 4, upon a demand made by the Transferee on or promptly following a Valuation Date, if the Delivery Amount for that Valuation Date equals or exceeds the Transferor's Minimum Transfer Amount, then the Transferor will transfer to the Transferee Eligible Credit Support having a Value as of the date of transfer at least equal to the applicable Delivery Amount (rounded pursuant to Paragraph 11(b)(iii)(D)). Unless otherwise specified in Paragraph 11(b), the "Delivery Amount" applicable to the Transferor for any Valuation Date will equal the amount by which:</w:t>
      </w:r>
    </w:p>
    <w:p>
      <w:pPr>
        <w:pStyle w:val="TextBody"/>
        <w:bidi w:val="0"/>
        <w:spacing w:before="0" w:after="0"/>
        <w:ind w:left="0" w:right="0" w:hanging="0"/>
        <w:jc w:val="both"/>
        <w:rPr/>
      </w:pPr>
      <w:r>
        <w:rPr/>
        <w:t> </w:t>
      </w:r>
    </w:p>
    <w:p>
      <w:pPr>
        <w:pStyle w:val="TextBody"/>
        <w:bidi w:val="0"/>
        <w:spacing w:before="0" w:after="0"/>
        <w:ind w:left="879" w:right="5415" w:hanging="0"/>
        <w:jc w:val="both"/>
        <w:rPr>
          <w:sz w:val="20"/>
        </w:rPr>
      </w:pPr>
      <w:r>
        <w:rPr>
          <w:sz w:val="20"/>
        </w:rPr>
        <w:t>(i) the Credit Support Amount</w:t>
      </w:r>
    </w:p>
    <w:p>
      <w:pPr>
        <w:pStyle w:val="TextBody"/>
        <w:bidi w:val="0"/>
        <w:spacing w:before="0" w:after="0"/>
        <w:ind w:left="879" w:right="5415" w:hanging="0"/>
        <w:jc w:val="both"/>
        <w:rPr/>
      </w:pPr>
      <w:r>
        <w:rPr/>
        <w:t> </w:t>
      </w:r>
    </w:p>
    <w:p>
      <w:pPr>
        <w:pStyle w:val="TextBody"/>
        <w:bidi w:val="0"/>
        <w:spacing w:before="0" w:after="0"/>
        <w:ind w:left="879" w:right="5415" w:hanging="0"/>
        <w:jc w:val="both"/>
        <w:rPr>
          <w:sz w:val="20"/>
        </w:rPr>
      </w:pPr>
      <w:r>
        <w:rPr>
          <w:sz w:val="20"/>
        </w:rPr>
        <w:t>exceeds</w:t>
      </w:r>
    </w:p>
    <w:p>
      <w:pPr>
        <w:pStyle w:val="TextBody"/>
        <w:bidi w:val="0"/>
        <w:spacing w:before="0" w:after="0"/>
        <w:ind w:left="879" w:right="5415" w:hanging="0"/>
        <w:jc w:val="both"/>
        <w:rPr/>
      </w:pPr>
      <w:r>
        <w:rPr/>
        <w:t> </w:t>
      </w:r>
    </w:p>
    <w:p>
      <w:pPr>
        <w:pStyle w:val="TextBody"/>
        <w:bidi w:val="0"/>
        <w:spacing w:before="0" w:after="0"/>
        <w:ind w:left="879" w:right="0" w:hanging="0"/>
        <w:jc w:val="both"/>
        <w:rPr>
          <w:sz w:val="20"/>
        </w:rPr>
      </w:pPr>
      <w:r>
        <w:rPr>
          <w:sz w:val="20"/>
        </w:rPr>
        <w:t>(ii) the Value as of that Valuation Date of the Transferor's Credit Support Balance (adjusted to include any prior Delivery Amount and to exclude any prior Return Amount, the transfer of which, in either case, has not yet been completed and for which the relevant Settlement Day falls on or after such Valuation Date).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 xml:space="preserve">(b)              </w:t>
      </w:r>
      <w:r>
        <w:rPr>
          <w:b/>
          <w:i/>
          <w:sz w:val="20"/>
        </w:rPr>
        <w:t xml:space="preserve">Return Amount. </w:t>
      </w:r>
      <w:r>
        <w:rPr>
          <w:sz w:val="20"/>
        </w:rPr>
        <w:t>Subject to Paragraphs 3 and 4, upon a demand made by the Transferor on or promptly following a Valuation Date, if the Return Amount for that Valuation Date equals or exceeds the Transferee's Minimum Transfer Amount, then the Transferee will transfer to the Transferor Equivalent Credit Support specified by the Transferor in that demand having a Value as of the date of transfer as close as practicable to the applicable Return Amount (rounded pursuant to Paragraph 11(b)(iii)(D)) and the Credit Support Balance will, upon such transfer, be reduced accordingly. Unless otherwise specified in Paragraph 11(b), the "Return Amount" applicable to the Transferee for any Valuation Date will equal the amount by which:</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(i) the Value as of that Valuation Date of the Transferor's Credit Support Balance (adjusted to include any prior Delivery Amount and to exclude any prior Return Amount, the transfer of which, in either case, has not yet been completed and for which the relevant Settlement Day falls on or after such Valuation Date)</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exceeds</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(ii) the Credit Support Amount.</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3. Transfers, Calculations and Exchanges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Transfers.</w:t>
        <w:tab/>
      </w:r>
      <w:r>
        <w:rPr>
          <w:sz w:val="20"/>
        </w:rPr>
        <w:t>All transfers under this Annex of any Eligible Credit Support, Equivalent Credit Support, Interest Amount or Equivalent Distributions shall be made in accordance with the instructions of the Transferee or Transferor, as applicable, and shall be made: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271"/>
        <w:gridCol w:w="9890"/>
      </w:tblGrid>
      <w:tr>
        <w:trPr/>
        <w:tc>
          <w:tcPr>
            <w:tcW w:w="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w:t>
            </w:r>
          </w:p>
        </w:tc>
        <w:tc>
          <w:tcPr>
            <w:tcW w:w="9890" w:type="dxa"/>
            <w:tcBorders/>
            <w:vAlign w:val="center"/>
          </w:tcPr>
          <w:p>
            <w:pPr>
              <w:pStyle w:val="TableContents"/>
              <w:bidi w:val="0"/>
              <w:spacing w:before="0" w:after="283"/>
              <w:jc w:val="left"/>
              <w:rPr/>
            </w:pPr>
            <w:r>
              <w:rPr/>
              <w:t>in the case of cash, by transfer into one or more bank accounts specified by the recipient;</w:t>
            </w:r>
          </w:p>
        </w:tc>
      </w:tr>
    </w:tbl>
    <w:p>
      <w:pPr>
        <w:pStyle w:val="TextBody"/>
        <w:bidi w:val="0"/>
        <w:spacing w:before="0" w:after="0"/>
        <w:ind w:left="880" w:right="587"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80" w:right="587" w:hanging="0"/>
        <w:jc w:val="left"/>
        <w:rPr/>
      </w:pPr>
      <w:r>
        <w:rPr/>
        <w:t> </w:t>
      </w:r>
    </w:p>
    <w:p>
      <w:pPr>
        <w:pStyle w:val="TextBody"/>
        <w:bidi w:val="0"/>
        <w:spacing w:before="0" w:after="0"/>
        <w:ind w:left="880" w:right="0" w:hanging="0"/>
        <w:jc w:val="both"/>
        <w:rPr>
          <w:sz w:val="20"/>
        </w:rPr>
      </w:pPr>
      <w:r>
        <w:rPr>
          <w:sz w:val="20"/>
        </w:rPr>
        <w:t>(ii)       in the case of certificated securities which cannot or which the parties have agreed will not be delivered by book-entry, by delivery in appropriate physical form to the recipient or its account accompanied by any duly executed instruments of transfer, transfer tax stamps and any other documents necessary to constitute a legally valid transfer of the transferring party's legal and beneficial title to the recipient; and</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(iii)       in the case of securities which the parties have agreed will be delivered by book-entry, by the giving of written instructions (including, for the avoidance of doubt, instructions given by telex, facsimile transmission or electronic messaging system) to the relevant depository institution or other entity specified by the recipient, together with a written copy of the instructions to the recipient, sufficient, if complied with, to result in a legally effective transfer of the transferring party's legal and beneficial title to the recipient.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Subject to Paragraph 4 and unless otherwise specified, if a demand for the transfer of Eligible Credit Support or Equivalent Credit Support is received by the Notification Time, then the relevant transfer will be made not later than the close of business on the Settlement Day relating to the date such demand is received; if a demand is received after the Notification Time, then the relevant transfer will be made not later than the close of business on the Settlement Day relating to the day after the date such demand is received.</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Calculations. </w:t>
      </w:r>
      <w:r>
        <w:rPr>
          <w:sz w:val="20"/>
        </w:rPr>
        <w:t>All calculations of Value and Exposure for purposes of Paragraphs 2 and 4(a) will be made by the relevant Valuation Agent as of the relevant Valuation Time. The Valuation Agent will notify each party (or the other party, if the Valuation Agent is a party) of its calculations not later than the Notification Time on the Local Business Day following the applicable Valuation Date (or, in the case of Paragraph 4(a), following the date of calculation).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1945"/>
        <w:gridCol w:w="7992"/>
      </w:tblGrid>
      <w:tr>
        <w:trPr/>
        <w:tc>
          <w:tcPr>
            <w:tcW w:w="26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(c)</w:t>
            </w:r>
          </w:p>
        </w:tc>
        <w:tc>
          <w:tcPr>
            <w:tcW w:w="7992" w:type="dxa"/>
            <w:tcBorders/>
            <w:vAlign w:val="center"/>
          </w:tcPr>
          <w:p>
            <w:pPr>
              <w:pStyle w:val="TableContents"/>
              <w:bidi w:val="0"/>
              <w:spacing w:before="0" w:after="283"/>
              <w:jc w:val="both"/>
              <w:rPr/>
            </w:pPr>
            <w:r>
              <w:rPr/>
              <w:t>Exchanges.</w:t>
            </w:r>
          </w:p>
        </w:tc>
      </w:tr>
    </w:tbl>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       Unless otherwise specified in Paragraph 11, the Transferor may on any Local Business Day by notice inform the Transferee that it wishes to transfer to the Transferee Eligible Credit Support specified in that notice (the "New Credit Support") in exchange for certain Eligible Credit Support (the "Original Credit Support") specified in that notice comprised in the Transferor's</w:t>
      </w:r>
    </w:p>
    <w:p>
      <w:pPr>
        <w:pStyle w:val="TextBody"/>
        <w:bidi w:val="0"/>
        <w:spacing w:before="0" w:after="0"/>
        <w:ind w:left="880" w:right="0" w:hanging="0"/>
        <w:jc w:val="both"/>
        <w:rPr>
          <w:sz w:val="20"/>
        </w:rPr>
      </w:pPr>
      <w:r>
        <w:rPr>
          <w:sz w:val="20"/>
        </w:rPr>
        <w:t>Credit Support Balance.</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(ii)       If the Transferee notifies the Transferor that it has consented to the proposed exchange, (A) the Transferor will be obliged to transfer the New Credit Support to the Transferee on the first Settlement Day following the date on which it receives notice (which may be oral telephonic notice) from the Transferee of its consent and (B) the Transferee will be obliged to transfer to the Transferor Equivalent Credit Support in respect of the Original Credit Support not later than the Settlement Day following the date on which the Transferee receives the New Credit Support, unless otherwise specified in Paragraph 11(d) (the "Exchange Date"); </w:t>
      </w:r>
      <w:r>
        <w:rPr>
          <w:i/>
          <w:sz w:val="20"/>
        </w:rPr>
        <w:t xml:space="preserve">provided </w:t>
      </w:r>
      <w:r>
        <w:rPr>
          <w:sz w:val="20"/>
        </w:rPr>
        <w:t>that the Transferee will only be obliged to transfer Equivalent Credit Support with a Value as of the date of transfer as close as practicable to, but in any event not more than, the Value of the New Credit Support as of that date.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160"/>
        <w:jc w:val="both"/>
        <w:rPr>
          <w:b/>
          <w:sz w:val="20"/>
        </w:rPr>
      </w:pPr>
      <w:r>
        <w:rPr>
          <w:b/>
          <w:sz w:val="20"/>
        </w:rPr>
        <w:t>Paragraph 4. Dispute Resolution</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Disputed Calculations or Valuations</w:t>
      </w:r>
      <w:r>
        <w:rPr>
          <w:sz w:val="20"/>
        </w:rPr>
        <w:t>. If a party (a "Disputing Party") reasonably disputes (I) the Valuation Agent’s calculation of a Delivery Amount or a Return Amount or (II) the Value of any transfer of Eligible Credit Support or Equivalent Credit Support, then:</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(1) the Disputing Party will notify the other party and the Valuation Agent (if the Valuation Agent is not the other party) not later than the close of business on the Local Business Day following, in the case of (I) above, the date that the demand is received under Paragraph 2 or, in the case of (II) above, the date of transfer;</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(2) in the case of (I) above, the appropriate party will transfer the undisputed amount to the other party not later than the close of business on the Settlement Day following the date that the demand is received under Paragraph 2;</w:t>
      </w:r>
    </w:p>
    <w:p>
      <w:pPr>
        <w:pStyle w:val="TextBody"/>
        <w:bidi w:val="0"/>
        <w:spacing w:before="0" w:after="0"/>
        <w:ind w:left="0" w:right="0" w:hanging="0"/>
        <w:jc w:val="both"/>
        <w:rPr/>
      </w:pPr>
      <w:r>
        <w:rPr/>
        <w:t> </w:t>
      </w:r>
    </w:p>
    <w:p>
      <w:pPr>
        <w:pStyle w:val="TextBody"/>
        <w:bidi w:val="0"/>
        <w:spacing w:before="0" w:after="0"/>
        <w:ind w:left="880" w:right="1028" w:hanging="0"/>
        <w:jc w:val="both"/>
        <w:rPr>
          <w:sz w:val="20"/>
        </w:rPr>
      </w:pPr>
      <w:r>
        <w:rPr>
          <w:sz w:val="20"/>
        </w:rPr>
        <w:t>(3) the parties will consult with each other in an attempt to resolve the dispute; and</w:t>
      </w:r>
    </w:p>
    <w:p>
      <w:pPr>
        <w:pStyle w:val="TextBody"/>
        <w:bidi w:val="0"/>
        <w:spacing w:before="0" w:after="0"/>
        <w:ind w:left="0" w:right="0" w:hanging="0"/>
        <w:jc w:val="both"/>
        <w:rPr/>
      </w:pPr>
      <w:r>
        <w:rPr/>
        <w:t> </w:t>
      </w:r>
    </w:p>
    <w:p>
      <w:pPr>
        <w:pStyle w:val="TextBody"/>
        <w:bidi w:val="0"/>
        <w:spacing w:before="0" w:after="0"/>
        <w:ind w:left="880" w:right="1028" w:hanging="0"/>
        <w:jc w:val="both"/>
        <w:rPr>
          <w:sz w:val="20"/>
        </w:rPr>
      </w:pPr>
      <w:r>
        <w:rPr>
          <w:sz w:val="20"/>
        </w:rPr>
        <w:t>(4) if they fail to resolve the dispute by the Resolution Time, then:</w:t>
      </w:r>
    </w:p>
    <w:p>
      <w:pPr>
        <w:pStyle w:val="TextBody"/>
        <w:bidi w:val="0"/>
        <w:spacing w:before="0" w:after="0"/>
        <w:ind w:left="0" w:right="0" w:hanging="0"/>
        <w:jc w:val="both"/>
        <w:rPr/>
      </w:pPr>
      <w:r>
        <w:rPr/>
        <w:t> </w:t>
      </w:r>
    </w:p>
    <w:p>
      <w:pPr>
        <w:pStyle w:val="TextBody"/>
        <w:bidi w:val="0"/>
        <w:spacing w:before="0" w:after="0"/>
        <w:ind w:left="1509" w:right="0" w:hanging="0"/>
        <w:jc w:val="both"/>
        <w:rPr>
          <w:sz w:val="20"/>
        </w:rPr>
      </w:pPr>
      <w:r>
        <w:rPr>
          <w:sz w:val="20"/>
        </w:rPr>
        <w:t>(i)               in the case of a dispute involving a Delivery Amount or Return Amount, unless otherwise specified in Paragraph 11(e), the Valuation Agent will recalculate the Exposure and the Value as of the Recalculation Date by:</w:t>
      </w:r>
    </w:p>
    <w:p>
      <w:pPr>
        <w:pStyle w:val="TextBody"/>
        <w:bidi w:val="0"/>
        <w:spacing w:before="0" w:after="0"/>
        <w:ind w:left="0" w:right="0" w:hanging="0"/>
        <w:jc w:val="both"/>
        <w:rPr/>
      </w:pPr>
      <w:r>
        <w:rPr/>
        <w:t> </w:t>
      </w:r>
    </w:p>
    <w:p>
      <w:pPr>
        <w:pStyle w:val="TextBody"/>
        <w:bidi w:val="0"/>
        <w:spacing w:before="0" w:after="0"/>
        <w:ind w:left="2229" w:right="0" w:hanging="0"/>
        <w:jc w:val="both"/>
        <w:rPr>
          <w:sz w:val="20"/>
        </w:rPr>
      </w:pPr>
      <w:r>
        <w:rPr>
          <w:sz w:val="20"/>
        </w:rPr>
        <w:t>(A)            utilising any calculations of that part of the Exposure attributable to the Transactions that the parties have agreed are not in dispute;</w:t>
      </w:r>
    </w:p>
    <w:p>
      <w:pPr>
        <w:pStyle w:val="TextBody"/>
        <w:bidi w:val="0"/>
        <w:spacing w:before="0" w:after="0"/>
        <w:ind w:left="0" w:right="0" w:hanging="0"/>
        <w:jc w:val="both"/>
        <w:rPr/>
      </w:pPr>
      <w:r>
        <w:rPr/>
        <w:t> </w:t>
      </w:r>
    </w:p>
    <w:p>
      <w:pPr>
        <w:pStyle w:val="TextBody"/>
        <w:bidi w:val="0"/>
        <w:spacing w:before="0" w:after="0"/>
        <w:ind w:left="2229" w:right="0" w:hanging="0"/>
        <w:jc w:val="both"/>
        <w:rPr>
          <w:sz w:val="20"/>
        </w:rPr>
      </w:pPr>
      <w:r>
        <w:rPr>
          <w:sz w:val="20"/>
        </w:rPr>
        <w:t>(B)             calculating that part of the Exposure attributable to the Transactions in dispute by seeking four actual quotations at mid-market from Reference Market- makers for purposes of calculating Market Quotation, and taking the arithmetic average of those obtained;</w:t>
        <w:tab/>
      </w:r>
      <w:r>
        <w:rPr>
          <w:i/>
          <w:sz w:val="20"/>
        </w:rPr>
        <w:t xml:space="preserve">provided </w:t>
      </w:r>
      <w:r>
        <w:rPr>
          <w:sz w:val="20"/>
        </w:rPr>
        <w:t>that if four quotations are not available for a particular Transaction, then fewer than four quotations may be used for that Transaction, and if no quotations are available for a particular Transaction, then the Valuation Agent’s original calculations will be used for the Transaction; and</w:t>
      </w:r>
    </w:p>
    <w:p>
      <w:pPr>
        <w:pStyle w:val="TextBody"/>
        <w:bidi w:val="0"/>
        <w:spacing w:before="0" w:after="0"/>
        <w:ind w:left="0" w:right="0" w:hanging="0"/>
        <w:jc w:val="both"/>
        <w:rPr/>
      </w:pPr>
      <w:r>
        <w:rPr/>
        <w:t> </w:t>
      </w:r>
    </w:p>
    <w:p>
      <w:pPr>
        <w:pStyle w:val="TextBody"/>
        <w:bidi w:val="0"/>
        <w:spacing w:before="0" w:after="0"/>
        <w:ind w:left="2230" w:right="0" w:hanging="0"/>
        <w:jc w:val="both"/>
        <w:rPr>
          <w:sz w:val="20"/>
        </w:rPr>
      </w:pPr>
      <w:r>
        <w:rPr>
          <w:sz w:val="20"/>
        </w:rPr>
        <w:t>(C)             utilising the procedures specified in Paragraph 11(e)(ii) for calculating the Value, if disputed, of the outstanding Credit Support Balance;</w:t>
      </w:r>
    </w:p>
    <w:p>
      <w:pPr>
        <w:pStyle w:val="TextBody"/>
        <w:bidi w:val="0"/>
        <w:spacing w:before="0" w:after="0"/>
        <w:ind w:left="0" w:right="0" w:hanging="0"/>
        <w:jc w:val="both"/>
        <w:rPr/>
      </w:pPr>
      <w:r>
        <w:rPr/>
        <w:t> </w:t>
      </w:r>
    </w:p>
    <w:p>
      <w:pPr>
        <w:pStyle w:val="TextBody"/>
        <w:bidi w:val="0"/>
        <w:spacing w:before="0" w:after="0"/>
        <w:ind w:left="1509" w:right="0" w:hanging="0"/>
        <w:jc w:val="both"/>
        <w:rPr>
          <w:sz w:val="20"/>
        </w:rPr>
      </w:pPr>
      <w:r>
        <w:rPr>
          <w:sz w:val="20"/>
        </w:rPr>
        <w:t>(ii)               in the case of a dispute involving the Value of any transfer of Eligible Credit Support or Equivalent Credit Support, the Valuation Agent will recalculate the Value as of the date of transfer pursuant to Paragraph 11(e)(ii).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Following a recalculation pursuant to this Paragraph, the Valuation Agent will notify each party (or the other party, if the Valuation Agent is a party) as soon as possible but in any event not later than the Notification Time on the Local Business Day following the Resolution Time. The appropriate party will, upon demand following such notice given by the Valuation Agent or a resolution pursuant to (3) above and subject to Paragraph 3(a), make the appropriate transfer.</w:t>
      </w:r>
    </w:p>
    <w:p>
      <w:pPr>
        <w:pStyle w:val="TextBody"/>
        <w:bidi w:val="0"/>
        <w:spacing w:before="0" w:after="0"/>
        <w:ind w:left="160" w:right="596"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sz w:val="20"/>
        </w:rPr>
        <w:t xml:space="preserve">(b)                </w:t>
      </w:r>
      <w:r>
        <w:rPr>
          <w:b/>
          <w:i/>
          <w:sz w:val="20"/>
        </w:rPr>
        <w:t xml:space="preserve">No Event of Default. </w:t>
      </w:r>
      <w:r>
        <w:rPr>
          <w:sz w:val="20"/>
        </w:rPr>
        <w:t>The failure by a party to make a transfer of any amount which is the subject of a dispute to which Paragraph 4(a) applies will not constitute an Event of Default for as long as the procedures set out in this Paragraph 4 are being carried out. For the avoidance of doubt, upon completion of those procedures, Section 5(a)(i) of this Agreement will apply to any failure by a party to make</w:t>
        <w:tab/>
        <w:t>a transfer required under the final sentence of Paragraph 4(a) on the relevant due date.</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5. Transfer of Title, No Security Interest, Distributions and Interest Amount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 xml:space="preserve">Transfer of Title. </w:t>
      </w:r>
      <w:r>
        <w:rPr>
          <w:sz w:val="20"/>
        </w:rPr>
        <w:t>Each party agrees that all right, title and interest in and to any Eligible Credit Support, Equivalent Credit Support, Equivalent Distributions or Interest Amount which it transfers to the other party under the terms of this Annex shall vest in the recipient free and clear of any liens, claims, charges or encumbrances or any other interest of the transferring party or of any third person (other than</w:t>
        <w:tab/>
        <w:t>a lien routinely imposed on all securities in a relevant clearance system).</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No Security Interest. </w:t>
      </w:r>
      <w:r>
        <w:rPr>
          <w:sz w:val="20"/>
        </w:rPr>
        <w:t>Nothing in this Annex is intended to create or does create in favour of either party any mortgage, charge, lien, pledge, encumbrance or other security interest in any cash or other property transferred by one party to the other party under the terms of this Annex.</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7"/>
        <w:gridCol w:w="775"/>
        <w:gridCol w:w="9323"/>
      </w:tblGrid>
      <w:tr>
        <w:trPr/>
        <w:tc>
          <w:tcPr>
            <w:tcW w:w="10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(c)</w:t>
            </w:r>
          </w:p>
        </w:tc>
        <w:tc>
          <w:tcPr>
            <w:tcW w:w="9323" w:type="dxa"/>
            <w:tcBorders/>
            <w:vAlign w:val="center"/>
          </w:tcPr>
          <w:p>
            <w:pPr>
              <w:pStyle w:val="TableContents"/>
              <w:bidi w:val="0"/>
              <w:spacing w:before="0" w:after="283"/>
              <w:jc w:val="both"/>
              <w:rPr/>
            </w:pPr>
            <w:r>
              <w:rPr/>
              <w:t>Distributions and Interest Amount.</w:t>
            </w:r>
          </w:p>
        </w:tc>
      </w:tr>
    </w:tbl>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             </w:t>
      </w:r>
      <w:r>
        <w:rPr>
          <w:b/>
          <w:i/>
          <w:sz w:val="20"/>
        </w:rPr>
        <w:t xml:space="preserve">Distributions. </w:t>
      </w:r>
      <w:r>
        <w:rPr>
          <w:sz w:val="20"/>
        </w:rPr>
        <w:t>The Transferee will transfer to the Transferor not later than the Settlement Day following each Distributions Date cash, securities or other property of the same type, nominal value, description and amount as the relevant Distributions ("Equivalent Distributions") to the extent that a Delivery Amount would not be created or increased by the transfer, as calculated by the Valuation Agent (and the date of calculation will be deemed a Valuation Date for this purpose).</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(ii)             </w:t>
      </w:r>
      <w:r>
        <w:rPr>
          <w:b/>
          <w:i/>
          <w:sz w:val="20"/>
        </w:rPr>
        <w:t xml:space="preserve">Interest Amount. </w:t>
      </w:r>
      <w:r>
        <w:rPr>
          <w:sz w:val="20"/>
        </w:rPr>
        <w:t>Unless otherwise specified in Paragraph 11(f)(iii), the Transferee will transfer to the Transferor at the times specified in Paragraph 11(f)(ii) the relevant Interest Amount to the extent that a Delivery Amount would not be created or increased by the transfer, as calculated by the Valuation Agent (and the date of calculation will be deemed a Valuation Date for this purpose).</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6. Default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If an Early Termination Date is designated or deemed to occur as a result of an Event of Default in relation to a party, an amount equal to the Value of the Credit Support Balance, determined as though the Early Termination Date were a Valuation Date, will be deemed to be an Unpaid Amount due to the Transferor (which may or may not be the Defaulting Party) for purposes of</w:t>
        <w:tab/>
        <w:t xml:space="preserve"> Section 6(e) . For the avoidance of doubt, if Market Quotation is the applicable payment measure for purposes of</w:t>
        <w:tab/>
        <w:t>Section 6(e), then the Market Quotation determined under Section 6(e) in relation to the Transaction constituted by this Annex will be deemed to be zero, and, if Loss is the applicable payment measure for purposes of Section 6(e), then the Loss determined under Section 6(e) in relation to the Transaction will be limited to the Unpaid Amount representing the Value of the Credit Support Balance.</w:t>
      </w:r>
    </w:p>
    <w:p>
      <w:pPr>
        <w:pStyle w:val="TextBody"/>
        <w:bidi w:val="0"/>
        <w:spacing w:before="0" w:after="0"/>
        <w:ind w:left="160" w:right="596"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firstLine="160"/>
        <w:jc w:val="both"/>
        <w:rPr>
          <w:b/>
          <w:sz w:val="20"/>
        </w:rPr>
      </w:pPr>
      <w:r>
        <w:rPr>
          <w:b/>
          <w:sz w:val="20"/>
        </w:rPr>
        <w:t>Paragraph 7. Representation</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Each party represents to the other party (which representation will be deemed to be repeated as of each date on which it transfers Eligible Credit Support, Equivalent Credit Support or Equivalent Distributions) that it is the sole owner of or otherwise has the right to transfer all Eligible Credit Support, Equivalent Credit Support or Equivalent Distributions it transfers to the other party under this Annex, free and clear of any security interest, lien, encumbrance or other restriction (other than a lien routinely imposed on all securities in a relevant clearance system).</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8. Expenses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Each party will pay its own costs and expenses (including any stamp, transfer or similar transaction tax or duty payable on any transfer it is required to make under this Annex) in connection with performing its obligations under this Annex, and neither party will be liable for any such costs and expenses incurred by the other party.</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9. Miscellaneous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Default Interest.</w:t>
        <w:tab/>
      </w:r>
      <w:r>
        <w:rPr>
          <w:sz w:val="20"/>
        </w:rPr>
        <w:t>Other than in the case of an amount which is the subject of a dispute under Paragraph 4(a), if a Transferee fails to make, when due, any transfer of Equivalent Credit Support, Equivalent Distributions or the Interest Amount, it will be obliged to pay the Transferor (to the extent permitted under applicable law) an amount equal to interest at the Default Rate multiplied by the Value on the relevant Valuation Date of the items of property that were required to be transferred, from (and including) the date that the Equivalent Credit Support, Equivalent Distributions or Interest Amount were required to be transferred to (but excluding) the date of transfer of the Equivalent Credit Support, Equivalent Distributions or Interest Amount. This interest will be calculated on the basis of daily compounding and the actual number of days elapsed.</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Good Faith and Commercially Reasonable Manner. </w:t>
      </w:r>
      <w:r>
        <w:rPr>
          <w:sz w:val="20"/>
        </w:rPr>
        <w:t>Performance of all obligations under this Annex, including, but not limited to, all calculations, valuations and determinations made by either party, will be made in good faith and in a commercially reasonable manner.</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(c)              </w:t>
      </w:r>
      <w:r>
        <w:rPr>
          <w:b/>
          <w:i/>
          <w:sz w:val="20"/>
        </w:rPr>
        <w:t xml:space="preserve">Demands and Notices. </w:t>
      </w:r>
      <w:r>
        <w:rPr>
          <w:sz w:val="20"/>
        </w:rPr>
        <w:t>All demands and notices given by a party under this Annex will be given as specified in Section 12 of this Agreement.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(d)              </w:t>
      </w:r>
      <w:r>
        <w:rPr>
          <w:b/>
          <w:i/>
          <w:sz w:val="20"/>
        </w:rPr>
        <w:t xml:space="preserve">Specifications of Certain Matters. </w:t>
      </w:r>
      <w:r>
        <w:rPr>
          <w:sz w:val="20"/>
        </w:rPr>
        <w:t>Anything referred to in this Annex as being specified in Paragraph 11 also may be specified in one or more Confirmations or other documents and this Annex will be construed accordingly.</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10. Definitions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As used in this Annex:</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"Base Currency" </w:t>
      </w:r>
      <w:r>
        <w:rPr>
          <w:sz w:val="20"/>
        </w:rPr>
        <w:t>means the currency specified as such in Paragraph 11(a)(i).</w:t>
      </w:r>
    </w:p>
    <w:p>
      <w:pPr>
        <w:pStyle w:val="TextBody"/>
        <w:bidi w:val="0"/>
        <w:spacing w:before="0" w:after="0"/>
        <w:ind w:left="16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b/>
          <w:i/>
          <w:sz w:val="20"/>
        </w:rPr>
        <w:t xml:space="preserve">"Base Currency Equivalent" </w:t>
      </w:r>
      <w:r>
        <w:rPr>
          <w:sz w:val="20"/>
        </w:rPr>
        <w:t>means, with respect to an amount on a Valuation Date, in the case of an amount denominated in the Base Currency, such Base Currency amount and, in the case of an amount denominated in a currency other than the Base Currency (the “Other Currency”), the amount of Base Currency required to purchase such amount of the Other Currency at the spot exchange rate determined by the Valuation Agent for value on such Valuation Date.</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"Credit Support Amount" </w:t>
      </w:r>
      <w:r>
        <w:rPr>
          <w:sz w:val="20"/>
        </w:rPr>
        <w:t xml:space="preserve">means, with respect to a Transferor on a Valuation Date, (i) the Transferee’s Exposure plus (ii) all Independent Amounts applicable to the Transferor, if any, minus (iii) all Independent Amounts applicable to the Transferee, if any, minus (iv) the Transferor's Threshold; </w:t>
      </w:r>
      <w:r>
        <w:rPr>
          <w:i/>
          <w:sz w:val="20"/>
        </w:rPr>
        <w:t xml:space="preserve">provided, however, </w:t>
      </w:r>
      <w:r>
        <w:rPr>
          <w:sz w:val="20"/>
        </w:rPr>
        <w:t>that the Credit Support Amount will be deemed to be zero whenever the calculation of Credit Support Amount yields a number less than zero.</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"Credit Support Balance" </w:t>
      </w:r>
      <w:r>
        <w:rPr>
          <w:sz w:val="20"/>
        </w:rPr>
        <w:t>means, with respect to a Transferor on a Valuation Date, the aggregate of all Eligible Credit Support that has been transferred to or received by the Transferee under this Annex, together with any Distributions and all proceeds of any such Eligible Credit Support or Distributions, as reduced pursuant to Paragraph 2(b), 3(c)(ii) or 6. Any Equivalent Distributions or Interest Amount (or portion of either) not transferred pursuant to Paragraph 5(c)(i) or (ii) will form part of the Credit Support Balance.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"Delivery Amount" </w:t>
      </w:r>
      <w:r>
        <w:rPr>
          <w:sz w:val="20"/>
        </w:rPr>
        <w:t>has the meaning specified in Paragraph 2(a).</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"Disputing Party" </w:t>
      </w:r>
      <w:r>
        <w:rPr>
          <w:sz w:val="20"/>
        </w:rPr>
        <w:t>has the meaning specified in Paragraph 4.</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"Distributions" </w:t>
      </w:r>
      <w:r>
        <w:rPr>
          <w:sz w:val="20"/>
        </w:rPr>
        <w:t>means, with respect to any Eligible Credit Support comprised in the Credit Support Balance consisting of securities, all principal, interest and other payments and distributions of cash or other property to which a holder of securities of the same type, nominal value, description and amount as such Eligible Credit Support would be entitled from time to time.</w:t>
      </w:r>
    </w:p>
    <w:p>
      <w:pPr>
        <w:pStyle w:val="TextBody"/>
        <w:bidi w:val="0"/>
        <w:spacing w:before="0" w:after="0"/>
        <w:ind w:left="0" w:right="0" w:hanging="0"/>
        <w:jc w:val="both"/>
        <w:rPr/>
      </w:pPr>
      <w:r>
        <w:rPr/>
        <w:t> </w:t>
      </w:r>
    </w:p>
    <w:p>
      <w:pPr>
        <w:pStyle w:val="TextBody"/>
        <w:bidi w:val="0"/>
        <w:spacing w:before="0" w:after="0"/>
        <w:ind w:left="160" w:right="133" w:hanging="0"/>
        <w:jc w:val="both"/>
        <w:rPr>
          <w:sz w:val="20"/>
        </w:rPr>
      </w:pPr>
      <w:r>
        <w:rPr>
          <w:b/>
          <w:i/>
          <w:sz w:val="20"/>
        </w:rPr>
        <w:t xml:space="preserve">"Distributions Date" </w:t>
      </w:r>
      <w:r>
        <w:rPr>
          <w:sz w:val="20"/>
        </w:rPr>
        <w:t>means, with respect to any Eligible Credit Support comprised in the Credit Support Balance other than cash, each date on which a holder of such Eligible Credit Support is entitled to receive Distributions or, if that date is not a Local Business Day, the next following Local Business Day.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"Eligible Credit Support" </w:t>
      </w:r>
      <w:r>
        <w:rPr>
          <w:sz w:val="20"/>
        </w:rPr>
        <w:t>means, with respect to a party, the items, if any, specified as such for that party in Paragraph 11(b)(ii) including, in relation to any securities, if applicable, the proceeds of any redemption in whole or in part of such securities by the relevant issuer.</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"Eligible Currency" </w:t>
      </w:r>
      <w:r>
        <w:rPr>
          <w:sz w:val="20"/>
        </w:rPr>
        <w:t>means each currency specified as such in Paragraph 11(a)(ii), if such currency is freely available.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"Equivalent Credit Support" </w:t>
      </w:r>
      <w:r>
        <w:rPr>
          <w:sz w:val="20"/>
        </w:rPr>
        <w:t>means, in relation to any Eligible Credit Support comprised in the Credit Support Balance, Eligible Credit Support of the same type, nominal value, description and amount as that Eligible Credit Support.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"Equivalent Distributions" </w:t>
      </w:r>
      <w:r>
        <w:rPr>
          <w:sz w:val="20"/>
        </w:rPr>
        <w:t>has the meaning specified in Paragraph 5(c)(i).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"Exchange Date" </w:t>
      </w:r>
      <w:r>
        <w:rPr>
          <w:sz w:val="20"/>
        </w:rPr>
        <w:t>has the meaning specified in Paragraph 11(d).</w:t>
      </w:r>
    </w:p>
    <w:p>
      <w:pPr>
        <w:pStyle w:val="TextBody"/>
        <w:bidi w:val="0"/>
        <w:spacing w:before="0" w:after="0"/>
        <w:ind w:left="159"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59" w:right="0" w:firstLine="59"/>
        <w:jc w:val="both"/>
        <w:rPr>
          <w:sz w:val="20"/>
        </w:rPr>
      </w:pPr>
      <w:r>
        <w:rPr>
          <w:b/>
          <w:i/>
          <w:sz w:val="20"/>
        </w:rPr>
        <w:t xml:space="preserve">"Exposure" </w:t>
      </w:r>
      <w:r>
        <w:rPr>
          <w:sz w:val="20"/>
        </w:rPr>
        <w:t>means, with respect to a party on a Valuation Date and subject to Paragraph 4 in the case of a dispute, the amount, if any, that would be payable to that party by the other party (expressed as a positive number) or by that party to the other party (expressed as a negative number) pursuant to Section 6(e)(ii)(1) of this Agreement if all Transactions (other than the Transaction constituted by this Annex) were being terminated as of the relevant Valuation Time, on the basis that (i) that party is not the Affected Party and (ii) the Base Currency is the Termination Currency;</w:t>
        <w:tab/>
      </w:r>
      <w:r>
        <w:rPr>
          <w:i/>
          <w:sz w:val="20"/>
        </w:rPr>
        <w:t xml:space="preserve">provided </w:t>
      </w:r>
      <w:r>
        <w:rPr>
          <w:sz w:val="20"/>
        </w:rPr>
        <w:t>that Market Quotations will be determined by the Valuation Agent on behalf of that party using its estimates at mid-market of the amounts that would be paid for Replacement Transactions (as that term is defined in the definition of “Market Quotation”).</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"Independent Amount" </w:t>
      </w:r>
      <w:r>
        <w:rPr>
          <w:sz w:val="20"/>
        </w:rPr>
        <w:t xml:space="preserve">means, with respect to a party, the Base Currency Equivalent of the amount specified as such for that party in Paragraph 11 (b)(iii)(A); if no amount is specified, zero </w:t>
      </w:r>
      <w:r>
        <w:rPr>
          <w:i/>
          <w:sz w:val="20"/>
        </w:rPr>
        <w: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"Interest Amount" </w:t>
      </w:r>
      <w:r>
        <w:rPr>
          <w:sz w:val="20"/>
        </w:rPr>
        <w:t>means, with respect to an Interest Period, the aggregate sum of the Base Currency Equivalents of the amounts of interest determined for each relevant currency and calculated for each day in that Interest Period on the principal amount of the portion of the Credit Support Balance comprised of cash in such currency, determined by the Valuation Agent for each such day as follows: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474"/>
        <w:gridCol w:w="9670"/>
      </w:tblGrid>
      <w:tr>
        <w:trPr/>
        <w:tc>
          <w:tcPr>
            <w:tcW w:w="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both"/>
              <w:rPr/>
            </w:pPr>
            <w:r>
              <w:rPr/>
              <w:t>(x)</w:t>
            </w:r>
          </w:p>
        </w:tc>
        <w:tc>
          <w:tcPr>
            <w:tcW w:w="9670" w:type="dxa"/>
            <w:tcBorders/>
            <w:vAlign w:val="center"/>
          </w:tcPr>
          <w:p>
            <w:pPr>
              <w:pStyle w:val="TableContents"/>
              <w:bidi w:val="0"/>
              <w:spacing w:before="0" w:after="283"/>
              <w:jc w:val="both"/>
              <w:rPr/>
            </w:pPr>
            <w:r>
              <w:rPr/>
              <w:t>the amount of cash in such currency on that day; multiplied by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6"/>
        <w:gridCol w:w="511"/>
        <w:gridCol w:w="9628"/>
      </w:tblGrid>
      <w:tr>
        <w:trPr/>
        <w:tc>
          <w:tcPr>
            <w:tcW w:w="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both"/>
              <w:rPr/>
            </w:pPr>
            <w:r>
              <w:rPr/>
              <w:t>(y)</w:t>
            </w:r>
          </w:p>
        </w:tc>
        <w:tc>
          <w:tcPr>
            <w:tcW w:w="9628" w:type="dxa"/>
            <w:tcBorders/>
            <w:vAlign w:val="center"/>
          </w:tcPr>
          <w:p>
            <w:pPr>
              <w:pStyle w:val="TableContents"/>
              <w:bidi w:val="0"/>
              <w:spacing w:before="0" w:after="283"/>
              <w:jc w:val="both"/>
              <w:rPr/>
            </w:pPr>
            <w:r>
              <w:rPr/>
              <w:t>the relevant Interest Rate in effect for that day; divided by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5"/>
        <w:gridCol w:w="621"/>
        <w:gridCol w:w="9499"/>
      </w:tblGrid>
      <w:tr>
        <w:trPr/>
        <w:tc>
          <w:tcPr>
            <w:tcW w:w="8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both"/>
              <w:rPr/>
            </w:pPr>
            <w:r>
              <w:rPr/>
              <w:t>(z)</w:t>
            </w:r>
          </w:p>
        </w:tc>
        <w:tc>
          <w:tcPr>
            <w:tcW w:w="9499" w:type="dxa"/>
            <w:tcBorders/>
            <w:vAlign w:val="center"/>
          </w:tcPr>
          <w:p>
            <w:pPr>
              <w:pStyle w:val="TableContents"/>
              <w:bidi w:val="0"/>
              <w:spacing w:before="0" w:after="283"/>
              <w:jc w:val="both"/>
              <w:rPr/>
            </w:pPr>
            <w:r>
              <w:rPr/>
              <w:t>360 (or, in the case of pounds sterling, 365).</w:t>
            </w:r>
          </w:p>
        </w:tc>
      </w:tr>
    </w:tbl>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"Interest Period" </w:t>
      </w:r>
      <w:r>
        <w:rPr>
          <w:sz w:val="20"/>
        </w:rPr>
        <w:t>means the period from (and including) the last Local Business Day on which an Interest Amount was transferred (or, if no Interest Amount has yet been transferred, the Local Business Day on which Eligible Credit Support or Equivalent Credit Support in the form of cash was transferred to or received by the Transferee) to (but excluding) the Local Business Day on which the current Interest Amount is transferred.</w:t>
      </w:r>
    </w:p>
    <w:p>
      <w:pPr>
        <w:pStyle w:val="TextBody"/>
        <w:bidi w:val="0"/>
        <w:spacing w:before="0" w:after="0"/>
        <w:ind w:left="0" w:right="0" w:hanging="0"/>
        <w:jc w:val="both"/>
        <w:rPr/>
      </w:pPr>
      <w:r>
        <w:rPr/>
        <w:t> </w:t>
      </w:r>
    </w:p>
    <w:p>
      <w:pPr>
        <w:pStyle w:val="TextBody"/>
        <w:bidi w:val="0"/>
        <w:spacing w:before="0" w:after="0"/>
        <w:ind w:left="160" w:right="102" w:hanging="0"/>
        <w:jc w:val="both"/>
        <w:rPr>
          <w:sz w:val="20"/>
        </w:rPr>
      </w:pPr>
      <w:r>
        <w:rPr>
          <w:b/>
          <w:i/>
          <w:sz w:val="20"/>
        </w:rPr>
        <w:t xml:space="preserve">"Interest Rate" </w:t>
      </w:r>
      <w:r>
        <w:rPr>
          <w:sz w:val="20"/>
        </w:rPr>
        <w:t>means, with respect to an Eligible Currency, the rate specified in Paragraph 11(f)(i) for that currency.</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"Local Business Day"</w:t>
      </w:r>
      <w:r>
        <w:rPr>
          <w:sz w:val="20"/>
        </w:rPr>
        <w:t>, unless otherwise specified in Paragraph 1l(h), means:</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 in relation to a transfer of cash or other property (other than securities) under this Annex, a day on which commercial banks are open for business (including dealings in foreign exchange and foreign currency deposits) in the place where the relevant account is located and, if different, in the principal financial centre, if any, of the currency of such payment;</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(ii) in relation to a transfer of securities under this Annex, a day on which the clearance system agreed between the parties for delivery of the securities is open for the acceptance and execution of settlement instructions or, if delivery of the securities is contemplated by other means, a day on which commercial banks are open for business (including dealings in foreign exchange and foreign currency deposits) in the place(s) agreed between the parties for this purpose;</w:t>
      </w:r>
    </w:p>
    <w:p>
      <w:pPr>
        <w:pStyle w:val="TextBody"/>
        <w:bidi w:val="0"/>
        <w:spacing w:before="0" w:after="0"/>
        <w:ind w:left="880" w:right="494"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80" w:right="0" w:hanging="0"/>
        <w:jc w:val="both"/>
        <w:rPr>
          <w:sz w:val="20"/>
        </w:rPr>
      </w:pPr>
      <w:r>
        <w:rPr>
          <w:sz w:val="20"/>
        </w:rPr>
        <w:t>(iii) in relation to a valuation under this Annex, a day on which commercial banks are open for business (including dealings in foreign exchange and foreign currency deposits) in the place of location of the Valuation Agent and in the place(s) agreed between the parties for this purpose; and</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(iv) in relation to any notice or other communication under this Annex, a day on which commercial banks are open for business (including dealings in foreign exchange and foreign currency deposits) in the place specified in the address for notice most recently provided by the recipient.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"Minimum Transfer Amount" </w:t>
      </w:r>
      <w:r>
        <w:rPr>
          <w:sz w:val="20"/>
        </w:rPr>
        <w:t>means, with respect to a party, the amount specified as such for that party in Paragraph 11(b)(iii)(C); if no amount is specified, zero.</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"New Credit Support" </w:t>
      </w:r>
      <w:r>
        <w:rPr>
          <w:sz w:val="20"/>
        </w:rPr>
        <w:t>has the meaning specified in Paragraph 3(c)(i).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"Notification Time" </w:t>
      </w:r>
      <w:r>
        <w:rPr>
          <w:sz w:val="20"/>
        </w:rPr>
        <w:t>has the meaning specified in Paragraph 11(c)(iv).</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"Recalculation Date" </w:t>
      </w:r>
      <w:r>
        <w:rPr>
          <w:sz w:val="20"/>
        </w:rPr>
        <w:t xml:space="preserve">means the Valuation Date that gives rise to the dispute under Paragraph 4; </w:t>
      </w:r>
      <w:r>
        <w:rPr>
          <w:i/>
          <w:sz w:val="20"/>
        </w:rPr>
        <w:t xml:space="preserve">provided, however, </w:t>
      </w:r>
      <w:r>
        <w:rPr>
          <w:sz w:val="20"/>
        </w:rPr>
        <w:t>that if a subsequent Valuation Date occurs under Paragraph 2 prior to the resolution of the dispute, then the “</w:t>
      </w:r>
      <w:r>
        <w:rPr>
          <w:b/>
          <w:i/>
          <w:sz w:val="20"/>
        </w:rPr>
        <w:t xml:space="preserve">Recalculation Date” </w:t>
      </w:r>
      <w:r>
        <w:rPr>
          <w:sz w:val="20"/>
        </w:rPr>
        <w:t>means the most recent Valuation Date under Paragraph 2.</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"Resolution Time" </w:t>
      </w:r>
      <w:r>
        <w:rPr>
          <w:sz w:val="20"/>
        </w:rPr>
        <w:t>has the meaning specified in Paragraph 11(e)(i).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"Return Amount" </w:t>
      </w:r>
      <w:r>
        <w:rPr>
          <w:sz w:val="20"/>
        </w:rPr>
        <w:t>has the meaning specified in Paragraph 2(b).</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"Settlement Day" </w:t>
      </w:r>
      <w:r>
        <w:rPr>
          <w:sz w:val="20"/>
        </w:rPr>
        <w:t>means, in relation to a date, (i) with respect to a transfer of cash or other property (other than securities), the next Local Business Day and (ii) with respect to a transfer of securities, the first Local Business Day after such date on which settlement of a trade in the relevant securities, if effected on such date, would have been settled in accordance with customary practice when settling through the clearance system agreed between the parties for delivery of such securities or, otherwise, on the market in which such securities are principally traded (or, in either case, if there is no such customary practice, on the first Local Business Day after such date on which it is reasonably practicable to deliver such securities).</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"Threshold" </w:t>
      </w:r>
      <w:r>
        <w:rPr>
          <w:sz w:val="20"/>
        </w:rPr>
        <w:t>means, with respect to a party, the Base Currency Equivalent of the amount specified as such for that party in Paragraph 11(b)(iii)(B); if no amount is specified, zero.</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"Transferee" </w:t>
      </w:r>
      <w:r>
        <w:rPr>
          <w:sz w:val="20"/>
        </w:rPr>
        <w:t>means, in relation to each Valuation Date, the party in respect of which Exposure is</w:t>
        <w:tab/>
        <w:t>a positive number and, in relation to a Credit Support Balance, the party which, subject to this Annex, owes such Credit Support Balance or, as the case may be, the Value of such Credit Support Balance to the other party.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"Transferor" </w:t>
      </w:r>
      <w:r>
        <w:rPr>
          <w:sz w:val="20"/>
        </w:rPr>
        <w:t>means, in relation to a Transferee, the other party.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"Valuation Agent" </w:t>
      </w:r>
      <w:r>
        <w:rPr>
          <w:sz w:val="20"/>
        </w:rPr>
        <w:t>has the meaning specified in Paragraph 11(c)(i).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"Valuation Date" </w:t>
      </w:r>
      <w:r>
        <w:rPr>
          <w:sz w:val="20"/>
        </w:rPr>
        <w:t>means each date specified in or otherwise determined pursuant to Paragraph 11(c)(ii).</w:t>
      </w:r>
    </w:p>
    <w:p>
      <w:pPr>
        <w:pStyle w:val="TextBody"/>
        <w:bidi w:val="0"/>
        <w:spacing w:before="0" w:after="0"/>
        <w:ind w:left="159"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b/>
          <w:i/>
          <w:sz w:val="20"/>
        </w:rPr>
        <w:t xml:space="preserve">"Valuation Percentage" </w:t>
      </w:r>
      <w:r>
        <w:rPr>
          <w:sz w:val="20"/>
        </w:rPr>
        <w:t>means, for any item of Eligible Credit Support, the percentage specified in Paragraph 11(b)(ii).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"Valuation Time" </w:t>
      </w:r>
      <w:r>
        <w:rPr>
          <w:sz w:val="20"/>
        </w:rPr>
        <w:t>has the meaning specified in Paragraph 11(c)(iii).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"Value" </w:t>
      </w:r>
      <w:r>
        <w:rPr>
          <w:sz w:val="20"/>
        </w:rPr>
        <w:t>means, for any Valuation Date or other date for which Value is calculated, and subject to Paragraph 4 in the case of a dispute, with respect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6"/>
        <w:gridCol w:w="340"/>
        <w:gridCol w:w="9809"/>
      </w:tblGrid>
      <w:tr>
        <w:trPr/>
        <w:tc>
          <w:tcPr>
            <w:tcW w:w="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(i)</w:t>
            </w:r>
          </w:p>
        </w:tc>
        <w:tc>
          <w:tcPr>
            <w:tcW w:w="9809" w:type="dxa"/>
            <w:tcBorders/>
            <w:vAlign w:val="center"/>
          </w:tcPr>
          <w:p>
            <w:pPr>
              <w:pStyle w:val="TableContents"/>
              <w:bidi w:val="0"/>
              <w:spacing w:before="0" w:after="283"/>
              <w:jc w:val="both"/>
              <w:rPr/>
            </w:pPr>
            <w:r>
              <w:rPr/>
              <w:t>Eligible Credit Support comprised in a Credit Support Balance that is:</w:t>
            </w:r>
          </w:p>
        </w:tc>
      </w:tr>
    </w:tbl>
    <w:p>
      <w:pPr>
        <w:pStyle w:val="TextBody"/>
        <w:bidi w:val="0"/>
        <w:spacing w:before="0" w:after="0"/>
        <w:ind w:left="0" w:right="0" w:hanging="0"/>
        <w:jc w:val="both"/>
        <w:rPr/>
      </w:pPr>
      <w:r>
        <w:rPr/>
        <w:t> </w:t>
      </w:r>
    </w:p>
    <w:p>
      <w:pPr>
        <w:pStyle w:val="TextBody"/>
        <w:bidi w:val="0"/>
        <w:spacing w:before="0" w:after="0"/>
        <w:ind w:left="1599" w:right="0" w:hanging="0"/>
        <w:jc w:val="both"/>
        <w:rPr>
          <w:sz w:val="20"/>
        </w:rPr>
      </w:pPr>
      <w:r>
        <w:rPr>
          <w:sz w:val="20"/>
        </w:rPr>
        <w:t>(A) an amount of cash, the Base Currency Equivalent of such amount multiplied by the applicable Valuation Percentage, if any; and</w:t>
      </w:r>
    </w:p>
    <w:p>
      <w:pPr>
        <w:pStyle w:val="TextBody"/>
        <w:bidi w:val="0"/>
        <w:spacing w:before="0" w:after="0"/>
        <w:ind w:left="0" w:right="0" w:hanging="0"/>
        <w:jc w:val="both"/>
        <w:rPr/>
      </w:pPr>
      <w:r>
        <w:rPr/>
        <w:t> </w:t>
      </w:r>
    </w:p>
    <w:p>
      <w:pPr>
        <w:pStyle w:val="TextBody"/>
        <w:bidi w:val="0"/>
        <w:spacing w:before="0" w:after="0"/>
        <w:ind w:left="1599" w:right="0" w:hanging="0"/>
        <w:jc w:val="both"/>
        <w:rPr>
          <w:sz w:val="20"/>
        </w:rPr>
      </w:pPr>
      <w:r>
        <w:rPr>
          <w:sz w:val="20"/>
        </w:rPr>
        <w:t>(B) a security, the Base Currency Equivalent of the bid price obtained by the Valuation Agent multiplied by the applicable Valuation Percentage, if any; and</w:t>
      </w:r>
    </w:p>
    <w:p>
      <w:pPr>
        <w:pStyle w:val="TextBody"/>
        <w:bidi w:val="0"/>
        <w:spacing w:before="0" w:after="0"/>
        <w:ind w:left="0" w:right="0" w:hanging="0"/>
        <w:jc w:val="both"/>
        <w:rPr/>
      </w:pPr>
      <w:r>
        <w:rPr/>
        <w:t> </w:t>
      </w:r>
    </w:p>
    <w:tbl>
      <w:tblPr>
        <w:tblW w:w="9273" w:type="dxa"/>
        <w:jc w:val="left"/>
        <w:tblInd w:w="0" w:type="dxa"/>
        <w:tblLayout w:type="fixed"/>
        <w:tblCellMar>
          <w:top w:w="0" w:type="dxa"/>
          <w:left w:w="0" w:type="dxa"/>
          <w:bottom w:w="0" w:type="dxa"/>
          <w:right w:w="0" w:type="dxa"/>
        </w:tblCellMar>
      </w:tblPr>
      <w:tblGrid>
        <w:gridCol w:w="38"/>
        <w:gridCol w:w="29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8945" w:type="dxa"/>
            <w:tcBorders/>
            <w:vAlign w:val="center"/>
          </w:tcPr>
          <w:p>
            <w:pPr>
              <w:pStyle w:val="TableContents"/>
              <w:bidi w:val="0"/>
              <w:spacing w:before="0" w:after="283"/>
              <w:jc w:val="both"/>
              <w:rPr/>
            </w:pPr>
            <w:r>
              <w:rPr/>
              <w:t>items that are comprised in a Credit Support Balance and are not Eligible Credit Support, zero.</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52" w:right="0" w:hanging="0"/>
        <w:jc w:val="left"/>
        <w:rPr>
          <w:b/>
          <w:sz w:val="20"/>
        </w:rPr>
      </w:pPr>
      <w:r>
        <w:rPr>
          <w:b/>
          <w:sz w:val="20"/>
        </w:rPr>
        <w:t>Is Paragraph 11. Elections and Variables</w:t>
      </w:r>
    </w:p>
    <w:p>
      <w:pPr>
        <w:pStyle w:val="TextBody"/>
        <w:bidi w:val="0"/>
        <w:spacing w:before="241" w:after="241"/>
        <w:ind w:left="1152" w:right="241" w:hanging="0"/>
        <w:jc w:val="left"/>
        <w:rPr>
          <w:sz w:val="20"/>
        </w:rPr>
      </w:pPr>
      <w:r>
        <w:rPr>
          <w:sz w:val="20"/>
        </w:rPr>
        <w:t>(a)       </w:t>
      </w:r>
      <w:r>
        <w:rPr>
          <w:b/>
          <w:i/>
          <w:sz w:val="20"/>
        </w:rPr>
        <w:t>Base Currency and Eligible Currency.</w:t>
      </w:r>
    </w:p>
    <w:p>
      <w:pPr>
        <w:pStyle w:val="TextBody"/>
        <w:bidi w:val="0"/>
        <w:spacing w:before="243" w:after="243"/>
        <w:ind w:left="1872" w:right="243" w:hanging="0"/>
        <w:jc w:val="left"/>
        <w:rPr>
          <w:sz w:val="20"/>
        </w:rPr>
      </w:pPr>
      <w:r>
        <w:rPr>
          <w:sz w:val="20"/>
        </w:rPr>
        <w:t>(i)              “</w:t>
      </w:r>
      <w:r>
        <w:rPr>
          <w:b/>
          <w:i/>
          <w:sz w:val="20"/>
        </w:rPr>
        <w:t>Base Currency</w:t>
      </w:r>
      <w:r>
        <w:rPr>
          <w:sz w:val="20"/>
        </w:rPr>
        <w:t>” means United States Dollars (“</w:t>
      </w:r>
      <w:r>
        <w:rPr>
          <w:b/>
          <w:i/>
          <w:sz w:val="20"/>
        </w:rPr>
        <w:t>USD</w:t>
      </w:r>
      <w:r>
        <w:rPr>
          <w:sz w:val="20"/>
        </w:rPr>
        <w:t>”).</w:t>
      </w:r>
    </w:p>
    <w:p>
      <w:pPr>
        <w:pStyle w:val="TextBody"/>
        <w:bidi w:val="0"/>
        <w:spacing w:before="242" w:after="242"/>
        <w:ind w:left="1872" w:right="242" w:hanging="0"/>
        <w:jc w:val="left"/>
        <w:rPr>
          <w:sz w:val="20"/>
        </w:rPr>
      </w:pPr>
      <w:r>
        <w:rPr>
          <w:sz w:val="20"/>
        </w:rPr>
        <w:t>(ii)            “</w:t>
      </w:r>
      <w:r>
        <w:rPr>
          <w:b/>
          <w:i/>
          <w:sz w:val="20"/>
        </w:rPr>
        <w:t>Eligible Currency</w:t>
      </w:r>
      <w:r>
        <w:rPr>
          <w:sz w:val="20"/>
        </w:rPr>
        <w:t>” means the Base Currency.</w:t>
      </w:r>
    </w:p>
    <w:p>
      <w:pPr>
        <w:pStyle w:val="TextBody"/>
        <w:bidi w:val="0"/>
        <w:spacing w:before="247" w:after="247"/>
        <w:ind w:left="1152" w:right="247" w:hanging="0"/>
        <w:jc w:val="left"/>
        <w:rPr>
          <w:sz w:val="20"/>
        </w:rPr>
      </w:pPr>
      <w:r>
        <w:rPr>
          <w:sz w:val="20"/>
        </w:rPr>
        <w:t>(b)       </w:t>
      </w:r>
      <w:r>
        <w:rPr>
          <w:b/>
          <w:i/>
          <w:sz w:val="20"/>
        </w:rPr>
        <w:t>Credit Support Obligations.</w:t>
      </w:r>
    </w:p>
    <w:p>
      <w:pPr>
        <w:pStyle w:val="TextBody"/>
        <w:bidi w:val="0"/>
        <w:spacing w:before="243" w:after="243"/>
        <w:ind w:left="1872" w:right="243" w:hanging="0"/>
        <w:jc w:val="left"/>
        <w:rPr>
          <w:sz w:val="20"/>
        </w:rPr>
      </w:pPr>
      <w:r>
        <w:rPr>
          <w:sz w:val="20"/>
        </w:rPr>
        <w:t>(i)       </w:t>
      </w:r>
      <w:r>
        <w:rPr>
          <w:b/>
          <w:i/>
          <w:sz w:val="20"/>
        </w:rPr>
        <w:t>Delivery Amount, Return Amount and Credit Support Amount.</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283"/>
              <w:jc w:val="both"/>
              <w:rPr/>
            </w:pPr>
            <w:r>
              <w:rPr/>
              <w:t>“</w:t>
            </w:r>
            <w:r>
              <w:rPr>
                <w:b/>
                <w:i/>
              </w:rPr>
              <w:t>Delivery Amount</w:t>
            </w:r>
            <w:r>
              <w:rPr/>
              <w:t>” has the meaning set forth in Paragraph 2(a) (</w:t>
            </w:r>
            <w:r>
              <w:rPr>
                <w:i/>
              </w:rPr>
              <w:t>Delivery Amount</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283"/>
              <w:jc w:val="both"/>
              <w:rPr/>
            </w:pPr>
            <w:r>
              <w:rPr/>
              <w:t>“</w:t>
            </w:r>
            <w:r>
              <w:rPr>
                <w:b/>
                <w:i/>
              </w:rPr>
              <w:t>Return Amount</w:t>
            </w:r>
            <w:r>
              <w:rPr/>
              <w:t>” has the meaning set forth in Paragraph 2(b) (</w:t>
            </w:r>
            <w:r>
              <w:rPr>
                <w:i/>
              </w:rPr>
              <w:t>Return Amount</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(C)</w:t>
            </w:r>
          </w:p>
        </w:tc>
        <w:tc>
          <w:tcPr>
            <w:tcW w:w="9860" w:type="dxa"/>
            <w:tcBorders/>
            <w:vAlign w:val="center"/>
          </w:tcPr>
          <w:p>
            <w:pPr>
              <w:pStyle w:val="TableContents"/>
              <w:bidi w:val="0"/>
              <w:spacing w:before="0" w:after="283"/>
              <w:jc w:val="both"/>
              <w:rPr/>
            </w:pPr>
            <w:r>
              <w:rPr/>
              <w:t>“</w:t>
            </w:r>
            <w:r>
              <w:rPr>
                <w:b/>
                <w:i/>
              </w:rPr>
              <w:t>Credit Support Amount</w:t>
            </w:r>
            <w:r>
              <w:rPr/>
              <w:t>” has the meaning set forth in Paragraph 10 (</w:t>
            </w:r>
            <w:r>
              <w:rPr>
                <w:i/>
              </w:rPr>
              <w:t>Definitions</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pPr>
            <w:r>
              <w:rPr>
                <w:b/>
                <w:i/>
              </w:rPr>
              <w:t xml:space="preserve">Eligible Credit Support. </w:t>
            </w:r>
            <w:r>
              <w:rPr/>
              <w:t>The following items will qualify as “</w:t>
            </w:r>
            <w:r>
              <w:rPr>
                <w:b/>
                <w:i/>
              </w:rPr>
              <w:t>Eligible Credit Support</w:t>
            </w:r>
            <w:r>
              <w:rPr/>
              <w:t>” for the party specified:</w:t>
            </w:r>
          </w:p>
        </w:tc>
      </w:tr>
    </w:tbl>
    <w:tbl>
      <w:tblPr>
        <w:tblW w:w="9370" w:type="dxa"/>
        <w:jc w:val="left"/>
        <w:tblInd w:w="-10" w:type="dxa"/>
        <w:tblLayout w:type="fixed"/>
        <w:tblCellMar>
          <w:top w:w="28" w:type="dxa"/>
          <w:left w:w="28" w:type="dxa"/>
          <w:bottom w:w="28" w:type="dxa"/>
          <w:right w:w="0" w:type="dxa"/>
        </w:tblCellMar>
      </w:tblPr>
      <w:tblGrid>
        <w:gridCol w:w="875"/>
        <w:gridCol w:w="5705"/>
        <w:gridCol w:w="680"/>
        <w:gridCol w:w="680"/>
        <w:gridCol w:w="1430"/>
      </w:tblGrid>
      <w:tr>
        <w:trPr/>
        <w:tc>
          <w:tcPr>
            <w:tcW w:w="8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570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c>
          <w:tcPr>
            <w:tcW w:w="680" w:type="dxa"/>
            <w:tcBorders>
              <w:top w:val="single" w:sz="8" w:space="0" w:color="000000"/>
              <w:bottom w:val="single" w:sz="8" w:space="0" w:color="000000"/>
              <w:right w:val="single" w:sz="8" w:space="0" w:color="000000"/>
            </w:tcBorders>
            <w:tcMar>
              <w:top w:w="258" w:type="dxa"/>
              <w:left w:w="0" w:type="dxa"/>
              <w:bottom w:w="266" w:type="dxa"/>
              <w:right w:w="28" w:type="dxa"/>
            </w:tcMar>
            <w:vAlign w:val="center"/>
          </w:tcPr>
          <w:p>
            <w:pPr>
              <w:pStyle w:val="TableContents"/>
              <w:bidi w:val="0"/>
              <w:spacing w:before="0" w:after="283"/>
              <w:jc w:val="center"/>
              <w:rPr>
                <w:b/>
                <w:sz w:val="20"/>
              </w:rPr>
            </w:pPr>
            <w:r>
              <w:rPr>
                <w:b/>
                <w:sz w:val="20"/>
              </w:rPr>
              <w:t>Party A</w:t>
            </w:r>
          </w:p>
        </w:tc>
        <w:tc>
          <w:tcPr>
            <w:tcW w:w="680" w:type="dxa"/>
            <w:tcBorders>
              <w:top w:val="single" w:sz="8" w:space="0" w:color="000000"/>
              <w:bottom w:val="single" w:sz="8" w:space="0" w:color="000000"/>
              <w:right w:val="single" w:sz="8" w:space="0" w:color="000000"/>
            </w:tcBorders>
            <w:tcMar>
              <w:top w:w="258" w:type="dxa"/>
              <w:left w:w="0" w:type="dxa"/>
              <w:bottom w:w="266" w:type="dxa"/>
              <w:right w:w="28" w:type="dxa"/>
            </w:tcMar>
            <w:vAlign w:val="center"/>
          </w:tcPr>
          <w:p>
            <w:pPr>
              <w:pStyle w:val="TableContents"/>
              <w:bidi w:val="0"/>
              <w:spacing w:before="0" w:after="283"/>
              <w:jc w:val="center"/>
              <w:rPr>
                <w:b/>
                <w:sz w:val="20"/>
              </w:rPr>
            </w:pPr>
            <w:r>
              <w:rPr>
                <w:b/>
                <w:sz w:val="20"/>
              </w:rPr>
              <w:t>Party B</w:t>
            </w:r>
          </w:p>
        </w:tc>
        <w:tc>
          <w:tcPr>
            <w:tcW w:w="1430" w:type="dxa"/>
            <w:tcBorders>
              <w:top w:val="single" w:sz="8" w:space="0" w:color="000000"/>
              <w:bottom w:val="single" w:sz="8" w:space="0" w:color="000000"/>
              <w:right w:val="single" w:sz="8" w:space="0" w:color="000000"/>
            </w:tcBorders>
            <w:tcMar>
              <w:top w:w="85" w:type="dxa"/>
              <w:left w:w="0" w:type="dxa"/>
              <w:bottom w:w="132" w:type="dxa"/>
              <w:right w:w="28" w:type="dxa"/>
            </w:tcMar>
            <w:vAlign w:val="center"/>
          </w:tcPr>
          <w:p>
            <w:pPr>
              <w:pStyle w:val="TableContents"/>
              <w:bidi w:val="0"/>
              <w:spacing w:before="0" w:after="283"/>
              <w:ind w:left="0" w:right="0" w:hanging="0"/>
              <w:jc w:val="center"/>
              <w:rPr>
                <w:b/>
                <w:sz w:val="20"/>
              </w:rPr>
            </w:pPr>
            <w:r>
              <w:rPr>
                <w:b/>
                <w:sz w:val="20"/>
              </w:rPr>
              <w:t xml:space="preserve">Valuation </w:t>
              <w:br/>
              <w:t>Percentage</w:t>
            </w:r>
          </w:p>
        </w:tc>
      </w:tr>
      <w:tr>
        <w:trPr/>
        <w:tc>
          <w:tcPr>
            <w:tcW w:w="875" w:type="dxa"/>
            <w:tcBorders>
              <w:left w:val="single" w:sz="8" w:space="0" w:color="000000"/>
              <w:bottom w:val="single" w:sz="8" w:space="0" w:color="000000"/>
            </w:tcBorders>
            <w:tcMar>
              <w:top w:w="0" w:type="dxa"/>
              <w:bottom w:w="131" w:type="dxa"/>
            </w:tcMar>
            <w:vAlign w:val="center"/>
          </w:tcPr>
          <w:p>
            <w:pPr>
              <w:pStyle w:val="TableContents"/>
              <w:bidi w:val="0"/>
              <w:spacing w:before="0" w:after="283"/>
              <w:jc w:val="left"/>
              <w:rPr>
                <w:sz w:val="20"/>
              </w:rPr>
            </w:pPr>
            <w:r>
              <w:rPr>
                <w:sz w:val="20"/>
              </w:rPr>
              <w:t>(A)            </w:t>
            </w:r>
          </w:p>
        </w:tc>
        <w:tc>
          <w:tcPr>
            <w:tcW w:w="5705"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left"/>
              <w:rPr>
                <w:sz w:val="20"/>
              </w:rPr>
            </w:pPr>
            <w:r>
              <w:rPr>
                <w:sz w:val="20"/>
              </w:rPr>
              <w:t>Underlying Asset</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22" w:type="dxa"/>
            </w:tcMar>
            <w:vAlign w:val="center"/>
          </w:tcPr>
          <w:p>
            <w:pPr>
              <w:pStyle w:val="TableContents"/>
              <w:bidi w:val="0"/>
              <w:spacing w:before="0" w:after="283"/>
              <w:jc w:val="left"/>
              <w:rPr>
                <w:sz w:val="20"/>
              </w:rPr>
            </w:pPr>
            <w:r>
              <w:rPr>
                <w:sz w:val="20"/>
              </w:rPr>
              <w:t>(B)             </w:t>
            </w:r>
          </w:p>
        </w:tc>
        <w:tc>
          <w:tcPr>
            <w:tcW w:w="5705"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left"/>
              <w:rPr>
                <w:sz w:val="20"/>
              </w:rPr>
            </w:pPr>
            <w:r>
              <w:rPr>
                <w:sz w:val="20"/>
              </w:rPr>
              <w:t>USD Coin (USDC)</w:t>
            </w:r>
          </w:p>
        </w:tc>
        <w:tc>
          <w:tcPr>
            <w:tcW w:w="68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31" w:type="dxa"/>
            </w:tcMar>
            <w:vAlign w:val="center"/>
          </w:tcPr>
          <w:p>
            <w:pPr>
              <w:pStyle w:val="TableContents"/>
              <w:bidi w:val="0"/>
              <w:spacing w:before="0" w:after="283"/>
              <w:jc w:val="left"/>
              <w:rPr>
                <w:sz w:val="20"/>
              </w:rPr>
            </w:pPr>
            <w:r>
              <w:rPr>
                <w:sz w:val="20"/>
              </w:rPr>
              <w:t>(C)             </w:t>
            </w:r>
          </w:p>
        </w:tc>
        <w:tc>
          <w:tcPr>
            <w:tcW w:w="5705"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left"/>
              <w:rPr>
                <w:sz w:val="20"/>
              </w:rPr>
            </w:pPr>
            <w:r>
              <w:rPr>
                <w:sz w:val="20"/>
              </w:rPr>
              <w:t>Tether (USDT)</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26" w:type="dxa"/>
            </w:tcMar>
            <w:vAlign w:val="center"/>
          </w:tcPr>
          <w:p>
            <w:pPr>
              <w:pStyle w:val="TableContents"/>
              <w:bidi w:val="0"/>
              <w:spacing w:before="0" w:after="283"/>
              <w:jc w:val="left"/>
              <w:rPr>
                <w:sz w:val="20"/>
              </w:rPr>
            </w:pPr>
            <w:r>
              <w:rPr>
                <w:sz w:val="20"/>
              </w:rPr>
              <w:t>(D)            </w:t>
            </w:r>
          </w:p>
        </w:tc>
        <w:tc>
          <w:tcPr>
            <w:tcW w:w="5705"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left"/>
              <w:rPr>
                <w:sz w:val="20"/>
              </w:rPr>
            </w:pPr>
            <w:r>
              <w:rPr>
                <w:sz w:val="20"/>
              </w:rPr>
              <w:t>Bitcoin (BTC)</w:t>
            </w:r>
          </w:p>
        </w:tc>
        <w:tc>
          <w:tcPr>
            <w:tcW w:w="68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ind w:left="0" w:right="0" w:hanging="0"/>
              <w:jc w:val="center"/>
              <w:rPr>
                <w:sz w:val="20"/>
              </w:rPr>
            </w:pPr>
            <w:r>
              <w:rPr>
                <w:sz w:val="20"/>
              </w:rPr>
              <w:t>85%</w:t>
            </w:r>
          </w:p>
        </w:tc>
      </w:tr>
      <w:tr>
        <w:trPr/>
        <w:tc>
          <w:tcPr>
            <w:tcW w:w="875" w:type="dxa"/>
            <w:tcBorders>
              <w:left w:val="single" w:sz="8" w:space="0" w:color="000000"/>
              <w:bottom w:val="single" w:sz="8" w:space="0" w:color="000000"/>
            </w:tcBorders>
            <w:tcMar>
              <w:top w:w="0" w:type="dxa"/>
              <w:bottom w:w="136" w:type="dxa"/>
            </w:tcMar>
            <w:vAlign w:val="center"/>
          </w:tcPr>
          <w:p>
            <w:pPr>
              <w:pStyle w:val="TableContents"/>
              <w:bidi w:val="0"/>
              <w:spacing w:before="0" w:after="283"/>
              <w:jc w:val="left"/>
              <w:rPr>
                <w:sz w:val="20"/>
              </w:rPr>
            </w:pPr>
            <w:r>
              <w:rPr>
                <w:sz w:val="20"/>
              </w:rPr>
              <w:t>(E)             </w:t>
            </w:r>
          </w:p>
        </w:tc>
        <w:tc>
          <w:tcPr>
            <w:tcW w:w="5705"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left"/>
              <w:rPr>
                <w:sz w:val="20"/>
              </w:rPr>
            </w:pPr>
            <w:r>
              <w:rPr>
                <w:sz w:val="20"/>
              </w:rPr>
              <w:t>Ether (ETH)</w:t>
            </w:r>
          </w:p>
        </w:tc>
        <w:tc>
          <w:tcPr>
            <w:tcW w:w="68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ind w:left="0" w:right="0" w:hanging="0"/>
              <w:jc w:val="center"/>
              <w:rPr>
                <w:sz w:val="20"/>
              </w:rPr>
            </w:pPr>
            <w:r>
              <w:rPr>
                <w:sz w:val="20"/>
              </w:rPr>
              <w:t>85%</w:t>
            </w:r>
          </w:p>
        </w:tc>
      </w:tr>
      <w:tr>
        <w:trPr/>
        <w:tc>
          <w:tcPr>
            <w:tcW w:w="875" w:type="dxa"/>
            <w:tcBorders>
              <w:left w:val="single" w:sz="8" w:space="0" w:color="000000"/>
              <w:bottom w:val="single" w:sz="8" w:space="0" w:color="000000"/>
            </w:tcBorders>
            <w:tcMar>
              <w:top w:w="0" w:type="dxa"/>
              <w:bottom w:w="414" w:type="dxa"/>
            </w:tcMar>
            <w:vAlign w:val="center"/>
          </w:tcPr>
          <w:p>
            <w:pPr>
              <w:pStyle w:val="TableContents"/>
              <w:bidi w:val="0"/>
              <w:spacing w:before="0" w:after="283"/>
              <w:jc w:val="left"/>
              <w:rPr>
                <w:sz w:val="20"/>
              </w:rPr>
            </w:pPr>
            <w:r>
              <w:rPr>
                <w:sz w:val="20"/>
              </w:rPr>
              <w:t>(F)             </w:t>
            </w:r>
          </w:p>
        </w:tc>
        <w:tc>
          <w:tcPr>
            <w:tcW w:w="5705" w:type="dxa"/>
            <w:tcBorders>
              <w:bottom w:val="single" w:sz="8" w:space="0" w:color="000000"/>
              <w:right w:val="single" w:sz="8" w:space="0" w:color="000000"/>
            </w:tcBorders>
            <w:tcMar>
              <w:top w:w="0" w:type="dxa"/>
              <w:left w:w="0" w:type="dxa"/>
              <w:bottom w:w="145" w:type="dxa"/>
              <w:right w:w="252" w:type="dxa"/>
            </w:tcMar>
            <w:vAlign w:val="center"/>
          </w:tcPr>
          <w:p>
            <w:pPr>
              <w:pStyle w:val="TableContents"/>
              <w:bidi w:val="0"/>
              <w:spacing w:before="0" w:after="283"/>
              <w:jc w:val="left"/>
              <w:rPr>
                <w:sz w:val="20"/>
              </w:rPr>
            </w:pPr>
            <w:r>
              <w:rPr>
                <w:sz w:val="20"/>
              </w:rPr>
              <w:t>Any other item agreed upon in writing from time to time by the parties</w:t>
            </w:r>
          </w:p>
        </w:tc>
        <w:tc>
          <w:tcPr>
            <w:tcW w:w="680" w:type="dxa"/>
            <w:tcBorders>
              <w:bottom w:val="single" w:sz="8" w:space="0" w:color="000000"/>
              <w:right w:val="single" w:sz="8" w:space="0" w:color="000000"/>
            </w:tcBorders>
            <w:tcMar>
              <w:top w:w="0" w:type="dxa"/>
              <w:left w:w="0" w:type="dxa"/>
              <w:bottom w:w="280"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280"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45" w:type="dxa"/>
              <w:right w:w="28" w:type="dxa"/>
            </w:tcMar>
            <w:vAlign w:val="center"/>
          </w:tcPr>
          <w:p>
            <w:pPr>
              <w:pStyle w:val="TableContents"/>
              <w:bidi w:val="0"/>
              <w:spacing w:before="0" w:after="283"/>
              <w:jc w:val="center"/>
              <w:rPr>
                <w:sz w:val="20"/>
              </w:rPr>
            </w:pPr>
            <w:r>
              <w:rPr>
                <w:sz w:val="20"/>
              </w:rPr>
              <w:t xml:space="preserve">As agreed by the </w:t>
              <w:br/>
              <w:t>parties</w:t>
            </w:r>
          </w:p>
        </w:tc>
      </w:tr>
    </w:tbl>
    <w:p>
      <w:pPr>
        <w:pStyle w:val="TextBody"/>
        <w:bidi w:val="0"/>
        <w:ind w:left="2592" w:right="144" w:hanging="0"/>
        <w:jc w:val="both"/>
        <w:rPr>
          <w:sz w:val="20"/>
        </w:rPr>
      </w:pPr>
      <w:r>
        <w:rPr>
          <w:sz w:val="20"/>
        </w:rPr>
        <w:t>where “</w:t>
      </w:r>
      <w:r>
        <w:rPr>
          <w:b/>
          <w:i/>
          <w:sz w:val="20"/>
        </w:rPr>
        <w:t>Underlying Asset</w:t>
      </w:r>
      <w:r>
        <w:rPr>
          <w:sz w:val="20"/>
        </w:rPr>
        <w:t>” means, with respect to a Transaction, the asset specified in the Confirmation to which the Transaction relates. For the sake of clarity, the Valuation Percentage applicable to the Underlying Asset will apply to such Underlying Asset even if it is also another Eligible Credit Support (with a different specified Valuation Percentage).</w:t>
      </w:r>
    </w:p>
    <w:p>
      <w:pPr>
        <w:pStyle w:val="TextBody"/>
        <w:bidi w:val="0"/>
        <w:ind w:left="2592" w:right="144"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578" w:type="dxa"/>
        <w:jc w:val="left"/>
        <w:tblInd w:w="0" w:type="dxa"/>
        <w:tblLayout w:type="fixed"/>
        <w:tblCellMar>
          <w:top w:w="0" w:type="dxa"/>
          <w:left w:w="0" w:type="dxa"/>
          <w:bottom w:w="0" w:type="dxa"/>
          <w:right w:w="0" w:type="dxa"/>
        </w:tblCellMar>
      </w:tblPr>
      <w:tblGrid>
        <w:gridCol w:w="38"/>
        <w:gridCol w:w="35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1190" w:type="dxa"/>
            <w:tcBorders/>
            <w:vAlign w:val="center"/>
          </w:tcPr>
          <w:p>
            <w:pPr>
              <w:pStyle w:val="TableContents"/>
              <w:bidi w:val="0"/>
              <w:spacing w:before="0" w:after="283"/>
              <w:jc w:val="left"/>
              <w:rPr>
                <w:b/>
                <w:i/>
              </w:rPr>
            </w:pPr>
            <w:r>
              <w:rPr>
                <w:b/>
                <w:i/>
              </w:rPr>
              <w:t>Thresholds.</w:t>
            </w:r>
          </w:p>
        </w:tc>
      </w:tr>
    </w:tbl>
    <w:p>
      <w:pPr>
        <w:pStyle w:val="TextBody"/>
        <w:bidi w:val="0"/>
        <w:spacing w:before="247" w:after="247"/>
        <w:ind w:left="2664" w:right="247" w:hanging="0"/>
        <w:jc w:val="left"/>
        <w:rPr>
          <w:sz w:val="20"/>
        </w:rPr>
      </w:pPr>
      <w:r>
        <w:rPr>
          <w:sz w:val="20"/>
        </w:rPr>
        <w:t>(A)       “</w:t>
      </w:r>
      <w:r>
        <w:rPr>
          <w:b/>
          <w:i/>
          <w:sz w:val="20"/>
        </w:rPr>
        <w:t>Independent Amount</w:t>
      </w:r>
      <w:r>
        <w:rPr>
          <w:sz w:val="20"/>
        </w:rPr>
        <w:t>” means:</w:t>
      </w:r>
    </w:p>
    <w:p>
      <w:pPr>
        <w:pStyle w:val="TextBody"/>
        <w:bidi w:val="0"/>
        <w:spacing w:before="243" w:after="243"/>
        <w:ind w:left="4104" w:right="243" w:hanging="720"/>
        <w:jc w:val="left"/>
        <w:rPr>
          <w:sz w:val="20"/>
        </w:rPr>
      </w:pPr>
      <w:r>
        <w:rPr>
          <w:sz w:val="20"/>
        </w:rPr>
        <w:t>(1)           with respect to Party A:</w:t>
        <w:tab/>
        <w:t>not applicable; and,</w:t>
      </w:r>
    </w:p>
    <w:tbl>
      <w:tblPr>
        <w:tblW w:w="5000" w:type="pct"/>
        <w:jc w:val="left"/>
        <w:tblInd w:w="0" w:type="dxa"/>
        <w:tblLayout w:type="fixed"/>
        <w:tblCellMar>
          <w:top w:w="0" w:type="dxa"/>
          <w:left w:w="0" w:type="dxa"/>
          <w:bottom w:w="0" w:type="dxa"/>
          <w:right w:w="0" w:type="dxa"/>
        </w:tblCellMar>
      </w:tblPr>
      <w:tblGrid>
        <w:gridCol w:w="55"/>
        <w:gridCol w:w="422"/>
        <w:gridCol w:w="9728"/>
      </w:tblGrid>
      <w:tr>
        <w:trPr/>
        <w:tc>
          <w:tcPr>
            <w:tcW w:w="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(2)</w:t>
            </w:r>
          </w:p>
        </w:tc>
        <w:tc>
          <w:tcPr>
            <w:tcW w:w="9728" w:type="dxa"/>
            <w:tcBorders/>
            <w:vAlign w:val="center"/>
          </w:tcPr>
          <w:p>
            <w:pPr>
              <w:pStyle w:val="TableContents"/>
              <w:bidi w:val="0"/>
              <w:spacing w:before="0" w:after="283"/>
              <w:jc w:val="both"/>
              <w:rPr/>
            </w:pPr>
            <w:r>
              <w:rPr/>
              <w:t>with respect to Party B:</w:t>
              <w:tab/>
              <w:t>not applicable unless otherwise specified in the</w:t>
              <w:br/>
              <w:t>relevant Confirmation.</w:t>
            </w:r>
          </w:p>
        </w:tc>
      </w:tr>
    </w:tbl>
    <w:p>
      <w:pPr>
        <w:pStyle w:val="TextBody"/>
        <w:bidi w:val="0"/>
        <w:spacing w:before="250" w:after="250"/>
        <w:ind w:left="2664" w:right="250" w:hanging="0"/>
        <w:jc w:val="left"/>
        <w:rPr>
          <w:sz w:val="20"/>
        </w:rPr>
      </w:pPr>
      <w:r>
        <w:rPr>
          <w:sz w:val="20"/>
        </w:rPr>
        <w:t>(B)       “</w:t>
      </w:r>
      <w:r>
        <w:rPr>
          <w:b/>
          <w:i/>
          <w:sz w:val="20"/>
        </w:rPr>
        <w:t>Threshold</w:t>
      </w:r>
      <w:r>
        <w:rPr>
          <w:sz w:val="20"/>
        </w:rPr>
        <w:t>” means:</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(1)</w:t>
            </w:r>
          </w:p>
        </w:tc>
        <w:tc>
          <w:tcPr>
            <w:tcW w:w="9740" w:type="dxa"/>
            <w:tcBorders/>
            <w:vAlign w:val="center"/>
          </w:tcPr>
          <w:p>
            <w:pPr>
              <w:pStyle w:val="TableContents"/>
              <w:bidi w:val="0"/>
              <w:spacing w:before="0" w:after="283"/>
              <w:jc w:val="both"/>
              <w:rPr/>
            </w:pPr>
            <w:r>
              <w:rPr/>
              <w:t>with respect to Party A:</w:t>
              <w:tab/>
              <w:t>infinity unless specified otherwise in the relevant</w:t>
              <w:br/>
              <w:t>Confirmation; and,</w:t>
            </w:r>
          </w:p>
        </w:tc>
      </w:tr>
    </w:tbl>
    <w:tbl>
      <w:tblPr>
        <w:tblW w:w="5000" w:type="pct"/>
        <w:jc w:val="left"/>
        <w:tblInd w:w="0" w:type="dxa"/>
        <w:tblLayout w:type="fixed"/>
        <w:tblCellMar>
          <w:top w:w="0" w:type="dxa"/>
          <w:left w:w="0" w:type="dxa"/>
          <w:bottom w:w="0" w:type="dxa"/>
          <w:right w:w="0" w:type="dxa"/>
        </w:tblCellMar>
      </w:tblPr>
      <w:tblGrid>
        <w:gridCol w:w="56"/>
        <w:gridCol w:w="428"/>
        <w:gridCol w:w="9721"/>
      </w:tblGrid>
      <w:tr>
        <w:trPr/>
        <w:tc>
          <w:tcPr>
            <w:tcW w:w="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(2)</w:t>
            </w:r>
          </w:p>
        </w:tc>
        <w:tc>
          <w:tcPr>
            <w:tcW w:w="9721" w:type="dxa"/>
            <w:tcBorders/>
            <w:vAlign w:val="center"/>
          </w:tcPr>
          <w:p>
            <w:pPr>
              <w:pStyle w:val="TableContents"/>
              <w:bidi w:val="0"/>
              <w:spacing w:before="0" w:after="283"/>
              <w:jc w:val="both"/>
              <w:rPr/>
            </w:pPr>
            <w:r>
              <w:rPr/>
              <w:t>with respect to Party B:</w:t>
              <w:tab/>
              <w:t>zero unless specified otherwise in the relevant</w:t>
              <w:br/>
              <w:t>Confirmation,</w:t>
            </w:r>
          </w:p>
        </w:tc>
      </w:tr>
    </w:tbl>
    <w:p>
      <w:pPr>
        <w:pStyle w:val="TextBody"/>
        <w:bidi w:val="0"/>
        <w:spacing w:before="200" w:after="200"/>
        <w:ind w:left="3384" w:right="72" w:hanging="0"/>
        <w:jc w:val="both"/>
        <w:rPr>
          <w:sz w:val="20"/>
        </w:rPr>
      </w:pPr>
      <w:r>
        <w:rPr>
          <w:i/>
          <w:sz w:val="20"/>
        </w:rPr>
        <w:t>provided</w:t>
      </w:r>
      <w:r>
        <w:rPr>
          <w:sz w:val="20"/>
        </w:rPr>
        <w:t xml:space="preserve">, </w:t>
      </w:r>
      <w:r>
        <w:rPr>
          <w:i/>
          <w:sz w:val="20"/>
        </w:rPr>
        <w:t>however</w:t>
      </w:r>
      <w:r>
        <w:rPr>
          <w:sz w:val="20"/>
        </w:rPr>
        <w:t>, that, if an Event of Default, Potential Event of Default or Additional Termination Event with respect to a party has occurred and is continuing, the Threshold with respect to such party shall be zero.</w:t>
      </w:r>
    </w:p>
    <w:p>
      <w:pPr>
        <w:pStyle w:val="TextBody"/>
        <w:bidi w:val="0"/>
        <w:spacing w:before="245" w:after="245"/>
        <w:ind w:left="2664" w:right="245" w:hanging="0"/>
        <w:jc w:val="left"/>
        <w:rPr>
          <w:sz w:val="20"/>
        </w:rPr>
      </w:pPr>
      <w:r>
        <w:rPr>
          <w:sz w:val="20"/>
        </w:rPr>
        <w:t>(C)       “</w:t>
      </w:r>
      <w:r>
        <w:rPr>
          <w:b/>
          <w:i/>
          <w:sz w:val="20"/>
        </w:rPr>
        <w:t>Minimum Transfer Amount</w:t>
      </w:r>
      <w:r>
        <w:rPr>
          <w:sz w:val="20"/>
        </w:rPr>
        <w:t>” means:</w:t>
      </w:r>
    </w:p>
    <w:tbl>
      <w:tblPr>
        <w:tblW w:w="5000" w:type="pct"/>
        <w:jc w:val="left"/>
        <w:tblInd w:w="0" w:type="dxa"/>
        <w:tblLayout w:type="fixed"/>
        <w:tblCellMar>
          <w:top w:w="0" w:type="dxa"/>
          <w:left w:w="0" w:type="dxa"/>
          <w:bottom w:w="0" w:type="dxa"/>
          <w:right w:w="0" w:type="dxa"/>
        </w:tblCellMar>
      </w:tblPr>
      <w:tblGrid>
        <w:gridCol w:w="88"/>
        <w:gridCol w:w="673"/>
        <w:gridCol w:w="9444"/>
      </w:tblGrid>
      <w:tr>
        <w:trPr/>
        <w:tc>
          <w:tcPr>
            <w:tcW w:w="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(1)</w:t>
            </w:r>
          </w:p>
        </w:tc>
        <w:tc>
          <w:tcPr>
            <w:tcW w:w="9444" w:type="dxa"/>
            <w:tcBorders/>
            <w:vAlign w:val="center"/>
          </w:tcPr>
          <w:p>
            <w:pPr>
              <w:pStyle w:val="TableContents"/>
              <w:bidi w:val="0"/>
              <w:spacing w:before="0" w:after="283"/>
              <w:jc w:val="left"/>
              <w:rPr/>
            </w:pPr>
            <w:r>
              <w:rPr/>
              <w:t>with respect to Party A: US$100,000; and,</w:t>
            </w:r>
          </w:p>
        </w:tc>
      </w:tr>
    </w:tbl>
    <w:tbl>
      <w:tblPr>
        <w:tblW w:w="5000" w:type="pct"/>
        <w:jc w:val="left"/>
        <w:tblInd w:w="0" w:type="dxa"/>
        <w:tblLayout w:type="fixed"/>
        <w:tblCellMar>
          <w:top w:w="0" w:type="dxa"/>
          <w:left w:w="0" w:type="dxa"/>
          <w:bottom w:w="0" w:type="dxa"/>
          <w:right w:w="0" w:type="dxa"/>
        </w:tblCellMar>
      </w:tblPr>
      <w:tblGrid>
        <w:gridCol w:w="56"/>
        <w:gridCol w:w="428"/>
        <w:gridCol w:w="9721"/>
      </w:tblGrid>
      <w:tr>
        <w:trPr/>
        <w:tc>
          <w:tcPr>
            <w:tcW w:w="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(2)</w:t>
            </w:r>
          </w:p>
        </w:tc>
        <w:tc>
          <w:tcPr>
            <w:tcW w:w="9721" w:type="dxa"/>
            <w:tcBorders/>
            <w:vAlign w:val="center"/>
          </w:tcPr>
          <w:p>
            <w:pPr>
              <w:pStyle w:val="TableContents"/>
              <w:bidi w:val="0"/>
              <w:spacing w:before="0" w:after="283"/>
              <w:jc w:val="both"/>
              <w:rPr/>
            </w:pPr>
            <w:r>
              <w:rPr/>
              <w:t>with respect to Party B:</w:t>
              <w:tab/>
              <w:t>zero unless specified otherwise in the relevant</w:t>
              <w:br/>
              <w:t>Confirmation,</w:t>
            </w:r>
          </w:p>
        </w:tc>
      </w:tr>
    </w:tbl>
    <w:p>
      <w:pPr>
        <w:pStyle w:val="TextBody"/>
        <w:bidi w:val="0"/>
        <w:spacing w:before="198" w:after="198"/>
        <w:ind w:left="3384" w:right="72" w:hanging="0"/>
        <w:jc w:val="both"/>
        <w:rPr>
          <w:sz w:val="20"/>
        </w:rPr>
      </w:pPr>
      <w:r>
        <w:rPr>
          <w:i/>
          <w:sz w:val="20"/>
        </w:rPr>
        <w:t>provided</w:t>
      </w:r>
      <w:r>
        <w:rPr>
          <w:sz w:val="20"/>
        </w:rPr>
        <w:t xml:space="preserve">, </w:t>
      </w:r>
      <w:r>
        <w:rPr>
          <w:i/>
          <w:sz w:val="20"/>
        </w:rPr>
        <w:t xml:space="preserve">however, </w:t>
      </w:r>
      <w:r>
        <w:rPr>
          <w:sz w:val="20"/>
        </w:rPr>
        <w:t>that, if an Event of Default, Potential Event of Default or Additional Termination Event (where all Transactions are Affected Transactions) with respect to a party has occurred and is continuing, the Minimum Transfer Amount with respect to such party shall be zero.</w:t>
      </w:r>
    </w:p>
    <w:p>
      <w:pPr>
        <w:pStyle w:val="TextBody"/>
        <w:bidi w:val="0"/>
        <w:spacing w:before="246" w:after="246"/>
        <w:ind w:left="2664" w:right="246" w:hanging="0"/>
        <w:jc w:val="left"/>
        <w:rPr>
          <w:sz w:val="20"/>
        </w:rPr>
      </w:pPr>
      <w:r>
        <w:rPr>
          <w:sz w:val="20"/>
        </w:rPr>
        <w:t>(D)       </w:t>
      </w:r>
      <w:r>
        <w:rPr>
          <w:b/>
          <w:i/>
          <w:sz w:val="20"/>
        </w:rPr>
        <w:t xml:space="preserve">Rounding. </w:t>
      </w:r>
      <w:r>
        <w:rPr>
          <w:sz w:val="20"/>
        </w:rPr>
        <w:t>The Delivery Amount and the Return Amount will be rounded up and down,</w:t>
      </w:r>
    </w:p>
    <w:p>
      <w:pPr>
        <w:pStyle w:val="TextBody"/>
        <w:bidi w:val="0"/>
        <w:spacing w:before="40" w:after="40"/>
        <w:ind w:left="3384" w:right="40" w:hanging="0"/>
        <w:jc w:val="left"/>
        <w:rPr>
          <w:sz w:val="20"/>
        </w:rPr>
      </w:pPr>
      <w:r>
        <w:rPr>
          <w:sz w:val="20"/>
        </w:rPr>
        <w:t>respectively, to the nearest integral multiple of US$10,000.</w:t>
      </w:r>
    </w:p>
    <w:p>
      <w:pPr>
        <w:pStyle w:val="TextBody"/>
        <w:bidi w:val="0"/>
        <w:spacing w:before="246" w:after="246"/>
        <w:ind w:left="1152" w:right="246" w:hanging="0"/>
        <w:jc w:val="left"/>
        <w:rPr>
          <w:sz w:val="20"/>
        </w:rPr>
      </w:pPr>
      <w:r>
        <w:rPr>
          <w:sz w:val="20"/>
        </w:rPr>
        <w:t>(c)       </w:t>
      </w:r>
      <w:r>
        <w:rPr>
          <w:b/>
          <w:i/>
          <w:sz w:val="20"/>
        </w:rPr>
        <w:t>Transfers, Valuation and Timing.</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b/>
                <w:i/>
              </w:rPr>
            </w:pPr>
            <w:r>
              <w:rPr>
                <w:b/>
                <w:i/>
              </w:rPr>
              <w:t>(i)</w:t>
            </w:r>
          </w:p>
        </w:tc>
        <w:tc>
          <w:tcPr>
            <w:tcW w:w="9982" w:type="dxa"/>
            <w:tcBorders/>
            <w:vAlign w:val="center"/>
          </w:tcPr>
          <w:p>
            <w:pPr>
              <w:pStyle w:val="TableContents"/>
              <w:bidi w:val="0"/>
              <w:spacing w:before="0" w:after="283"/>
              <w:jc w:val="both"/>
              <w:rPr/>
            </w:pPr>
            <w:r>
              <w:rPr>
                <w:b/>
                <w:i/>
              </w:rPr>
              <w:t xml:space="preserve">Transfers. </w:t>
            </w:r>
            <w:r>
              <w:rPr/>
              <w:t>Transfers shall be made in accordance with Paragraph 3(a) (</w:t>
            </w:r>
            <w:r>
              <w:rPr>
                <w:i/>
              </w:rPr>
              <w:t>Transfers</w:t>
            </w:r>
            <w:r>
              <w:rPr/>
              <w:t>) of this Annex and in addition, in relation to a Crypto Asset, shall be paid or delivered into one or more digital currency wallets specified by the recipient.</w:t>
            </w:r>
          </w:p>
        </w:tc>
      </w:tr>
    </w:tbl>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b/>
                <w:i/>
              </w:rPr>
            </w:pPr>
            <w:r>
              <w:rPr>
                <w:b/>
                <w:i/>
              </w:rPr>
              <w:t>(ii)</w:t>
            </w:r>
          </w:p>
        </w:tc>
        <w:tc>
          <w:tcPr>
            <w:tcW w:w="9945" w:type="dxa"/>
            <w:tcBorders/>
            <w:vAlign w:val="center"/>
          </w:tcPr>
          <w:p>
            <w:pPr>
              <w:pStyle w:val="TableContents"/>
              <w:bidi w:val="0"/>
              <w:spacing w:before="0" w:after="283"/>
              <w:jc w:val="both"/>
              <w:rPr/>
            </w:pPr>
            <w:r>
              <w:rPr/>
              <w:t>“</w:t>
            </w:r>
            <w:r>
              <w:rPr>
                <w:b/>
                <w:i/>
              </w:rPr>
              <w:t>Valuation Agent</w:t>
            </w:r>
            <w:r>
              <w:rPr/>
              <w:t>” means Party A, unless an Event of Default or a Termination Event occurs and is continuing in respect of which Party A is the Defaulting Party or the sole Affected Party, respectively, in which case Party B shall be entitled to designate a leading market participant (acceptable to Party A) in the relevant market to act as substitute Valuation Agent. If the parties are unable to agree on a substitute Valuation Agent, the parties shall each appoint a leading market participant in the relevant market who shall together appoint a leading market participant to act as substitute Valuation Agent. Any determinations by the substitute Valuation Agent shall be binding absent manifest error. The cost of the substitute Valuation Agent shall be borne equally by the parties.</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313" w:type="dxa"/>
        <w:jc w:val="left"/>
        <w:tblInd w:w="0" w:type="dxa"/>
        <w:tblLayout w:type="fixed"/>
        <w:tblCellMar>
          <w:top w:w="0" w:type="dxa"/>
          <w:left w:w="0" w:type="dxa"/>
          <w:bottom w:w="0" w:type="dxa"/>
          <w:right w:w="0" w:type="dxa"/>
        </w:tblCellMar>
      </w:tblPr>
      <w:tblGrid>
        <w:gridCol w:w="38"/>
        <w:gridCol w:w="35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4925" w:type="dxa"/>
            <w:tcBorders/>
            <w:vAlign w:val="center"/>
          </w:tcPr>
          <w:p>
            <w:pPr>
              <w:pStyle w:val="TableContents"/>
              <w:bidi w:val="0"/>
              <w:spacing w:before="0" w:after="283"/>
              <w:jc w:val="both"/>
              <w:rPr/>
            </w:pPr>
            <w:r>
              <w:rPr/>
              <w:t>“</w:t>
            </w:r>
            <w:r>
              <w:rPr>
                <w:b/>
                <w:i/>
              </w:rPr>
              <w:t>Valuation Date</w:t>
            </w:r>
            <w:r>
              <w:rPr/>
              <w:t>” means each Local Business Day.</w:t>
            </w:r>
          </w:p>
        </w:tc>
      </w:tr>
    </w:tbl>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b/>
                <w:i/>
              </w:rPr>
            </w:pPr>
            <w:r>
              <w:rPr>
                <w:b/>
                <w:i/>
              </w:rPr>
              <w:t>(iv)</w:t>
            </w:r>
          </w:p>
        </w:tc>
        <w:tc>
          <w:tcPr>
            <w:tcW w:w="9858" w:type="dxa"/>
            <w:tcBorders/>
            <w:vAlign w:val="center"/>
          </w:tcPr>
          <w:p>
            <w:pPr>
              <w:pStyle w:val="TableContents"/>
              <w:bidi w:val="0"/>
              <w:spacing w:before="0" w:after="283"/>
              <w:jc w:val="both"/>
              <w:rPr/>
            </w:pPr>
            <w:r>
              <w:rPr/>
              <w:t>“</w:t>
            </w:r>
            <w:r>
              <w:rPr>
                <w:b/>
                <w:i/>
              </w:rPr>
              <w:t>Valuation Time</w:t>
            </w:r>
            <w:r>
              <w:rPr/>
              <w:t>” means 8:00 a.m. UTC on the Local Business Day immediately preceding the Valuation Date or date of calculation, as applicable.</w:t>
            </w:r>
          </w:p>
        </w:tc>
      </w:tr>
    </w:tbl>
    <w:tbl>
      <w:tblPr>
        <w:tblW w:w="5000" w:type="pct"/>
        <w:jc w:val="left"/>
        <w:tblInd w:w="0" w:type="dxa"/>
        <w:tblLayout w:type="fixed"/>
        <w:tblCellMar>
          <w:top w:w="0" w:type="dxa"/>
          <w:left w:w="0" w:type="dxa"/>
          <w:bottom w:w="0" w:type="dxa"/>
          <w:right w:w="0" w:type="dxa"/>
        </w:tblCellMar>
      </w:tblPr>
      <w:tblGrid>
        <w:gridCol w:w="54"/>
        <w:gridCol w:w="399"/>
        <w:gridCol w:w="9752"/>
      </w:tblGrid>
      <w:tr>
        <w:trPr/>
        <w:tc>
          <w:tcPr>
            <w:tcW w:w="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b/>
                <w:i/>
              </w:rPr>
            </w:pPr>
            <w:r>
              <w:rPr>
                <w:b/>
                <w:i/>
              </w:rPr>
              <w:t>(v)</w:t>
            </w:r>
          </w:p>
        </w:tc>
        <w:tc>
          <w:tcPr>
            <w:tcW w:w="9752" w:type="dxa"/>
            <w:tcBorders/>
            <w:vAlign w:val="center"/>
          </w:tcPr>
          <w:p>
            <w:pPr>
              <w:pStyle w:val="TableContents"/>
              <w:bidi w:val="0"/>
              <w:spacing w:before="0" w:after="283"/>
              <w:jc w:val="both"/>
              <w:rPr/>
            </w:pPr>
            <w:r>
              <w:rPr/>
              <w:t>“</w:t>
            </w:r>
            <w:r>
              <w:rPr>
                <w:b/>
                <w:i/>
              </w:rPr>
              <w:t>Notification Time</w:t>
            </w:r>
            <w:r>
              <w:rPr/>
              <w:t>” means 10:00 a.m. UTC on a Local Business Day.</w:t>
            </w:r>
          </w:p>
        </w:tc>
      </w:tr>
    </w:tbl>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b/>
                <w:i/>
              </w:rPr>
            </w:pPr>
            <w:r>
              <w:rPr>
                <w:b/>
                <w:i/>
              </w:rPr>
              <w:t>(vi)</w:t>
            </w:r>
          </w:p>
        </w:tc>
        <w:tc>
          <w:tcPr>
            <w:tcW w:w="9839" w:type="dxa"/>
            <w:tcBorders/>
            <w:vAlign w:val="center"/>
          </w:tcPr>
          <w:p>
            <w:pPr>
              <w:pStyle w:val="TableContents"/>
              <w:bidi w:val="0"/>
              <w:spacing w:before="0" w:after="283"/>
              <w:jc w:val="both"/>
              <w:rPr/>
            </w:pPr>
            <w:r>
              <w:rPr>
                <w:b/>
                <w:i/>
              </w:rPr>
              <w:t>Transfer Timing</w:t>
            </w:r>
            <w:r>
              <w:rPr/>
              <w:t>. The last paragraph of Paragraph 3(a) (Transfers) of this Annex is amended to read as follows:</w:t>
            </w:r>
          </w:p>
        </w:tc>
      </w:tr>
    </w:tbl>
    <w:p>
      <w:pPr>
        <w:pStyle w:val="TextBody"/>
        <w:bidi w:val="0"/>
        <w:spacing w:before="205" w:after="205"/>
        <w:ind w:left="2664" w:right="72" w:hanging="0"/>
        <w:jc w:val="both"/>
        <w:rPr/>
      </w:pPr>
      <w:r>
        <w:rPr/>
        <w:t>“</w:t>
      </w:r>
      <w:r>
        <w:rPr>
          <w:sz w:val="20"/>
        </w:rPr>
        <w:t>Subject to Paragraph 4 and unless otherwise specified, if a demand for the transfer of Eligible Credit Support or Equivalent Credit Support is received by the Notification Time, then the relevant transfer will be made not later than 4:00 p.m. UTC on the day such demand is received; if a demand is received after the Notification Time, then the relevant transfer will be made not later than 4:00 p.m. UTC on the Settlement Day relating to the day such demand is received.”</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b/>
                <w:i/>
              </w:rPr>
            </w:pPr>
            <w:r>
              <w:rPr>
                <w:b/>
                <w:i/>
              </w:rPr>
              <w:t>(d)</w:t>
            </w:r>
          </w:p>
        </w:tc>
        <w:tc>
          <w:tcPr>
            <w:tcW w:w="9884" w:type="dxa"/>
            <w:tcBorders/>
            <w:vAlign w:val="center"/>
          </w:tcPr>
          <w:p>
            <w:pPr>
              <w:pStyle w:val="TableContents"/>
              <w:bidi w:val="0"/>
              <w:spacing w:before="0" w:after="283"/>
              <w:jc w:val="both"/>
              <w:rPr/>
            </w:pPr>
            <w:r>
              <w:rPr>
                <w:b/>
                <w:i/>
              </w:rPr>
              <w:t xml:space="preserve">Exchange Date. </w:t>
            </w:r>
            <w:r>
              <w:rPr/>
              <w:t>“</w:t>
            </w:r>
            <w:r>
              <w:rPr>
                <w:b/>
                <w:i/>
              </w:rPr>
              <w:t>Exchange Date</w:t>
            </w:r>
            <w:r>
              <w:rPr/>
              <w:t>” has the meaning specified in Paragraph 3(c)(ii) (</w:t>
            </w:r>
            <w:r>
              <w:rPr>
                <w:i/>
              </w:rPr>
              <w:t>Exchanges</w:t>
            </w:r>
            <w:r>
              <w:rPr/>
              <w:t>) of this Annex.</w:t>
            </w:r>
          </w:p>
        </w:tc>
      </w:tr>
    </w:tbl>
    <w:tbl>
      <w:tblPr>
        <w:tblW w:w="5000" w:type="pct"/>
        <w:jc w:val="left"/>
        <w:tblInd w:w="0" w:type="dxa"/>
        <w:tblLayout w:type="fixed"/>
        <w:tblCellMar>
          <w:top w:w="0" w:type="dxa"/>
          <w:left w:w="0" w:type="dxa"/>
          <w:bottom w:w="0" w:type="dxa"/>
          <w:right w:w="0" w:type="dxa"/>
        </w:tblCellMar>
      </w:tblPr>
      <w:tblGrid>
        <w:gridCol w:w="170"/>
        <w:gridCol w:w="1238"/>
        <w:gridCol w:w="8797"/>
      </w:tblGrid>
      <w:tr>
        <w:trPr/>
        <w:tc>
          <w:tcPr>
            <w:tcW w:w="17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b/>
                <w:i/>
              </w:rPr>
            </w:pPr>
            <w:r>
              <w:rPr>
                <w:b/>
                <w:i/>
              </w:rPr>
              <w:t>(e)</w:t>
            </w:r>
          </w:p>
        </w:tc>
        <w:tc>
          <w:tcPr>
            <w:tcW w:w="8797" w:type="dxa"/>
            <w:tcBorders/>
            <w:vAlign w:val="center"/>
          </w:tcPr>
          <w:p>
            <w:pPr>
              <w:pStyle w:val="TableContents"/>
              <w:bidi w:val="0"/>
              <w:spacing w:before="0" w:after="283"/>
              <w:jc w:val="both"/>
              <w:rPr>
                <w:b/>
                <w:i/>
              </w:rPr>
            </w:pPr>
            <w:r>
              <w:rPr>
                <w:b/>
                <w:i/>
              </w:rPr>
              <w:t>Dispute Resolution.</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w:t>
            </w:r>
            <w:r>
              <w:rPr>
                <w:b/>
                <w:i/>
              </w:rPr>
              <w:t>Resolution Time</w:t>
            </w:r>
            <w:r>
              <w:rPr/>
              <w:t>” means 2:00 p.m. UTC on the Local Business Day on which the notice is given that gives rise to a dispute under Paragraph 4 (Dispute Resolution) of this Annex unless such notice is given after 10:00 a.m. UTC in which case “</w:t>
            </w:r>
            <w:r>
              <w:rPr>
                <w:b/>
                <w:i/>
              </w:rPr>
              <w:t>Resolution Time</w:t>
            </w:r>
            <w:r>
              <w:rPr/>
              <w:t>” means 11:00 a.m. UTC on the next Local Business Day.</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i/>
              </w:rPr>
            </w:pPr>
            <w:r>
              <w:rPr>
                <w:b/>
                <w:i/>
              </w:rPr>
              <w:t>(ii)</w:t>
            </w:r>
          </w:p>
        </w:tc>
        <w:tc>
          <w:tcPr>
            <w:tcW w:w="9946" w:type="dxa"/>
            <w:tcBorders/>
            <w:vAlign w:val="center"/>
          </w:tcPr>
          <w:p>
            <w:pPr>
              <w:pStyle w:val="TableContents"/>
              <w:bidi w:val="0"/>
              <w:spacing w:before="0" w:after="283"/>
              <w:jc w:val="both"/>
              <w:rPr/>
            </w:pPr>
            <w:r>
              <w:rPr>
                <w:b/>
                <w:i/>
              </w:rPr>
              <w:t xml:space="preserve">Value. </w:t>
            </w:r>
            <w:r>
              <w:rPr/>
              <w:t>For the purpose of Paragraphs 4(a)(4)(i)(C) and 4(a)(4)(ii) (</w:t>
            </w:r>
            <w:r>
              <w:rPr>
                <w:i/>
              </w:rPr>
              <w:t>Disputed Calculations or Valuations</w:t>
            </w:r>
            <w:r>
              <w:rPr/>
              <w:t xml:space="preserve">) of this Annex, the Value of the outstanding Credit Support Balance or of any transfer of Eligible Credit Support or Equivalent Credit Support, as the case may be, will be calculated by the Valuation Agent in accordance with standard market practice using independent third-party sources (such as, by way of example only, Bloomberg, Reuters, </w:t>
            </w:r>
            <w:r>
              <w:rPr>
                <w:color w:val="000000"/>
              </w:rPr>
              <w:t>coinmarketcap.com or bitinfocharts.com)</w:t>
            </w:r>
            <w:r>
              <w:rPr/>
              <w:t xml:space="preserve"> where available, multiplied by the applicable Valuation Percentage. If no such observed prices are available, the Valuation Agent shall determine the Value of the outstanding Credit Support Balance or of any transfer of Eligible Credit Support or Equivalent Credit Support in its own discretion, acting in a commercially reasonable manner.</w:t>
            </w:r>
          </w:p>
        </w:tc>
      </w:tr>
    </w:tbl>
    <w:tbl>
      <w:tblPr>
        <w:tblW w:w="8898" w:type="dxa"/>
        <w:jc w:val="left"/>
        <w:tblInd w:w="0" w:type="dxa"/>
        <w:tblLayout w:type="fixed"/>
        <w:tblCellMar>
          <w:top w:w="0" w:type="dxa"/>
          <w:left w:w="0" w:type="dxa"/>
          <w:bottom w:w="0" w:type="dxa"/>
          <w:right w:w="0" w:type="dxa"/>
        </w:tblCellMar>
      </w:tblPr>
      <w:tblGrid>
        <w:gridCol w:w="38"/>
        <w:gridCol w:w="35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8510" w:type="dxa"/>
            <w:tcBorders/>
            <w:vAlign w:val="center"/>
          </w:tcPr>
          <w:p>
            <w:pPr>
              <w:pStyle w:val="TableContents"/>
              <w:bidi w:val="0"/>
              <w:spacing w:before="0" w:after="283"/>
              <w:jc w:val="both"/>
              <w:rPr/>
            </w:pPr>
            <w:r>
              <w:rPr>
                <w:b/>
                <w:i/>
              </w:rPr>
              <w:t xml:space="preserve">Alternative. </w:t>
            </w:r>
            <w:r>
              <w:rPr/>
              <w:t>The provisions of Paragraph 4 (</w:t>
            </w:r>
            <w:r>
              <w:rPr>
                <w:i/>
              </w:rPr>
              <w:t>Dispute Resolution</w:t>
            </w:r>
            <w:r>
              <w:rPr/>
              <w:t>) of this Annex will apply.</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52" w:right="72" w:hanging="0"/>
        <w:jc w:val="left"/>
        <w:rPr>
          <w:sz w:val="20"/>
        </w:rPr>
      </w:pPr>
      <w:r>
        <w:rPr>
          <w:sz w:val="20"/>
        </w:rPr>
        <w:t>(f)       </w:t>
      </w:r>
      <w:r>
        <w:rPr>
          <w:b/>
          <w:i/>
          <w:sz w:val="20"/>
        </w:rPr>
        <w:t>Distributions and Interest Amount.</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b/>
                <w:i/>
              </w:rPr>
              <w:t>Distributions</w:t>
            </w:r>
            <w:r>
              <w:rPr/>
              <w:t>. If any part of the outstanding Credit Support Balance is comprised of Crypto Assets and an Applicable Airdrop, or a Hard Fork in the relevant protocol, occurs with respect to such Crypto Assets, the Transferor will receive the benefit and ownership of any incremental tokens generated as a result of such Applicable Airdrop or Hard Fork that results in a second token (the “</w:t>
            </w:r>
            <w:r>
              <w:rPr>
                <w:b/>
                <w:i/>
              </w:rPr>
              <w:t>New Token</w:t>
            </w:r>
            <w:r>
              <w:rPr/>
              <w:t>”) being created if two (2) of the following four (4) conditions are met:</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i/>
              </w:rPr>
            </w:pPr>
            <w:r>
              <w:rPr>
                <w:i/>
              </w:rPr>
              <w:t>(A)</w:t>
            </w:r>
          </w:p>
        </w:tc>
        <w:tc>
          <w:tcPr>
            <w:tcW w:w="9908" w:type="dxa"/>
            <w:tcBorders/>
            <w:vAlign w:val="center"/>
          </w:tcPr>
          <w:p>
            <w:pPr>
              <w:pStyle w:val="TableContents"/>
              <w:bidi w:val="0"/>
              <w:spacing w:before="0" w:after="283"/>
              <w:jc w:val="both"/>
              <w:rPr/>
            </w:pPr>
            <w:r>
              <w:rPr>
                <w:i/>
              </w:rPr>
              <w:t>Hash Power</w:t>
            </w:r>
            <w:r>
              <w:rPr/>
              <w:t>: the average hash power mining the New Token on the 30th day following the occurrence of the Applicable Airdrop or Hard Fork (calculated as a 30-day average on such date) is at least 5% of the hash power mining the outstanding Credit Support Balance comprised of such Crypto Assets on the day preceding the Applicable Airdrop or Hard Fork (calculated as a 30-day average of the 30 days preceding the Applicable Airdrop or Hard Fork).</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i/>
              </w:rPr>
            </w:pPr>
            <w:r>
              <w:rPr>
                <w:i/>
              </w:rPr>
              <w:t>(B)</w:t>
            </w:r>
          </w:p>
        </w:tc>
        <w:tc>
          <w:tcPr>
            <w:tcW w:w="9910" w:type="dxa"/>
            <w:tcBorders/>
            <w:vAlign w:val="center"/>
          </w:tcPr>
          <w:p>
            <w:pPr>
              <w:pStyle w:val="TableContents"/>
              <w:bidi w:val="0"/>
              <w:spacing w:before="0" w:after="283"/>
              <w:jc w:val="both"/>
              <w:rPr/>
            </w:pPr>
            <w:r>
              <w:rPr>
                <w:i/>
              </w:rPr>
              <w:t>Market Capitalization</w:t>
            </w:r>
            <w:r>
              <w:rPr/>
              <w:t>: the average market capitalization of the New Token (defined as the total value of all New Tokens) on the 30th day following the occurrence the Applicable Airdrop or Hard Fork (calculated as a 30-day average on such date) is at least 5% of the average market capitalization of the outstanding Credit Support Balance comprised of such Crypto Assets (defined as the total value of the outstanding Credit Support Balance comprised of such Crypto Assets) (calculated as a 30-day average on such date).</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i/>
              </w:rPr>
            </w:pPr>
            <w:r>
              <w:rPr>
                <w:i/>
              </w:rPr>
              <w:t>(C)</w:t>
            </w:r>
          </w:p>
        </w:tc>
        <w:tc>
          <w:tcPr>
            <w:tcW w:w="9890" w:type="dxa"/>
            <w:tcBorders/>
            <w:vAlign w:val="center"/>
          </w:tcPr>
          <w:p>
            <w:pPr>
              <w:pStyle w:val="TableContents"/>
              <w:bidi w:val="0"/>
              <w:spacing w:before="0" w:after="283"/>
              <w:jc w:val="both"/>
              <w:rPr/>
            </w:pPr>
            <w:r>
              <w:rPr>
                <w:i/>
              </w:rPr>
              <w:t>24-Hour Trading Volume</w:t>
            </w:r>
            <w:r>
              <w:rPr/>
              <w:t>: the average 24-hour trading volume of the New Token on the 30th day following the occurrence the Applicable Airdrop or Hard Fork (calculated as a 30-day average on such date) is at least 1% of the average 24-hour trading volume of the outstanding Credit Support Balance comprised of such Crypto Assets (calculated as a 30-day average on such date).</w:t>
            </w:r>
          </w:p>
        </w:tc>
      </w:tr>
    </w:tbl>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i/>
              </w:rPr>
            </w:pPr>
            <w:r>
              <w:rPr>
                <w:i/>
              </w:rPr>
              <w:t>(D)</w:t>
            </w:r>
          </w:p>
        </w:tc>
        <w:tc>
          <w:tcPr>
            <w:tcW w:w="9846" w:type="dxa"/>
            <w:tcBorders/>
            <w:vAlign w:val="center"/>
          </w:tcPr>
          <w:p>
            <w:pPr>
              <w:pStyle w:val="TableContents"/>
              <w:bidi w:val="0"/>
              <w:spacing w:before="0" w:after="283"/>
              <w:jc w:val="both"/>
              <w:rPr/>
            </w:pPr>
            <w:r>
              <w:rPr>
                <w:i/>
              </w:rPr>
              <w:t>Wallet Compatibility</w:t>
            </w:r>
            <w:r>
              <w:rPr/>
              <w:t>: the New Token is supported by either BitGo wallets or Ledger wallets within thirty (30) days of the Applicable Airdrop or Hard Fork.</w:t>
            </w:r>
          </w:p>
        </w:tc>
      </w:tr>
    </w:tbl>
    <w:p>
      <w:pPr>
        <w:pStyle w:val="TextBody"/>
        <w:bidi w:val="0"/>
        <w:spacing w:before="192" w:after="192"/>
        <w:ind w:left="2664" w:right="72" w:hanging="0"/>
        <w:jc w:val="both"/>
        <w:rPr>
          <w:color w:val="000000"/>
          <w:sz w:val="20"/>
        </w:rPr>
      </w:pPr>
      <w:r>
        <w:rPr>
          <w:color w:val="000000"/>
          <w:sz w:val="20"/>
        </w:rPr>
        <w:t xml:space="preserve">For the above calculations, the source for the relevant data will be bitinfocharts.com or, if bitinfocharts.com does not provide all of the required information, the source for any missing relevant data will be coinmarketcap.com, and if neither bitinfocharts.com nor coinmarketcap.com provide certain information, then coingecko.com and if the foregoing, together, do not provide all of the required information, then the parties shall discuss in good faith to mutually agree upon another data source for such missing information prior to the 30-day mark of the creation of the New Token; </w:t>
      </w:r>
      <w:r>
        <w:rPr>
          <w:i/>
          <w:color w:val="000000"/>
          <w:sz w:val="20"/>
        </w:rPr>
        <w:t>provided that</w:t>
      </w:r>
      <w:r>
        <w:rPr>
          <w:color w:val="000000"/>
          <w:sz w:val="20"/>
        </w:rPr>
        <w:t>, if the parties do not agree upon another data source for the missing information prior to such date, each party shall nominate a recognized leading market participant in the market who shall together elect the a substitute entity that will determined the data source.</w:t>
      </w:r>
    </w:p>
    <w:p>
      <w:pPr>
        <w:pStyle w:val="TextBody"/>
        <w:bidi w:val="0"/>
        <w:spacing w:before="197" w:after="197"/>
        <w:ind w:left="2664" w:right="72" w:hanging="0"/>
        <w:jc w:val="both"/>
        <w:rPr>
          <w:sz w:val="20"/>
        </w:rPr>
      </w:pPr>
      <w:r>
        <w:rPr>
          <w:sz w:val="20"/>
        </w:rPr>
        <w:t>If any New Tokens meet two (2) of the criteria above (such New Tokens, “</w:t>
      </w:r>
      <w:r>
        <w:rPr>
          <w:b/>
          <w:i/>
          <w:sz w:val="20"/>
        </w:rPr>
        <w:t>Qualifying New Tokens</w:t>
      </w:r>
      <w:r>
        <w:rPr>
          <w:sz w:val="20"/>
        </w:rPr>
        <w:t>”), then the Transferee will have up to sixty (60) days from the Applicable Airdrop or Hard Fork to transfer the Qualifying New Tokens to the Transferor.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664" w:right="72" w:hanging="0"/>
        <w:jc w:val="both"/>
        <w:rPr>
          <w:sz w:val="20"/>
        </w:rPr>
      </w:pPr>
      <w:r>
        <w:rPr>
          <w:sz w:val="20"/>
        </w:rPr>
        <w:t>If and to the extent that Paragraph 5(c)(i) (</w:t>
      </w:r>
      <w:r>
        <w:rPr>
          <w:i/>
          <w:sz w:val="20"/>
        </w:rPr>
        <w:t>Distributions</w:t>
      </w:r>
      <w:r>
        <w:rPr>
          <w:sz w:val="20"/>
        </w:rPr>
        <w:t>) of this Annex applies to Qualifying New Tokens, the “Distribution Date” will be the date on which the Applicable Airdrop or Hard Fork occurred, the “Distributions” will be the Qualifying New Tokens, and the “Settlement Day” will be the date which is sixty (60) days from the Applicable Airdrop or Hard Fork.</w:t>
      </w:r>
    </w:p>
    <w:p>
      <w:pPr>
        <w:pStyle w:val="TextBody"/>
        <w:bidi w:val="0"/>
        <w:spacing w:before="201" w:after="201"/>
        <w:ind w:left="2664" w:right="72" w:hanging="0"/>
        <w:jc w:val="both"/>
        <w:rPr/>
      </w:pPr>
      <w:r>
        <w:rPr/>
        <w:t>“</w:t>
      </w:r>
      <w:r>
        <w:rPr>
          <w:b/>
          <w:i/>
          <w:sz w:val="20"/>
        </w:rPr>
        <w:t>Airdrop</w:t>
      </w:r>
      <w:r>
        <w:rPr>
          <w:sz w:val="20"/>
        </w:rPr>
        <w:t>” means a distribution of a new token or tokens resulting from the ownership of a separate pre-existing token. An “</w:t>
      </w:r>
      <w:r>
        <w:rPr>
          <w:b/>
          <w:i/>
          <w:sz w:val="20"/>
        </w:rPr>
        <w:t>Applicable Airdrop</w:t>
      </w:r>
      <w:r>
        <w:rPr>
          <w:sz w:val="20"/>
        </w:rPr>
        <w:t>” is an Airdrop for which the distribution of new tokens can be definitively calculated according to its distribution method, such as a pro rata distribution based on the amount of the relevant Crypto Asset held at a specified time. A “</w:t>
      </w:r>
      <w:r>
        <w:rPr>
          <w:b/>
          <w:i/>
          <w:sz w:val="20"/>
        </w:rPr>
        <w:t>Non-Applicable Airdrop</w:t>
      </w:r>
      <w:r>
        <w:rPr>
          <w:sz w:val="20"/>
        </w:rPr>
        <w:t>” is an Airdrop for which the distribution of new tokens: (i) cannot be definitively calculated, such as a random distribution, a distribution to every wallet of the relevant Crypto Asset, or a distribution that depends on a wallet of the relevant Crypto Asset meeting a threshold requirement; (ii) results in a distribution with a Value of less than US$10,000 as of the date of the Airdrop; or</w:t>
      </w:r>
    </w:p>
    <w:p>
      <w:pPr>
        <w:pStyle w:val="TextBody"/>
        <w:bidi w:val="0"/>
        <w:ind w:left="2664" w:right="72" w:hanging="0"/>
        <w:jc w:val="both"/>
        <w:rPr>
          <w:sz w:val="20"/>
        </w:rPr>
      </w:pPr>
      <w:r>
        <w:rPr>
          <w:sz w:val="20"/>
        </w:rPr>
        <w:t>(iii) requires more than a de minimis affirmative action by the recipient to claim, receive or take delivery of such new tokens, determined in good faith and a commercially reasonable manner. A Non-Applicable Airdrop is not an Applicable Airdrop.</w:t>
      </w:r>
    </w:p>
    <w:p>
      <w:pPr>
        <w:pStyle w:val="TextBody"/>
        <w:bidi w:val="0"/>
        <w:spacing w:before="200" w:after="200"/>
        <w:ind w:left="2664" w:right="72" w:hanging="0"/>
        <w:jc w:val="both"/>
        <w:rPr/>
      </w:pPr>
      <w:r>
        <w:rPr/>
        <w:t>“</w:t>
      </w:r>
      <w:r>
        <w:rPr>
          <w:b/>
          <w:i/>
          <w:sz w:val="20"/>
        </w:rPr>
        <w:t>Hard Fork</w:t>
      </w:r>
      <w:r>
        <w:rPr>
          <w:sz w:val="20"/>
        </w:rPr>
        <w:t>” means a permanent divergence in the relevant Crypto Asset blockchain, that commonly occurs when non-upgraded nodes cannot validate blocks created by upgraded nodes that follow newer consensus rules.</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b/>
                <w:i/>
              </w:rPr>
              <w:t xml:space="preserve">Interest Amount. </w:t>
            </w:r>
            <w:r>
              <w:rPr/>
              <w:t>The provisions of Paragraph 5(c)(ii) (</w:t>
            </w:r>
            <w:r>
              <w:rPr>
                <w:i/>
              </w:rPr>
              <w:t>Interest Amount</w:t>
            </w:r>
            <w:r>
              <w:rPr/>
              <w:t>) of this Annex shall not apply. For the avoidance of doubt, (1) neither party shall have any obligation to transfer any Interest Amount to the other party pursuant to this Annex, and (2) this Annex shall be read as if any references to Interest Amount were removed from this Annex.</w:t>
            </w:r>
          </w:p>
        </w:tc>
      </w:tr>
    </w:tbl>
    <w:p>
      <w:pPr>
        <w:pStyle w:val="TextBody"/>
        <w:bidi w:val="0"/>
        <w:spacing w:before="245" w:after="245"/>
        <w:ind w:left="1152" w:right="245" w:hanging="0"/>
        <w:jc w:val="left"/>
        <w:rPr>
          <w:sz w:val="20"/>
        </w:rPr>
      </w:pPr>
      <w:r>
        <w:rPr>
          <w:sz w:val="20"/>
        </w:rPr>
        <w:t>(g)       </w:t>
      </w:r>
      <w:r>
        <w:rPr>
          <w:b/>
          <w:i/>
          <w:sz w:val="20"/>
        </w:rPr>
        <w:t>Address for Transfers.</w:t>
      </w:r>
    </w:p>
    <w:p>
      <w:pPr>
        <w:pStyle w:val="TextBody"/>
        <w:bidi w:val="0"/>
        <w:spacing w:before="244" w:after="244"/>
        <w:ind w:left="1872" w:right="244" w:hanging="0"/>
        <w:jc w:val="left"/>
        <w:rPr>
          <w:sz w:val="20"/>
        </w:rPr>
      </w:pPr>
      <w:r>
        <w:rPr>
          <w:sz w:val="20"/>
        </w:rPr>
        <w:t>(i)               Party A: As specified by Party A at the time of its demand, with respect to the relevant transfer.</w:t>
      </w:r>
    </w:p>
    <w:p>
      <w:pPr>
        <w:pStyle w:val="TextBody"/>
        <w:bidi w:val="0"/>
        <w:spacing w:before="246" w:after="246"/>
        <w:ind w:left="1872" w:right="246" w:hanging="0"/>
        <w:jc w:val="left"/>
        <w:rPr>
          <w:sz w:val="20"/>
        </w:rPr>
      </w:pPr>
      <w:r>
        <w:rPr>
          <w:sz w:val="20"/>
        </w:rPr>
        <w:t>(ii)              Party B: As specified by Party B at the time of its demand, with respect to the relevant transfer.</w:t>
      </w:r>
    </w:p>
    <w:p>
      <w:pPr>
        <w:pStyle w:val="TextBody"/>
        <w:bidi w:val="0"/>
        <w:spacing w:before="245" w:after="245"/>
        <w:ind w:left="1152" w:right="245" w:hanging="0"/>
        <w:jc w:val="left"/>
        <w:rPr>
          <w:sz w:val="20"/>
        </w:rPr>
      </w:pPr>
      <w:r>
        <w:rPr>
          <w:sz w:val="20"/>
        </w:rPr>
        <w:t>(h)       </w:t>
      </w:r>
      <w:r>
        <w:rPr>
          <w:b/>
          <w:i/>
          <w:sz w:val="20"/>
        </w:rPr>
        <w:t>Other Provisions.</w:t>
      </w:r>
    </w:p>
    <w:p>
      <w:pPr>
        <w:pStyle w:val="TextBody"/>
        <w:bidi w:val="0"/>
        <w:spacing w:before="221" w:after="221"/>
        <w:ind w:left="1872" w:right="221" w:hanging="0"/>
        <w:jc w:val="left"/>
        <w:rPr>
          <w:sz w:val="20"/>
        </w:rPr>
      </w:pPr>
      <w:r>
        <w:rPr>
          <w:sz w:val="20"/>
        </w:rPr>
        <w:t>(i)       </w:t>
      </w:r>
      <w:r>
        <w:rPr>
          <w:b/>
          <w:i/>
          <w:sz w:val="20"/>
        </w:rPr>
        <w:t>Default</w:t>
      </w:r>
      <w:r>
        <w:rPr>
          <w:sz w:val="20"/>
        </w:rPr>
        <w:t>. Paragraph 6 (</w:t>
      </w:r>
      <w:r>
        <w:rPr>
          <w:i/>
          <w:sz w:val="20"/>
        </w:rPr>
        <w:t>Default</w:t>
      </w:r>
      <w:r>
        <w:rPr>
          <w:sz w:val="20"/>
        </w:rPr>
        <w:t>) of this Annex is amended by:</w:t>
      </w:r>
    </w:p>
    <w:tbl>
      <w:tblPr>
        <w:tblW w:w="5000" w:type="pct"/>
        <w:jc w:val="left"/>
        <w:tblInd w:w="0" w:type="dxa"/>
        <w:tblLayout w:type="fixed"/>
        <w:tblCellMar>
          <w:top w:w="0" w:type="dxa"/>
          <w:left w:w="0" w:type="dxa"/>
          <w:bottom w:w="0" w:type="dxa"/>
          <w:right w:w="0" w:type="dxa"/>
        </w:tblCellMar>
      </w:tblPr>
      <w:tblGrid>
        <w:gridCol w:w="37"/>
        <w:gridCol w:w="316"/>
        <w:gridCol w:w="9852"/>
      </w:tblGrid>
      <w:tr>
        <w:trPr/>
        <w:tc>
          <w:tcPr>
            <w:tcW w:w="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(A)</w:t>
            </w:r>
          </w:p>
        </w:tc>
        <w:tc>
          <w:tcPr>
            <w:tcW w:w="9852" w:type="dxa"/>
            <w:tcBorders/>
            <w:vAlign w:val="center"/>
          </w:tcPr>
          <w:p>
            <w:pPr>
              <w:pStyle w:val="TableContents"/>
              <w:bidi w:val="0"/>
              <w:spacing w:before="0" w:after="283"/>
              <w:jc w:val="both"/>
              <w:rPr/>
            </w:pPr>
            <w:r>
              <w:rPr/>
              <w:t>including the words “or a Termination Event resulting in the termination of all (but not less than all) Transactions” after the words “Event of Default” in the first line thereof; and</w:t>
            </w:r>
          </w:p>
        </w:tc>
      </w:tr>
    </w:tbl>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(B)</w:t>
            </w:r>
          </w:p>
        </w:tc>
        <w:tc>
          <w:tcPr>
            <w:tcW w:w="9847" w:type="dxa"/>
            <w:tcBorders/>
            <w:vAlign w:val="center"/>
          </w:tcPr>
          <w:p>
            <w:pPr>
              <w:pStyle w:val="TableContents"/>
              <w:bidi w:val="0"/>
              <w:spacing w:before="0" w:after="283"/>
              <w:jc w:val="both"/>
              <w:rPr/>
            </w:pPr>
            <w:r>
              <w:rPr/>
              <w:t>inserting the words “or the Affected Party, as the case may be,” after the words “Defaulting Party” in the fourth line thereof.</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both"/>
              <w:rPr/>
            </w:pPr>
            <w:r>
              <w:rPr>
                <w:b/>
                <w:i/>
              </w:rPr>
              <w:t>Final Returns</w:t>
            </w:r>
            <w:r>
              <w:rPr/>
              <w:t>. When no amounts are or may become payable by the Transferor with respect to any obligations under this Agreement, the Transferee will transfer to the Transferor Equivalent Credit Support with respect to the Credit Support Balance.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b/>
                <w:i/>
              </w:rPr>
            </w:pPr>
            <w:r>
              <w:rPr>
                <w:b/>
                <w:i/>
              </w:rPr>
              <w:t>(iii)</w:t>
            </w:r>
          </w:p>
        </w:tc>
        <w:tc>
          <w:tcPr>
            <w:tcW w:w="9865" w:type="dxa"/>
            <w:tcBorders/>
            <w:vAlign w:val="center"/>
          </w:tcPr>
          <w:p>
            <w:pPr>
              <w:pStyle w:val="TableContents"/>
              <w:bidi w:val="0"/>
              <w:spacing w:before="0" w:after="283"/>
              <w:jc w:val="both"/>
              <w:rPr/>
            </w:pPr>
            <w:r>
              <w:rPr>
                <w:b/>
                <w:i/>
              </w:rPr>
              <w:t xml:space="preserve">Local Business Day. </w:t>
            </w:r>
            <w:r>
              <w:rPr/>
              <w:t>The place agreed between the parties for the purposes of paragraphs (ii) and (iii) of the definition of “</w:t>
            </w:r>
            <w:r>
              <w:rPr>
                <w:b/>
                <w:i/>
              </w:rPr>
              <w:t>Local Business Day</w:t>
            </w:r>
            <w:r>
              <w:rPr/>
              <w:t>” in Paragraph 10 (Definitions) of this Annex is London (United Kingdom). “</w:t>
            </w:r>
            <w:r>
              <w:rPr>
                <w:b/>
                <w:i/>
              </w:rPr>
              <w:t>UTC</w:t>
            </w:r>
            <w:r>
              <w:rPr/>
              <w:t>” means Coordinated Universal Time.</w:t>
            </w:r>
          </w:p>
        </w:tc>
      </w:tr>
    </w:tbl>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b/>
                <w:i/>
              </w:rPr>
            </w:pPr>
            <w:r>
              <w:rPr>
                <w:b/>
                <w:i/>
              </w:rPr>
              <w:t>(iv)</w:t>
            </w:r>
          </w:p>
        </w:tc>
        <w:tc>
          <w:tcPr>
            <w:tcW w:w="9886" w:type="dxa"/>
            <w:tcBorders/>
            <w:vAlign w:val="center"/>
          </w:tcPr>
          <w:p>
            <w:pPr>
              <w:pStyle w:val="TableContents"/>
              <w:bidi w:val="0"/>
              <w:spacing w:before="0" w:after="283"/>
              <w:jc w:val="both"/>
              <w:rPr/>
            </w:pPr>
            <w:r>
              <w:rPr>
                <w:b/>
                <w:i/>
              </w:rPr>
              <w:t xml:space="preserve">Counterparts. </w:t>
            </w:r>
            <w:r>
              <w:rPr/>
              <w:t>This Annex may be executed in any number of counterparts, and by different parties hereto on separate counterparts each of which when executed and delivered, by e-mail or otherwise, shall be deemed to be an original and all of which taken together shall constitute one and the same instrument.</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i/>
              </w:rPr>
            </w:pPr>
            <w:r>
              <w:rPr>
                <w:b/>
                <w:i/>
              </w:rPr>
              <w:t>(v)</w:t>
            </w:r>
          </w:p>
        </w:tc>
        <w:tc>
          <w:tcPr>
            <w:tcW w:w="9925" w:type="dxa"/>
            <w:tcBorders/>
            <w:vAlign w:val="center"/>
          </w:tcPr>
          <w:p>
            <w:pPr>
              <w:pStyle w:val="TableContents"/>
              <w:bidi w:val="0"/>
              <w:spacing w:before="0" w:after="283"/>
              <w:jc w:val="both"/>
              <w:rPr/>
            </w:pPr>
            <w:r>
              <w:rPr>
                <w:b/>
                <w:i/>
              </w:rPr>
              <w:t xml:space="preserve">Governing law. </w:t>
            </w:r>
            <w:r>
              <w:rPr/>
              <w:t>This Annex and any non-contractual obligations arising out of or in connection with it will be governed by and construed in accordance with English law.</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b/>
                <w:i/>
              </w:rPr>
            </w:pPr>
            <w:r>
              <w:rPr>
                <w:b/>
                <w:i/>
              </w:rPr>
              <w:t>(vi)</w:t>
            </w:r>
          </w:p>
        </w:tc>
        <w:tc>
          <w:tcPr>
            <w:tcW w:w="9887" w:type="dxa"/>
            <w:tcBorders/>
            <w:vAlign w:val="center"/>
          </w:tcPr>
          <w:p>
            <w:pPr>
              <w:pStyle w:val="TableContents"/>
              <w:bidi w:val="0"/>
              <w:spacing w:before="0" w:after="283"/>
              <w:jc w:val="both"/>
              <w:rPr/>
            </w:pPr>
            <w:r>
              <w:rPr>
                <w:b/>
                <w:i/>
              </w:rPr>
              <w:t xml:space="preserve">Form of Annex. </w:t>
            </w:r>
            <w:r>
              <w:rPr/>
              <w:t>The parties hereby agree that the text of Paragraphs 1 to 10 of this Annex is intended to be the printed form of the 1995 ISDA Credit Support Annex (Bilateral Form - Transfer - ISDA Agreements Subject to English Law version) as published and copyrighted by the International Swaps and Derivatives Association, Inc.</w:t>
            </w:r>
          </w:p>
        </w:tc>
      </w:tr>
    </w:tbl>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(vii)</w:t>
            </w:r>
          </w:p>
        </w:tc>
        <w:tc>
          <w:tcPr>
            <w:tcW w:w="9818" w:type="dxa"/>
            <w:tcBorders/>
            <w:vAlign w:val="center"/>
          </w:tcPr>
          <w:p>
            <w:pPr>
              <w:pStyle w:val="TableContents"/>
              <w:bidi w:val="0"/>
              <w:spacing w:before="0" w:after="283"/>
              <w:jc w:val="both"/>
              <w:rPr/>
            </w:pPr>
            <w:r>
              <w:rPr>
                <w:b/>
                <w:i/>
              </w:rPr>
              <w:t>Further Assurances</w:t>
            </w:r>
            <w:r>
              <w:rPr/>
              <w:t>. Each Party agrees to execute and deliver all instruments and to do all acts and take all steps as the other Party may reasonably require in order to effect and evidence the valid and effective transfer of Posted Collateral.</w:t>
            </w:r>
          </w:p>
        </w:tc>
      </w:tr>
    </w:tbl>
    <w:p>
      <w:pPr>
        <w:pStyle w:val="TextBody"/>
        <w:bidi w:val="0"/>
        <w:spacing w:before="249" w:after="249"/>
        <w:ind w:left="72" w:right="72" w:hanging="0"/>
        <w:jc w:val="center"/>
        <w:rPr>
          <w:i/>
          <w:sz w:val="20"/>
        </w:rPr>
      </w:pPr>
      <w:r>
        <w:rPr>
          <w:i/>
          <w:sz w:val="20"/>
        </w:rPr>
        <w:t>[Remainder of page intentionally left blank]</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 w:right="72" w:firstLine="720"/>
        <w:jc w:val="both"/>
        <w:rPr>
          <w:sz w:val="20"/>
        </w:rPr>
      </w:pPr>
      <w:r>
        <w:rPr>
          <w:b/>
          <w:sz w:val="20"/>
        </w:rPr>
        <w:t xml:space="preserve">IN WITNESS WHEREOF, </w:t>
      </w:r>
      <w:r>
        <w:rPr>
          <w:sz w:val="20"/>
        </w:rPr>
        <w:t>the parties hereto have executed this Annex on the respective dates specified below, with effect from the date specified on the first page.</w:t>
      </w:r>
    </w:p>
    <w:p>
      <w:pPr>
        <w:pStyle w:val="TextBody"/>
        <w:bidi w:val="0"/>
        <w:spacing w:before="0" w:after="0"/>
        <w:ind w:left="72" w:right="72" w:firstLine="720"/>
        <w:jc w:val="both"/>
        <w:rPr/>
      </w:pPr>
      <w:r>
        <w:rPr/>
        <w:t> </w:t>
      </w:r>
    </w:p>
    <w:tbl>
      <w:tblPr>
        <w:tblW w:w="10205" w:type="dxa"/>
        <w:jc w:val="left"/>
        <w:tblInd w:w="-10" w:type="dxa"/>
        <w:tblLayout w:type="fixed"/>
        <w:tblCellMar>
          <w:top w:w="196" w:type="dxa"/>
          <w:left w:w="28" w:type="dxa"/>
          <w:bottom w:w="239" w:type="dxa"/>
          <w:right w:w="519" w:type="dxa"/>
        </w:tblCellMar>
      </w:tblPr>
      <w:tblGrid>
        <w:gridCol w:w="1280"/>
        <w:gridCol w:w="7454"/>
        <w:gridCol w:w="297"/>
        <w:gridCol w:w="1174"/>
      </w:tblGrid>
      <w:tr>
        <w:trPr/>
        <w:tc>
          <w:tcPr>
            <w:tcW w:w="873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BLOCKCHAIN.COM (BVI) II LIMITED</w:t>
            </w:r>
          </w:p>
        </w:tc>
        <w:tc>
          <w:tcPr>
            <w:tcW w:w="1471" w:type="dxa"/>
            <w:gridSpan w:val="2"/>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SONO GROUP N.V.</w:t>
            </w:r>
          </w:p>
        </w:tc>
      </w:tr>
      <w:tr>
        <w:trPr/>
        <w:tc>
          <w:tcPr>
            <w:tcW w:w="1280" w:type="dxa"/>
            <w:vMerge w:val="restart"/>
            <w:tcBorders>
              <w:left w:val="single" w:sz="8" w:space="0" w:color="000000"/>
              <w:bottom w:val="single" w:sz="8" w:space="0" w:color="000000"/>
              <w:right w:val="double" w:sz="2" w:space="0" w:color="000000"/>
            </w:tcBorders>
            <w:tcMar>
              <w:top w:w="0" w:type="dxa"/>
              <w:left w:w="115" w:type="dxa"/>
              <w:bottom w:w="226" w:type="dxa"/>
              <w:right w:w="28" w:type="dxa"/>
            </w:tcMar>
            <w:vAlign w:val="center"/>
          </w:tcPr>
          <w:p>
            <w:pPr>
              <w:pStyle w:val="TableContents"/>
              <w:bidi w:val="0"/>
              <w:spacing w:before="0" w:after="283"/>
              <w:jc w:val="left"/>
              <w:rPr>
                <w:sz w:val="20"/>
              </w:rPr>
            </w:pPr>
            <w:r>
              <w:rPr>
                <w:sz w:val="20"/>
              </w:rPr>
              <w:t>By:</w:t>
            </w:r>
          </w:p>
        </w:tc>
        <w:tc>
          <w:tcPr>
            <w:tcW w:w="7454" w:type="dxa"/>
            <w:vMerge w:val="restart"/>
            <w:tcBorders>
              <w:left w:val="doub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pPr>
            <w:r>
              <w:rPr/>
              <w:t>  </w:t>
            </w:r>
            <w:r>
              <w:rPr>
                <w:sz w:val="20"/>
              </w:rPr>
              <w:t>/s/ Allan Gregory Boyd</w:t>
            </w:r>
          </w:p>
        </w:tc>
        <w:tc>
          <w:tcPr>
            <w:tcW w:w="297" w:type="dxa"/>
            <w:vMerge w:val="restart"/>
            <w:tcBorders>
              <w:bottom w:val="single" w:sz="8" w:space="0" w:color="000000"/>
              <w:right w:val="double" w:sz="2" w:space="0" w:color="000000"/>
            </w:tcBorders>
            <w:tcMar>
              <w:top w:w="0" w:type="dxa"/>
              <w:left w:w="0" w:type="dxa"/>
              <w:bottom w:w="226" w:type="dxa"/>
              <w:right w:w="28" w:type="dxa"/>
            </w:tcMar>
            <w:vAlign w:val="center"/>
          </w:tcPr>
          <w:p>
            <w:pPr>
              <w:pStyle w:val="TableContents"/>
              <w:bidi w:val="0"/>
              <w:spacing w:before="0" w:after="283"/>
              <w:jc w:val="left"/>
              <w:rPr>
                <w:sz w:val="20"/>
              </w:rPr>
            </w:pPr>
            <w:r>
              <w:rPr>
                <w:sz w:val="20"/>
              </w:rPr>
              <w:t>By:</w:t>
            </w:r>
          </w:p>
        </w:tc>
        <w:tc>
          <w:tcPr>
            <w:tcW w:w="1174" w:type="dxa"/>
            <w:tcBorders>
              <w:left w:val="double" w:sz="8" w:space="0" w:color="000000"/>
              <w:right w:val="single" w:sz="8" w:space="0" w:color="000000"/>
            </w:tcBorders>
            <w:tcMar>
              <w:top w:w="0" w:type="dxa"/>
              <w:bottom w:w="0" w:type="dxa"/>
              <w:right w:w="28" w:type="dxa"/>
            </w:tcMar>
            <w:vAlign w:val="center"/>
          </w:tcPr>
          <w:p>
            <w:pPr>
              <w:pStyle w:val="TableContents"/>
              <w:bidi w:val="0"/>
              <w:spacing w:before="0" w:after="283"/>
              <w:jc w:val="left"/>
              <w:rPr/>
            </w:pPr>
            <w:r>
              <w:rPr/>
              <w:t>  </w:t>
            </w:r>
            <w:r>
              <w:rPr>
                <w:sz w:val="20"/>
              </w:rPr>
              <w:t>/s/ Kevin J. McGurn</w:t>
            </w:r>
          </w:p>
        </w:tc>
      </w:tr>
      <w:tr>
        <w:trPr/>
        <w:tc>
          <w:tcPr>
            <w:tcW w:w="1280" w:type="dxa"/>
            <w:vMerge w:val="continue"/>
            <w:tcBorders>
              <w:left w:val="single" w:sz="8" w:space="0" w:color="000000"/>
              <w:bottom w:val="single" w:sz="8" w:space="0" w:color="000000"/>
              <w:right w:val="double" w:sz="2" w:space="0" w:color="000000"/>
            </w:tcBorders>
            <w:tcMar>
              <w:top w:w="0" w:type="dxa"/>
              <w:left w:w="115" w:type="dxa"/>
              <w:bottom w:w="226" w:type="dxa"/>
              <w:right w:w="28" w:type="dxa"/>
            </w:tcMar>
            <w:vAlign w:val="center"/>
          </w:tcPr>
          <w:p>
            <w:pPr>
              <w:pStyle w:val="Normal"/>
              <w:bidi w:val="0"/>
              <w:jc w:val="left"/>
              <w:rPr/>
            </w:pPr>
            <w:r>
              <w:rPr/>
            </w:r>
          </w:p>
        </w:tc>
        <w:tc>
          <w:tcPr>
            <w:tcW w:w="7454" w:type="dxa"/>
            <w:vMerge w:val="continue"/>
            <w:tcBorders>
              <w:left w:val="doub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97" w:type="dxa"/>
            <w:vMerge w:val="continue"/>
            <w:tcBorders>
              <w:bottom w:val="single" w:sz="8" w:space="0" w:color="000000"/>
              <w:right w:val="double" w:sz="2" w:space="0" w:color="000000"/>
            </w:tcBorders>
            <w:tcMar>
              <w:top w:w="0" w:type="dxa"/>
              <w:left w:w="0" w:type="dxa"/>
              <w:bottom w:w="226" w:type="dxa"/>
              <w:right w:w="28" w:type="dxa"/>
            </w:tcMar>
            <w:vAlign w:val="center"/>
          </w:tcPr>
          <w:p>
            <w:pPr>
              <w:pStyle w:val="Normal"/>
              <w:bidi w:val="0"/>
              <w:jc w:val="left"/>
              <w:rPr/>
            </w:pPr>
            <w:r>
              <w:rPr/>
            </w:r>
          </w:p>
        </w:tc>
        <w:tc>
          <w:tcPr>
            <w:tcW w:w="1174" w:type="dxa"/>
            <w:tcBorders>
              <w:left w:val="doub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pPr>
            <w:r>
              <w:rPr/>
              <w:t> </w:t>
            </w:r>
          </w:p>
        </w:tc>
      </w:tr>
      <w:tr>
        <w:trPr/>
        <w:tc>
          <w:tcPr>
            <w:tcW w:w="8734" w:type="dxa"/>
            <w:gridSpan w:val="2"/>
            <w:tcBorders>
              <w:left w:val="single" w:sz="8" w:space="0" w:color="000000"/>
              <w:bottom w:val="single" w:sz="8" w:space="0" w:color="000000"/>
              <w:right w:val="single" w:sz="8" w:space="0" w:color="000000"/>
            </w:tcBorders>
            <w:tcMar>
              <w:top w:w="0" w:type="dxa"/>
              <w:left w:w="115" w:type="dxa"/>
              <w:bottom w:w="221" w:type="dxa"/>
              <w:right w:w="28" w:type="dxa"/>
            </w:tcMar>
            <w:vAlign w:val="center"/>
          </w:tcPr>
          <w:p>
            <w:pPr>
              <w:pStyle w:val="TableContents"/>
              <w:bidi w:val="0"/>
              <w:spacing w:before="0" w:after="283"/>
              <w:jc w:val="left"/>
              <w:rPr>
                <w:sz w:val="20"/>
              </w:rPr>
            </w:pPr>
            <w:r>
              <w:rPr>
                <w:sz w:val="20"/>
              </w:rPr>
              <w:t>Name:</w:t>
              <w:tab/>
              <w:t>Allan Gregory Boyd</w:t>
            </w:r>
          </w:p>
        </w:tc>
        <w:tc>
          <w:tcPr>
            <w:tcW w:w="1471" w:type="dxa"/>
            <w:gridSpan w:val="2"/>
            <w:tcBorders>
              <w:bottom w:val="single" w:sz="8" w:space="0" w:color="000000"/>
              <w:right w:val="single" w:sz="8" w:space="0" w:color="000000"/>
            </w:tcBorders>
            <w:tcMar>
              <w:top w:w="0" w:type="dxa"/>
              <w:left w:w="0" w:type="dxa"/>
              <w:bottom w:w="221" w:type="dxa"/>
              <w:right w:w="28" w:type="dxa"/>
            </w:tcMar>
            <w:vAlign w:val="center"/>
          </w:tcPr>
          <w:p>
            <w:pPr>
              <w:pStyle w:val="TableContents"/>
              <w:bidi w:val="0"/>
              <w:spacing w:before="0" w:after="283"/>
              <w:jc w:val="left"/>
              <w:rPr/>
            </w:pPr>
            <w:r>
              <w:rPr>
                <w:sz w:val="20"/>
              </w:rPr>
              <w:t>Name:</w:t>
            </w:r>
            <w:r>
              <w:rPr/>
              <w:t xml:space="preserve"> </w:t>
            </w:r>
            <w:r>
              <w:rPr>
                <w:sz w:val="20"/>
              </w:rPr>
              <w:t>Kevin J. McGurn</w:t>
            </w:r>
          </w:p>
        </w:tc>
      </w:tr>
      <w:tr>
        <w:trPr/>
        <w:tc>
          <w:tcPr>
            <w:tcW w:w="8734" w:type="dxa"/>
            <w:gridSpan w:val="2"/>
            <w:tcBorders>
              <w:left w:val="single" w:sz="8" w:space="0" w:color="000000"/>
              <w:bottom w:val="single" w:sz="8" w:space="0" w:color="000000"/>
              <w:right w:val="single" w:sz="8" w:space="0" w:color="000000"/>
            </w:tcBorders>
            <w:tcMar>
              <w:top w:w="0" w:type="dxa"/>
              <w:left w:w="115" w:type="dxa"/>
              <w:bottom w:w="231" w:type="dxa"/>
              <w:right w:w="28" w:type="dxa"/>
            </w:tcMar>
            <w:vAlign w:val="center"/>
          </w:tcPr>
          <w:p>
            <w:pPr>
              <w:pStyle w:val="TableContents"/>
              <w:bidi w:val="0"/>
              <w:spacing w:before="0" w:after="283"/>
              <w:jc w:val="left"/>
              <w:rPr>
                <w:sz w:val="20"/>
              </w:rPr>
            </w:pPr>
            <w:r>
              <w:rPr>
                <w:sz w:val="20"/>
              </w:rPr>
              <w:t>Title:</w:t>
              <w:tab/>
              <w:t>Director</w:t>
            </w:r>
          </w:p>
        </w:tc>
        <w:tc>
          <w:tcPr>
            <w:tcW w:w="1471" w:type="dxa"/>
            <w:gridSpan w:val="2"/>
            <w:tcBorders>
              <w:bottom w:val="single" w:sz="8" w:space="0" w:color="000000"/>
              <w:right w:val="single" w:sz="8" w:space="0" w:color="000000"/>
            </w:tcBorders>
            <w:tcMar>
              <w:top w:w="0" w:type="dxa"/>
              <w:left w:w="0" w:type="dxa"/>
              <w:bottom w:w="231" w:type="dxa"/>
              <w:right w:w="28" w:type="dxa"/>
            </w:tcMar>
            <w:vAlign w:val="center"/>
          </w:tcPr>
          <w:p>
            <w:pPr>
              <w:pStyle w:val="TableContents"/>
              <w:bidi w:val="0"/>
              <w:spacing w:before="0" w:after="283"/>
              <w:jc w:val="left"/>
              <w:rPr/>
            </w:pPr>
            <w:r>
              <w:rPr>
                <w:sz w:val="20"/>
              </w:rPr>
              <w:t>Title:</w:t>
            </w:r>
            <w:r>
              <w:rPr/>
              <w:t xml:space="preserve"> </w:t>
            </w:r>
            <w:r>
              <w:rPr>
                <w:sz w:val="20"/>
              </w:rPr>
              <w:t>CEO, Sono Group N.V.</w:t>
            </w:r>
          </w:p>
        </w:tc>
      </w:tr>
      <w:tr>
        <w:trPr/>
        <w:tc>
          <w:tcPr>
            <w:tcW w:w="8734" w:type="dxa"/>
            <w:gridSpan w:val="2"/>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146" w:after="146"/>
              <w:ind w:left="144" w:right="288" w:hanging="0"/>
              <w:jc w:val="left"/>
              <w:rPr>
                <w:sz w:val="20"/>
              </w:rPr>
            </w:pPr>
            <w:r>
              <w:rPr>
                <w:sz w:val="20"/>
              </w:rPr>
              <w:t>The entity that you are contracting with is Blockchain.com (BVI) II Limited (which is a separate entity from Blockchain.com (Singapore) Pte. Ltd.).</w:t>
            </w:r>
          </w:p>
          <w:p>
            <w:pPr>
              <w:pStyle w:val="TableContents"/>
              <w:bidi w:val="0"/>
              <w:spacing w:before="200" w:after="200"/>
              <w:ind w:left="144" w:right="288" w:hanging="0"/>
              <w:jc w:val="left"/>
              <w:rPr>
                <w:sz w:val="20"/>
              </w:rPr>
            </w:pPr>
            <w:r>
              <w:rPr>
                <w:sz w:val="20"/>
              </w:rPr>
              <w:t>Blockchain.com (BVI) II Limited, and its trading business, are not regulated by the Monetary Authority of Singapore (“</w:t>
            </w:r>
            <w:r>
              <w:rPr>
                <w:b/>
                <w:sz w:val="20"/>
              </w:rPr>
              <w:t>MAS</w:t>
            </w:r>
            <w:r>
              <w:rPr>
                <w:sz w:val="20"/>
              </w:rPr>
              <w:t>”).</w:t>
            </w:r>
          </w:p>
          <w:p>
            <w:pPr>
              <w:pStyle w:val="TableContents"/>
              <w:bidi w:val="0"/>
              <w:spacing w:before="200" w:after="241"/>
              <w:ind w:left="144" w:right="288" w:hanging="0"/>
              <w:jc w:val="left"/>
              <w:rPr>
                <w:sz w:val="20"/>
              </w:rPr>
            </w:pPr>
            <w:r>
              <w:rPr>
                <w:sz w:val="20"/>
              </w:rPr>
              <w:t>As Blockchain.com (BVI) II Limited, and its trading business, are not regulated by MAS, you will not have the benefit of any regulatory safeguards or protections that would be applicable to financial or payment products and services which are regulated by MAS.</w:t>
            </w:r>
          </w:p>
        </w:tc>
        <w:tc>
          <w:tcPr>
            <w:tcW w:w="29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174"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17</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29962</Words>
  <Characters>156574</Characters>
  <CharactersWithSpaces>188541</CharactersWithSpaces>
  <Paragraphs>1880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