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Bambino 255 V V UG haftungsbeschrankt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DENTONS GMBH, MARKGRAFENSTRASSE 33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BERLIN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BERLIN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Sono Group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SSM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149,758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3.6764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149,658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3.6765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149,258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3.679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148,058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147,958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147,916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141,916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Following the transactions reported herein, the Reporting Person is no longer the beneficial owner of more than 10% of the Issuer's outstanding Common Stock and therefore is no longer subject to Section 16 solely on account of its beneficial ownership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Holger Ellers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046" TargetMode="External"/><Relationship Id="rId5" Type="http://schemas.openxmlformats.org/officeDocument/2006/relationships/hyperlink" Target="http://www.sec.gov/cgi-bin/browse-edgar?action=getcompany&amp;CIK=0001840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3540</Characters>
  <CharactersWithSpaces>4084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