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814705</wp:posOffset>
            </wp:positionV>
            <wp:extent cx="71323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ind w:right="260"/>
        <w:spacing w:after="0" w:line="282" w:lineRule="auto"/>
        <w:rPr>
          <w:sz w:val="20"/>
          <w:szCs w:val="20"/>
          <w:color w:val="auto"/>
        </w:rPr>
      </w:pPr>
      <w:r>
        <w:rPr>
          <w:rFonts w:ascii="Times New Roman" w:cs="Times New Roman" w:eastAsia="Times New Roman" w:hAnsi="Times New Roman"/>
          <w:sz w:val="18"/>
          <w:szCs w:val="18"/>
          <w:color w:val="auto"/>
        </w:rPr>
        <w:t>On January 2, 2024, Sono Group N.V. (the “Company”) issued a table containing tabulations of the votes cast at the Company’s annual general meeting, held on December 29, 2023 (the “AGM”).</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At the AGM, the three newest members of the Company’s supervisory board – Sandra Vogt-Sasse, Martin Sabbione and Thomas Wiedermann – were formally appointed. Ms. Vogt-Sasse, Mr. Sabbione and Mr. Wiedermann have been members of the Company’s supervisory board since September 11, 2023, when they were appointed on a provisional basis until their formal appointment at an annual general meeting of shareholders.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7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320" w:type="dxa"/>
            <w:vAlign w:val="bottom"/>
            <w:gridSpan w:val="2"/>
          </w:tcPr>
          <w:p>
            <w:pPr>
              <w:spacing w:after="0"/>
              <w:rPr>
                <w:sz w:val="17"/>
                <w:szCs w:val="17"/>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7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Tabulations of the votes cast at the Company’s annual general meeting</w:t>
            </w:r>
          </w:p>
        </w:tc>
      </w:tr>
      <w:tr>
        <w:trPr>
          <w:trHeight w:val="2315"/>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3460" w:type="dxa"/>
            <w:vAlign w:val="bottom"/>
            <w:tcBorders>
              <w:top w:val="single" w:sz="8" w:color="0000EE"/>
            </w:tcBorders>
          </w:tcPr>
          <w:p>
            <w:pPr>
              <w:spacing w:after="0"/>
              <w:rPr>
                <w:sz w:val="24"/>
                <w:szCs w:val="24"/>
                <w:color w:val="auto"/>
              </w:rPr>
            </w:pPr>
          </w:p>
        </w:tc>
        <w:tc>
          <w:tcPr>
            <w:tcW w:w="486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c>
          <w:tcPr>
            <w:tcW w:w="4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191"/>
        </w:trPr>
        <w:tc>
          <w:tcPr>
            <w:tcW w:w="34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Jona Christians</w:t>
            </w:r>
          </w:p>
        </w:tc>
      </w:tr>
      <w:tr>
        <w:trPr>
          <w:trHeight w:val="234"/>
        </w:trPr>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Member of the Management Board</w:t>
            </w:r>
          </w:p>
        </w:tc>
      </w:tr>
      <w:tr>
        <w:trPr>
          <w:trHeight w:val="86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Torsten Kiedel</w:t>
            </w:r>
          </w:p>
        </w:tc>
      </w:tr>
      <w:tr>
        <w:trPr>
          <w:trHeight w:val="191"/>
        </w:trPr>
        <w:tc>
          <w:tcPr>
            <w:tcW w:w="34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Torsten Kiedel</w:t>
            </w:r>
          </w:p>
        </w:tc>
      </w:tr>
      <w:tr>
        <w:trPr>
          <w:trHeight w:val="234"/>
        </w:trPr>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Member of the Management Board</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B41"/>
        </w:rPr>
        <w:t>Sono Group N.V., Munich,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B41"/>
        </w:rPr>
        <w:t>Annual General Meeting of Shareholders,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142875</wp:posOffset>
            </wp:positionV>
            <wp:extent cx="106299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Voting Results Overview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shd w:val="clear" w:color="auto" w:fill="002B41"/>
          </w:tcPr>
          <w:p>
            <w:pPr>
              <w:jc w:val="right"/>
              <w:ind w:right="150"/>
              <w:spacing w:after="0"/>
              <w:rPr>
                <w:sz w:val="20"/>
                <w:szCs w:val="20"/>
                <w:color w:val="auto"/>
              </w:rPr>
            </w:pPr>
            <w:r>
              <w:rPr>
                <w:rFonts w:ascii="Times New Roman" w:cs="Times New Roman" w:eastAsia="Times New Roman" w:hAnsi="Times New Roman"/>
                <w:sz w:val="18"/>
                <w:szCs w:val="18"/>
                <w:color w:val="FFFFFF"/>
                <w:w w:val="99"/>
              </w:rPr>
              <w:t>Agenda Item 4</w:t>
            </w: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w w:val="99"/>
              </w:rPr>
              <w:t>Appointment of PricewaterhouseCoopers Accountants N.V. as the external auditor of the Company's annual accounts 2023 (voting item)</w:t>
            </w:r>
          </w:p>
        </w:tc>
      </w:tr>
      <w:tr>
        <w:trPr>
          <w:trHeight w:val="234"/>
        </w:trPr>
        <w:tc>
          <w:tcPr>
            <w:tcW w:w="1320" w:type="dxa"/>
            <w:vAlign w:val="bottom"/>
            <w:shd w:val="clear" w:color="auto" w:fill="002B41"/>
          </w:tcPr>
          <w:p>
            <w:pPr>
              <w:spacing w:after="0"/>
              <w:rPr>
                <w:sz w:val="20"/>
                <w:szCs w:val="20"/>
                <w:color w:val="auto"/>
              </w:rPr>
            </w:pPr>
          </w:p>
        </w:tc>
        <w:tc>
          <w:tcPr>
            <w:tcW w:w="2820" w:type="dxa"/>
            <w:vAlign w:val="bottom"/>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 accepted</w:t>
            </w:r>
          </w:p>
        </w:tc>
        <w:tc>
          <w:tcPr>
            <w:tcW w:w="7100" w:type="dxa"/>
            <w:vAlign w:val="bottom"/>
            <w:shd w:val="clear" w:color="auto" w:fill="002B41"/>
          </w:tcPr>
          <w:p>
            <w:pPr>
              <w:spacing w:after="0"/>
              <w:rPr>
                <w:sz w:val="20"/>
                <w:szCs w:val="20"/>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shares for which valid votes were cast (= 52.998% of the voting rights at record date)</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00" w:type="dxa"/>
            <w:vAlign w:val="bottom"/>
          </w:tcPr>
          <w:p>
            <w:pPr>
              <w:ind w:left="206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00" w:type="dxa"/>
            <w:vAlign w:val="bottom"/>
          </w:tcPr>
          <w:p>
            <w:pPr>
              <w:ind w:left="206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16"/>
        </w:trPr>
        <w:tc>
          <w:tcPr>
            <w:tcW w:w="1320" w:type="dxa"/>
            <w:vAlign w:val="bottom"/>
          </w:tcPr>
          <w:p>
            <w:pPr>
              <w:spacing w:after="0"/>
              <w:rPr>
                <w:sz w:val="18"/>
                <w:szCs w:val="18"/>
                <w:color w:val="auto"/>
              </w:rPr>
            </w:pPr>
          </w:p>
        </w:tc>
        <w:tc>
          <w:tcPr>
            <w:tcW w:w="9920" w:type="dxa"/>
            <w:vAlign w:val="bottom"/>
            <w:gridSpan w:val="2"/>
          </w:tcPr>
          <w:p>
            <w:pPr>
              <w:spacing w:after="0"/>
              <w:rPr>
                <w:sz w:val="18"/>
                <w:szCs w:val="18"/>
                <w:color w:val="auto"/>
              </w:rPr>
            </w:pPr>
          </w:p>
        </w:tc>
      </w:tr>
      <w:tr>
        <w:trPr>
          <w:trHeight w:val="216"/>
        </w:trPr>
        <w:tc>
          <w:tcPr>
            <w:tcW w:w="1320" w:type="dxa"/>
            <w:vAlign w:val="bottom"/>
            <w:shd w:val="clear" w:color="auto" w:fill="002B41"/>
          </w:tcPr>
          <w:p>
            <w:pPr>
              <w:jc w:val="right"/>
              <w:ind w:right="150"/>
              <w:spacing w:after="0"/>
              <w:rPr>
                <w:sz w:val="20"/>
                <w:szCs w:val="20"/>
                <w:color w:val="auto"/>
              </w:rPr>
            </w:pPr>
            <w:r>
              <w:rPr>
                <w:rFonts w:ascii="Times New Roman" w:cs="Times New Roman" w:eastAsia="Times New Roman" w:hAnsi="Times New Roman"/>
                <w:sz w:val="18"/>
                <w:szCs w:val="18"/>
                <w:color w:val="FFFFFF"/>
                <w:w w:val="99"/>
              </w:rPr>
              <w:t>Agenda Item 5</w:t>
            </w: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Appointment of Sandra Vogt-Sasse as a member of the Supervisory Board (voting item) - accepted</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shares for which valid votes were cast (= 52.998% of the voting rights at record date)</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00" w:type="dxa"/>
            <w:vAlign w:val="bottom"/>
          </w:tcPr>
          <w:p>
            <w:pPr>
              <w:ind w:left="206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00" w:type="dxa"/>
            <w:vAlign w:val="bottom"/>
          </w:tcPr>
          <w:p>
            <w:pPr>
              <w:ind w:left="206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16"/>
        </w:trPr>
        <w:tc>
          <w:tcPr>
            <w:tcW w:w="1320" w:type="dxa"/>
            <w:vAlign w:val="bottom"/>
          </w:tcPr>
          <w:p>
            <w:pPr>
              <w:spacing w:after="0"/>
              <w:rPr>
                <w:sz w:val="18"/>
                <w:szCs w:val="18"/>
                <w:color w:val="auto"/>
              </w:rPr>
            </w:pPr>
          </w:p>
        </w:tc>
        <w:tc>
          <w:tcPr>
            <w:tcW w:w="9920" w:type="dxa"/>
            <w:vAlign w:val="bottom"/>
            <w:gridSpan w:val="2"/>
          </w:tcPr>
          <w:p>
            <w:pPr>
              <w:spacing w:after="0"/>
              <w:rPr>
                <w:sz w:val="18"/>
                <w:szCs w:val="18"/>
                <w:color w:val="auto"/>
              </w:rPr>
            </w:pPr>
          </w:p>
        </w:tc>
      </w:tr>
      <w:tr>
        <w:trPr>
          <w:trHeight w:val="216"/>
        </w:trPr>
        <w:tc>
          <w:tcPr>
            <w:tcW w:w="1320" w:type="dxa"/>
            <w:vAlign w:val="bottom"/>
            <w:shd w:val="clear" w:color="auto" w:fill="002B41"/>
          </w:tcPr>
          <w:p>
            <w:pPr>
              <w:jc w:val="right"/>
              <w:ind w:right="150"/>
              <w:spacing w:after="0"/>
              <w:rPr>
                <w:sz w:val="20"/>
                <w:szCs w:val="20"/>
                <w:color w:val="auto"/>
              </w:rPr>
            </w:pPr>
            <w:r>
              <w:rPr>
                <w:rFonts w:ascii="Times New Roman" w:cs="Times New Roman" w:eastAsia="Times New Roman" w:hAnsi="Times New Roman"/>
                <w:sz w:val="18"/>
                <w:szCs w:val="18"/>
                <w:color w:val="FFFFFF"/>
                <w:w w:val="99"/>
              </w:rPr>
              <w:t>Agenda Item 6</w:t>
            </w: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Appointment of Thomas Wiedermann as a member of the Supervisory Board (voting item) - accepted</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shares for which valid votes were cast (= 52.998% of the voting rights at record date)</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00" w:type="dxa"/>
            <w:vAlign w:val="bottom"/>
          </w:tcPr>
          <w:p>
            <w:pPr>
              <w:ind w:left="206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00" w:type="dxa"/>
            <w:vAlign w:val="bottom"/>
          </w:tcPr>
          <w:p>
            <w:pPr>
              <w:ind w:left="206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486"/>
        </w:trPr>
        <w:tc>
          <w:tcPr>
            <w:tcW w:w="1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68"/>
        </w:trPr>
        <w:tc>
          <w:tcPr>
            <w:tcW w:w="1320" w:type="dxa"/>
            <w:vAlign w:val="bottom"/>
            <w:shd w:val="clear" w:color="auto" w:fill="000000"/>
          </w:tcPr>
          <w:p>
            <w:pPr>
              <w:spacing w:after="0"/>
              <w:rPr>
                <w:sz w:val="5"/>
                <w:szCs w:val="5"/>
                <w:color w:val="auto"/>
              </w:rPr>
            </w:pPr>
          </w:p>
        </w:tc>
        <w:tc>
          <w:tcPr>
            <w:tcW w:w="2820" w:type="dxa"/>
            <w:vAlign w:val="bottom"/>
            <w:shd w:val="clear" w:color="auto" w:fill="000000"/>
          </w:tcPr>
          <w:p>
            <w:pPr>
              <w:spacing w:after="0"/>
              <w:rPr>
                <w:sz w:val="5"/>
                <w:szCs w:val="5"/>
                <w:color w:val="auto"/>
              </w:rPr>
            </w:pPr>
          </w:p>
        </w:tc>
        <w:tc>
          <w:tcPr>
            <w:tcW w:w="7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shd w:val="clear" w:color="auto" w:fill="002B41"/>
          </w:tcPr>
          <w:p>
            <w:pPr>
              <w:jc w:val="right"/>
              <w:ind w:right="150"/>
              <w:spacing w:after="0"/>
              <w:rPr>
                <w:sz w:val="20"/>
                <w:szCs w:val="20"/>
                <w:color w:val="auto"/>
              </w:rPr>
            </w:pPr>
            <w:r>
              <w:rPr>
                <w:rFonts w:ascii="Times New Roman" w:cs="Times New Roman" w:eastAsia="Times New Roman" w:hAnsi="Times New Roman"/>
                <w:sz w:val="18"/>
                <w:szCs w:val="18"/>
                <w:color w:val="FFFFFF"/>
                <w:w w:val="99"/>
              </w:rPr>
              <w:t>Agenda Item 7</w:t>
            </w: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Appointment of Martin Sabbione as a member of the Supervisory Board (voting item) - accepted</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shares for which valid votes were cast (= 52.998% of the voting rights at record date)</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16"/>
        </w:trPr>
        <w:tc>
          <w:tcPr>
            <w:tcW w:w="1320" w:type="dxa"/>
            <w:vAlign w:val="bottom"/>
          </w:tcPr>
          <w:p>
            <w:pPr>
              <w:spacing w:after="0"/>
              <w:rPr>
                <w:sz w:val="18"/>
                <w:szCs w:val="18"/>
                <w:color w:val="auto"/>
              </w:rPr>
            </w:pPr>
          </w:p>
        </w:tc>
        <w:tc>
          <w:tcPr>
            <w:tcW w:w="9920" w:type="dxa"/>
            <w:vAlign w:val="bottom"/>
            <w:gridSpan w:val="2"/>
          </w:tcPr>
          <w:p>
            <w:pPr>
              <w:spacing w:after="0"/>
              <w:rPr>
                <w:sz w:val="18"/>
                <w:szCs w:val="18"/>
                <w:color w:val="auto"/>
              </w:rPr>
            </w:pPr>
          </w:p>
        </w:tc>
      </w:tr>
      <w:tr>
        <w:trPr>
          <w:trHeight w:val="198"/>
        </w:trPr>
        <w:tc>
          <w:tcPr>
            <w:tcW w:w="1320" w:type="dxa"/>
            <w:vAlign w:val="bottom"/>
            <w:shd w:val="clear" w:color="auto" w:fill="002B41"/>
          </w:tcPr>
          <w:p>
            <w:pPr>
              <w:jc w:val="right"/>
              <w:ind w:right="150"/>
              <w:spacing w:after="0" w:line="198" w:lineRule="exact"/>
              <w:rPr>
                <w:sz w:val="20"/>
                <w:szCs w:val="20"/>
                <w:color w:val="auto"/>
              </w:rPr>
            </w:pPr>
            <w:r>
              <w:rPr>
                <w:rFonts w:ascii="Times New Roman" w:cs="Times New Roman" w:eastAsia="Times New Roman" w:hAnsi="Times New Roman"/>
                <w:sz w:val="18"/>
                <w:szCs w:val="18"/>
                <w:color w:val="FFFFFF"/>
                <w:w w:val="99"/>
              </w:rPr>
              <w:t>Agenda Item 8</w:t>
            </w:r>
          </w:p>
        </w:tc>
        <w:tc>
          <w:tcPr>
            <w:tcW w:w="9920" w:type="dxa"/>
            <w:vAlign w:val="bottom"/>
            <w:gridSpan w:val="2"/>
            <w:shd w:val="clear" w:color="auto" w:fill="002B41"/>
          </w:tcPr>
          <w:p>
            <w:pPr>
              <w:ind w:left="60"/>
              <w:spacing w:after="0" w:line="198" w:lineRule="exact"/>
              <w:rPr>
                <w:sz w:val="20"/>
                <w:szCs w:val="20"/>
                <w:color w:val="auto"/>
              </w:rPr>
            </w:pPr>
            <w:r>
              <w:rPr>
                <w:rFonts w:ascii="Times New Roman" w:cs="Times New Roman" w:eastAsia="Times New Roman" w:hAnsi="Times New Roman"/>
                <w:sz w:val="18"/>
                <w:szCs w:val="18"/>
                <w:color w:val="FFFFFF"/>
              </w:rPr>
              <w:t>Authorization of the Management Board, for a period of 18 months after the date of AGM or until the next annual general meeting</w:t>
            </w:r>
          </w:p>
        </w:tc>
      </w:tr>
      <w:tr>
        <w:trPr>
          <w:trHeight w:val="216"/>
        </w:trPr>
        <w:tc>
          <w:tcPr>
            <w:tcW w:w="1320" w:type="dxa"/>
            <w:vAlign w:val="bottom"/>
            <w:shd w:val="clear" w:color="auto" w:fill="002B41"/>
          </w:tcPr>
          <w:p>
            <w:pPr>
              <w:spacing w:after="0"/>
              <w:rPr>
                <w:sz w:val="18"/>
                <w:szCs w:val="18"/>
                <w:color w:val="auto"/>
              </w:rPr>
            </w:pP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(whichever comes first), as the body authorized to issue ordinary shares and grant rights to subscribe for ordinary shares, up to a</w:t>
            </w:r>
          </w:p>
        </w:tc>
      </w:tr>
      <w:tr>
        <w:trPr>
          <w:trHeight w:val="234"/>
        </w:trPr>
        <w:tc>
          <w:tcPr>
            <w:tcW w:w="1320" w:type="dxa"/>
            <w:vAlign w:val="bottom"/>
            <w:shd w:val="clear" w:color="auto" w:fill="002B41"/>
          </w:tcPr>
          <w:p>
            <w:pPr>
              <w:spacing w:after="0"/>
              <w:rPr>
                <w:sz w:val="20"/>
                <w:szCs w:val="20"/>
                <w:color w:val="auto"/>
              </w:rPr>
            </w:pP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maximum of 10% of the nominal issued capital as per the AGM (voting item) - accepted</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shares for which valid votes were cast (= 52.998% of the voting rights at record date)</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16"/>
        </w:trPr>
        <w:tc>
          <w:tcPr>
            <w:tcW w:w="1320" w:type="dxa"/>
            <w:vAlign w:val="bottom"/>
          </w:tcPr>
          <w:p>
            <w:pPr>
              <w:spacing w:after="0"/>
              <w:rPr>
                <w:sz w:val="18"/>
                <w:szCs w:val="18"/>
                <w:color w:val="auto"/>
              </w:rPr>
            </w:pPr>
          </w:p>
        </w:tc>
        <w:tc>
          <w:tcPr>
            <w:tcW w:w="9920" w:type="dxa"/>
            <w:vAlign w:val="bottom"/>
            <w:gridSpan w:val="2"/>
          </w:tcPr>
          <w:p>
            <w:pPr>
              <w:spacing w:after="0"/>
              <w:rPr>
                <w:sz w:val="18"/>
                <w:szCs w:val="18"/>
                <w:color w:val="auto"/>
              </w:rPr>
            </w:pPr>
          </w:p>
        </w:tc>
      </w:tr>
      <w:tr>
        <w:trPr>
          <w:trHeight w:val="198"/>
        </w:trPr>
        <w:tc>
          <w:tcPr>
            <w:tcW w:w="1320" w:type="dxa"/>
            <w:vAlign w:val="bottom"/>
            <w:shd w:val="clear" w:color="auto" w:fill="002B41"/>
          </w:tcPr>
          <w:p>
            <w:pPr>
              <w:jc w:val="right"/>
              <w:ind w:right="150"/>
              <w:spacing w:after="0" w:line="198" w:lineRule="exact"/>
              <w:rPr>
                <w:sz w:val="20"/>
                <w:szCs w:val="20"/>
                <w:color w:val="auto"/>
              </w:rPr>
            </w:pPr>
            <w:r>
              <w:rPr>
                <w:rFonts w:ascii="Times New Roman" w:cs="Times New Roman" w:eastAsia="Times New Roman" w:hAnsi="Times New Roman"/>
                <w:sz w:val="18"/>
                <w:szCs w:val="18"/>
                <w:color w:val="FFFFFF"/>
                <w:w w:val="99"/>
              </w:rPr>
              <w:t>Agenda Item 9</w:t>
            </w:r>
          </w:p>
        </w:tc>
        <w:tc>
          <w:tcPr>
            <w:tcW w:w="9920" w:type="dxa"/>
            <w:vAlign w:val="bottom"/>
            <w:gridSpan w:val="2"/>
            <w:shd w:val="clear" w:color="auto" w:fill="002B41"/>
          </w:tcPr>
          <w:p>
            <w:pPr>
              <w:ind w:left="60"/>
              <w:spacing w:after="0" w:line="198" w:lineRule="exact"/>
              <w:rPr>
                <w:sz w:val="20"/>
                <w:szCs w:val="20"/>
                <w:color w:val="auto"/>
              </w:rPr>
            </w:pPr>
            <w:r>
              <w:rPr>
                <w:rFonts w:ascii="Times New Roman" w:cs="Times New Roman" w:eastAsia="Times New Roman" w:hAnsi="Times New Roman"/>
                <w:sz w:val="18"/>
                <w:szCs w:val="18"/>
                <w:color w:val="FFFFFF"/>
              </w:rPr>
              <w:t>Authorization of the Management Board, for a period of 18 months after the date of AGM or until the next annual general meeting</w:t>
            </w:r>
          </w:p>
        </w:tc>
      </w:tr>
      <w:tr>
        <w:trPr>
          <w:trHeight w:val="216"/>
        </w:trPr>
        <w:tc>
          <w:tcPr>
            <w:tcW w:w="1320" w:type="dxa"/>
            <w:vAlign w:val="bottom"/>
            <w:shd w:val="clear" w:color="auto" w:fill="002B41"/>
          </w:tcPr>
          <w:p>
            <w:pPr>
              <w:spacing w:after="0"/>
              <w:rPr>
                <w:sz w:val="18"/>
                <w:szCs w:val="18"/>
                <w:color w:val="auto"/>
              </w:rPr>
            </w:pP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(whichever comes first), as the body authorized to limit or exclude pre-emption rights in relation to any share issue or granting of rights</w:t>
            </w:r>
          </w:p>
        </w:tc>
      </w:tr>
      <w:tr>
        <w:trPr>
          <w:trHeight w:val="234"/>
        </w:trPr>
        <w:tc>
          <w:tcPr>
            <w:tcW w:w="1320" w:type="dxa"/>
            <w:vAlign w:val="bottom"/>
            <w:shd w:val="clear" w:color="auto" w:fill="002B41"/>
          </w:tcPr>
          <w:p>
            <w:pPr>
              <w:spacing w:after="0"/>
              <w:rPr>
                <w:sz w:val="20"/>
                <w:szCs w:val="20"/>
                <w:color w:val="auto"/>
              </w:rPr>
            </w:pP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to subscribe for shares under the authorization mentioned in agenda item 8 (voting item) - accepted</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shares for which valid votes were cast (= 52.998% of the voting rights at record date)</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95,750,000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1134"/>
        </w:trPr>
        <w:tc>
          <w:tcPr>
            <w:tcW w:w="1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68"/>
        </w:trPr>
        <w:tc>
          <w:tcPr>
            <w:tcW w:w="132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c>
          <w:tcPr>
            <w:tcW w:w="712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4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2024-01-02T06:28:23Z</dcterms:created>
  <dcterms:modified xsi:type="dcterms:W3CDTF">2024-01-02T06:28:23Z</dcterms:modified>
</cp:coreProperties>
</file>