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Date of Report (Date of earliest event reported): February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98-1828632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200" w:right="339" w:bottom="1440" w:gutter="0" w:footer="0" w:header="0"/>
          <w:type w:val="continuous"/>
        </w:sectPr>
      </w:pPr>
    </w:p>
    <w:p>
      <w:pPr>
        <w:spacing w:after="0" w:line="23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2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333333"/>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p>
      <w:pPr>
        <w:spacing w:after="0" w:line="200" w:lineRule="exact"/>
        <w:rPr>
          <w:sz w:val="24"/>
          <w:szCs w:val="24"/>
          <w:color w:val="auto"/>
        </w:rPr>
      </w:pPr>
    </w:p>
    <w:p>
      <w:pPr>
        <w:spacing w:after="0" w:line="38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333333"/>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Written communications pursuant to Rule 425 under the Securities Act (17 CFR 230.425)</w:t>
      </w:r>
    </w:p>
    <w:p>
      <w:pPr>
        <w:spacing w:after="0" w:line="252" w:lineRule="exact"/>
        <w:rPr>
          <w:rFonts w:ascii="MS PGothic" w:cs="MS PGothic" w:eastAsia="MS PGothic" w:hAnsi="MS PGothic"/>
          <w:sz w:val="18"/>
          <w:szCs w:val="18"/>
          <w:color w:val="333333"/>
        </w:rPr>
      </w:pPr>
    </w:p>
    <w:p>
      <w:pPr>
        <w:ind w:left="340" w:hanging="332"/>
        <w:spacing w:after="0"/>
        <w:tabs>
          <w:tab w:leader="none" w:pos="34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Soliciting material pursuant to Rule 14a-12 under the Exchange Act (17 CFR 240.14a-12)</w:t>
      </w:r>
    </w:p>
    <w:p>
      <w:pPr>
        <w:spacing w:after="0" w:line="252" w:lineRule="exact"/>
        <w:rPr>
          <w:rFonts w:ascii="MS PGothic" w:cs="MS PGothic" w:eastAsia="MS PGothic" w:hAnsi="MS PGothic"/>
          <w:sz w:val="18"/>
          <w:szCs w:val="18"/>
          <w:color w:val="333333"/>
        </w:rPr>
      </w:pPr>
    </w:p>
    <w:p>
      <w:pPr>
        <w:ind w:left="340" w:hanging="332"/>
        <w:spacing w:after="0"/>
        <w:tabs>
          <w:tab w:leader="none" w:pos="34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14d-2(b) under the Exchange Act (17 CFR 240.14d-2(b))</w:t>
      </w:r>
    </w:p>
    <w:p>
      <w:pPr>
        <w:spacing w:after="0" w:line="252" w:lineRule="exact"/>
        <w:rPr>
          <w:rFonts w:ascii="MS PGothic" w:cs="MS PGothic" w:eastAsia="MS PGothic" w:hAnsi="MS PGothic"/>
          <w:sz w:val="18"/>
          <w:szCs w:val="18"/>
          <w:color w:val="333333"/>
        </w:rPr>
      </w:pPr>
    </w:p>
    <w:p>
      <w:pPr>
        <w:ind w:right="2860" w:firstLine="8"/>
        <w:spacing w:after="0" w:line="511" w:lineRule="auto"/>
        <w:tabs>
          <w:tab w:leader="none" w:pos="337"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Title of each class</w:t>
            </w:r>
          </w:p>
        </w:tc>
        <w:tc>
          <w:tcPr>
            <w:tcW w:w="3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Trading Symbol(s)</w:t>
            </w:r>
          </w:p>
        </w:tc>
        <w:tc>
          <w:tcPr>
            <w:tcW w:w="4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Name of each exchange on which registered</w:t>
            </w:r>
          </w:p>
        </w:tc>
      </w:tr>
      <w:tr>
        <w:trPr>
          <w:trHeight w:val="210"/>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Ordinary shares</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SSM</w:t>
            </w:r>
          </w:p>
        </w:tc>
        <w:tc>
          <w:tcPr>
            <w:tcW w:w="4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333333"/>
        </w:rPr>
        <w:t xml:space="preserve">Emerging growth company </w:t>
      </w:r>
      <w:r>
        <w:rPr>
          <w:rFonts w:ascii="MS PGothic" w:cs="MS PGothic" w:eastAsia="MS PGothic" w:hAnsi="MS PGothic"/>
          <w:sz w:val="17"/>
          <w:szCs w:val="17"/>
          <w:color w:val="333333"/>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February 19, 2026, Sono Group N.V. (the “Company”) issued a convertible debenture (the “Debenture”) to YA II PN, Ltd. (“Yorkville”) in the aggregate principal amount of $750,000.</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Debenture matures on February 19, 2027, which maturity date may be extended at the option of Yorkville. Further, interest accrues on the outstanding principal balance of the Debenture at an annual rate of 12%, which will increase to an annual rate of 18% upon an Event of Default (as defined in the Debenture), for so long as such Event of Default remains uncured. Yorkville will have the right to convert the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Price”); provided that the Variable Conversion Price may not be lower than the Floor Price (as defined in the Debenture) then in effect or the nominal value of one Ordinary Share. Net proceeds to the Company from the Debenture were $750,000.</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Debenture does not purport to be complete and is qualified in its entirety by reference to the full text of the Debenture, which is attached hereto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1.01 above is incorporated by reference into this Item 3.02.</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Debenture was issued in a private placement in reliance on Section 4(a)(2) of the Securities Act of 1933, as amended. Any Ordinary Shares issuable upon conversion of the Debenture will be issued without registration under the Securities Act in reliance on applicable exemptions therefrom.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 is filed with this Current Report on Form 8-K: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180" w:type="dxa"/>
            <w:vAlign w:val="bottom"/>
          </w:tcPr>
          <w:p>
            <w:pPr>
              <w:spacing w:after="0"/>
              <w:rPr>
                <w:sz w:val="18"/>
                <w:szCs w:val="18"/>
                <w:color w:val="auto"/>
              </w:rPr>
            </w:pPr>
          </w:p>
        </w:tc>
        <w:tc>
          <w:tcPr>
            <w:tcW w:w="10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24"/>
                <w:szCs w:val="24"/>
                <w:color w:val="auto"/>
              </w:rPr>
            </w:pPr>
          </w:p>
        </w:tc>
        <w:tc>
          <w:tcPr>
            <w:tcW w:w="10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0000EE"/>
              </w:rPr>
              <w:t>Convertible Debenture dated February 19, 2026</w:t>
            </w:r>
          </w:p>
        </w:tc>
      </w:tr>
      <w:tr>
        <w:trPr>
          <w:trHeight w:val="20"/>
        </w:trPr>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453"/>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88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68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By /s/ Kevin McGurn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Kevin McGurn</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and Managing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1285875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NEITHER THIS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sono group 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v</w:t>
      </w:r>
      <w:r>
        <w:rPr>
          <w:rFonts w:ascii="Times New Roman" w:cs="Times New Roman" w:eastAsia="Times New Roman" w:hAnsi="Times New Roman"/>
          <w:sz w:val="17"/>
          <w:szCs w:val="17"/>
          <w:b w:val="1"/>
          <w:bCs w:val="1"/>
          <w:color w:val="auto"/>
        </w:rPr>
        <w: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ebenture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$750,000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Issuance Date: February 19,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Number: SEV-9</w:t>
      </w:r>
    </w:p>
    <w:p>
      <w:pPr>
        <w:spacing w:after="0" w:line="20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FOR VALUE RECEIVED, SONO GROUP N.V.</w:t>
      </w:r>
      <w:r>
        <w:rPr>
          <w:rFonts w:ascii="Times New Roman" w:cs="Times New Roman" w:eastAsia="Times New Roman" w:hAnsi="Times New Roman"/>
          <w:sz w:val="18"/>
          <w:szCs w:val="18"/>
          <w:color w:val="auto"/>
        </w:rPr>
        <w:t>,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promises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order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principal amount (as reduced or increased pursuant to the terms hereof pursuant to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when due, whether upon the Maturity Date (as defined below), acceleration, redemption or otherwise (in each case in accordance with the terms hereof)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from the date set out above as the Debenture Issuance Date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until the same becomes due and payable, whether upon the Maturity Date or acceleration, conversion, redemption or otherwise (in each case in accordance with the terms hereof). The term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used herein shall mean this convertible debenture and any debenture issued in replacement thereof. Certain capitalized terms used herein are defined in Section 14.</w:t>
      </w:r>
    </w:p>
    <w:p>
      <w:pPr>
        <w:spacing w:after="0" w:line="189" w:lineRule="exact"/>
        <w:rPr>
          <w:sz w:val="20"/>
          <w:szCs w:val="20"/>
          <w:color w:val="auto"/>
        </w:rPr>
      </w:pPr>
    </w:p>
    <w:p>
      <w:pPr>
        <w:ind w:left="2000" w:hanging="696"/>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4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w:t>
      </w:r>
      <w:r>
        <w:rPr>
          <w:rFonts w:ascii="Times New Roman" w:cs="Times New Roman" w:eastAsia="Times New Roman" w:hAnsi="Times New Roman"/>
          <w:sz w:val="18"/>
          <w:szCs w:val="18"/>
          <w:color w:val="auto"/>
        </w:rPr>
        <w:t>. On the Issuance Date, upon the execution and delivery of this Debenture and the closing statement executed by the Company, the Holder shall pay to the Company the Principal Amount set forth above in immediately available funds to an account designated by the Company in writing in the closing statement, and the Company shall deliver this Debenture to the Holder with a Principal amount equal to the full Principal Amount set forth above, duly executed on behalf of the Company.</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95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any other amounts outstanding pursuant to the terms of this Debenture. The “Maturity Date” shall be February 19, 2027, as may be extended at the option of the Holder. Other than as specifically permitted by this Debenture, the Company may not prepay or redeem any portion of the outstanding Principal and accrued and unpaid Interest</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9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12%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an Event of Default for so long as it remains uncured. Interest shall be calculated based on a 365-day year and the actual number of days elapsed, to the extent permitted by applicable law.</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90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 portion or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trading price of the Ordinary Shares is less than the Fixed Conversion Price and (ii) the Company provides the Holder with at least five (5) Business Days’ prior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Each Redemption Notice shall be irrevocable and shall specify the outstanding balance of the Convertible Debenture to be redeemed and the applicable Redemption Premium.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2060" w:hanging="756"/>
        <w:spacing w:after="0"/>
        <w:tabs>
          <w:tab w:leader="none" w:pos="2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91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spacing w:after="0" w:line="175" w:lineRule="exact"/>
        <w:rPr>
          <w:rFonts w:ascii="Times New Roman" w:cs="Times New Roman" w:eastAsia="Times New Roman" w:hAnsi="Times New Roman"/>
          <w:sz w:val="18"/>
          <w:szCs w:val="18"/>
          <w:color w:val="auto"/>
        </w:rPr>
      </w:pPr>
    </w:p>
    <w:p>
      <w:pPr>
        <w:ind w:left="3720" w:hanging="1120"/>
        <w:spacing w:after="0"/>
        <w:tabs>
          <w:tab w:leader="none" w:pos="37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any Guarantor’s failure to pay to the Holder any amount of Principal, Redemption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Interest, or other amounts when and as due under this Debenture or any other Transaction Document;</w:t>
      </w:r>
    </w:p>
    <w:p>
      <w:pPr>
        <w:spacing w:after="0" w:line="206" w:lineRule="exact"/>
        <w:rPr>
          <w:rFonts w:ascii="Times New Roman" w:cs="Times New Roman" w:eastAsia="Times New Roman" w:hAnsi="Times New Roman"/>
          <w:sz w:val="18"/>
          <w:szCs w:val="18"/>
          <w:color w:val="auto"/>
        </w:rPr>
      </w:pPr>
    </w:p>
    <w:p>
      <w:pPr>
        <w:jc w:val="both"/>
        <w:ind w:firstLine="2600"/>
        <w:spacing w:after="0" w:line="253" w:lineRule="auto"/>
        <w:tabs>
          <w:tab w:leader="none" w:pos="360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any Subsidiary of the Company, or there shall be commenced against the Company, any Subsidiary of the Company under any applicable bankruptcy or insolvency laws as now or hereafter in effect or any successor thereto, or the Company, any Subsidiary of the Company commences any other proceeding under any reorganization, arrangement, adjustment of debt, relief of debtors, dissolution, insolvency or liquidation or similar law of any jurisdiction whether now or hereafter in effect relating to the Company, any Subsidiary of the Company and any such bankruptcy, insolvency or other proceeding which remains undismissed for a period of sixty one (61) days; or the Company, any Subsidiary of the Company is adjudicated insolvent or bankrupt; or any order of relief or other order approving any such case or proceeding is entered; or the Company, any Subsidiary of the Company suffers any appointment of any custodian, private or court appointed receiver or the like for it or all or substantially all of its property which continues undischarged or unstayed for a period of sixty one (61) days; or the Company, any Subsidiary of the Company makes a general assignment of all or substantially all of its assets for the benefit of creditors; or the Company, any Subsidiary of the Company shall fail to pay, or shall state that it is unable to pay, or shall be unable to pay, its debts generally as they become due; or the Company, any Subsidiary of the Company shall call a meeting of its creditors with a view to arranging a composition, adjustment or restructuring of its debts; or the Company, any Subsidiary of the Company shall by any act or failure to act expressly indicate its consent to, approval of or acquiescence in any of the foregoing; or any corporate or other action is taken by the Company, any Subsidiary of the Company for the purpose of effecting any of the foregoing;</w:t>
      </w:r>
    </w:p>
    <w:p>
      <w:pPr>
        <w:spacing w:after="0" w:line="187" w:lineRule="exact"/>
        <w:rPr>
          <w:rFonts w:ascii="Times New Roman" w:cs="Times New Roman" w:eastAsia="Times New Roman" w:hAnsi="Times New Roman"/>
          <w:sz w:val="18"/>
          <w:szCs w:val="18"/>
          <w:color w:val="auto"/>
        </w:rPr>
      </w:pPr>
    </w:p>
    <w:p>
      <w:pPr>
        <w:jc w:val="both"/>
        <w:ind w:firstLine="2600"/>
        <w:spacing w:after="0" w:line="256" w:lineRule="auto"/>
        <w:tabs>
          <w:tab w:leader="none" w:pos="344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any Subsidiary of the Company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spacing w:after="0" w:line="187" w:lineRule="exact"/>
        <w:rPr>
          <w:rFonts w:ascii="Times New Roman" w:cs="Times New Roman" w:eastAsia="Times New Roman" w:hAnsi="Times New Roman"/>
          <w:sz w:val="18"/>
          <w:szCs w:val="18"/>
          <w:color w:val="auto"/>
        </w:rPr>
      </w:pPr>
    </w:p>
    <w:p>
      <w:pPr>
        <w:ind w:left="3580" w:hanging="980"/>
        <w:spacing w:after="0"/>
        <w:tabs>
          <w:tab w:leader="none" w:pos="35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any Subsidiary of the Company shall be a party to any Change of Control Transaction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Section 14) unless in connection with such Change of Control Transaction this Debenture is retired;</w:t>
      </w:r>
    </w:p>
    <w:p>
      <w:pPr>
        <w:spacing w:after="0" w:line="206"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9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ind w:left="-1120" w:firstLine="2600"/>
        <w:spacing w:after="0" w:line="282" w:lineRule="auto"/>
        <w:tabs>
          <w:tab w:leader="none" w:pos="238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for any reason to deliver the payment in cash pursuant to a Buy-In (as defined in Section 4(b)(ii) herein) within five Business Days after such payment is due;</w:t>
      </w:r>
    </w:p>
    <w:p>
      <w:pPr>
        <w:spacing w:after="0" w:line="161" w:lineRule="exact"/>
        <w:rPr>
          <w:rFonts w:ascii="Times New Roman" w:cs="Times New Roman" w:eastAsia="Times New Roman" w:hAnsi="Times New Roman"/>
          <w:sz w:val="18"/>
          <w:szCs w:val="18"/>
          <w:color w:val="auto"/>
        </w:rPr>
      </w:pPr>
    </w:p>
    <w:p>
      <w:pPr>
        <w:jc w:val="both"/>
        <w:ind w:left="-1120" w:firstLine="2600"/>
        <w:spacing w:after="0" w:line="255" w:lineRule="auto"/>
        <w:tabs>
          <w:tab w:leader="none" w:pos="23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188" w:lineRule="exact"/>
        <w:rPr>
          <w:rFonts w:ascii="Times New Roman" w:cs="Times New Roman" w:eastAsia="Times New Roman" w:hAnsi="Times New Roman"/>
          <w:sz w:val="18"/>
          <w:szCs w:val="18"/>
          <w:color w:val="auto"/>
        </w:rPr>
      </w:pPr>
    </w:p>
    <w:p>
      <w:pPr>
        <w:jc w:val="both"/>
        <w:ind w:left="-1120" w:firstLine="2600"/>
        <w:spacing w:after="0" w:line="266" w:lineRule="auto"/>
        <w:tabs>
          <w:tab w:leader="none" w:pos="251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Company, any Subsidiary of the Company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spacing w:after="0" w:line="175" w:lineRule="exact"/>
        <w:rPr>
          <w:rFonts w:ascii="Times New Roman" w:cs="Times New Roman" w:eastAsia="Times New Roman" w:hAnsi="Times New Roman"/>
          <w:sz w:val="18"/>
          <w:szCs w:val="18"/>
          <w:color w:val="auto"/>
        </w:rPr>
      </w:pPr>
    </w:p>
    <w:p>
      <w:pPr>
        <w:jc w:val="both"/>
        <w:ind w:left="-1120" w:firstLine="2600"/>
        <w:spacing w:after="0" w:line="258" w:lineRule="auto"/>
        <w:tabs>
          <w:tab w:leader="none" w:pos="246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spacing w:after="0" w:line="183" w:lineRule="exact"/>
        <w:rPr>
          <w:rFonts w:ascii="Times New Roman" w:cs="Times New Roman" w:eastAsia="Times New Roman" w:hAnsi="Times New Roman"/>
          <w:sz w:val="18"/>
          <w:szCs w:val="18"/>
          <w:color w:val="auto"/>
        </w:rPr>
      </w:pPr>
    </w:p>
    <w:p>
      <w:pPr>
        <w:jc w:val="both"/>
        <w:ind w:left="-1120" w:right="20" w:firstLine="2600"/>
        <w:spacing w:after="0" w:line="266" w:lineRule="auto"/>
        <w:tabs>
          <w:tab w:leader="none" w:pos="226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spacing w:after="0" w:line="175" w:lineRule="exact"/>
        <w:rPr>
          <w:rFonts w:ascii="Times New Roman" w:cs="Times New Roman" w:eastAsia="Times New Roman" w:hAnsi="Times New Roman"/>
          <w:sz w:val="18"/>
          <w:szCs w:val="18"/>
          <w:color w:val="auto"/>
        </w:rPr>
      </w:pPr>
    </w:p>
    <w:p>
      <w:pPr>
        <w:jc w:val="both"/>
        <w:ind w:left="-1120" w:firstLine="2600"/>
        <w:spacing w:after="0" w:line="266" w:lineRule="auto"/>
        <w:tabs>
          <w:tab w:leader="none" w:pos="221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spacing w:after="0" w:line="175" w:lineRule="exact"/>
        <w:rPr>
          <w:rFonts w:ascii="Times New Roman" w:cs="Times New Roman" w:eastAsia="Times New Roman" w:hAnsi="Times New Roman"/>
          <w:sz w:val="18"/>
          <w:szCs w:val="18"/>
          <w:color w:val="auto"/>
        </w:rPr>
      </w:pPr>
    </w:p>
    <w:p>
      <w:pPr>
        <w:ind w:left="2100" w:hanging="620"/>
        <w:spacing w:after="0"/>
        <w:tabs>
          <w:tab w:leader="none" w:pos="2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1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6" w:name="page7"/>
    <w:bookmarkEnd w:id="6"/>
    <w:p>
      <w:pPr>
        <w:ind w:left="2060" w:hanging="756"/>
        <w:spacing w:after="0"/>
        <w:tabs>
          <w:tab w:leader="none" w:pos="2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DEBENTURE</w:t>
      </w:r>
      <w:r>
        <w:rPr>
          <w:rFonts w:ascii="Times New Roman" w:cs="Times New Roman" w:eastAsia="Times New Roman" w:hAnsi="Times New Roman"/>
          <w:sz w:val="18"/>
          <w:szCs w:val="18"/>
          <w:color w:val="auto"/>
        </w:rPr>
        <w:t>. This Debenture shall be convertible into Ordinary Shares, on the terms and conditions set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this Section 4.</w:t>
      </w:r>
    </w:p>
    <w:p>
      <w:pPr>
        <w:spacing w:after="0" w:line="206"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5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spacing w:after="0" w:line="188" w:lineRule="exact"/>
        <w:rPr>
          <w:rFonts w:ascii="Times New Roman" w:cs="Times New Roman" w:eastAsia="Times New Roman" w:hAnsi="Times New Roman"/>
          <w:sz w:val="18"/>
          <w:szCs w:val="18"/>
          <w:color w:val="auto"/>
        </w:rPr>
      </w:pPr>
    </w:p>
    <w:p>
      <w:pPr>
        <w:ind w:right="40" w:firstLine="2645"/>
        <w:spacing w:after="0" w:line="282" w:lineRule="auto"/>
        <w:tabs>
          <w:tab w:leader="none" w:pos="3257"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and/or accrued Interest to be converted, redeemed or otherwise with respect to which this determination is being made.</w:t>
      </w:r>
    </w:p>
    <w:p>
      <w:pPr>
        <w:spacing w:after="0" w:line="161" w:lineRule="exact"/>
        <w:rPr>
          <w:rFonts w:ascii="Times New Roman" w:cs="Times New Roman" w:eastAsia="Times New Roman" w:hAnsi="Times New Roman"/>
          <w:sz w:val="18"/>
          <w:szCs w:val="18"/>
          <w:color w:val="auto"/>
        </w:rPr>
      </w:pPr>
    </w:p>
    <w:p>
      <w:pPr>
        <w:jc w:val="both"/>
        <w:ind w:firstLine="2600"/>
        <w:spacing w:after="0" w:line="256" w:lineRule="auto"/>
        <w:tabs>
          <w:tab w:leader="none" w:pos="3374"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(as defined below) or other date of determination the lower of (i) a price per Ordinary Share equal to USD 18.75 (the “</w:t>
      </w:r>
      <w:r>
        <w:rPr>
          <w:rFonts w:ascii="Times New Roman" w:cs="Times New Roman" w:eastAsia="Times New Roman" w:hAnsi="Times New Roman"/>
          <w:sz w:val="18"/>
          <w:szCs w:val="18"/>
          <w:u w:val="single" w:color="auto"/>
          <w:color w:val="auto"/>
        </w:rPr>
        <w:t>Fixed Conversion Price</w:t>
      </w:r>
      <w:r>
        <w:rPr>
          <w:rFonts w:ascii="Times New Roman" w:cs="Times New Roman" w:eastAsia="Times New Roman" w:hAnsi="Times New Roman"/>
          <w:sz w:val="18"/>
          <w:szCs w:val="18"/>
          <w:color w:val="auto"/>
        </w:rPr>
        <w:t>”), or (ii) 85% of the lowest daily VWAP of the Ordinary Shares during the seven (7) consecutive Trading Days immediately preceding the Conversion Date or other date of determination (the “</w:t>
      </w:r>
      <w:r>
        <w:rPr>
          <w:rFonts w:ascii="Times New Roman" w:cs="Times New Roman" w:eastAsia="Times New Roman" w:hAnsi="Times New Roman"/>
          <w:sz w:val="18"/>
          <w:szCs w:val="18"/>
          <w:u w:val="single" w:color="auto"/>
          <w:color w:val="auto"/>
        </w:rPr>
        <w:t>Variable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spacing w:after="0" w:line="187"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2" w:lineRule="auto"/>
        <w:tabs>
          <w:tab w:leader="none" w:pos="346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Ordinary Shares on any date (a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to the Company and (B) if required by Section (4)(b)(iii), surrender this Debenture to a nationally recognized overnight delivery service for delivery to the Company (or an indemnification undertaking reasonably satisfactory to the Company with respect to this Debenture in the case of its loss, theft or destruction). On or before the third (3rd) Trading Day following the date of receipt of a Conversion Notice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Company shall (X) if legends are not required to be placed on certificates of Ordinary Shares and provided that the Transfer Agent is participating in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credit such aggregate number of Ordinary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Ordinary Shares in the name of the Holder or its designee, for the number of Ordinary Shares to which the Holder shall be entitled which certificates shall not bear any restrictive legends unless required pursuant to rules and regulations of the Commission.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Ordinary Shares issuable upon a conversion of this Debenture shall be treated for all purposes as the record holder or holders of such Ordinary Shares upon the transmission of a Conversion Notice. In connection with any conversion of a Conversion Amount into Ordinary Shares on a Conversion Date, the Company shall, on the relevant Share Delivery Date, set off (</w:t>
      </w:r>
      <w:r>
        <w:rPr>
          <w:rFonts w:ascii="Times New Roman" w:cs="Times New Roman" w:eastAsia="Times New Roman" w:hAnsi="Times New Roman"/>
          <w:sz w:val="18"/>
          <w:szCs w:val="18"/>
          <w:i w:val="1"/>
          <w:iCs w:val="1"/>
          <w:color w:val="auto"/>
        </w:rPr>
        <w:t>verrekenen</w:t>
      </w:r>
      <w:r>
        <w:rPr>
          <w:rFonts w:ascii="Times New Roman" w:cs="Times New Roman" w:eastAsia="Times New Roman" w:hAnsi="Times New Roman"/>
          <w:sz w:val="18"/>
          <w:szCs w:val="18"/>
          <w:color w:val="auto"/>
        </w:rPr>
        <w:t>) its debt under the relevant Debenture(s) to pay such Conversion Amount against its receivable from the Holder to pay up in full, and satisfy the issue price, for the relevant Ordinary Shares issuable upon such conversion (and, for that purpose, such issue price shall be the same amount as the Conversion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ind w:left="-1120" w:firstLine="2600"/>
        <w:spacing w:after="0" w:line="253" w:lineRule="auto"/>
        <w:tabs>
          <w:tab w:leader="none" w:pos="24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 (A) such number of Ordinary Shares, times (B) the Closing Price on the Conversion Date.</w:t>
      </w:r>
    </w:p>
    <w:p>
      <w:pPr>
        <w:spacing w:after="0" w:line="194" w:lineRule="exact"/>
        <w:rPr>
          <w:rFonts w:ascii="Times New Roman" w:cs="Times New Roman" w:eastAsia="Times New Roman" w:hAnsi="Times New Roman"/>
          <w:sz w:val="18"/>
          <w:szCs w:val="18"/>
          <w:color w:val="auto"/>
        </w:rPr>
      </w:pPr>
    </w:p>
    <w:p>
      <w:pPr>
        <w:jc w:val="both"/>
        <w:ind w:left="-1120" w:firstLine="2600"/>
        <w:spacing w:after="0" w:line="256" w:lineRule="auto"/>
        <w:tabs>
          <w:tab w:leader="none" w:pos="242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w:t>
      </w:r>
    </w:p>
    <w:p>
      <w:pPr>
        <w:spacing w:after="0" w:line="187" w:lineRule="exact"/>
        <w:rPr>
          <w:rFonts w:ascii="Times New Roman" w:cs="Times New Roman" w:eastAsia="Times New Roman" w:hAnsi="Times New Roman"/>
          <w:sz w:val="18"/>
          <w:szCs w:val="18"/>
          <w:color w:val="auto"/>
        </w:rPr>
      </w:pPr>
    </w:p>
    <w:p>
      <w:pPr>
        <w:ind w:left="1580" w:hanging="748"/>
        <w:spacing w:after="0"/>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2600"/>
        <w:spacing w:after="0" w:line="252" w:lineRule="auto"/>
        <w:tabs>
          <w:tab w:leader="none" w:pos="25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spacing w:after="0" w:line="195" w:lineRule="exact"/>
        <w:rPr>
          <w:rFonts w:ascii="Times New Roman" w:cs="Times New Roman" w:eastAsia="Times New Roman" w:hAnsi="Times New Roman"/>
          <w:sz w:val="18"/>
          <w:szCs w:val="18"/>
          <w:color w:val="auto"/>
        </w:rPr>
      </w:pPr>
    </w:p>
    <w:p>
      <w:pPr>
        <w:jc w:val="both"/>
        <w:ind w:left="-1120" w:firstLine="2600"/>
        <w:spacing w:after="0" w:line="254" w:lineRule="auto"/>
        <w:tabs>
          <w:tab w:leader="none" w:pos="2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Rules of Principal Market</w:t>
      </w:r>
      <w:r>
        <w:rPr>
          <w:rFonts w:ascii="Times New Roman" w:cs="Times New Roman" w:eastAsia="Times New Roman" w:hAnsi="Times New Roman"/>
          <w:sz w:val="18"/>
          <w:szCs w:val="18"/>
          <w:color w:val="auto"/>
        </w:rPr>
        <w:t>. Notwithstanding anything to the contrary herein, the Company shall not issue any Ordinary Shares under this Debenture to the extent (but only to the extent) that after giving effect to such issuance the aggregate number of Ordinary Shares issued under this Debenture would exceed 19.99% of the aggregate number of Ordinary Shares issued and outstanding as of the Issuance Date of this Debenture, which number shall be reduced, on a share-for-share basis, by the number of Ordinary Shares issued or issuable pursuant to any transaction or series of transactions that may be aggregated with the transactions contemplated by this Note under the applicable rules of the rules or regulations of the Nasdaq Stock Market LLC (the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(such maximum number of shares,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unless the Company’s stockholders have approved the issuance of Common Shares pursuant to this Note in excess of the Exchange Cap, or the Company is exempt from such requirements, in accordance with the applicable rules of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8" w:name="page9"/>
    <w:bookmarkEnd w:id="8"/>
    <w:p>
      <w:pPr>
        <w:ind w:left="1580" w:hanging="748"/>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360" w:hanging="880"/>
        <w:spacing w:after="0"/>
        <w:tabs>
          <w:tab w:leader="none" w:pos="2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under this Section (4) shall be rounded to the nearest $0.0001 or whole share.</w:t>
      </w:r>
    </w:p>
    <w:p>
      <w:pPr>
        <w:spacing w:after="0" w:line="225" w:lineRule="exact"/>
        <w:rPr>
          <w:rFonts w:ascii="Times New Roman" w:cs="Times New Roman" w:eastAsia="Times New Roman" w:hAnsi="Times New Roman"/>
          <w:sz w:val="18"/>
          <w:szCs w:val="18"/>
          <w:color w:val="auto"/>
        </w:rPr>
      </w:pPr>
    </w:p>
    <w:p>
      <w:pPr>
        <w:jc w:val="both"/>
        <w:ind w:left="-1120" w:firstLine="2600"/>
        <w:spacing w:after="0" w:line="252" w:lineRule="auto"/>
        <w:tabs>
          <w:tab w:leader="none" w:pos="236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195" w:lineRule="exact"/>
        <w:rPr>
          <w:rFonts w:ascii="Times New Roman" w:cs="Times New Roman" w:eastAsia="Times New Roman" w:hAnsi="Times New Roman"/>
          <w:sz w:val="18"/>
          <w:szCs w:val="18"/>
          <w:color w:val="auto"/>
        </w:rPr>
      </w:pPr>
    </w:p>
    <w:p>
      <w:pPr>
        <w:jc w:val="both"/>
        <w:ind w:left="-1120" w:firstLine="2600"/>
        <w:spacing w:after="0" w:line="258" w:lineRule="auto"/>
        <w:tabs>
          <w:tab w:leader="none" w:pos="261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183" w:lineRule="exact"/>
        <w:rPr>
          <w:rFonts w:ascii="Times New Roman" w:cs="Times New Roman" w:eastAsia="Times New Roman" w:hAnsi="Times New Roman"/>
          <w:sz w:val="18"/>
          <w:szCs w:val="18"/>
          <w:color w:val="auto"/>
        </w:rPr>
      </w:pPr>
    </w:p>
    <w:p>
      <w:pPr>
        <w:jc w:val="both"/>
        <w:ind w:left="-1120" w:firstLine="2600"/>
        <w:spacing w:after="0" w:line="266" w:lineRule="auto"/>
        <w:tabs>
          <w:tab w:leader="none" w:pos="258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6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Ordinary Shares</w:t>
      </w:r>
      <w:r>
        <w:rPr>
          <w:rFonts w:ascii="Times New Roman" w:cs="Times New Roman" w:eastAsia="Times New Roman" w:hAnsi="Times New Roman"/>
          <w:sz w:val="18"/>
          <w:szCs w:val="18"/>
          <w:color w:val="auto"/>
        </w:rPr>
        <w:t>. If the Company, at any time while this Debenture is outstanding, shall (a) pay a stock dividend or otherwise make a distribution or distributions on its Ordinary Shares or any other equity or equity equivalent securities payable in Ordinary Shares, (b) subdivide outstanding Ordinary Shares into a larger number of shares, (c) combine (including by way of reverse stock split) outstanding Ordinary Shares into a smaller number of shares, or (d) issue by reclassification of shares of the Ordinary Shares any shares of capital stock of the Company, then each of the Fixed Conversion Price and the Floor Price shall be multiplied by a fraction of which the numerator shall be the number of Ordinary Shares (excluding treasury shares, if any) outstanding before such event and of which the denominator shall be the number of Ordinary Shares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9" w:name="page10"/>
    <w:bookmarkEnd w:id="9"/>
    <w:p>
      <w:pPr>
        <w:jc w:val="both"/>
        <w:ind w:left="-1120" w:firstLine="1952"/>
        <w:spacing w:after="0" w:line="252" w:lineRule="auto"/>
        <w:tabs>
          <w:tab w:leader="none" w:pos="203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spacing w:after="0" w:line="197" w:lineRule="exact"/>
        <w:rPr>
          <w:rFonts w:ascii="Times New Roman" w:cs="Times New Roman" w:eastAsia="Times New Roman" w:hAnsi="Times New Roman"/>
          <w:sz w:val="18"/>
          <w:szCs w:val="18"/>
          <w:color w:val="auto"/>
        </w:rPr>
      </w:pPr>
    </w:p>
    <w:p>
      <w:pPr>
        <w:jc w:val="both"/>
        <w:ind w:left="-1120" w:right="20" w:firstLine="1952"/>
        <w:spacing w:after="0" w:line="266" w:lineRule="auto"/>
        <w:tabs>
          <w:tab w:leader="none" w:pos="17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16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pacing w:after="0" w:line="195" w:lineRule="exact"/>
        <w:rPr>
          <w:rFonts w:ascii="Times New Roman" w:cs="Times New Roman" w:eastAsia="Times New Roman" w:hAnsi="Times New Roman"/>
          <w:sz w:val="18"/>
          <w:szCs w:val="18"/>
          <w:color w:val="auto"/>
        </w:rPr>
      </w:pPr>
    </w:p>
    <w:p>
      <w:pPr>
        <w:ind w:left="880" w:hanging="69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DEBENTURE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5" w:lineRule="auto"/>
        <w:tabs>
          <w:tab w:leader="none" w:pos="16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spacing w:after="0" w:line="188" w:lineRule="exact"/>
        <w:rPr>
          <w:rFonts w:ascii="Times New Roman" w:cs="Times New Roman" w:eastAsia="Times New Roman" w:hAnsi="Times New Roman"/>
          <w:sz w:val="18"/>
          <w:szCs w:val="18"/>
          <w:color w:val="auto"/>
        </w:rPr>
      </w:pPr>
    </w:p>
    <w:p>
      <w:pPr>
        <w:jc w:val="both"/>
        <w:ind w:left="-1120" w:firstLine="1952"/>
        <w:spacing w:after="0" w:line="261" w:lineRule="auto"/>
        <w:tabs>
          <w:tab w:leader="none" w:pos="18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0" w:name="page11"/>
    <w:bookmarkEnd w:id="10"/>
    <w:p>
      <w:pPr>
        <w:jc w:val="both"/>
        <w:ind w:firstLine="1952"/>
        <w:spacing w:after="0" w:line="261" w:lineRule="auto"/>
        <w:tabs>
          <w:tab w:leader="none" w:pos="271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w:t>
      </w:r>
    </w:p>
    <w:p>
      <w:pPr>
        <w:spacing w:after="0" w:line="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accrued and unpaid Interest from the Issuance Date.</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sectPr>
          <w:pgSz w:w="11900" w:h="16838" w:orient="portrait"/>
          <w:cols w:equalWidth="0" w:num="1">
            <w:col w:w="11240"/>
          </w:cols>
          <w:pgMar w:left="320" w:top="796" w:right="339" w:bottom="1440" w:gutter="0" w:footer="0" w:header="0"/>
        </w:sectPr>
      </w:pP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Group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Waldmeisterstraße 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80935 Munich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Kevin McGurn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[PERSONAL EMAIL]</w:t>
      </w:r>
    </w:p>
    <w:p>
      <w:pPr>
        <w:spacing w:after="0" w:line="200" w:lineRule="exact"/>
        <w:rPr>
          <w:sz w:val="20"/>
          <w:szCs w:val="20"/>
          <w:color w:val="auto"/>
        </w:rPr>
      </w:pPr>
    </w:p>
    <w:p>
      <w:pPr>
        <w:sectPr>
          <w:pgSz w:w="11900" w:h="16838" w:orient="portrait"/>
          <w:cols w:equalWidth="0" w:num="2">
            <w:col w:w="3240" w:space="720"/>
            <w:col w:w="7280"/>
          </w:cols>
          <w:pgMar w:left="320" w:top="796"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YA II PN,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Yorkville Advisors Global,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Angelo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[PERSONAL 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[PERSONAL EMAIL]</w:t>
      </w:r>
    </w:p>
    <w:p>
      <w:pPr>
        <w:spacing w:after="0" w:line="200" w:lineRule="exact"/>
        <w:rPr>
          <w:sz w:val="20"/>
          <w:szCs w:val="20"/>
          <w:color w:val="auto"/>
        </w:rPr>
      </w:pPr>
    </w:p>
    <w:p>
      <w:pPr>
        <w:sectPr>
          <w:pgSz w:w="11900" w:h="16838" w:orient="portrait"/>
          <w:cols w:equalWidth="0" w:num="2">
            <w:col w:w="3240" w:space="720"/>
            <w:col w:w="7280"/>
          </w:cols>
          <w:pgMar w:left="320" w:top="796" w:right="339" w:bottom="1440" w:gutter="0" w:footer="0" w:header="0"/>
          <w:type w:val="continuous"/>
        </w:sectPr>
      </w:pPr>
    </w:p>
    <w:p>
      <w:pPr>
        <w:spacing w:after="0" w:line="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w:t>
      </w:r>
    </w:p>
    <w:p>
      <w:pPr>
        <w:spacing w:after="0" w:line="183" w:lineRule="exact"/>
        <w:rPr>
          <w:sz w:val="20"/>
          <w:szCs w:val="20"/>
          <w:color w:val="auto"/>
        </w:rPr>
      </w:pPr>
    </w:p>
    <w:p>
      <w:pPr>
        <w:jc w:val="both"/>
        <w:ind w:firstLine="1304"/>
        <w:spacing w:after="0" w:line="256" w:lineRule="auto"/>
        <w:tabs>
          <w:tab w:leader="none" w:pos="2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1" w:name="page12"/>
    <w:bookmarkEnd w:id="11"/>
    <w:p>
      <w:pPr>
        <w:jc w:val="both"/>
        <w:ind w:left="-1120" w:firstLine="1304"/>
        <w:spacing w:after="0" w:line="266" w:lineRule="auto"/>
        <w:tabs>
          <w:tab w:leader="none" w:pos="9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10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9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w:t>
      </w:r>
      <w:r>
        <w:rPr>
          <w:rFonts w:ascii="Times New Roman" w:cs="Times New Roman" w:eastAsia="Times New Roman" w:hAnsi="Times New Roman"/>
          <w:sz w:val="18"/>
          <w:szCs w:val="18"/>
          <w:color w:val="auto"/>
        </w:rPr>
        <w:t>. This Debenture shall be governed by and construed in accordance with the laws of the State of New York, without 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0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9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8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194" w:lineRule="exact"/>
        <w:rPr>
          <w:rFonts w:ascii="Times New Roman" w:cs="Times New Roman" w:eastAsia="Times New Roman" w:hAnsi="Times New Roman"/>
          <w:sz w:val="18"/>
          <w:szCs w:val="18"/>
          <w:color w:val="auto"/>
        </w:rPr>
      </w:pPr>
    </w:p>
    <w:p>
      <w:pPr>
        <w:ind w:left="-1120" w:firstLine="1304"/>
        <w:spacing w:after="0" w:line="282" w:lineRule="auto"/>
        <w:tabs>
          <w:tab w:leader="none" w:pos="9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or other obligation hereunder shall be due on a day other than a Business Day, such payment shall be made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2" w:name="page13"/>
    <w:bookmarkEnd w:id="12"/>
    <w:p>
      <w:pPr>
        <w:ind w:left="880" w:hanging="696"/>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225" w:lineRule="exact"/>
        <w:rPr>
          <w:rFonts w:ascii="Times New Roman" w:cs="Times New Roman" w:eastAsia="Times New Roman" w:hAnsi="Times New Roman"/>
          <w:sz w:val="18"/>
          <w:szCs w:val="18"/>
          <w:color w:val="auto"/>
        </w:rPr>
      </w:pPr>
    </w:p>
    <w:p>
      <w:pPr>
        <w:ind w:left="1400" w:hanging="568"/>
        <w:spacing w:after="0"/>
        <w:tabs>
          <w:tab w:leader="none" w:pos="14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w:t>
      </w:r>
    </w:p>
    <w:p>
      <w:pPr>
        <w:spacing w:after="0" w:line="225" w:lineRule="exact"/>
        <w:rPr>
          <w:rFonts w:ascii="Times New Roman" w:cs="Times New Roman" w:eastAsia="Times New Roman" w:hAnsi="Times New Roman"/>
          <w:sz w:val="18"/>
          <w:szCs w:val="18"/>
          <w:color w:val="auto"/>
        </w:rPr>
      </w:pPr>
    </w:p>
    <w:p>
      <w:pPr>
        <w:ind w:left="-1120" w:firstLine="1952"/>
        <w:spacing w:after="0" w:line="282" w:lineRule="auto"/>
        <w:tabs>
          <w:tab w:leader="none" w:pos="136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63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w:t>
      </w:r>
    </w:p>
    <w:p>
      <w:pPr>
        <w:spacing w:after="0" w:line="189" w:lineRule="exact"/>
        <w:rPr>
          <w:rFonts w:ascii="Times New Roman" w:cs="Times New Roman" w:eastAsia="Times New Roman" w:hAnsi="Times New Roman"/>
          <w:sz w:val="18"/>
          <w:szCs w:val="18"/>
          <w:color w:val="auto"/>
        </w:rPr>
      </w:pPr>
    </w:p>
    <w:p>
      <w:pPr>
        <w:ind w:left="-1120" w:firstLine="1952"/>
        <w:spacing w:after="0" w:line="282" w:lineRule="auto"/>
        <w:tabs>
          <w:tab w:leader="none" w:pos="153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Ordinary Shares on a Primary Market or on the exchange or over-the-counter market on which the Ordinary Shares is then listed as quoted by Bloomberg.</w:t>
      </w:r>
    </w:p>
    <w:p>
      <w:pPr>
        <w:spacing w:after="0" w:line="161"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120" w:right="20" w:firstLine="1952"/>
        <w:spacing w:after="0" w:line="282" w:lineRule="auto"/>
        <w:tabs>
          <w:tab w:leader="none" w:pos="162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solely with respect to the Variable Conversion Price, shall mean a price per share equal to 20% of the Closing Price on the Trading Day immediately prior to the Issuance Date of this Debenture.</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55" w:lineRule="auto"/>
        <w:tabs>
          <w:tab w:leader="none" w:pos="16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spacing w:after="0" w:line="188" w:lineRule="exact"/>
        <w:rPr>
          <w:rFonts w:ascii="Times New Roman" w:cs="Times New Roman" w:eastAsia="Times New Roman" w:hAnsi="Times New Roman"/>
          <w:sz w:val="18"/>
          <w:szCs w:val="18"/>
          <w:color w:val="auto"/>
        </w:rPr>
      </w:pPr>
    </w:p>
    <w:p>
      <w:pPr>
        <w:ind w:left="1320" w:hanging="488"/>
        <w:spacing w:after="0"/>
        <w:tabs>
          <w:tab w:leader="none" w:pos="13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Sono Group N.V. Florida LLC.</w:t>
      </w:r>
    </w:p>
    <w:p>
      <w:pPr>
        <w:spacing w:after="0" w:line="225" w:lineRule="exact"/>
        <w:rPr>
          <w:rFonts w:ascii="Times New Roman" w:cs="Times New Roman" w:eastAsia="Times New Roman" w:hAnsi="Times New Roman"/>
          <w:sz w:val="18"/>
          <w:szCs w:val="18"/>
          <w:color w:val="auto"/>
        </w:rPr>
      </w:pPr>
    </w:p>
    <w:p>
      <w:pPr>
        <w:ind w:left="1360" w:hanging="528"/>
        <w:spacing w:after="0"/>
        <w:tabs>
          <w:tab w:leader="none" w:pos="13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8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357505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3" w:name="page14"/>
    <w:bookmarkEnd w:id="13"/>
    <w:p>
      <w:pPr>
        <w:ind w:firstLine="1952"/>
        <w:spacing w:after="0" w:line="282" w:lineRule="auto"/>
        <w:tabs>
          <w:tab w:leader="none" w:pos="2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nominal value €0.01, of the Company and shares of any other class into which such shares may hereafter be changed or reclassified.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any other convertible debentures, promissory notes, or other forms of indebtedness issued by the Holder to the Company after the date hereof.</w:t>
      </w:r>
    </w:p>
    <w:p>
      <w:pPr>
        <w:spacing w:after="0" w:line="162" w:lineRule="exact"/>
        <w:rPr>
          <w:sz w:val="20"/>
          <w:szCs w:val="20"/>
          <w:color w:val="auto"/>
        </w:rPr>
      </w:pPr>
    </w:p>
    <w:p>
      <w:pPr>
        <w:ind w:firstLine="1952"/>
        <w:spacing w:after="0" w:line="282" w:lineRule="auto"/>
        <w:tabs>
          <w:tab w:leader="none" w:pos="27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1"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7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Market</w:t>
      </w:r>
      <w:r>
        <w:rPr>
          <w:rFonts w:ascii="Times New Roman" w:cs="Times New Roman" w:eastAsia="Times New Roman" w:hAnsi="Times New Roman"/>
          <w:sz w:val="18"/>
          <w:szCs w:val="18"/>
          <w:color w:val="auto"/>
        </w:rPr>
        <w:t>” means any of the Nasdaq Global Market, the Nasdaq Global Select Market, the Nasdaq Capital Market, The New York Stock Exchange, and any successor to any of the foregoing markets or exchanges.</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means four percent (4%) of the Principal amount being redeemed or paid.</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460" w:hanging="508"/>
        <w:spacing w:after="0"/>
        <w:tabs>
          <w:tab w:leader="none" w:pos="2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30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means, each of this Debenture, any Other Debentures, and any and all documents, agreements, instruments or other items executed or delivered in connection with any of the foregoing.</w:t>
      </w:r>
    </w:p>
    <w:p>
      <w:pPr>
        <w:spacing w:after="0" w:line="161"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Ordinary Shares issuable upon conversion of this Debenture or as payment of interest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hereof.</w:t>
      </w:r>
    </w:p>
    <w:p>
      <w:pPr>
        <w:spacing w:after="0" w:line="206" w:lineRule="exact"/>
        <w:rPr>
          <w:rFonts w:ascii="Times New Roman" w:cs="Times New Roman" w:eastAsia="Times New Roman" w:hAnsi="Times New Roman"/>
          <w:sz w:val="18"/>
          <w:szCs w:val="18"/>
          <w:color w:val="auto"/>
        </w:rPr>
      </w:pPr>
    </w:p>
    <w:p>
      <w:pPr>
        <w:jc w:val="both"/>
        <w:ind w:firstLine="1952"/>
        <w:spacing w:after="0" w:line="312" w:lineRule="auto"/>
        <w:tabs>
          <w:tab w:leader="none" w:pos="268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4913630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5" w:name="page16"/>
    <w:bookmarkEnd w:id="1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Convertible Debenture to be duly executed by a duly authorized officer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McGurn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CEO and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GUARANTY OF PAYMENT</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For good and valuable consideration, the receipt and sufficiency of which are hereby acknowledged, </w:t>
      </w:r>
      <w:r>
        <w:rPr>
          <w:rFonts w:ascii="Times New Roman" w:cs="Times New Roman" w:eastAsia="Times New Roman" w:hAnsi="Times New Roman"/>
          <w:sz w:val="18"/>
          <w:szCs w:val="18"/>
          <w:b w:val="1"/>
          <w:bCs w:val="1"/>
          <w:color w:val="auto"/>
        </w:rPr>
        <w:t>Sono Group N.V. Florida LLC</w:t>
      </w:r>
      <w:r>
        <w:rPr>
          <w:rFonts w:ascii="Times New Roman" w:cs="Times New Roman" w:eastAsia="Times New Roman" w:hAnsi="Times New Roman"/>
          <w:sz w:val="18"/>
          <w:szCs w:val="18"/>
          <w:color w:val="auto"/>
        </w:rPr>
        <w:t>, a Florida limited liability company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hereby absolutely, unconditionally and irrevocably guarantees to the Holder the full and prompt payment when due (whether at stated maturity, by acceleration, redemption, conversion settlement, or otherwise) of all Obligations of Sono Group N.V. under this Convertible Debenture (</w:t>
      </w:r>
      <w:r>
        <w:rPr>
          <w:rFonts w:ascii="Times New Roman" w:cs="Times New Roman" w:eastAsia="Times New Roman" w:hAnsi="Times New Roman"/>
          <w:sz w:val="18"/>
          <w:szCs w:val="18"/>
          <w:b w:val="1"/>
          <w:bCs w:val="1"/>
          <w:color w:val="auto"/>
        </w:rPr>
        <w:t>Debenture Number SEV-9, dated February 19, 2026)</w:t>
      </w:r>
      <w:r>
        <w:rPr>
          <w:rFonts w:ascii="Times New Roman" w:cs="Times New Roman" w:eastAsia="Times New Roman" w:hAnsi="Times New Roman"/>
          <w:sz w:val="18"/>
          <w:szCs w:val="18"/>
          <w:color w:val="auto"/>
        </w:rPr>
        <w:t xml:space="preserve"> (as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-565150</wp:posOffset>
            </wp:positionV>
            <wp:extent cx="1538605" cy="149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38605" cy="14986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-427990</wp:posOffset>
            </wp:positionV>
            <wp:extent cx="553085" cy="149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3085" cy="14986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WITNESS WHEREOF, the Guarantor has executed this Guaranty as of </w:t>
      </w:r>
      <w:r>
        <w:rPr>
          <w:rFonts w:ascii="Times New Roman" w:cs="Times New Roman" w:eastAsia="Times New Roman" w:hAnsi="Times New Roman"/>
          <w:sz w:val="18"/>
          <w:szCs w:val="18"/>
          <w:b w:val="1"/>
          <w:bCs w:val="1"/>
          <w:color w:val="auto"/>
        </w:rPr>
        <w:t>February 19, 2026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-127000</wp:posOffset>
            </wp:positionV>
            <wp:extent cx="913130" cy="149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3130" cy="1498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SONO GROUP N.V. FLORIDA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Kevin McGurn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SONO GROUP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SEV-9 into Ordinary Shares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Interest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Conversion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Ordinary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Ordinary Shares in the following name and deliver them to the following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49891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49891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49891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89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lvl w:ilvl="1">
      <w:lvlJc w:val="left"/>
      <w:lvlText w:val="(%2)"/>
      <w:numFmt w:val="lowerLetter"/>
      <w:start w:val="1"/>
    </w:lvl>
  </w:abstractNum>
  <w:abstractNum w:abstractNumId="2">
    <w:nsid w:val="216231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
    <w:nsid w:val="1F16E9E8"/>
    <w:multiLevelType w:val="hybridMultilevel"/>
    <w:lvl w:ilvl="0">
      <w:lvlJc w:val="left"/>
      <w:lvlText w:val="%1"/>
      <w:numFmt w:val="lowerLetter"/>
      <w:start w:val="1"/>
    </w:lvl>
    <w:lvl w:ilvl="1">
      <w:lvlJc w:val="left"/>
      <w:lvlText w:val="(%2)"/>
      <w:numFmt w:val="lowerRoman"/>
      <w:start w:val="6"/>
    </w:lvl>
  </w:abstractNum>
  <w:abstractNum w:abstractNumId="4">
    <w:nsid w:val="1190CDE7"/>
    <w:multiLevelType w:val="hybridMultilevel"/>
    <w:lvl w:ilvl="0">
      <w:lvlJc w:val="left"/>
      <w:lvlText w:val="(%1)"/>
      <w:numFmt w:val="lowerLetter"/>
      <w:start w:val="2"/>
    </w:lvl>
    <w:lvl w:ilvl="1">
      <w:lvlJc w:val="left"/>
      <w:lvlText w:val="%2"/>
      <w:numFmt w:val="lowerRoman"/>
      <w:start w:val="1"/>
    </w:lvl>
  </w:abstractNum>
  <w:abstractNum w:abstractNumId="5">
    <w:nsid w:val="66EF438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
    <w:nsid w:val="140E0F76"/>
    <w:multiLevelType w:val="hybridMultilevel"/>
    <w:lvl w:ilvl="0">
      <w:lvlJc w:val="left"/>
      <w:lvlText w:val="%1"/>
      <w:numFmt w:val="lowerLetter"/>
      <w:start w:val="1"/>
    </w:lvl>
    <w:lvl w:ilvl="1">
      <w:lvlJc w:val="left"/>
      <w:lvlText w:val="(%2)"/>
      <w:numFmt w:val="lowerRoman"/>
      <w:start w:val="2"/>
    </w:lvl>
  </w:abstractNum>
  <w:abstractNum w:abstractNumId="7">
    <w:nsid w:val="3352255A"/>
    <w:multiLevelType w:val="hybridMultilevel"/>
    <w:lvl w:ilvl="0">
      <w:lvlJc w:val="left"/>
      <w:lvlText w:val="(%1)"/>
      <w:numFmt w:val="lowerLetter"/>
      <w:start w:val="3"/>
    </w:lvl>
    <w:lvl w:ilvl="1">
      <w:lvlJc w:val="left"/>
      <w:lvlText w:val="(%2)"/>
      <w:numFmt w:val="lowerRoman"/>
      <w:start w:val="1"/>
    </w:lvl>
  </w:abstractNum>
  <w:abstractNum w:abstractNumId="8">
    <w:nsid w:val="109CF92E"/>
    <w:multiLevelType w:val="hybridMultilevel"/>
    <w:lvl w:ilvl="0">
      <w:lvlJc w:val="left"/>
      <w:lvlText w:val="(%1)"/>
      <w:numFmt w:val="lowerLetter"/>
      <w:start w:val="4"/>
    </w:lvl>
    <w:lvl w:ilvl="1">
      <w:lvlJc w:val="left"/>
      <w:lvlText w:val="(%2)"/>
      <w:numFmt w:val="lowerRoman"/>
      <w:start w:val="1"/>
    </w:lvl>
  </w:abstractNum>
  <w:abstractNum w:abstractNumId="9">
    <w:nsid w:val="DED7263"/>
    <w:multiLevelType w:val="hybridMultilevel"/>
    <w:lvl w:ilvl="0">
      <w:lvlJc w:val="left"/>
      <w:lvlText w:val="%1"/>
      <w:numFmt w:val="decimal"/>
      <w:start w:val="1"/>
    </w:lvl>
    <w:lvl w:ilvl="1">
      <w:lvlJc w:val="left"/>
      <w:lvlText w:val="(%2)"/>
      <w:numFmt w:val="lowerLetter"/>
      <w:start w:val="6"/>
    </w:lvl>
  </w:abstractNum>
  <w:abstractNum w:abstractNumId="10">
    <w:nsid w:val="7FDCC233"/>
    <w:multiLevelType w:val="hybridMultilevel"/>
    <w:lvl w:ilvl="0">
      <w:lvlJc w:val="left"/>
      <w:lvlText w:val="(%1)"/>
      <w:numFmt w:val="decimal"/>
      <w:start w:val="5"/>
    </w:lvl>
    <w:lvl w:ilvl="1">
      <w:lvlJc w:val="left"/>
      <w:lvlText w:val="(%2)"/>
      <w:numFmt w:val="lowerLetter"/>
      <w:start w:val="1"/>
    </w:lvl>
  </w:abstractNum>
  <w:abstractNum w:abstractNumId="11">
    <w:nsid w:val="1BEFD79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2">
    <w:nsid w:val="41A7C4C9"/>
    <w:multiLevelType w:val="hybridMultilevel"/>
    <w:lvl w:ilvl="0">
      <w:lvlJc w:val="left"/>
      <w:lvlText w:val="(%1)"/>
      <w:numFmt w:val="lowerLetter"/>
      <w:start w:val="22"/>
    </w:lvl>
    <w:lvl w:ilvl="1">
      <w:lvlJc w:val="left"/>
      <w:lvlText w:val="(%2)"/>
      <w:numFmt w:val="decimal"/>
      <w:start w:val="6"/>
    </w:lvl>
    <w:lvl w:ilvl="2">
      <w:lvlJc w:val="left"/>
      <w:lvlText w:val="%3"/>
      <w:numFmt w:val="lowerLetter"/>
      <w:start w:val="1"/>
    </w:lvl>
  </w:abstractNum>
  <w:abstractNum w:abstractNumId="13">
    <w:nsid w:val="6B68079A"/>
    <w:multiLevelType w:val="hybridMultilevel"/>
    <w:lvl w:ilvl="0">
      <w:lvlJc w:val="left"/>
      <w:lvlText w:val="(%1)"/>
      <w:numFmt w:val="decimal"/>
      <w:start w:val="7"/>
    </w:lvl>
  </w:abstractNum>
  <w:abstractNum w:abstractNumId="14">
    <w:nsid w:val="4E6AFB66"/>
    <w:multiLevelType w:val="hybridMultilevel"/>
    <w:lvl w:ilvl="0">
      <w:lvlJc w:val="left"/>
      <w:lvlText w:val="(%1)"/>
      <w:numFmt w:val="decimal"/>
      <w:start w:val="8"/>
    </w:lvl>
  </w:abstractNum>
  <w:abstractNum w:abstractNumId="15">
    <w:nsid w:val="25E45D32"/>
    <w:multiLevelType w:val="hybridMultilevel"/>
    <w:lvl w:ilvl="0">
      <w:lvlJc w:val="left"/>
      <w:lvlText w:val="(%1)"/>
      <w:numFmt w:val="decimal"/>
      <w:start w:val="15"/>
    </w:lvl>
    <w:lvl w:ilvl="1">
      <w:lvlJc w:val="left"/>
      <w:lvlText w:val="(%2)"/>
      <w:numFmt w:val="lowerLetter"/>
      <w:start w:val="1"/>
    </w:lvl>
  </w:abstractNum>
  <w:abstractNum w:abstractNumId="16">
    <w:nsid w:val="519B500D"/>
    <w:multiLevelType w:val="hybridMultilevel"/>
    <w:lvl w:ilvl="0">
      <w:lvlJc w:val="left"/>
      <w:lvlText w:val="(%1)"/>
      <w:numFmt w:val="lowerLetter"/>
      <w:start w:val="12"/>
    </w:lvl>
  </w:abstractNum>
  <w:abstractNum w:abstractNumId="17">
    <w:nsid w:val="431BD7B7"/>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2026-02-24T15:50:26Z</dcterms:created>
  <dcterms:modified xsi:type="dcterms:W3CDTF">2026-02-24T15:50:26Z</dcterms:modified>
</cp:coreProperties>
</file>