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8k_083126.htm"/>
      <w:bookmarkStart w:id="1" w:name="ksf8k_083126"/>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36"/>
        </w:rPr>
      </w:pPr>
      <w:r>
        <w:rPr>
          <w:rFonts w:ascii="Times New Roman;Times;Serif" w:hAnsi="Times New Roman;Times;Serif"/>
          <w:b/>
          <w:i w:val="false"/>
          <w:caps w:val="false"/>
          <w:smallCaps w:val="false"/>
          <w:color w:val="333333"/>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36"/>
        </w:rPr>
      </w:pPr>
      <w:r>
        <w:rPr>
          <w:rFonts w:ascii="Times New Roman;Times;Serif" w:hAnsi="Times New Roman;Times;Serif"/>
          <w:b/>
          <w:i w:val="false"/>
          <w:caps w:val="false"/>
          <w:smallCaps w:val="false"/>
          <w:color w:val="333333"/>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Washington, D.C. 20549</w:t>
      </w:r>
    </w:p>
    <w:p>
      <w:pPr>
        <w:pStyle w:val="TextBody"/>
        <w:shd w:fill="FFFFFF" w:val="clear"/>
        <w:bidi w:val="0"/>
        <w:spacing w:before="0" w:after="0"/>
        <w:ind w:left="0" w:right="0" w:hanging="0"/>
        <w:jc w:val="center"/>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333333"/>
          <w:sz w:val="36"/>
        </w:rPr>
      </w:pPr>
      <w:r>
        <w:rPr>
          <w:rFonts w:ascii="Times New Roman;Times;Serif" w:hAnsi="Times New Roman;Times;Serif"/>
          <w:b/>
          <w:i w:val="false"/>
          <w:caps w:val="false"/>
          <w:smallCaps w:val="false"/>
          <w:color w:val="333333"/>
          <w:sz w:val="36"/>
        </w:rPr>
        <w:t xml:space="preserve">FORM </w:t>
      </w:r>
      <w:bookmarkStart w:id="2" w:name="xdx_90A_edei--DocumentType_c20260831__20"/>
      <w:bookmarkEnd w:id="2"/>
      <w:r>
        <w:rPr>
          <w:rFonts w:ascii="Times New Roman;Times;Serif" w:hAnsi="Times New Roman;Times;Serif"/>
          <w:b/>
          <w:i w:val="false"/>
          <w:caps w:val="false"/>
          <w:smallCaps w:val="false"/>
          <w:color w:val="333333"/>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 xml:space="preserve">PURSUANT TO SECTION 13 OR 15(D)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OF THE SECURITIES EXCHANGE ACT OF 1934</w:t>
      </w:r>
    </w:p>
    <w:p>
      <w:pPr>
        <w:pStyle w:val="TextBody"/>
        <w:shd w:fill="FFFFFF" w:val="clear"/>
        <w:bidi w:val="0"/>
        <w:spacing w:before="0" w:after="0"/>
        <w:ind w:left="0" w:right="0" w:hanging="0"/>
        <w:jc w:val="center"/>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center"/>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color w:val="333333"/>
          <w:sz w:val="20"/>
        </w:rPr>
        <w:t>August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333333"/>
          <w:sz w:val="20"/>
        </w:rPr>
      </w:pPr>
      <w:bookmarkStart w:id="4" w:name="xdx_90C_edei--EntityRegistrantName_c2026"/>
      <w:bookmarkEnd w:id="4"/>
      <w:r>
        <w:rPr>
          <w:rFonts w:ascii="Times New Roman;Times;Serif" w:hAnsi="Times New Roman;Times;Serif"/>
          <w:b/>
          <w:i w:val="false"/>
          <w:caps w:val="false"/>
          <w:smallCaps w:val="false"/>
          <w:color w:val="333333"/>
          <w:sz w:val="48"/>
        </w:rPr>
        <w:t>Sono Group N.V.</w:t>
        <w:br/>
      </w:r>
      <w:r>
        <w:rPr>
          <w:rFonts w:ascii="Times New Roman;Times;Serif" w:hAnsi="Times New Roman;Times;Serif"/>
          <w:b/>
          <w:i w:val="false"/>
          <w:caps w:val="false"/>
          <w:smallCaps w:val="false"/>
          <w:color w:val="333333"/>
          <w:sz w:val="20"/>
        </w:rPr>
        <w:t>(Exact name of registrant as specified in its charter)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80"/>
        <w:gridCol w:w="2615"/>
        <w:gridCol w:w="1775"/>
      </w:tblGrid>
      <w:tr>
        <w:trPr/>
        <w:tc>
          <w:tcPr>
            <w:tcW w:w="2480" w:type="dxa"/>
            <w:tcBorders/>
            <w:vAlign w:val="center"/>
          </w:tcPr>
          <w:p>
            <w:pPr>
              <w:pStyle w:val="TableContents"/>
              <w:bidi w:val="0"/>
              <w:spacing w:before="0" w:after="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 xml:space="preserve">The </w:t>
            </w:r>
            <w:bookmarkStart w:id="5" w:name="xdx_903_edei--EntityIncorporationStateCo"/>
            <w:bookmarkEnd w:id="5"/>
            <w:r>
              <w:rPr>
                <w:rFonts w:ascii="Times New Roman;Times;Serif" w:hAnsi="Times New Roman;Times;Serif"/>
                <w:b/>
                <w:i w:val="false"/>
                <w:caps w:val="false"/>
                <w:smallCaps w:val="false"/>
                <w:color w:val="333333"/>
                <w:sz w:val="20"/>
              </w:rPr>
              <w:t>Netherlands</w:t>
            </w:r>
          </w:p>
        </w:tc>
        <w:tc>
          <w:tcPr>
            <w:tcW w:w="2615" w:type="dxa"/>
            <w:tcBorders/>
            <w:vAlign w:val="center"/>
          </w:tcPr>
          <w:p>
            <w:pPr>
              <w:pStyle w:val="TableContents"/>
              <w:bidi w:val="0"/>
              <w:spacing w:before="0" w:after="0"/>
              <w:jc w:val="center"/>
              <w:rPr>
                <w:rFonts w:ascii="Times New Roman;Times;Serif" w:hAnsi="Times New Roman;Times;Serif"/>
                <w:b/>
                <w:i w:val="false"/>
                <w:caps w:val="false"/>
                <w:smallCaps w:val="false"/>
                <w:color w:val="333333"/>
                <w:sz w:val="20"/>
              </w:rPr>
            </w:pPr>
            <w:bookmarkStart w:id="6" w:name="xdx_904_edei--EntityFileNumber_c20260831"/>
            <w:bookmarkEnd w:id="6"/>
            <w:r>
              <w:rPr>
                <w:rFonts w:ascii="Times New Roman;Times;Serif" w:hAnsi="Times New Roman;Times;Serif"/>
                <w:b/>
                <w:i w:val="false"/>
                <w:caps w:val="false"/>
                <w:smallCaps w:val="false"/>
                <w:color w:val="333333"/>
                <w:sz w:val="20"/>
              </w:rPr>
              <w:t>001-41066</w:t>
            </w:r>
          </w:p>
        </w:tc>
        <w:tc>
          <w:tcPr>
            <w:tcW w:w="1775" w:type="dxa"/>
            <w:tcBorders/>
            <w:vAlign w:val="center"/>
          </w:tcPr>
          <w:p>
            <w:pPr>
              <w:pStyle w:val="TableContents"/>
              <w:bidi w:val="0"/>
              <w:spacing w:before="0" w:after="0"/>
              <w:jc w:val="center"/>
              <w:rPr>
                <w:rFonts w:ascii="Times New Roman;Times;Serif" w:hAnsi="Times New Roman;Times;Serif"/>
                <w:b/>
                <w:i w:val="false"/>
                <w:caps w:val="false"/>
                <w:smallCaps w:val="false"/>
                <w:color w:val="333333"/>
                <w:sz w:val="20"/>
              </w:rPr>
            </w:pPr>
            <w:bookmarkStart w:id="7" w:name="xdx_90F_edei--EntityTaxIdentificationNum"/>
            <w:bookmarkEnd w:id="7"/>
            <w:r>
              <w:rPr>
                <w:rFonts w:ascii="Times New Roman;Times;Serif" w:hAnsi="Times New Roman;Times;Serif"/>
                <w:b/>
                <w:i w:val="false"/>
                <w:caps w:val="false"/>
                <w:smallCaps w:val="false"/>
                <w:color w:val="333333"/>
                <w:sz w:val="20"/>
              </w:rPr>
              <w:t>98-1828632</w:t>
            </w:r>
          </w:p>
        </w:tc>
      </w:tr>
      <w:tr>
        <w:trPr/>
        <w:tc>
          <w:tcPr>
            <w:tcW w:w="2480" w:type="dxa"/>
            <w:tcBorders/>
            <w:vAlign w:val="center"/>
          </w:tcPr>
          <w:p>
            <w:pPr>
              <w:pStyle w:val="TableContents"/>
              <w:bidi w:val="0"/>
              <w:jc w:val="center"/>
              <w:rPr/>
            </w:pPr>
            <w:r>
              <w:rPr/>
              <w:t>(State or other jurisdiction</w:t>
            </w:r>
          </w:p>
          <w:p>
            <w:pPr>
              <w:pStyle w:val="TableContents"/>
              <w:bidi w:val="0"/>
              <w:spacing w:before="0" w:after="283"/>
              <w:jc w:val="center"/>
              <w:rPr/>
            </w:pPr>
            <w:r>
              <w:rPr/>
              <w:t>of 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jc w:val="center"/>
              <w:rPr/>
            </w:pPr>
            <w:r>
              <w:rPr/>
              <w:t>(IRS Employer</w:t>
            </w:r>
          </w:p>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755"/>
        <w:gridCol w:w="1085"/>
      </w:tblGrid>
      <w:tr>
        <w:trPr/>
        <w:tc>
          <w:tcPr>
            <w:tcW w:w="3755" w:type="dxa"/>
            <w:tcBorders/>
            <w:vAlign w:val="center"/>
          </w:tcPr>
          <w:p>
            <w:pPr>
              <w:pStyle w:val="TableContents"/>
              <w:bidi w:val="0"/>
              <w:jc w:val="center"/>
              <w:rPr/>
            </w:pPr>
            <w:bookmarkStart w:id="8" w:name="xdx_90F_edei--EntityAddressAddressLine1_"/>
            <w:bookmarkEnd w:id="8"/>
            <w:r>
              <w:rPr/>
              <w:t>4965 Trinidad Drive</w:t>
            </w:r>
          </w:p>
          <w:p>
            <w:pPr>
              <w:pStyle w:val="TableContents"/>
              <w:bidi w:val="0"/>
              <w:spacing w:before="0" w:after="283"/>
              <w:jc w:val="center"/>
              <w:rPr/>
            </w:pPr>
            <w:bookmarkStart w:id="9" w:name="xdx_909_edei--EntityAddressCityOrTown_c2"/>
            <w:bookmarkEnd w:id="9"/>
            <w:r>
              <w:rPr/>
              <w:t xml:space="preserve">Land O’ Lakes, </w:t>
            </w:r>
            <w:bookmarkStart w:id="10" w:name="xdx_900_edei--EntityAddressStateOrProvin"/>
            <w:bookmarkEnd w:id="10"/>
            <w:r>
              <w:rPr/>
              <w:t>FL</w:t>
            </w:r>
          </w:p>
        </w:tc>
        <w:tc>
          <w:tcPr>
            <w:tcW w:w="1085" w:type="dxa"/>
            <w:tcBorders/>
            <w:vAlign w:val="center"/>
          </w:tcPr>
          <w:p>
            <w:pPr>
              <w:pStyle w:val="TableContents"/>
              <w:bidi w:val="0"/>
              <w:spacing w:before="0" w:after="283"/>
              <w:jc w:val="center"/>
              <w:rPr/>
            </w:pPr>
            <w:bookmarkStart w:id="11" w:name="xdx_90C_edei--EntityAddressPostalZipCode"/>
            <w:bookmarkEnd w:id="11"/>
            <w:r>
              <w:rPr/>
              <w:t>34639</w:t>
            </w:r>
          </w:p>
        </w:tc>
      </w:tr>
      <w:tr>
        <w:trPr/>
        <w:tc>
          <w:tcPr>
            <w:tcW w:w="375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33333"/>
          <w:sz w:val="20"/>
        </w:rPr>
        <w:t>+</w:t>
      </w:r>
      <w:r>
        <w:rPr>
          <w:rFonts w:ascii="Times New Roman;Times;Serif" w:hAnsi="Times New Roman;Times;Serif"/>
          <w:b w:val="false"/>
          <w:i w:val="false"/>
          <w:caps w:val="false"/>
          <w:smallCaps w:val="false"/>
          <w:sz w:val="20"/>
        </w:rPr>
        <w:t xml:space="preserve">1 </w:t>
      </w:r>
      <w:bookmarkStart w:id="12" w:name="xdx_90A_edei--CityAreaCode_c20260831__20"/>
      <w:bookmarkEnd w:id="12"/>
      <w:r>
        <w:rPr>
          <w:rFonts w:ascii="Times New Roman;Times;Serif" w:hAnsi="Times New Roman;Times;Serif"/>
          <w:b w:val="false"/>
          <w:i w:val="false"/>
          <w:caps w:val="false"/>
          <w:smallCaps w:val="false"/>
          <w:sz w:val="20"/>
        </w:rPr>
        <w:t>352-</w:t>
      </w:r>
      <w:bookmarkStart w:id="13" w:name="xdx_901_edei--LocalPhoneNumber_c20260831"/>
      <w:bookmarkEnd w:id="13"/>
      <w:r>
        <w:rPr>
          <w:rFonts w:ascii="Times New Roman;Times;Serif" w:hAnsi="Times New Roman;Times;Serif"/>
          <w:b w:val="false"/>
          <w:i w:val="false"/>
          <w:caps w:val="false"/>
          <w:smallCaps w:val="false"/>
          <w:sz w:val="20"/>
        </w:rPr>
        <w:t>502-1191</w:t>
      </w:r>
    </w:p>
    <w:p>
      <w:pPr>
        <w:pStyle w:val="TextBody"/>
        <w:bidi w:val="0"/>
        <w:spacing w:before="0" w:after="0"/>
        <w:ind w:left="0" w:right="0" w:hanging="0"/>
        <w:jc w:val="center"/>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(Registrant’s telephone number, including area code)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283"/>
              <w:jc w:val="left"/>
              <w:rPr/>
            </w:pPr>
            <w:bookmarkStart w:id="14" w:name="xdx_902_edei--WrittenCommunications_c202"/>
            <w:bookmarkEnd w:id="14"/>
            <w:r>
              <w:rPr/>
              <w:t>☒</w:t>
            </w:r>
          </w:p>
        </w:tc>
        <w:tc>
          <w:tcPr>
            <w:tcW w:w="8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283"/>
              <w:jc w:val="left"/>
              <w:rPr/>
            </w:pPr>
            <w:bookmarkStart w:id="15" w:name="xdx_90B_edei--SolicitingMaterial_c202608"/>
            <w:bookmarkEnd w:id="15"/>
            <w:r>
              <w:rPr/>
              <w:t>☐</w:t>
            </w:r>
          </w:p>
        </w:tc>
        <w:tc>
          <w:tcPr>
            <w:tcW w:w="854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6" w:name="xdx_901_edei--PreCommencementTenderOffer"/>
            <w:bookmarkEnd w:id="16"/>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7" w:name="xdx_908_edei--PreCommencementIssuerTende"/>
            <w:bookmarkEnd w:id="17"/>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Securities registered pursuant to Section 12(b) of the Act:</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bookmarkStart w:id="18" w:name="xdx_90E_edei--Security12bTitle_c20260831"/>
            <w:bookmarkEnd w:id="18"/>
            <w:r>
              <w:rPr>
                <w:rFonts w:ascii="Times New Roman;Times;Serif" w:hAnsi="Times New Roman;Times;Serif"/>
                <w:b w:val="false"/>
                <w:i w:val="false"/>
                <w:caps w:val="false"/>
                <w:smallCaps w:val="false"/>
                <w:color w:val="333333"/>
                <w:sz w:val="20"/>
              </w:rPr>
              <w:t>Ordinary shares</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bookmarkStart w:id="19" w:name="xdx_902_edei--TradingSymbol_c20260831__2"/>
            <w:bookmarkEnd w:id="19"/>
            <w:r>
              <w:rPr>
                <w:rFonts w:ascii="Times New Roman;Times;Serif" w:hAnsi="Times New Roman;Times;Serif"/>
                <w:b w:val="false"/>
                <w:i w:val="false"/>
                <w:caps w:val="false"/>
                <w:smallCaps w:val="false"/>
                <w:color w:val="333333"/>
                <w:sz w:val="20"/>
              </w:rPr>
              <w:t>SSM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bookmarkStart w:id="20" w:name="xdx_905_edei--SecurityExchangeName_c2026"/>
            <w:bookmarkEnd w:id="20"/>
            <w:r>
              <w:rPr>
                <w:rFonts w:ascii="Times New Roman;Times;Serif" w:hAnsi="Times New Roman;Times;Serif"/>
                <w:b w:val="false"/>
                <w:i w:val="false"/>
                <w:caps w:val="false"/>
                <w:smallCaps w:val="false"/>
                <w:color w:val="333333"/>
                <w:sz w:val="20"/>
              </w:rPr>
              <w:t>The Nasdaq Stock Market LLC</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right"/>
        <w:rPr>
          <w:rFonts w:ascii="Calibri;Helvetica;Sans-Serif" w:hAnsi="Calibri;Helvetica;San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 xml:space="preserve">Emerging growth company </w:t>
      </w:r>
      <w:bookmarkStart w:id="21" w:name="xdx_904_edei--EntityEmergingGrowthCompan"/>
      <w:bookmarkEnd w:id="21"/>
      <w:r>
        <w:rPr>
          <w:rFonts w:ascii="Calibri;Helvetica;Sans-Serif" w:hAnsi="Calibri;Helvetica;Sans-Serif"/>
          <w:b w:val="false"/>
          <w:i w:val="false"/>
          <w:caps w:val="false"/>
          <w:smallCaps w:val="false"/>
          <w:color w:val="333333"/>
          <w:sz w:val="20"/>
        </w:rPr>
        <w:t>☒</w:t>
      </w:r>
    </w:p>
    <w:p>
      <w:pPr>
        <w:pStyle w:val="TextBody"/>
        <w:shd w:fill="FFFFFF" w:val="clear"/>
        <w:bidi w:val="0"/>
        <w:spacing w:before="0" w:after="0"/>
        <w:ind w:left="0" w:right="0" w:hanging="0"/>
        <w:jc w:val="righ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C_edei--EntityExTransitionPeriod_c"/>
      <w:bookmarkEnd w:id="22"/>
      <w:r>
        <w:rPr>
          <w:rFonts w:ascii="Times New Roman;Times;Serif" w:hAnsi="Times New Roman;Times;Serif"/>
          <w:b w:val="false"/>
          <w:i w:val="false"/>
          <w:caps w:val="false"/>
          <w:smallCaps w:val="false"/>
          <w:color w:val="333333"/>
          <w:sz w:val="20"/>
        </w:rPr>
        <w:t>☐</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Sono Group N.V.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Share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with certain private purchasers (each, a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pursuant to which the Company agreed to issue and sell to the Purchasers, and the Purchasers agreed to purchase from the Company, an aggregate of 283,500 Ordinary Shares of the Company (the “</w:t>
      </w:r>
      <w:r>
        <w:rPr>
          <w:rFonts w:ascii="Times New Roman;Times;Serif" w:hAnsi="Times New Roman;Times;Serif"/>
          <w:b/>
          <w:i/>
          <w:caps w:val="false"/>
          <w:smallCaps w:val="false"/>
          <w:sz w:val="20"/>
        </w:rPr>
        <w:t>Purchased Shares</w:t>
      </w:r>
      <w:r>
        <w:rPr>
          <w:rFonts w:ascii="Times New Roman;Times;Serif" w:hAnsi="Times New Roman;Times;Serif"/>
          <w:b w:val="false"/>
          <w:i w:val="false"/>
          <w:caps w:val="false"/>
          <w:smallCaps w:val="false"/>
          <w:sz w:val="20"/>
        </w:rPr>
        <w:t>”) at a per share purchase price equal to the consolidated closing bid price of the Ordinary Shares on the Nasdaq Capital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on the day immediately preceding the date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Shares are being offered and sold pursuant to the Company’s effective registration statement on Form S-3 (File No. 333-295804) previously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a prospectus supplement to be filed with the SEC pursuant to Rule 424(b)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Pursuant to the Purchase Agreement, the Company may not issue Ordinary Shares in excess of 19.9% of the aggregate voting power or 19.9% of the total outstanding Ordinary Shares, in accordance with applicable Nasdaq Stock Market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of the Company and the Purchasers, as well as customary closing conditions and indemnification rights. Under the Purchase Agreement, the Company agreed to use the net proceeds from the sale of the Purchased Shares for working capital and general corporate purposes and not to use such proceeds: (a) for the satisfaction of any portion of the Company’s debt (other than payment of trade payables in the ordinary course of the Company’s business and prior practices), (b) for the redemption of any Ordinary Shares, (c) for the settlement of any outstanding litigation, or (d) in violation of the Foreign Corrupt Practices Act of 1977, as amended, or the regulations promulgated by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Share Purchase Agreement does not purport to be complete and is qualified in its entirety by reference to the full text of the Share Purchase Agreement,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of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1.01 above, the Purchased Shares are being offered and sold pursuant to the Company’s effective registration statement on Form S-3 (File No. 333-295804) previously filed with the SEC and a prospectus supplement to be filed with the SEC pursuant to Rule 424(b) under the Securities Act. The Company has applied to list the Purchased Shares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Sports One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and Sports One (“</w:t>
      </w:r>
      <w:r>
        <w:rPr>
          <w:rFonts w:ascii="Times New Roman;Times;Serif" w:hAnsi="Times New Roman;Times;Serif"/>
          <w:b/>
          <w:i/>
          <w:caps w:val="false"/>
          <w:smallCaps w:val="false"/>
          <w:sz w:val="20"/>
        </w:rPr>
        <w:t>Sports One</w:t>
      </w:r>
      <w:r>
        <w:rPr>
          <w:rFonts w:ascii="Times New Roman;Times;Serif" w:hAnsi="Times New Roman;Times;Serif"/>
          <w:b w:val="false"/>
          <w:i w:val="false"/>
          <w:caps w:val="false"/>
          <w:smallCaps w:val="false"/>
          <w:sz w:val="20"/>
        </w:rPr>
        <w:t>”), that has recently been formed to operate a sports intelligence business that provides real-time athlete-level data, social media value scoring, and quantified data for what each athlete is worth to sponsors, and which also intends to acquire and hold minority interests in professional sports teams with primary focus on the NBA, NFL, MLB and NHL, issued a joint press release, which is attached as Exhibit 99.1 hereto, announcing that they have entered into a non-binding letter of intent (the “</w:t>
      </w:r>
      <w:r>
        <w:rPr>
          <w:rFonts w:ascii="Times New Roman;Times;Serif" w:hAnsi="Times New Roman;Times;Serif"/>
          <w:b/>
          <w:i/>
          <w:caps w:val="false"/>
          <w:smallCaps w:val="false"/>
          <w:sz w:val="20"/>
        </w:rPr>
        <w:t>Letter of Intent</w:t>
      </w:r>
      <w:r>
        <w:rPr>
          <w:rFonts w:ascii="Times New Roman;Times;Serif" w:hAnsi="Times New Roman;Times;Serif"/>
          <w:b w:val="false"/>
          <w:i w:val="false"/>
          <w:caps w:val="false"/>
          <w:smallCaps w:val="false"/>
          <w:sz w:val="20"/>
        </w:rPr>
        <w:t>”) for a business combination. The Sports One sports intelligence business combines AI intellectual property and proprietary intelligence that does not currently exist in the market, enabling athletes as a new asset category and supports operating decisions for teams / universities (NIL), betting/prediction companies, and brands, among others. Through the business combination, Sports One will become a publicly listed company with a business that is uniquely anchored by long-term ownership of minority interests in major sports franchises, with the optionality provided by a scalable data-and-intelligence operation that opens up new categories for athlete engagement and value benchmarking. Unlike a traditional private investment fund with a fixed lifespan, the public permanent-capital structure will allow Sports One to hold and scale team interests indefinitely. Sports franchise interests have historically been difficult to access and remain highly illiquid. Sports One's publicly-traded approach will provide investors with daily liquidity, and exposure across a diversified portfolio of the major sports team and league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Letter of Intent, the Company and Sports One intend to enter into a definitive agreement pursuant to which the Company and Sports One would combine, with the former equityholders of both entities holding equity in the combined public company listed on a national stock exchange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 and with Sports One’s existing equityholders owning a super-majority of the equity in the Surviving Company. The final terms of the definitive agreement are subject to the completion of due diligence to the Company’s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business combination is subject to the negotiation and execution of definitive documentation and satisfaction of customary closing conditions stated in the Letter of Intent, including (i) completion of any required regulatory review and (ii) approval of the transaction by the Company’s shareholders. Accordingly, no assurances can be made that the parties will successfully negotiate and enter into a definitive agreement, or that the proposed transaction will be consummated on the terms or timeframe currently contemplated,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Intent, the sole holder of the Company’s preferred shares, YA II PN, Ltd., has entered into a call option agreement with affiliates of Sports One to enable such parties to acquire approximately half of the issued and outstanding preferred shares currently held by YA II PN, Ltd. to the extent that such parties exercise the option provided for in such call option agreement prior to the expiration of such option fifteen calendar days after the closing of the business combination contemplated by the Letter of Intent. Pursuant to the call option agreement, YA II PN, Ltd. has agreed not to dispose of the 700 preferred shares subject to the call option agreement or to convert them to ordinary shares or shares of common stock prior to the expiration of the call option. There are no other restrictions on any shares held by YA II PN,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Intent, each of the Purchasers has entered into a lock-up agreement with Sports One, pursuant to which each such Purchaser has agreed not to transfer the Purchased Shares for a period of 180 days, subject to waiver upon the satisfaction of certain conditions. The Company is not a party to the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definitive agreement is entered into in connection with the proposed business combination, the Company and Sports One will prepare a proxy statement/prospectus (the “</w:t>
      </w:r>
      <w:r>
        <w:rPr>
          <w:rFonts w:ascii="Times New Roman;Times;Serif" w:hAnsi="Times New Roman;Times;Serif"/>
          <w:b/>
          <w:i/>
          <w:caps w:val="false"/>
          <w:smallCaps w:val="false"/>
          <w:sz w:val="20"/>
        </w:rPr>
        <w:t>proxy statement/prospectus</w:t>
      </w:r>
      <w:r>
        <w:rPr>
          <w:rFonts w:ascii="Times New Roman;Times;Serif" w:hAnsi="Times New Roman;Times;Serif"/>
          <w:b w:val="false"/>
          <w:i w:val="false"/>
          <w:caps w:val="false"/>
          <w:smallCaps w:val="false"/>
          <w:sz w:val="20"/>
        </w:rPr>
        <w:t>”) to be filed with the United States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mailed to the Company’s shareholders. The Company and Sports One urge investors and other interested persons to read, when available, the proxy statement/prospectus, as well as other documents filed with the SEC, because these documents will contain important information about the proposed business combination. Such persons can also read the Company’s Annual Report on Form 10-K for the fiscal year ended December 31, 2025 (the “</w:t>
      </w:r>
      <w:r>
        <w:rPr>
          <w:rFonts w:ascii="Times New Roman;Times;Serif" w:hAnsi="Times New Roman;Times;Serif"/>
          <w:b/>
          <w:i/>
          <w:caps w:val="false"/>
          <w:smallCaps w:val="false"/>
          <w:sz w:val="20"/>
        </w:rPr>
        <w:t>Annual Report</w:t>
      </w:r>
      <w:r>
        <w:rPr>
          <w:rFonts w:ascii="Times New Roman;Times;Serif" w:hAnsi="Times New Roman;Times;Serif"/>
          <w:b w:val="false"/>
          <w:i w:val="false"/>
          <w:caps w:val="false"/>
          <w:smallCaps w:val="false"/>
          <w:sz w:val="20"/>
        </w:rPr>
        <w:t>”), for a description of the security holdings of its officers and directors and their respective interests as security holders in the consummation of the transactions described herein. The proxy statement statement/prospectus, once available, and the Annual Report can be obtained, without charge, at the SEC’s web site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Sports One, and their respective directors, executive officers, and certain other members of management and employees may be deemed participants in any solicitation of proxies from the Company’s shareholders in connection with the proposed transaction. Information regarding the Company’s directors and executive officers is contained in the Company’s filings with the SEC. Additional information regarding the interests of such participants in the proposed transaction, which may, in some cases, be different than those of the Company’s and Sports One ’s equityholders generally, will be included in any proxy statement, registration statement, prospectus, or other relevant documents filed with the SEC if and when such documents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certain forward-looking statements within the meaning of the Private Securities Litigation Reform Act of 1995, Section 27A of the Securities Act of 1933, as amended, and Section 21E of the Securities Exchange Act of 1934, as amended and other applicable securities laws. Forward-looking statements include, but are not limited to, statements regarding the proposed business combination between Sports One and the Company,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 investments, or organic growth initiatives, the proposed acquisition of minority interests in major sports franchises, the anticipated benefits of the proposed transaction, Sports One’s business strategy, market opportunities, growth prospects, technological development plans, acquisition strategy and future operating performance. Forward-looking statements generally may be identified by the use of words such as “anticipate,” “believe,” "contemplate," “continue,” “could,” “estimate,” “expect,” “forecast,” “intends,” “may,” “might,” “plan,’" "possible," “potential,” “predict,” “project,” “seek,” “should,” “target,” “will,” “would,” and similar expressions, although not all forward-looking statements contain such words. These forward-looking statements are based on current expectations, estimates, forecasts, assumptions, and projections about future events and are subject to numerous risks and uncertainties, many of which are beyond the control of Sports One and the Company. Actual results may differ materially from those expressed or implied by such forward-looking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Sports One to successfully develop and commercialize its sports intelligence business, or to acquire and integrate minority interests in major sports franchises; the ability to realize anticipated synergies or benefits from acquisitions, strategic investments, or asset contributions; the ability to achieve projected growth objectives, valuation targets, operational milestones, or market opportunities; the future adoption, commercialization, and market acceptance of a sports intelligence business; and other risks and uncertainties that may be identified in any past or future filings made by the parties with the SEC in connection with the proposed transaction. Any references in this Current Report on Form 8-K to anticipated enterprise values, future valuation objectives, acquisition opportunities, strategic growth initiatives, market opportunities, expected benefits, or long-term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 The proposed transaction is currently subject to a non-binding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 Readers are cautioned not to place undue reliance on forward-looking statements, which speak only as of the date of this Current Report on Form 8-K. Sports One and the Company expressly disclaim any obligation or undertaking to update, revise, or publicly release any revisions to any forward-looking statements, whether as a result of new information, future events, changed circumstances,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Exhibits.</w:t>
      </w:r>
      <w:r>
        <w:rPr>
          <w:rFonts w:ascii="Times New Roman;Times;Serif" w:hAnsi="Times New Roman;Times;Serif"/>
          <w:b w:val="false"/>
          <w:i w:val="false"/>
          <w:caps w:val="false"/>
          <w:smallCaps w:val="false"/>
          <w:sz w:val="20"/>
        </w:rPr>
        <w:t xml:space="preserve"> The following exhibits are filed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50"/>
        <w:gridCol w:w="60"/>
        <w:gridCol w:w="909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 of Exhibit</w:t>
            </w:r>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pPr>
            <w:hyperlink w:anchor="exh_101.htm">
              <w:r>
                <w:rPr>
                  <w:rStyle w:val="InternetLink"/>
                  <w:rFonts w:ascii="Times New Roman;Times;Serif" w:hAnsi="Times New Roman;Times;Serif"/>
                  <w:b w:val="false"/>
                  <w:i w:val="false"/>
                  <w:caps w:val="false"/>
                  <w:smallCaps w:val="false"/>
                  <w:sz w:val="20"/>
                </w:rPr>
                <w:t>10.1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pPr>
            <w:hyperlink w:anchor="exh_101.htm">
              <w:r>
                <w:rPr>
                  <w:rStyle w:val="InternetLink"/>
                  <w:rFonts w:ascii="Times New Roman;Times;Serif" w:hAnsi="Times New Roman;Times;Serif"/>
                  <w:b w:val="false"/>
                  <w:i w:val="false"/>
                  <w:caps w:val="false"/>
                  <w:smallCaps w:val="false"/>
                  <w:sz w:val="20"/>
                </w:rPr>
                <w:t>Share Purchase Agreement, dated August 31, 2026, between Sono Group N.V. and the Purchasers named therein.</w:t>
              </w:r>
            </w:hyperlink>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pPr>
            <w:hyperlink w:anchor="exh_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pPr>
            <w:hyperlink w:anchor="exh_991.htm">
              <w:r>
                <w:rPr>
                  <w:rStyle w:val="InternetLink"/>
                  <w:rFonts w:ascii="Times New Roman;Times;Serif" w:hAnsi="Times New Roman;Times;Serif"/>
                  <w:b w:val="false"/>
                  <w:i w:val="false"/>
                  <w:caps w:val="false"/>
                  <w:smallCaps w:val="false"/>
                  <w:sz w:val="20"/>
                </w:rPr>
                <w:t>Press Release, dated August 31, 2026.</w:t>
              </w:r>
            </w:hyperlink>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5" w:type="dxa"/>
        <w:jc w:val="left"/>
        <w:tblInd w:w="0" w:type="dxa"/>
        <w:tblLayout w:type="fixed"/>
        <w:tblCellMar>
          <w:top w:w="0" w:type="dxa"/>
          <w:left w:w="0" w:type="dxa"/>
          <w:bottom w:w="0" w:type="dxa"/>
          <w:right w:w="0" w:type="dxa"/>
        </w:tblCellMar>
      </w:tblPr>
      <w:tblGrid>
        <w:gridCol w:w="75"/>
        <w:gridCol w:w="260"/>
        <w:gridCol w:w="590"/>
        <w:gridCol w:w="2360"/>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Managing Director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xh_101.htm"/>
      <w:bookmarkStart w:id="24" w:name="ksexh_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August 31, 2026, by and between Sono Group N.V., a public company with limited liability under Dutch law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that, upon the terms and subject to the conditions and limitations set forth herein, the Company desires to issue and sell to the Purchasers, and the Purchasers desire to purchase from the Company, an aggregate of 283,500 Ordinary Shares of the Company as more fully described in this Agreement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such sale of the Purchased Shares by the Company to the Purchasers will be made pursuant to an effective registration statement on Form S-3 previously filed by the Company with the Commission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for all purposes of this Agreement,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management board of the Company (or, where the context requires, the management board acting with the approval of the supervisory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means the closing of the purchase and sale of the Purchased Shares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Purchased Shares, in each case, have been satisfied or waived, but in no event later than the second (2nd) Trading Day following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DLA Piper LLP (US).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par value €0.01 per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means a price per Ordinary Share equal to the consolidated closing bid price (or, if no consolidated closing bid price is reported, the last sale price) of the Ordinary Shares on the Trading Market immediately preceding the signing of this Agreement, subject to adjustment for reverse and forward stock splits, stock dividends, stock combinations and other similar transactions of the Ordinary Shares that occur after the date of this Agreement and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base prospectus included in the Registration Statement at the time it became originally effective, including all information, documents and exhibits filed with or incorporated by reference into such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on Form S-3 filed by the Company with the Commission (File No. 333-295804), including all information, documents and exhibits filed with or incorporated by reference into such registration statement, which registers the sale and issuance of the Purchased Shares to the Purchasers.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purchase price equal to the product of (a) the Ordinary Shares purchased by such Purchaser multiplied by (b) the Per Share Purchase Price, as set forth on the signature pages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Prospectus Supplement, all exhibits and schedules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28 Liberty Street, New York, NY 10005, USA,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Purchase and Sale of Ordinary Shares</w:t>
      </w:r>
      <w:r>
        <w:rPr>
          <w:rFonts w:ascii="Times New Roman;Times;Serif" w:hAnsi="Times New Roman;Times;Serif"/>
          <w:b w:val="false"/>
          <w:i w:val="false"/>
          <w:caps w:val="false"/>
          <w:smallCaps w:val="false"/>
          <w:sz w:val="20"/>
        </w:rPr>
        <w:t>. Upon the terms and subject to the conditions set forth herein, the Company agrees to sell, and the Purchasers, severally and not jointly, agree to purchase, the Purchased Shares for the Subscription Amount. Each Purchaser’s Subscription Amount as set forth on the signature pages hereto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xml:space="preserve">”) settlement with the Company or its designee. The Company shall deliver to each Purchaser its respective Purchased Shares constituting duly authorized, validly issued, fully paid and non-assessable Ordinary Shares, to be delivered to each such Purchaser as provided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the closing of the purchase and sale of the Purchased Shares hereunder shall take place at the offices of Company Counsel, or at such other location as the parties may agree (including remotely by electronic transmission). Settlement of the Purchased Shares shall occur via DVP (i.e., on the Closing Date, the Company shall issue the Purchased Shares registered in the Purchasers’ names and addresses and released by the Transfer Agent directly to the account(s) identified by each Purchaser, and payment therefor shall be made by wire transfer to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The Company shall not issue or sell any Ordinary Shares pursuant to this Agreement, and no Purchaser shall purchase or acquire any Ordinary Shares pursuant to this Agreement, to the extent that after giving effect thereto, the aggregate number of Ordinary Shares that would be issued pursuant to this Agreement and the transactions contemplated hereby would exceed such number of Ordinary Shares representing the lower of (i) 19.9% of the aggregate voting power of the Ordinary Shares and (ii) 19.9% of the total number of shares of issued and outstanding Ordinary Shares, in each case, calculated in accordance with the applicable rules of the Trading Market, which number of shares shall be reduced, on a share-for-share basis, by the number of Ordinary Shares issued or issuable pursuant to any transaction or series of transactions that may be aggregated with the transactions contemplated by this Agreement under applicable rules of the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Purchased Shares equal to such Purchaser’s Subscription Amount divided by the Per Share Purchase Price, registered in the name of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Prospectus and Prospectus Supplement (which may be delivered in accordance with Rule 172 under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 opinion of DLA Piper LLP (US) and DLA Piper Nederland N.V., counsel for the Company, dated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DVP settlement with the Company or its designee.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Schedules, which Disclosure Schedules shall be deemed a part hereof and shall qualify any representation or warranty made herein to the extent of the disclosure contained in the corresponding section of the Disclosure Schedules, the Company hereby makes the following representations and warranties to each Purchaser, as of the date hereof and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under the laws of the jurisdiction of its incorporation or organization, with the requisite power and authority to own and use its properties and assets and to carry on its business as currently conducted. Neither the Company nor any Subsidiary is in violation of nor in default under any of the provisions of its respective articles of association or other organizational or charter documents. Each of the Company and the Subsidiaries is duly qualified to conduct business in each jurisdiction in which the nature of the business conducted or property owned by it makes such qualification necessary, except where the failure to be so qualified,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 The Company and each of the Subsidiaries is duly qualified to do business and is in good standing under the laws of each jurisdiction in which the failure to so qualify would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including any required resolution of the Company’s management board and, to the extent required, supervisory board, and no further action is required by the Company, the Board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Purchased Shares and the consummation by it of the transactions contemplated hereby and thereby do not and will not (i) conflict with or violate any provision of the Company’s or any Subsidiary’s articles of association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this Agreement, (ii) the filing with the Commission of the Prospectus Supplement, (iii) the notice and/or application(s) to the Trading Market for the issuance and sale of the Purchased Shares and the listing of the Purchased Shares for trading thereon in the time and manner required thereby and (iv)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Issuance of the Purchased Shares; Registration</w:t>
      </w:r>
      <w:r>
        <w:rPr>
          <w:rFonts w:ascii="Times New Roman;Times;Serif" w:hAnsi="Times New Roman;Times;Serif"/>
          <w:b w:val="false"/>
          <w:i w:val="false"/>
          <w:caps w:val="false"/>
          <w:smallCaps w:val="false"/>
          <w:sz w:val="20"/>
        </w:rPr>
        <w:t>. The Purchased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a sufficient number of Ordinary Shares issuable pursuant to this Agreement. The Company has prepared and filed the Registration Statement, which became effective on May 14, 2026, in conformity with the requirements of the Securities Act, including the Prospectus, and such amendments and supplements thereto as may have been required to the date of this Agreement. The Company was at the time of the filing of the Registration Statement eligible to use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eligible to use Form S-3 under the Securities Act and it meets the transaction requirements with respect to the aggregate market value of Shares being sold pursuant to this offering and during the twelve (12) calendar months prior to this offering, as set forth in General Instruction I.B.1 of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the Company has not issued any capital stock since its most recently filed periodic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Purchased Shares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Purchased Shares will not obligate the Company or any Subsidiary to issue Ordinary Shares or other securities to any Person (other than the Purchasers).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Dutch law and all federal and state securities laws, and none of such outstanding shares was issued in violation of any preemptive rights or similar rights to subscribe for or purchase securities. No further approval or authorization of any shareholder, the Board or others is required for the issuance and sale of the Purchased Shares.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set forth in the SEC Reports or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Purchased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there is no Proceeding which (i) adversely affects or challenges the legality, validity or enforceability of any of the Transaction Documents or the Purchased Shares or (ii) would, if there were an unfavorable decision, have or reasonably be expected to result in a Material Adverse Effect. Neither the Company nor any Subsidiary, nor any director or officer thereof, is or has been the subject of any Proceeding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the Subsidiaries is in compliance in all material respects with all applicable federal, state, local and foreign laws, rules, regulations and orders, except where the failure to be in compliance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the failure to possess such rights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xml:space="preserve">. Except as set forth in the SEC Reports, and as set forth on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Purchased Shares, will not be required to be registered as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Ordinary Shares are currently eligible for electronic transfer through DWAC or another established clearing corporation and the Company is current in payment of the fees to DWAC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articles of association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Purchased Shares and the Purchasers’ ownership of the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in all material respects as of the date made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the Purchasers’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Purchased Shares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Except as set forth in the SEC Reports, and as set forth on </w:t>
      </w:r>
      <w:r>
        <w:rPr>
          <w:rFonts w:ascii="Times New Roman;Times;Serif" w:hAnsi="Times New Roman;Times;Serif"/>
          <w:b w:val="false"/>
          <w:i w:val="false"/>
          <w:caps w:val="false"/>
          <w:smallCaps w:val="false"/>
          <w:sz w:val="20"/>
          <w:u w:val="single"/>
        </w:rPr>
        <w:t>Schedule 3.26</w:t>
      </w:r>
      <w:r>
        <w:rPr>
          <w:rFonts w:ascii="Times New Roman;Times;Serif" w:hAnsi="Times New Roman;Times;Serif"/>
          <w:b w:val="false"/>
          <w:i w:val="false"/>
          <w:caps w:val="false"/>
          <w:smallCaps w:val="false"/>
          <w:sz w:val="20"/>
        </w:rPr>
        <w:t>, the Company has not filed, and has not authorized the filing of, any petition for reorganization or liquidation under any bankruptcy, insolvency or similar law and is not the subject of any pending bankruptcy or insolvency proceeding.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therein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for borrowed money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3.27</w:t>
      </w:r>
      <w:r>
        <w:rPr>
          <w:rFonts w:ascii="Times New Roman;Times;Serif" w:hAnsi="Times New Roman;Times;Serif"/>
          <w:b w:val="false"/>
          <w:i w:val="false"/>
          <w:caps w:val="false"/>
          <w:smallCaps w:val="false"/>
          <w:sz w:val="20"/>
        </w:rPr>
        <w:t>, the Company and its Subsidiaries each has made or filed all United States federal, state and local income and all foreign income and franchise tax returns, reports and declarations required by any jurisdiction to which it is subject. Except for matters that would not, individually or in the aggregate, have or reasonably be expected to result in a Material Adverse Effect, the Company and its Subsidiaries each (i) has paid all taxes and other governmental assessments and charges that are material in amount, shown or determined to be due on such returns, reports and declarations, except those being contested in good faith, with respect to which adequate reserves have been set aside on the books of the Company, and (ii)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Grassi &amp; Co., CPAs, P.C. To the knowledge and belief of the Company, such accounting firm (i) is a registered public accounting firm as required by the Exchange Act and (ii) has expressed its opinion with respect to the financial statements included in the Company’s Annual Report for the fiscal year ending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Acknowledgment Regarding Purchasers’ Purchase of Purchased Shares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Purchased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Notwithstanding anything in this Agreement to the contrary,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Purchased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Purchased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Purchased Shares, (ii) sold, bid for, purchased, or, paid any compensation for soliciting purchases of, any of the Purchased Shares, or (iii) paid or agreed to pay to any Person any compensation for soliciting another to purchase any other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except for those as would not cause a Material Adverse Effect, and the Company and the Subsidiaries have not been notified of, and have no knowledge of any event or condition that would reasonably be expected to result in, any security breach or other compromise to its IT Systems and Data that would cause a Material Adverse Effect.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The Company and the Subsidiaries have implemented and maintained commercially reasonable safeguards to maintain and protect its material confidential information and the integrity, continuous operation, redundancy and security of all IT Systems and Data. The Company and the Subsidiaries have implemented backup and disaster recovery technology consistent with industry standards and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The Company and each of the Subsidiaries is in compliance in all material respects with all applicable data protection and privacy laws, rules and regulations applicable to the conduct of its business, including with respect to the collection, use, storage, disclosure, transfer and protection of personal data. The Company and each of the Subsidiaries maintains data security practices that are reasonably designed to protect the confidentiality, integrity and availability of personal data and other confidential information in its possession or control. Neither the Company nor any Subsidiary has experienced any material data breach or other security incident involving personal data, and neither the Company nor any Subsidiary has received any written notice of, or is subject to, any Proceeding or regulatory action by any governmental authority relating to data privacy or data protection, in each case except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3.36 </w:t>
      </w:r>
      <w:r>
        <w:rPr>
          <w:rFonts w:ascii="Times New Roman;Times;Serif" w:hAnsi="Times New Roman;Times;Serif"/>
          <w:b w:val="false"/>
          <w:i w:val="false"/>
          <w:caps w:val="false"/>
          <w:smallCaps w:val="false"/>
          <w:sz w:val="20"/>
          <w:u w:val="single"/>
        </w:rPr>
        <w:t>Office of Foreign Assets Control; Sanctions</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a Person that is, or is owned or controlled by a Person that is, the subject of any sanctions administered or enforced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any other relevant sanctions authority.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any Purchaser’s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3.39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Proceeding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3.40 </w:t>
      </w:r>
      <w:r>
        <w:rPr>
          <w:rFonts w:ascii="Times New Roman;Times;Serif" w:hAnsi="Times New Roman;Times;Serif"/>
          <w:b w:val="false"/>
          <w:i w:val="false"/>
          <w:caps w:val="false"/>
          <w:smallCaps w:val="false"/>
          <w:sz w:val="20"/>
          <w:u w:val="single"/>
        </w:rPr>
        <w:t>Compliance with Nasdaq Rules</w:t>
      </w:r>
      <w:r>
        <w:rPr>
          <w:rFonts w:ascii="Times New Roman;Times;Serif" w:hAnsi="Times New Roman;Times;Serif"/>
          <w:b w:val="false"/>
          <w:i w:val="false"/>
          <w:caps w:val="false"/>
          <w:smallCaps w:val="false"/>
          <w:sz w:val="20"/>
        </w:rPr>
        <w:t>. Since the uplisting of the Ordinary Shares of the Company to the Trading Market on September 5, 2025, there is and has been no failure on the part of the Company or, to the knowledge of the Company, any of the Company’s officers, directors or director nominees, in their capacities as such, to comply with (as and when applicable) the applicable requirements of the Nasdaq Marketplace Rules, including all applicable provisions of the Nasdaq corporate governance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3.41 </w:t>
      </w:r>
      <w:r>
        <w:rPr>
          <w:rFonts w:ascii="Times New Roman;Times;Serif" w:hAnsi="Times New Roman;Times;Serif"/>
          <w:b w:val="false"/>
          <w:i w:val="false"/>
          <w:caps w:val="false"/>
          <w:smallCaps w:val="false"/>
          <w:sz w:val="20"/>
          <w:u w:val="single"/>
        </w:rPr>
        <w:t>Dilutive Effect</w:t>
      </w:r>
      <w:r>
        <w:rPr>
          <w:rFonts w:ascii="Times New Roman;Times;Serif" w:hAnsi="Times New Roman;Times;Serif"/>
          <w:b w:val="false"/>
          <w:i w:val="false"/>
          <w:caps w:val="false"/>
          <w:smallCaps w:val="false"/>
          <w:sz w:val="20"/>
        </w:rPr>
        <w:t>. The Company is aware and acknowledges that issuance of the Purchased Shares could cause dilution to existing shareholders and could significantly increase the outstanding number of Ordinary Shares. The Company further acknowledges that its obligation to issue the Purchased Shares to the Purchasers pursuant to this Agreement is absolute and unconditional, regardless of the dilutive effect that such issuance may have on the ownership interests of other shareholders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3.42 </w:t>
      </w:r>
      <w:r>
        <w:rPr>
          <w:rFonts w:ascii="Times New Roman;Times;Serif" w:hAnsi="Times New Roman;Times;Serif"/>
          <w:b w:val="false"/>
          <w:i w:val="false"/>
          <w:caps w:val="false"/>
          <w:smallCaps w:val="false"/>
          <w:sz w:val="20"/>
          <w:u w:val="single"/>
        </w:rPr>
        <w:t>No Additional Representations or Warranties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none of the Company nor any of its Affiliates, nor any of their respective directors, managers, officers, employees, equityholders, partners, members or representatives has made, or is making, any representation or warranty whatsoever to any Purchaser, its respective Affiliates or any other Person and no such party shall be liable in respect of the accuracy or completeness of any information provided to any Purchaser, its respective Affiliates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REPRESENTATIONS AND WARRANTIES</w:t>
        <w:br/>
        <w:t>OF THE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Purchased Shares as principal for its own account and has no direct or indirect arrangement or understandings with any other persons to distribute or regarding the distribution of such Purchased Shares (this representation and warranty not limiting such Purchaser’s right to sell the Purchased Shares pursuant to the Registration Statement or otherwise in compliance with applicable federal and state securities laws). Such Purchaser is acquiring the Purchased Shares hereunder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Purchased Shares, it was, and as of the date hereof it is,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Purchased Shares, and has so evaluated the merits and risks of such investment. Such Purchaser is able to bear the economic risk of an investment in the Purchased Shares and, at the present time, is able to afford a complete loss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Purchased Shares and the merits and risks of investing in the Purchased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No Additional Representations or Warranties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none of such Purchaser nor any of its Affiliates, nor any of their respective directors, managers, officers, employees, equityholders, partners, members or representatives has made, or is making, any representation or warranty whatsoever to the Company, its respective Affiliates or any other Person and no such party shall be liable in respect of the accuracy or completeness of any information provided to the Company, its respective Affiliates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ADDITIONAL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time that no Purchaser owns Purchased Shares, the Company agrees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Purchased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Purchased Shares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Purchased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Company shall not settle any pending or threatened lawsuit, claim or proceeding without the prior written consent of the Purchasers (which consent shall not be unreasonably withheld or delayed), unless such settlement includes an unconditional release of all parties from all liability arising out of such lawsuit, claim or proceeding and does not impose any non-monetary obligation or restriction on the Company or any of its Subsidiaries. The indemnification required by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Purchased Shares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Listing of Ordinary Shares</w:t>
      </w:r>
      <w:r>
        <w:rPr>
          <w:rFonts w:ascii="Times New Roman;Times;Serif" w:hAnsi="Times New Roman;Times;Serif"/>
          <w:b w:val="false"/>
          <w:i w:val="false"/>
          <w:caps w:val="false"/>
          <w:smallCaps w:val="false"/>
          <w:sz w:val="20"/>
        </w:rPr>
        <w:t>. The Company hereby agrees to use best efforts to maintain the listing or quotation of the Ordinary Shares on the Trading Market on which it is currently listed, and concurrently with the Closing, the Company shall apply to list or quote all of the Purchased Shares on such Trading Market and promptly secure the listing of all of the Purchased Shares on such Trading Market. The Company further agrees, if the Company applies to have the Ordinary Shares traded on any other Trading Market, it will then include in such application all of the Purchased Shares, and will take such other action as is necessary to cause all of the Purchased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(iii) no Purchaser shall have any duty of confidentiality or duty not to trade in the securities of the Company to the Company, any of its Subsidiaries, or any of their respective officers, directors, employees, Affiliates or agents after the issuance of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and the Trading Market, if and as applicable, in accordance with their respective rules and regulations, of the transactions contemplated by the Transaction Documents, and shall take all necessary action, undertake all proceedings and obtain all registrations, permits, consents and approvals for the legal and valid issuance of the Purchased Shares to the Purchasers in accordance with the terms of the Transaction Documents,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During the term of this Agreement, the Company shall comply with all applicable provisions of the Securities Act and the Exchange Act, including Regulation M thereunder, and applicable listing rules of the Trading Market, in connection with the transactions contemplated by this Agreement. Each Purchaser shall comply with all applicable provisions of the Securities Act and the Exchange Act, including Regulation M thereunder,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No Frustration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Purchased Shares to the Purchasers on or before the Closing Date. For the avoidance of doubt, nothing in this Section shall in any way limit the Company’s right to terminate this Agreement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All Purchased Shares to be issued pursuant to this Agreement shall be issued free and clear of all restrictive legends, subject to compliance by the Purchasers with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CONDITIONS TO THE SALE AND PURCHASE OF THE PURCHASED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Company Closing Conditions</w:t>
      </w:r>
      <w:r>
        <w:rPr>
          <w:rFonts w:ascii="Times New Roman;Times;Serif" w:hAnsi="Times New Roman;Times;Serif"/>
          <w:b w:val="false"/>
          <w:i w:val="false"/>
          <w:caps w:val="false"/>
          <w:smallCaps w:val="false"/>
          <w:sz w:val="20"/>
        </w:rPr>
        <w:t>. The obligations of the Company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covenants and agreements of each Purchaser required to be performed at or prior to the Closing Date shall have been performed;</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delivery by each Purchaser of the items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shall have been no Material Adverse Effect with respect to any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statute, regulation, order, decree, writ, ruling or injunction shall have been enacted, entered, promulgated, threatened or endorsed by any court or governmental authority of competent jurisdiction which prohibits the consummation of or which would materially modify or delay any of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Proceeding before any arbitrator or any court or governmental authority shall have been commenced, and no inquiry or investigation by any governmental authority shall have been commenced, against any Purchaser or any Subsidiary of any Purchaser, or any of the officers, directors or Affiliates of any Purchaser or any Subsidiary of any Purchaser, seeking to restrain, prevent or change the transactions contemplated by the Transaction Documents, or seeking material damages in connection with such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Person shall have commenced a Proceeding against any Purchaser pursuant to or within the meaning of any applicable bankruptcy law, and no Purchaser shall have commenced a voluntary case, consented to the entry of an order for relief against it in an involuntary case, consented to the appointment of a custodian for all or substantially all of its property, or made a general assignment for the benefit of its creditors;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Purchaser shall have complied with all applicable federal, state and local governmental laws, rules, regulations and ordinances in connection with the execution, delivery and performance of this Agreement and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Purchaser Closing Conditions</w:t>
      </w:r>
      <w:r>
        <w:rPr>
          <w:rFonts w:ascii="Times New Roman;Times;Serif" w:hAnsi="Times New Roman;Times;Serif"/>
          <w:b w:val="false"/>
          <w:i w:val="false"/>
          <w:caps w:val="false"/>
          <w:smallCaps w:val="false"/>
          <w:sz w:val="20"/>
        </w:rPr>
        <w:t>. The respective obligations of the Purchasers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covenants and agreements of the Company required to be performed at or prior to the Closing Date shall have been performed;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delivery by the Company of the items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shall have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Purchased Shares at the Closing;</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statute, regulation, order, decree, writ, ruling or injunction shall have been enacted, entered, promulgated, threatened or endorsed by any court or governmental authority of competent jurisdiction which prohibits the consummation of or which would materially modify or delay any of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Proceeding before any arbitrator or any court or governmental authority shall have been commenced, and no inquiry or investigation by any governmental authority shall have been commenced, against the Company or any Subsidiary of the Company, or any of the officers, directors or Affiliates of the Company or any Subsidiary of the Company, seeking to restrain, prevent or change the transactions contemplated by the Transaction Documents, or seeking material damages in connection with such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of the Purchased Shares to be issued pursuant to this Agreement shall have been approved for listing or quotation on the Trading Market, subject only to notice of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Person shall have commenced a Proceeding against the Company pursuant to or within the meaning of any applicable bankruptcy law, and the Company shall not have commenced a voluntary case, consented to the entry of an order for relief against it in an involuntary case, consented to the appointment of a custodian for all or substantially all of its property, or made a general assignment for the benefit of its creditors;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complied with all applicable federal, state and local governmental laws, rules, regulations and ordinances in connection with the execution, delivery and performance of this Agreement and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Purchased Shares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demand, request, waiver or other communication required or permitted to be given hereunder shall be in writing and shall be effective (a) upon hand delivery or electronic mail delivery at the address or number designated below (if delivered on a Business Day during normal business hours where such notice is to be received), or the first (1st) Business Day following such delivery (if delivered other than on a Business Day during normal business hours where such notice is to be received) or (b) on the second (2nd) Business Day following the date of mailing by express courier service, fully prepaid, addressed to such address, or upon actual receipt of such mailing, whichever shall first occur. The address for such communications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Sono Group N.V.</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4965 Trinidad Drive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O’ Lakes, FL 34639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+1 352-502-1191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McGurn, Chief Executive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Mission St #2400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Jeffrey C. Selman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Purchaser: at the address set forth under such Purchaser’s name on the signature page 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from time to time change its address for notices by giving at least five (5) days’ advance written notice of such changed address to the other parties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Purchasers which purchased at least 50.1% in interest of the Purchased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be binding upon each Purchaser and holder of Purchased Shares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Purchased Shares, provided that such transferee agrees in writing to be bound, with respect to the transferred Purchased Shares,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court, that such Proceeding is improper or is an inconvenient venue for such Proceeding.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 Proceeding to enforce any provisions of the Transaction Documents, then, in addition to the obligations of the Company under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the prevailing party in such Proceeding shall be reimbursed by the non-prevailing party for its reasonable attorneys’ fees and other costs and expenses incurred with the investigation, preparation and prosecution of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t>
      </w:r>
      <w:r>
        <w:rPr>
          <w:rFonts w:ascii="Times New Roman;Times;Serif" w:hAnsi="Times New Roman;Times;Serif"/>
          <w:b w:val="false"/>
          <w:i w:val="false"/>
          <w:caps w:val="false"/>
          <w:smallCaps w:val="false"/>
          <w:sz w:val="20"/>
          <w:u w:val="single"/>
        </w:rPr>
        <w:t>www.docusign.com</w:t>
      </w:r>
      <w:r>
        <w:rPr>
          <w:rFonts w:ascii="Times New Roman;Times;Serif" w:hAnsi="Times New Roman;Times;Serif"/>
          <w:b w:val="false"/>
          <w:i w:val="false"/>
          <w:caps w:val="false"/>
          <w:smallCaps w:val="false"/>
          <w:sz w:val="20"/>
        </w:rPr>
        <w:t>)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Replacement of Purchased Shares</w:t>
      </w:r>
      <w:r>
        <w:rPr>
          <w:rFonts w:ascii="Times New Roman;Times;Serif" w:hAnsi="Times New Roman;Times;Serif"/>
          <w:b w:val="false"/>
          <w:i w:val="false"/>
          <w:caps w:val="false"/>
          <w:smallCaps w:val="false"/>
          <w:sz w:val="20"/>
        </w:rPr>
        <w:t>. If any certificate or instrument evidencing any Purchased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Proceeding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7.18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7.20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Purchased Shares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7.21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7.22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Notwithstanding anything else in this Agreement to the contrary,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Purchased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Purchased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3024" w:type="dxa"/>
        <w:jc w:val="left"/>
        <w:tblInd w:w="0" w:type="dxa"/>
        <w:tblLayout w:type="fixed"/>
        <w:tblCellMar>
          <w:top w:w="0" w:type="dxa"/>
          <w:left w:w="0" w:type="dxa"/>
          <w:bottom w:w="0" w:type="dxa"/>
          <w:right w:w="0" w:type="dxa"/>
        </w:tblCellMar>
      </w:tblPr>
      <w:tblGrid>
        <w:gridCol w:w="75"/>
        <w:gridCol w:w="650"/>
        <w:gridCol w:w="2205"/>
        <w:gridCol w:w="94"/>
      </w:tblGrid>
      <w:tr>
        <w:trPr/>
        <w:tc>
          <w:tcPr>
            <w:tcW w:w="75" w:type="dxa"/>
            <w:tcBorders/>
            <w:vAlign w:val="center"/>
          </w:tcPr>
          <w:p>
            <w:pPr>
              <w:pStyle w:val="TableContents"/>
              <w:bidi w:val="0"/>
              <w:spacing w:before="0" w:after="283"/>
              <w:jc w:val="left"/>
              <w:rPr/>
            </w:pPr>
            <w:r>
              <w:rPr/>
              <w:t> </w:t>
            </w:r>
          </w:p>
        </w:tc>
        <w:tc>
          <w:tcPr>
            <w:tcW w:w="2949" w:type="dxa"/>
            <w:gridSpan w:val="3"/>
            <w:tcBorders/>
            <w:vAlign w:val="center"/>
          </w:tcPr>
          <w:p>
            <w:pPr>
              <w:pStyle w:val="TableContents"/>
              <w:bidi w:val="0"/>
              <w:spacing w:before="0" w:after="283"/>
              <w:jc w:val="left"/>
              <w:rPr>
                <w:b/>
              </w:rPr>
            </w:pPr>
            <w:r>
              <w:rPr>
                <w:b/>
              </w:rPr>
              <w:t>SONO GROUP N.V.</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05" w:type="dxa"/>
            <w:tcBorders>
              <w:bottom w:val="single" w:sz="8" w:space="0" w:color="000000"/>
            </w:tcBorders>
            <w:tcMar>
              <w:bottom w:w="28" w:type="dxa"/>
            </w:tcMar>
            <w:vAlign w:val="center"/>
          </w:tcPr>
          <w:p>
            <w:pPr>
              <w:pStyle w:val="TableContents"/>
              <w:bidi w:val="0"/>
              <w:spacing w:before="0" w:after="283"/>
              <w:jc w:val="left"/>
              <w:rPr/>
            </w:pPr>
            <w:r>
              <w:rPr/>
              <w:t>/s/ Kevin McGurn</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99" w:type="dxa"/>
            <w:gridSpan w:val="2"/>
            <w:tcBorders/>
            <w:vAlign w:val="center"/>
          </w:tcPr>
          <w:p>
            <w:pPr>
              <w:pStyle w:val="TableContents"/>
              <w:bidi w:val="0"/>
              <w:spacing w:before="0" w:after="283"/>
              <w:jc w:val="left"/>
              <w:rPr/>
            </w:pPr>
            <w:r>
              <w:rPr/>
              <w:t>Kevin McGurn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99" w:type="dxa"/>
            <w:gridSpan w:val="2"/>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Chris Kelly</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15"/>
        <w:gridCol w:w="1385"/>
        <w:gridCol w:w="75"/>
      </w:tblGrid>
      <w:tr>
        <w:trPr/>
        <w:tc>
          <w:tcPr>
            <w:tcW w:w="2315" w:type="dxa"/>
            <w:tcBorders/>
            <w:vAlign w:val="center"/>
          </w:tcPr>
          <w:p>
            <w:pPr>
              <w:pStyle w:val="TableContents"/>
              <w:bidi w:val="0"/>
              <w:spacing w:before="0" w:after="283"/>
              <w:jc w:val="left"/>
              <w:rPr>
                <w:i/>
              </w:rPr>
            </w:pPr>
            <w:r>
              <w:rPr>
                <w:i/>
              </w:rPr>
              <w:t>Signature of Purchaser:</w:t>
            </w:r>
          </w:p>
        </w:tc>
        <w:tc>
          <w:tcPr>
            <w:tcW w:w="1385" w:type="dxa"/>
            <w:tcBorders>
              <w:bottom w:val="single" w:sz="8" w:space="0" w:color="000000"/>
            </w:tcBorders>
            <w:tcMar>
              <w:bottom w:w="28" w:type="dxa"/>
            </w:tcMar>
            <w:vAlign w:val="center"/>
          </w:tcPr>
          <w:p>
            <w:pPr>
              <w:pStyle w:val="TableContents"/>
              <w:bidi w:val="0"/>
              <w:spacing w:before="0" w:after="283"/>
              <w:jc w:val="left"/>
              <w:rPr/>
            </w:pPr>
            <w:r>
              <w:rPr/>
              <w:t>/s/ Chris Kelly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0"/>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56,180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Kelly Ventures I LP, a Delaware limited partnership</w:t>
      </w:r>
    </w:p>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4550"/>
        <w:gridCol w:w="1385"/>
        <w:gridCol w:w="75"/>
      </w:tblGrid>
      <w:tr>
        <w:trPr/>
        <w:tc>
          <w:tcPr>
            <w:tcW w:w="4550" w:type="dxa"/>
            <w:tcBorders/>
            <w:vAlign w:val="center"/>
          </w:tcPr>
          <w:p>
            <w:pPr>
              <w:pStyle w:val="TableContents"/>
              <w:bidi w:val="0"/>
              <w:spacing w:before="0" w:after="283"/>
              <w:jc w:val="left"/>
              <w:rPr>
                <w:i/>
              </w:rPr>
            </w:pPr>
            <w:r>
              <w:rPr>
                <w:i/>
              </w:rPr>
              <w:t>Signature of Authorized Signatory of Purchaser</w:t>
            </w:r>
          </w:p>
        </w:tc>
        <w:tc>
          <w:tcPr>
            <w:tcW w:w="1385" w:type="dxa"/>
            <w:tcBorders>
              <w:bottom w:val="single" w:sz="8" w:space="0" w:color="000000"/>
            </w:tcBorders>
            <w:tcMar>
              <w:bottom w:w="28" w:type="dxa"/>
            </w:tcMar>
            <w:vAlign w:val="center"/>
          </w:tcPr>
          <w:p>
            <w:pPr>
              <w:pStyle w:val="TableContents"/>
              <w:bidi w:val="0"/>
              <w:spacing w:before="0" w:after="283"/>
              <w:jc w:val="left"/>
              <w:rPr/>
            </w:pPr>
            <w:r>
              <w:rPr/>
              <w:t>/s/ Chris Kelly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Chris Kelly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$100,000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37,453</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Paul Misir</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15"/>
        <w:gridCol w:w="1265"/>
        <w:gridCol w:w="75"/>
      </w:tblGrid>
      <w:tr>
        <w:trPr/>
        <w:tc>
          <w:tcPr>
            <w:tcW w:w="2315" w:type="dxa"/>
            <w:tcBorders/>
            <w:vAlign w:val="center"/>
          </w:tcPr>
          <w:p>
            <w:pPr>
              <w:pStyle w:val="TableContents"/>
              <w:bidi w:val="0"/>
              <w:spacing w:before="0" w:after="283"/>
              <w:jc w:val="left"/>
              <w:rPr>
                <w:i/>
              </w:rPr>
            </w:pPr>
            <w:r>
              <w:rPr>
                <w:i/>
              </w:rPr>
              <w:t>Signature of Purchaser:</w:t>
            </w:r>
          </w:p>
        </w:tc>
        <w:tc>
          <w:tcPr>
            <w:tcW w:w="1265" w:type="dxa"/>
            <w:tcBorders>
              <w:bottom w:val="single" w:sz="8" w:space="0" w:color="000000"/>
            </w:tcBorders>
            <w:tcMar>
              <w:bottom w:w="28" w:type="dxa"/>
            </w:tcMar>
            <w:vAlign w:val="center"/>
          </w:tcPr>
          <w:p>
            <w:pPr>
              <w:pStyle w:val="TableContents"/>
              <w:bidi w:val="0"/>
              <w:spacing w:before="0" w:after="283"/>
              <w:jc w:val="left"/>
              <w:rPr/>
            </w:pPr>
            <w:r>
              <w:rPr/>
              <w:t>/s/ Paul Misir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$250,000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93,633</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Demetri Argyropoulos</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315"/>
        <w:gridCol w:w="2435"/>
        <w:gridCol w:w="75"/>
      </w:tblGrid>
      <w:tr>
        <w:trPr/>
        <w:tc>
          <w:tcPr>
            <w:tcW w:w="2315" w:type="dxa"/>
            <w:tcBorders/>
            <w:vAlign w:val="center"/>
          </w:tcPr>
          <w:p>
            <w:pPr>
              <w:pStyle w:val="TableContents"/>
              <w:bidi w:val="0"/>
              <w:spacing w:before="0" w:after="283"/>
              <w:jc w:val="left"/>
              <w:rPr>
                <w:i/>
              </w:rPr>
            </w:pPr>
            <w:r>
              <w:rPr>
                <w:i/>
              </w:rPr>
              <w:t>Signature of Purchaser:</w:t>
            </w:r>
          </w:p>
        </w:tc>
        <w:tc>
          <w:tcPr>
            <w:tcW w:w="2435" w:type="dxa"/>
            <w:tcBorders>
              <w:bottom w:val="single" w:sz="8" w:space="0" w:color="000000"/>
            </w:tcBorders>
            <w:tcMar>
              <w:bottom w:w="28" w:type="dxa"/>
            </w:tcMar>
            <w:vAlign w:val="center"/>
          </w:tcPr>
          <w:p>
            <w:pPr>
              <w:pStyle w:val="TableContents"/>
              <w:bidi w:val="0"/>
              <w:spacing w:before="0" w:after="283"/>
              <w:jc w:val="left"/>
              <w:rPr/>
            </w:pPr>
            <w:r>
              <w:rPr/>
              <w:t>/s/ Demetri Argyropoulos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$30,000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11,236</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Demetri Daphnis</w:t>
      </w:r>
    </w:p>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240"/>
        <w:gridCol w:w="1910"/>
        <w:gridCol w:w="75"/>
      </w:tblGrid>
      <w:tr>
        <w:trPr/>
        <w:tc>
          <w:tcPr>
            <w:tcW w:w="2240" w:type="dxa"/>
            <w:tcBorders/>
            <w:vAlign w:val="center"/>
          </w:tcPr>
          <w:p>
            <w:pPr>
              <w:pStyle w:val="TableContents"/>
              <w:bidi w:val="0"/>
              <w:spacing w:before="0" w:after="283"/>
              <w:jc w:val="left"/>
              <w:rPr>
                <w:i/>
              </w:rPr>
            </w:pPr>
            <w:r>
              <w:rPr>
                <w:i/>
              </w:rPr>
              <w:t>Signature of Purchaser</w:t>
            </w:r>
          </w:p>
        </w:tc>
        <w:tc>
          <w:tcPr>
            <w:tcW w:w="1910" w:type="dxa"/>
            <w:tcBorders>
              <w:bottom w:val="single" w:sz="8" w:space="0" w:color="000000"/>
            </w:tcBorders>
            <w:tcMar>
              <w:bottom w:w="28" w:type="dxa"/>
            </w:tcMar>
            <w:vAlign w:val="center"/>
          </w:tcPr>
          <w:p>
            <w:pPr>
              <w:pStyle w:val="TableContents"/>
              <w:bidi w:val="0"/>
              <w:spacing w:before="0" w:after="283"/>
              <w:jc w:val="left"/>
              <w:rPr/>
            </w:pPr>
            <w:r>
              <w:rPr/>
              <w:t>/s/ Demetri Daphnis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$25,000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9,363</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Internal Market Fund, LLC</w:t>
      </w:r>
    </w:p>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4625"/>
        <w:gridCol w:w="1805"/>
        <w:gridCol w:w="75"/>
      </w:tblGrid>
      <w:tr>
        <w:trPr/>
        <w:tc>
          <w:tcPr>
            <w:tcW w:w="4625" w:type="dxa"/>
            <w:tcBorders/>
            <w:vAlign w:val="center"/>
          </w:tcPr>
          <w:p>
            <w:pPr>
              <w:pStyle w:val="TableContents"/>
              <w:bidi w:val="0"/>
              <w:spacing w:before="0" w:after="283"/>
              <w:jc w:val="left"/>
              <w:rPr>
                <w:i/>
              </w:rPr>
            </w:pPr>
            <w:r>
              <w:rPr>
                <w:i/>
              </w:rPr>
              <w:t>Signature of Authorized Signatory of Purchaser:</w:t>
            </w:r>
          </w:p>
        </w:tc>
        <w:tc>
          <w:tcPr>
            <w:tcW w:w="1805" w:type="dxa"/>
            <w:tcBorders>
              <w:bottom w:val="single" w:sz="8" w:space="0" w:color="000000"/>
            </w:tcBorders>
            <w:tcMar>
              <w:bottom w:w="28" w:type="dxa"/>
            </w:tcMar>
            <w:vAlign w:val="center"/>
          </w:tcPr>
          <w:p>
            <w:pPr>
              <w:pStyle w:val="TableContents"/>
              <w:bidi w:val="0"/>
              <w:spacing w:before="0" w:after="283"/>
              <w:jc w:val="left"/>
              <w:rPr/>
            </w:pPr>
            <w:r>
              <w:rPr/>
              <w:t>/s/ Michael Spanos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Michael Spanos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Managing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$57,699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21,610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Reince Priebus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315"/>
        <w:gridCol w:w="1715"/>
        <w:gridCol w:w="75"/>
      </w:tblGrid>
      <w:tr>
        <w:trPr/>
        <w:tc>
          <w:tcPr>
            <w:tcW w:w="2315" w:type="dxa"/>
            <w:tcBorders/>
            <w:vAlign w:val="center"/>
          </w:tcPr>
          <w:p>
            <w:pPr>
              <w:pStyle w:val="TableContents"/>
              <w:bidi w:val="0"/>
              <w:spacing w:before="0" w:after="283"/>
              <w:jc w:val="left"/>
              <w:rPr>
                <w:i/>
              </w:rPr>
            </w:pPr>
            <w:r>
              <w:rPr>
                <w:i/>
              </w:rPr>
              <w:t>Signature of Purchaser:</w:t>
            </w:r>
          </w:p>
        </w:tc>
        <w:tc>
          <w:tcPr>
            <w:tcW w:w="1715" w:type="dxa"/>
            <w:tcBorders>
              <w:bottom w:val="single" w:sz="8" w:space="0" w:color="000000"/>
            </w:tcBorders>
            <w:tcMar>
              <w:bottom w:w="28" w:type="dxa"/>
            </w:tcMar>
            <w:vAlign w:val="center"/>
          </w:tcPr>
          <w:p>
            <w:pPr>
              <w:pStyle w:val="TableContents"/>
              <w:bidi w:val="0"/>
              <w:spacing w:before="0" w:after="283"/>
              <w:jc w:val="left"/>
              <w:rPr/>
            </w:pPr>
            <w:r>
              <w:rPr/>
              <w:t>/s/ Reince Priebus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$57,699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21,610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Chris Larsen</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2315"/>
        <w:gridCol w:w="1505"/>
        <w:gridCol w:w="75"/>
      </w:tblGrid>
      <w:tr>
        <w:trPr/>
        <w:tc>
          <w:tcPr>
            <w:tcW w:w="2315" w:type="dxa"/>
            <w:tcBorders/>
            <w:vAlign w:val="center"/>
          </w:tcPr>
          <w:p>
            <w:pPr>
              <w:pStyle w:val="TableContents"/>
              <w:bidi w:val="0"/>
              <w:spacing w:before="0" w:after="283"/>
              <w:jc w:val="left"/>
              <w:rPr>
                <w:i/>
              </w:rPr>
            </w:pPr>
            <w:r>
              <w:rPr>
                <w:i/>
              </w:rPr>
              <w:t>Signature of Purchaser:</w:t>
            </w:r>
          </w:p>
        </w:tc>
        <w:tc>
          <w:tcPr>
            <w:tcW w:w="1505" w:type="dxa"/>
            <w:tcBorders>
              <w:bottom w:val="single" w:sz="8" w:space="0" w:color="000000"/>
            </w:tcBorders>
            <w:tcMar>
              <w:bottom w:w="28" w:type="dxa"/>
            </w:tcMar>
            <w:vAlign w:val="center"/>
          </w:tcPr>
          <w:p>
            <w:pPr>
              <w:pStyle w:val="TableContents"/>
              <w:bidi w:val="0"/>
              <w:spacing w:before="0" w:after="283"/>
              <w:jc w:val="left"/>
              <w:rPr/>
            </w:pPr>
            <w:r>
              <w:rPr/>
              <w:t>/s/ Chris Larsen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$57,699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21,610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Jon Ricketts</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315"/>
        <w:gridCol w:w="1445"/>
        <w:gridCol w:w="75"/>
      </w:tblGrid>
      <w:tr>
        <w:trPr/>
        <w:tc>
          <w:tcPr>
            <w:tcW w:w="2315" w:type="dxa"/>
            <w:tcBorders/>
            <w:vAlign w:val="center"/>
          </w:tcPr>
          <w:p>
            <w:pPr>
              <w:pStyle w:val="TableContents"/>
              <w:bidi w:val="0"/>
              <w:spacing w:before="0" w:after="283"/>
              <w:jc w:val="left"/>
              <w:rPr>
                <w:i/>
              </w:rPr>
            </w:pPr>
            <w:r>
              <w:rPr>
                <w:i/>
              </w:rPr>
              <w:t>Signature of Purchaser:</w:t>
            </w:r>
          </w:p>
        </w:tc>
        <w:tc>
          <w:tcPr>
            <w:tcW w:w="1445" w:type="dxa"/>
            <w:tcBorders>
              <w:bottom w:val="single" w:sz="8" w:space="0" w:color="000000"/>
            </w:tcBorders>
            <w:tcMar>
              <w:bottom w:w="28" w:type="dxa"/>
            </w:tcMar>
            <w:vAlign w:val="center"/>
          </w:tcPr>
          <w:p>
            <w:pPr>
              <w:pStyle w:val="TableContents"/>
              <w:bidi w:val="0"/>
              <w:spacing w:before="0" w:after="283"/>
              <w:jc w:val="left"/>
              <w:rPr/>
            </w:pPr>
            <w:r>
              <w:rPr/>
              <w:t>/s/ Jon Ricketts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center"/>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$28,849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10,805</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Share Purchase Agreement</w:t>
      </w:r>
      <w:r>
        <w:rPr>
          <w:rFonts w:ascii="Times New Roman;Times;Serif" w:hAnsi="Times New Roman;Times;Serif"/>
          <w:b w:val="false"/>
          <w:i w:val="false"/>
          <w:caps w:val="false"/>
          <w:smallCaps w:val="false"/>
          <w:sz w:val="20"/>
        </w:rPr>
        <w:t>]</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xh_991.htm"/>
      <w:bookmarkStart w:id="26" w:name="ksexh_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Sono Group N.V. and Sports One Sign Letter of Intent to Combine and Expand into Professional Sports Franchise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caps w:val="false"/>
          <w:smallCaps w:val="false"/>
          <w:sz w:val="20"/>
        </w:rPr>
      </w:pPr>
      <w:r>
        <w:rPr>
          <w:rFonts w:ascii="Georgia;Times;Serif" w:hAnsi="Georgia;Times;Serif"/>
          <w:b/>
          <w:i/>
          <w:caps w:val="false"/>
          <w:smallCaps w:val="false"/>
          <w:sz w:val="20"/>
        </w:rPr>
        <w:t>Proposed combination pairs long-term minority ownership in NFL, NBA, MLB and NHL franchises with a sports intelligence business built to measure athlete value at scale to serve surging team, college/NIL, and brand demand; concurrent with signing, an investor group purchased a 19.9% stake at market price with no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LAND O'LAKES, Fla. and NEW YORK, Aug. 31, 2026 – Sono Group N.V. (Nasdaq: SSM) (“Sono” or the “Company”) and Sports One (“Sports One”) today announced that they have entered into a non-binding letter of intent (the “Letter of Intent”) to combine. The proposed combination is intended to create a publicly traded, permanent-capital company that acquires and holds minority interests in NFL, NBA, MLB and NHL franchises, paired with an operating sports intelligence business serving athletes, teams, universities, brands and sponsors. It would represent a new strategic direction for the Company; upon completion, the Company is expected to be renamed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Key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Non-binding letter of intent signed; Sports One equity holders would own a super-majority of the combined public company, expected to be renamed Sports One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Concurrent registered direct offering: 19.9% of outstanding ordinary shares purchased </w:t>
            </w:r>
            <w:r>
              <w:rPr>
                <w:b/>
              </w:rPr>
              <w:t xml:space="preserve">at market price, no discount, no warrant coverage, </w:t>
            </w:r>
            <w:r>
              <w:rPr/>
              <w:t>subject to a 180-day investor lock-up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Built around two complementary businesses: long-duration ownership of minority interests in major professional franchises and a sports intelligence business that potentially creates informational advantages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A publicly traded vehicle for a historically private, restricted asset class: </w:t>
            </w:r>
            <w:r>
              <w:rPr/>
              <w:t>while listed shares provide daily liquidity, the public permanent-capital approach addresses the limitations imposed by the fixed lifespan of traditional private investment funds; no forced exits and no obligation to sell a compounding asset make Sports One potentially more attractive to sellers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Value-add operating engine: real-time athlete-level data and NIL valuation intelligence serving teams, universities, brands, and betting, gaming and prediction markets</w:t>
            </w:r>
          </w:p>
        </w:tc>
      </w:tr>
    </w:tbl>
    <w:p>
      <w:pPr>
        <w:pStyle w:val="TextBody"/>
        <w:bidi w:val="0"/>
        <w:spacing w:before="0" w:after="0"/>
        <w:ind w:left="26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 xml:space="preserve">Concurrently with the signing of the Letter of Intent, a group of investors, including investors affiliated with Sports One, purchased 283,500 ordinary shares of the Company, representing 19.9% of the Company's outstanding ordinary shares, in a registered direct offering. The investment was made </w:t>
      </w:r>
      <w:r>
        <w:rPr>
          <w:rFonts w:ascii="Georgia;Times;Serif" w:hAnsi="Georgia;Times;Serif"/>
          <w:b/>
          <w:i w:val="false"/>
          <w:caps w:val="false"/>
          <w:smallCaps w:val="false"/>
          <w:sz w:val="20"/>
        </w:rPr>
        <w:t>at market price, with no discount and no warrant coverage</w:t>
      </w:r>
      <w:r>
        <w:rPr>
          <w:rFonts w:ascii="Georgia;Times;Serif" w:hAnsi="Georgia;Times;Serif"/>
          <w:b w:val="false"/>
          <w:i w:val="false"/>
          <w:caps w:val="false"/>
          <w:smallCaps w:val="false"/>
          <w:sz w:val="20"/>
        </w:rPr>
        <w:t>, a structure the parties believe underscores investor conviction in the proposed combination. Each investor in the offering has also entered into a 180-day lock-up agreement with Sports One, subject to waiver upon the satisfaction of certain conditions. Proceeds will be used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Georgia;Times;Serif" w:hAnsi="Georgia;Times;Serif"/>
          <w:b w:val="false"/>
          <w:i/>
          <w:caps w:val="false"/>
          <w:smallCaps w:val="false"/>
          <w:sz w:val="20"/>
        </w:rPr>
        <w:t>Sono Group has always been about opening access to what was previously out of reach. Professional sports franchises have created extraordinary value for decades, but ownership has stayed closed to all but a small circle. In the Sports One team we found partners who know these leagues from the inside, as owners, and combining with them is the right next chapter for this company,</w:t>
      </w:r>
      <w:r>
        <w:rPr>
          <w:rFonts w:ascii="Georgia;Times;Serif" w:hAnsi="Georgia;Times;Serif"/>
          <w:b w:val="false"/>
          <w:i w:val="false"/>
          <w:caps w:val="false"/>
          <w:smallCaps w:val="false"/>
          <w:sz w:val="20"/>
        </w:rPr>
        <w:t>” said Kevin McGurn, Managing Director and CEO of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Georgia;Times;Serif" w:hAnsi="Georgia;Times;Serif"/>
          <w:b w:val="false"/>
          <w:i/>
          <w:caps w:val="false"/>
          <w:smallCaps w:val="false"/>
          <w:sz w:val="20"/>
        </w:rPr>
        <w:t>Winning as a fan is a fantastic experience. Winning as a fan and a stakeholder is even better. Fans owning a piece of a professional sports team is becoming a reality. We launched Sports One to be a preeminent stakeholder in the best sports franchises, adding value through our intelligence platform and bringing more athletes to market to make these teams even better. Combining with Sono Group lets us scale our exciting approach for the next phase of sports growth and excitement, with fans alongside us from day one,"</w:t>
      </w:r>
      <w:r>
        <w:rPr>
          <w:rFonts w:ascii="Georgia;Times;Serif" w:hAnsi="Georgia;Times;Serif"/>
          <w:b w:val="false"/>
          <w:i w:val="false"/>
          <w:caps w:val="false"/>
          <w:smallCaps w:val="false"/>
          <w:sz w:val="20"/>
        </w:rPr>
        <w:t xml:space="preserve"> said Paul Misir, Founder of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Georgia;Times;Serif" w:hAnsi="Georgia;Times;Serif"/>
          <w:b w:val="false"/>
          <w:i/>
          <w:caps w:val="false"/>
          <w:smallCaps w:val="false"/>
          <w:sz w:val="20"/>
        </w:rPr>
        <w:t>Sports continues to be a connection point for nearly everyone in their everyday conversations. The demand for sports media - both games themselves and analytics around them - is nearly insatiable, driving team valuations upward. Team ownership is a dream for many, and we aim to give everyone who wants to participate an accessible, affordable way to live that dream,</w:t>
      </w:r>
      <w:r>
        <w:rPr>
          <w:rFonts w:ascii="Georgia;Times;Serif" w:hAnsi="Georgia;Times;Serif"/>
          <w:b w:val="false"/>
          <w:i w:val="false"/>
          <w:caps w:val="false"/>
          <w:smallCaps w:val="false"/>
          <w:sz w:val="20"/>
        </w:rPr>
        <w:t>” added Chris Kelly, Co-Founder and Chief Executive Officer of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An asset class that outperformed for decades, yet remains inaccessible to most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Franchises across the NFL, NBA, MLB and NHL have been among the most durable stores of value in American business, yet among the least accessible. The four major U.S. leagues comprise 124 franchises with an aggregate value exceeding $500 billion, based on the most recent published team valuations by Forbes and Sportico. Values have risen sharply in recent years across all four leagues. For generations, participating in that appreciation required an eight-to-nine-figure commitment and access to an exclusive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Over the past several years, each of the four leagues has adopted a framework permitting passive institutional ownership, most recently the NFL in August 2024. The rules now permit institutional capital to participate. Any acquisition would remain subject to applicable league and team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Permanent capital, public transparency, daily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proposed business combination would give Sports One's strategy a public, permanent-capital structure. Unlike a traditional private fund, a permanent-capital company has no fixed fund life, no forced exit timeline, and no obligation to sell a compounding asset. It is designed to hold and scale franchise interests indefinitely, while its listed shares are designed to provide investors with daily liquidity and diversified exposure to an asset class that has historically been difficult to access and highly illiquid.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 public structure also carries a disclosure standard new to this asset class: audited financial statements, periodic reporting and material-event disclosure. The parties believe a properly structured public company can participate within the leagues' established ownership frameworks while offering a level of visibility that has not existed in sports franchise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The second engine: pricing athlete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Alongside the proposed portfolio, Sports One intends to generate operating revenue through its sports intelligence business: real-time athlete-level data, social media value scoring, and quantified measures of what each athlete is worth to sponsors. The platform combines artificial intelligence (AI) intellectual property with indexed proprietary intelligence that the parties believe does not currently exist in the market, enabling athletes and their name, image and likeness (“NIL”) rights to be valued as a new asset category.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intended customers span the modern sports economy: investment and roster decisions for teams and universities; operating data for betting, gaming and prediction-market companies; and campaign planning and measurement for brands and sponsors. The combined business is designed to be anchored by long-term franchise ownership, with the optionality of a scalable data-and-intelligence operation that opens new categories for athlete engagement and value benchmarking. The result is a company designed to own, operate and compound the value of the franchise interests it 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The proposed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Under the Letter of Intent, the Company and Sports One intend to enter into a definitive agreement pursuant to which the two would combine, with the former equity holders of both entities holding equity in the combined public company listed on a national stock exchange (the “Surviving Company”), and with Sports One's existing equity holders owning a super-majority of the combined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Surviving Company would be led by the Sports One management team, including private equity executive Paul Misir, Founder and Chairman; Chris Kelly, Co-Founder and Chief Executive Officer (co-owner of the NBA Sacramento Kings); Reince Priebus, Co-Founder and Advisor; and Michael Spanos II, SVP Business Development (Spanos family owns the NFL Los Angeles Chargers), who bring direct, first-hand ownership experience in the major U.S. sports leagues.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final terms of the definitive agreement are subject to the completion of due diligence to the Company's satisfaction. Completion of the transaction remains subject to the negotiation and execution of definitive documentation and satisfaction of customary closing conditions stated in the Letter of Intent, including (i) completion of any required regulatory review and (ii) approval of the transaction by the Company's shareholders, as well as other customary conditions. The Letter of Intent is non-binding except for limited customary provisions. Accordingly, no assurances can be made that the parties will successfully negotiate and enter into a definitive agreement, or that the proposed transaction will be consummated on the terms or timeframe currently contemplated,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In connection with the Letter of Intent, and in a step intended to simplify the Company's capital structure, the sole holder of the Company's preferred shares, YA II PN, Ltd., has entered into a call option agreement with affiliates of Sports One to enable such parties to acquire approximately half of the issued and outstanding preferred shares currently held by YA II PN, Ltd., if such parties exercise the option provided for in that call option agreement before its expiration, which occurs fifteen calendar days after the closing of the proposed transaction contemplated by the Letter of Intent. Pursuant to the call option agreement, YA II PN, Ltd. has agreed not to dispose of the 700 preferred shares subject to the call option agreement or to convert them to ordinary shares or shares of common stock prior to the expiration of the call option. There are no other restrictions on any shares held by 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Additional information regarding the transactions described above is contained in the Current Report on Form 8-K filed by the Company with the U.S. Securities and Exchange Commission (the “SEC”) on August 31, 2026, including the share purchase agreement filed as an exhibit thereto, available at www.sec.gov and on the Company's investor relations website at ir.sonomotors.com.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About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Sports One was recently formed to acquire and hold minority interests in professional sports teams, with a primary focus on the NBA, NFL, MLB and NHL, and to operate a sports intelligence business that provides real-time athlete-level data, social media value scoring, and quantified data for what each athlete is worth to sponsors.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About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Sono Group N.V. (Nasdaq: SSM) is a Netherlands-incorporated company listed on the Nasdaq Capital Market, currently operating as a digital asset treasury company. The Company's Treasury Strategy is centered on the acquisition of Bitcoin and the generation of structured yield through an institutional covered-call approach under an ISDA Master Agreement framework. For more information about Sono Group N.V., visit sonogroupnv.com.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This press release contains certain "forward-looking statements" within the meaning of the Private Securities Litigation Reform Act of 1995, Section 27A of the Securities Act of 1933, as amended, and Section 21E of the Securities Exchange Act of 1934, as amended, and other applicable securities laws. Such forward-looking statements include, but are not limited to, statements regarding the proposed business combination between Sports One and the Company,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 investments, or organic growth initiatives, the proposed acquisition of minority interests in major sports franchises, the anticipated benefits of the proposed transaction, Sports One's business strategy, market opportunities, growth prospects, technological development plans, acquisition strategy and future operating performance. Forward-looking statements generally may be identified by the use of words such as "anticipate," "believe," "contemplate," "continue," "could," "estimate," "expect," "forecast," "intends," "may," "might," "plan," "possible," "potential," "predict," "project," "seek," "should," "target," "will," "would," and similar expressions, although not all forward-looking statements contain these words. These forward-looking statements are based on current expectations, estimates, forecasts, assumptions, and projections about future events and are subject to numerous risks and uncertainties, many of which are beyond the control of Sports One and the Company. Actual results may differ materially from those expressed or implied by such forward-looking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Sports One to successfully develop and commercialize its sports intelligence business, or to acquire and integrate minority interests in major sports franchises; the ability to realize anticipated synergies or benefits from acquisitions, strategic investments, or asset contributions; the ability to achieve projected growth objectives, valuation targets, operational milestones, or market opportunities; the future adoption, commercialization, and market acceptance of a sports intelligence business; and other risks and uncertainties that may be identified in any past or future filings made by the parties with the SEC in connection with the proposed transaction. Any references in this press release to anticipated enterprise values, future valuation objectives, acquisition opportunities, strategic growth initiatives, market opportunities, expected benefits, or long-term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in this press release will be achieved. The proposed transaction is currently subject to a non-binding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 Readers are cautioned not to place undue reliance on forward-looking statements, which speak only as of the date of this press release. Sports One and the Company expressly disclaim any obligation or undertaking to update, revise, or publicly release any revisions to any forward-looking statements, whether as a result of new information, future events, changed circumstances,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If a definitive agreement is entered into in connection with the proposed business combination, the Company and Sports One will prepare a proxy statement/prospectus (the “proxy statement/prospectus”) to be filed with the United States Securities and Exchange Commission (the “SEC”) and mailed to the Company's shareholders. The Company and Sports One urge investors and other interested persons to read, when available, the proxy statement/prospectus, as well as other documents filed with the SEC, because these documents will contain important information about the proposed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Such persons can also read the Company's Annual Report on Form 10-K for the fiscal year ended December 31, 2025 (the “Annual Report”), for a description of the security holdings of its officers and directors and their respective interests as security holders in the consummation of the transactions described in this press release. The proxy statement/prospectus, once available, and the Annual Report can be obtained, without charge, at the SEC's website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Company and Sports One, and their respective directors, executive officers, and certain other members of management and employees may be deemed participants in any solicitation of proxies from the Company's shareholders in connection with the proposed transaction. Information regarding the Company's directors and executive officers is contained in the Company's filings with the SEC. Additional information regarding the interests of such participants in the proposed transaction, which may, in some cases, be different than those of the Company's and Sports One's equity holders generally, will be included in any proxy statement, registration statement, prospectus, or other relevant documents filed with the SEC if and when such documents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This press release shall not constitute a solicitation of a proxy, consent or authorization with respect to any securities or in respect of the proposed business combination. No proxy solicitation will be made except pursuant to a proxy statement/prospectus filed with the SEC and mailed to the Company's shareholders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i w:val="false"/>
          <w:caps w:val="false"/>
          <w:smallCaps w:val="false"/>
          <w:sz w:val="20"/>
        </w:rPr>
        <w:t xml:space="preserve">Press: </w:t>
      </w:r>
      <w:r>
        <w:rPr>
          <w:rFonts w:ascii="Georgia;Times;Serif" w:hAnsi="Georgia;Times;Serif"/>
          <w:b w:val="false"/>
          <w:i w:val="false"/>
          <w:caps w:val="false"/>
          <w:smallCaps w:val="false"/>
          <w:sz w:val="20"/>
        </w:rPr>
        <w:t>press@sonogroupnv.com | ir.sonomotors.com/news-events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i w:val="false"/>
          <w:caps w:val="false"/>
          <w:smallCaps w:val="false"/>
          <w:sz w:val="20"/>
        </w:rPr>
        <w:t xml:space="preserve">Investors: </w:t>
      </w:r>
      <w:r>
        <w:rPr>
          <w:rFonts w:ascii="Georgia;Times;Serif" w:hAnsi="Georgia;Times;Serif"/>
          <w:b w:val="false"/>
          <w:i w:val="false"/>
          <w:caps w:val="false"/>
          <w:smallCaps w:val="false"/>
          <w:sz w:val="20"/>
        </w:rPr>
        <w:t>ir@sonogroupnv.com | ir.sonomotors.com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i w:val="false"/>
          <w:caps w:val="false"/>
          <w:smallCaps w:val="false"/>
          <w:sz w:val="20"/>
        </w:rPr>
        <w:t xml:space="preserve">LinkedIn: </w:t>
      </w:r>
      <w:r>
        <w:rPr>
          <w:rFonts w:ascii="Georgia;Times;Serif" w:hAnsi="Georgia;Times;Serif"/>
          <w:b w:val="false"/>
          <w:i w:val="false"/>
          <w:caps w:val="false"/>
          <w:smallCaps w:val="false"/>
          <w:sz w:val="20"/>
        </w:rPr>
        <w:t>linkedin.com/company/sonogroupnv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22833</Words>
  <Characters>126555</Characters>
  <CharactersWithSpaces>149564</CharactersWithSpaces>
  <Paragraphs>1177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