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f424b5_090126.htm"/>
      <w:bookmarkStart w:id="1" w:name="ksf424b5_090126"/>
      <w:bookmarkEnd w:id="0"/>
      <w:bookmarkEnd w:id="1"/>
      <w:r>
        <w:rPr>
          <w:rFonts w:ascii="Times New Roman;Times;Serif" w:hAnsi="Times New Roman;Times;Serif"/>
          <w:b/>
          <w:i w:val="false"/>
          <w:caps w:val="false"/>
          <w:smallCaps w:val="false"/>
          <w:sz w:val="20"/>
        </w:rPr>
        <w:t>Filed Pursuant to Rule 424(b)(5)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333-295804</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Prospectus Dated May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SONO GROUP N.V.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283,500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this prospectus supplement and the accompanying prospectus, we are offering in a registered direct offering to accredited investors and qualified institutional buyers 283,500 ordinary shares, par value €0.01 per share (the “</w:t>
      </w:r>
      <w:r>
        <w:rPr>
          <w:rFonts w:ascii="Times New Roman;Times;Serif" w:hAnsi="Times New Roman;Times;Serif"/>
          <w:b/>
          <w:i/>
          <w:caps w:val="false"/>
          <w:smallCaps w:val="false"/>
          <w:sz w:val="20"/>
        </w:rPr>
        <w:t>Ordinary Shares</w:t>
      </w:r>
      <w:r>
        <w:rPr>
          <w:rFonts w:ascii="Times New Roman;Times;Serif" w:hAnsi="Times New Roman;Times;Serif"/>
          <w:b w:val="false"/>
          <w:i w:val="false"/>
          <w:caps w:val="false"/>
          <w:smallCaps w:val="false"/>
          <w:sz w:val="20"/>
        </w:rPr>
        <w:t>”), of Sono Group N.V pursuant to a share purchase agreement, dated as of August 31, 2026 (the “</w:t>
      </w:r>
      <w:r>
        <w:rPr>
          <w:rFonts w:ascii="Times New Roman;Times;Serif" w:hAnsi="Times New Roman;Times;Serif"/>
          <w:b/>
          <w:i/>
          <w:caps w:val="false"/>
          <w:smallCaps w:val="false"/>
          <w:sz w:val="20"/>
        </w:rPr>
        <w:t>Purchase Agreement</w:t>
      </w:r>
      <w:r>
        <w:rPr>
          <w:rFonts w:ascii="Times New Roman;Times;Serif" w:hAnsi="Times New Roman;Times;Serif"/>
          <w:b w:val="false"/>
          <w:i w:val="false"/>
          <w:caps w:val="false"/>
          <w:smallCaps w:val="false"/>
          <w:sz w:val="20"/>
        </w:rPr>
        <w:t>”). The per share purchase price for the Ordinary Shares is equal to the consolidated closing bid price of the Ordinary Shares on the Nasdaq Capital Market on the trading day immediately preceding the date of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Capital Market under the symbol SSM. On August 28, 2026, the closing price of our Ordinary Shares was $2.67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under Rule 405 of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and, as such, are subject to certain reduced public company reporting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market value of our outstanding Ordinary Shares held by non-affiliates, or our “public float,” was $5,074,852.75 as calculated in accordance with General Instruction I.B.6 of Form S-3, based on the $4.25 closing price on July 27, 2026 and an aggregate of 1,194,083 Ordinary Shares outstanding and held by non-affiliates on August 28, 2026. Pursuant to General Instruction I.B.6 of Form S-3, in no event will we sell securities relying on that instruction with a value exceeding more than one-third of our public float in any 12-month period for so long as our public float remains below $75,000,000, as measured in accordance with General Instruction I.B.6 of Form S-3. We have not offered any securities pursuant to General Instruction I.B.6 during the prior 12 calendar month period that ends on, and includes, the date of this prospectus supplement. We are offering Ordinary Shares having an aggregate purchase price of $756,945 pursuant to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i w:val="false"/>
          <w:caps w:val="false"/>
          <w:smallCaps w:val="false"/>
          <w:sz w:val="20"/>
        </w:rPr>
        <w:t>An investment in our securities involves a high degree of risk. Please read “</w:t>
      </w:r>
      <w:hyperlink w:anchor="t_05">
        <w:r>
          <w:rPr>
            <w:rStyle w:val="InternetLink"/>
            <w:rFonts w:ascii="Times New Roman;Times;Serif" w:hAnsi="Times New Roman;Times;Serif"/>
            <w:b/>
            <w:i w:val="false"/>
            <w:caps w:val="false"/>
            <w:smallCaps w:val="false"/>
            <w:sz w:val="20"/>
          </w:rPr>
          <w:t>Risk Factors</w:t>
        </w:r>
      </w:hyperlink>
      <w:r>
        <w:rPr>
          <w:rFonts w:ascii="Times New Roman;Times;Serif" w:hAnsi="Times New Roman;Times;Serif"/>
          <w:b/>
          <w:i w:val="false"/>
          <w:caps w:val="false"/>
          <w:smallCaps w:val="false"/>
          <w:sz w:val="20"/>
        </w:rPr>
        <w:t>” on page S-4 of this prospectus supplement and in the documents incorporated by reference into this prospectus supplement before investing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our Ordinary Shares is expected to be made on or about September 2, 2026 subject to satisfaction of customary 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August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120" w:after="12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7640"/>
        <w:gridCol w:w="530"/>
      </w:tblGrid>
      <w:tr>
        <w:trPr/>
        <w:tc>
          <w:tcPr>
            <w:tcW w:w="764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b/>
                <w:u w:val="single"/>
              </w:rPr>
            </w:pPr>
            <w:r>
              <w:rPr>
                <w:b/>
                <w:u w:val="single"/>
              </w:rPr>
              <w:t>Page</w:t>
            </w:r>
          </w:p>
        </w:tc>
      </w:tr>
      <w:tr>
        <w:trPr/>
        <w:tc>
          <w:tcPr>
            <w:tcW w:w="8170" w:type="dxa"/>
            <w:gridSpan w:val="2"/>
            <w:tcBorders/>
            <w:vAlign w:val="center"/>
          </w:tcPr>
          <w:p>
            <w:pPr>
              <w:pStyle w:val="TableContents"/>
              <w:bidi w:val="0"/>
              <w:spacing w:before="0" w:after="283"/>
              <w:jc w:val="center"/>
              <w:rPr>
                <w:b/>
              </w:rPr>
            </w:pPr>
            <w:r>
              <w:rPr>
                <w:b/>
              </w:rPr>
              <w:t>Prospectus Supplement</w:t>
            </w:r>
          </w:p>
        </w:tc>
      </w:tr>
      <w:tr>
        <w:trPr/>
        <w:tc>
          <w:tcPr>
            <w:tcW w:w="7640" w:type="dxa"/>
            <w:tcBorders/>
            <w:vAlign w:val="center"/>
          </w:tcPr>
          <w:p>
            <w:pPr>
              <w:pStyle w:val="TableContents"/>
              <w:bidi w:val="0"/>
              <w:spacing w:before="0" w:after="283"/>
              <w:jc w:val="left"/>
              <w:rPr/>
            </w:pPr>
            <w:hyperlink w:anchor="t_01">
              <w:r>
                <w:rPr>
                  <w:rStyle w:val="InternetLink"/>
                </w:rPr>
                <w:t>About this Prospectus Supplement</w:t>
              </w:r>
            </w:hyperlink>
          </w:p>
        </w:tc>
        <w:tc>
          <w:tcPr>
            <w:tcW w:w="530" w:type="dxa"/>
            <w:tcBorders/>
            <w:vAlign w:val="center"/>
          </w:tcPr>
          <w:p>
            <w:pPr>
              <w:pStyle w:val="TableContents"/>
              <w:bidi w:val="0"/>
              <w:spacing w:before="0" w:after="283"/>
              <w:jc w:val="right"/>
              <w:rPr/>
            </w:pPr>
            <w:hyperlink w:anchor="t_01">
              <w:r>
                <w:rPr>
                  <w:rStyle w:val="InternetLink"/>
                </w:rPr>
                <w:t>S-1</w:t>
              </w:r>
            </w:hyperlink>
          </w:p>
        </w:tc>
      </w:tr>
      <w:tr>
        <w:trPr/>
        <w:tc>
          <w:tcPr>
            <w:tcW w:w="7640" w:type="dxa"/>
            <w:tcBorders/>
            <w:vAlign w:val="center"/>
          </w:tcPr>
          <w:p>
            <w:pPr>
              <w:pStyle w:val="TableContents"/>
              <w:bidi w:val="0"/>
              <w:spacing w:before="0" w:after="283"/>
              <w:jc w:val="left"/>
              <w:rPr/>
            </w:pPr>
            <w:hyperlink w:anchor="t_02">
              <w:r>
                <w:rPr>
                  <w:rStyle w:val="InternetLink"/>
                </w:rPr>
                <w:t>Cautionary Note Regarding Forward-Looking Statements</w:t>
              </w:r>
            </w:hyperlink>
          </w:p>
        </w:tc>
        <w:tc>
          <w:tcPr>
            <w:tcW w:w="530" w:type="dxa"/>
            <w:tcBorders/>
            <w:vAlign w:val="center"/>
          </w:tcPr>
          <w:p>
            <w:pPr>
              <w:pStyle w:val="TableContents"/>
              <w:bidi w:val="0"/>
              <w:spacing w:before="0" w:after="283"/>
              <w:jc w:val="right"/>
              <w:rPr/>
            </w:pPr>
            <w:hyperlink w:anchor="t_02">
              <w:r>
                <w:rPr>
                  <w:rStyle w:val="InternetLink"/>
                </w:rPr>
                <w:t>S-1</w:t>
              </w:r>
            </w:hyperlink>
          </w:p>
        </w:tc>
      </w:tr>
      <w:tr>
        <w:trPr/>
        <w:tc>
          <w:tcPr>
            <w:tcW w:w="7640" w:type="dxa"/>
            <w:tcBorders/>
            <w:vAlign w:val="center"/>
          </w:tcPr>
          <w:p>
            <w:pPr>
              <w:pStyle w:val="TableContents"/>
              <w:bidi w:val="0"/>
              <w:spacing w:before="0" w:after="283"/>
              <w:jc w:val="left"/>
              <w:rPr/>
            </w:pPr>
            <w:hyperlink w:anchor="t_03">
              <w:r>
                <w:rPr>
                  <w:rStyle w:val="InternetLink"/>
                </w:rPr>
                <w:t>Prospectus Supplement Summary</w:t>
              </w:r>
            </w:hyperlink>
          </w:p>
        </w:tc>
        <w:tc>
          <w:tcPr>
            <w:tcW w:w="530" w:type="dxa"/>
            <w:tcBorders/>
            <w:vAlign w:val="center"/>
          </w:tcPr>
          <w:p>
            <w:pPr>
              <w:pStyle w:val="TableContents"/>
              <w:bidi w:val="0"/>
              <w:spacing w:before="0" w:after="283"/>
              <w:jc w:val="right"/>
              <w:rPr/>
            </w:pPr>
            <w:hyperlink w:anchor="t_03">
              <w:r>
                <w:rPr>
                  <w:rStyle w:val="InternetLink"/>
                </w:rPr>
                <w:t>S-2</w:t>
              </w:r>
            </w:hyperlink>
          </w:p>
        </w:tc>
      </w:tr>
      <w:tr>
        <w:trPr/>
        <w:tc>
          <w:tcPr>
            <w:tcW w:w="7640" w:type="dxa"/>
            <w:tcBorders/>
            <w:vAlign w:val="center"/>
          </w:tcPr>
          <w:p>
            <w:pPr>
              <w:pStyle w:val="TableContents"/>
              <w:bidi w:val="0"/>
              <w:spacing w:before="0" w:after="283"/>
              <w:jc w:val="left"/>
              <w:rPr/>
            </w:pPr>
            <w:hyperlink w:anchor="t_05">
              <w:r>
                <w:rPr>
                  <w:rStyle w:val="InternetLink"/>
                </w:rPr>
                <w:t>Risk Factors</w:t>
              </w:r>
            </w:hyperlink>
          </w:p>
        </w:tc>
        <w:tc>
          <w:tcPr>
            <w:tcW w:w="530" w:type="dxa"/>
            <w:tcBorders/>
            <w:vAlign w:val="center"/>
          </w:tcPr>
          <w:p>
            <w:pPr>
              <w:pStyle w:val="TableContents"/>
              <w:bidi w:val="0"/>
              <w:spacing w:before="0" w:after="283"/>
              <w:jc w:val="right"/>
              <w:rPr/>
            </w:pPr>
            <w:hyperlink w:anchor="t_05">
              <w:r>
                <w:rPr>
                  <w:rStyle w:val="InternetLink"/>
                </w:rPr>
                <w:t>S-4</w:t>
              </w:r>
            </w:hyperlink>
          </w:p>
        </w:tc>
      </w:tr>
      <w:tr>
        <w:trPr/>
        <w:tc>
          <w:tcPr>
            <w:tcW w:w="7640" w:type="dxa"/>
            <w:tcBorders/>
            <w:vAlign w:val="center"/>
          </w:tcPr>
          <w:p>
            <w:pPr>
              <w:pStyle w:val="TableContents"/>
              <w:bidi w:val="0"/>
              <w:spacing w:before="0" w:after="283"/>
              <w:jc w:val="left"/>
              <w:rPr/>
            </w:pPr>
            <w:hyperlink w:anchor="t_06">
              <w:r>
                <w:rPr>
                  <w:rStyle w:val="InternetLink"/>
                </w:rPr>
                <w:t>Use of Proceeds</w:t>
              </w:r>
            </w:hyperlink>
          </w:p>
        </w:tc>
        <w:tc>
          <w:tcPr>
            <w:tcW w:w="530" w:type="dxa"/>
            <w:tcBorders/>
            <w:vAlign w:val="center"/>
          </w:tcPr>
          <w:p>
            <w:pPr>
              <w:pStyle w:val="TableContents"/>
              <w:bidi w:val="0"/>
              <w:spacing w:before="0" w:after="283"/>
              <w:jc w:val="right"/>
              <w:rPr/>
            </w:pPr>
            <w:hyperlink w:anchor="t_06">
              <w:r>
                <w:rPr>
                  <w:rStyle w:val="InternetLink"/>
                </w:rPr>
                <w:t>S-5</w:t>
              </w:r>
            </w:hyperlink>
          </w:p>
        </w:tc>
      </w:tr>
      <w:tr>
        <w:trPr/>
        <w:tc>
          <w:tcPr>
            <w:tcW w:w="7640" w:type="dxa"/>
            <w:tcBorders/>
            <w:vAlign w:val="center"/>
          </w:tcPr>
          <w:p>
            <w:pPr>
              <w:pStyle w:val="TableContents"/>
              <w:bidi w:val="0"/>
              <w:spacing w:before="0" w:after="283"/>
              <w:jc w:val="left"/>
              <w:rPr/>
            </w:pPr>
            <w:hyperlink w:anchor="t_07">
              <w:r>
                <w:rPr>
                  <w:rStyle w:val="InternetLink"/>
                </w:rPr>
                <w:t>Description of Securities Offered</w:t>
              </w:r>
            </w:hyperlink>
          </w:p>
        </w:tc>
        <w:tc>
          <w:tcPr>
            <w:tcW w:w="530" w:type="dxa"/>
            <w:tcBorders/>
            <w:vAlign w:val="center"/>
          </w:tcPr>
          <w:p>
            <w:pPr>
              <w:pStyle w:val="TableContents"/>
              <w:bidi w:val="0"/>
              <w:spacing w:before="0" w:after="283"/>
              <w:jc w:val="right"/>
              <w:rPr/>
            </w:pPr>
            <w:hyperlink w:anchor="t_07">
              <w:r>
                <w:rPr>
                  <w:rStyle w:val="InternetLink"/>
                </w:rPr>
                <w:t>S-6</w:t>
              </w:r>
            </w:hyperlink>
          </w:p>
        </w:tc>
      </w:tr>
      <w:tr>
        <w:trPr/>
        <w:tc>
          <w:tcPr>
            <w:tcW w:w="7640" w:type="dxa"/>
            <w:tcBorders/>
            <w:vAlign w:val="center"/>
          </w:tcPr>
          <w:p>
            <w:pPr>
              <w:pStyle w:val="TableContents"/>
              <w:bidi w:val="0"/>
              <w:spacing w:before="0" w:after="283"/>
              <w:jc w:val="left"/>
              <w:rPr/>
            </w:pPr>
            <w:hyperlink w:anchor="t_08">
              <w:r>
                <w:rPr>
                  <w:rStyle w:val="InternetLink"/>
                </w:rPr>
                <w:t>Dilution</w:t>
              </w:r>
            </w:hyperlink>
          </w:p>
        </w:tc>
        <w:tc>
          <w:tcPr>
            <w:tcW w:w="530" w:type="dxa"/>
            <w:tcBorders/>
            <w:vAlign w:val="center"/>
          </w:tcPr>
          <w:p>
            <w:pPr>
              <w:pStyle w:val="TableContents"/>
              <w:bidi w:val="0"/>
              <w:spacing w:before="0" w:after="283"/>
              <w:jc w:val="right"/>
              <w:rPr/>
            </w:pPr>
            <w:hyperlink w:anchor="t_08">
              <w:r>
                <w:rPr>
                  <w:rStyle w:val="InternetLink"/>
                </w:rPr>
                <w:t>S-6</w:t>
              </w:r>
            </w:hyperlink>
          </w:p>
        </w:tc>
      </w:tr>
      <w:tr>
        <w:trPr/>
        <w:tc>
          <w:tcPr>
            <w:tcW w:w="7640" w:type="dxa"/>
            <w:tcBorders/>
            <w:vAlign w:val="center"/>
          </w:tcPr>
          <w:p>
            <w:pPr>
              <w:pStyle w:val="TableContents"/>
              <w:bidi w:val="0"/>
              <w:spacing w:before="0" w:after="283"/>
              <w:jc w:val="left"/>
              <w:rPr/>
            </w:pPr>
            <w:hyperlink w:anchor="t_09">
              <w:r>
                <w:rPr>
                  <w:rStyle w:val="InternetLink"/>
                </w:rPr>
                <w:t>Certain Material U.S. Federal Income Tax Considerations</w:t>
              </w:r>
            </w:hyperlink>
          </w:p>
        </w:tc>
        <w:tc>
          <w:tcPr>
            <w:tcW w:w="530" w:type="dxa"/>
            <w:tcBorders/>
            <w:vAlign w:val="center"/>
          </w:tcPr>
          <w:p>
            <w:pPr>
              <w:pStyle w:val="TableContents"/>
              <w:bidi w:val="0"/>
              <w:spacing w:before="0" w:after="283"/>
              <w:jc w:val="right"/>
              <w:rPr/>
            </w:pPr>
            <w:hyperlink w:anchor="t_09">
              <w:r>
                <w:rPr>
                  <w:rStyle w:val="InternetLink"/>
                </w:rPr>
                <w:t>S-7</w:t>
              </w:r>
            </w:hyperlink>
          </w:p>
        </w:tc>
      </w:tr>
      <w:tr>
        <w:trPr/>
        <w:tc>
          <w:tcPr>
            <w:tcW w:w="7640" w:type="dxa"/>
            <w:tcBorders/>
            <w:vAlign w:val="center"/>
          </w:tcPr>
          <w:p>
            <w:pPr>
              <w:pStyle w:val="TableContents"/>
              <w:bidi w:val="0"/>
              <w:spacing w:before="0" w:after="283"/>
              <w:jc w:val="left"/>
              <w:rPr/>
            </w:pPr>
            <w:hyperlink w:anchor="t_10">
              <w:r>
                <w:rPr>
                  <w:rStyle w:val="InternetLink"/>
                </w:rPr>
                <w:t>Plan of Distribution</w:t>
              </w:r>
            </w:hyperlink>
          </w:p>
        </w:tc>
        <w:tc>
          <w:tcPr>
            <w:tcW w:w="530" w:type="dxa"/>
            <w:tcBorders/>
            <w:vAlign w:val="center"/>
          </w:tcPr>
          <w:p>
            <w:pPr>
              <w:pStyle w:val="TableContents"/>
              <w:bidi w:val="0"/>
              <w:spacing w:before="0" w:after="283"/>
              <w:jc w:val="right"/>
              <w:rPr/>
            </w:pPr>
            <w:hyperlink w:anchor="t_10">
              <w:r>
                <w:rPr>
                  <w:rStyle w:val="InternetLink"/>
                </w:rPr>
                <w:t>S-11</w:t>
              </w:r>
            </w:hyperlink>
          </w:p>
        </w:tc>
      </w:tr>
      <w:tr>
        <w:trPr/>
        <w:tc>
          <w:tcPr>
            <w:tcW w:w="7640" w:type="dxa"/>
            <w:tcBorders/>
            <w:vAlign w:val="center"/>
          </w:tcPr>
          <w:p>
            <w:pPr>
              <w:pStyle w:val="TableContents"/>
              <w:bidi w:val="0"/>
              <w:spacing w:before="0" w:after="283"/>
              <w:jc w:val="left"/>
              <w:rPr/>
            </w:pPr>
            <w:hyperlink w:anchor="t_11">
              <w:r>
                <w:rPr>
                  <w:rStyle w:val="InternetLink"/>
                </w:rPr>
                <w:t>Legal Matters</w:t>
              </w:r>
            </w:hyperlink>
          </w:p>
        </w:tc>
        <w:tc>
          <w:tcPr>
            <w:tcW w:w="530" w:type="dxa"/>
            <w:tcBorders/>
            <w:vAlign w:val="center"/>
          </w:tcPr>
          <w:p>
            <w:pPr>
              <w:pStyle w:val="TableContents"/>
              <w:bidi w:val="0"/>
              <w:spacing w:before="0" w:after="283"/>
              <w:jc w:val="right"/>
              <w:rPr/>
            </w:pPr>
            <w:hyperlink w:anchor="t_11">
              <w:r>
                <w:rPr>
                  <w:rStyle w:val="InternetLink"/>
                </w:rPr>
                <w:t>S-12</w:t>
              </w:r>
            </w:hyperlink>
          </w:p>
        </w:tc>
      </w:tr>
      <w:tr>
        <w:trPr/>
        <w:tc>
          <w:tcPr>
            <w:tcW w:w="7640" w:type="dxa"/>
            <w:tcBorders/>
            <w:vAlign w:val="center"/>
          </w:tcPr>
          <w:p>
            <w:pPr>
              <w:pStyle w:val="TableContents"/>
              <w:bidi w:val="0"/>
              <w:spacing w:before="0" w:after="283"/>
              <w:jc w:val="left"/>
              <w:rPr/>
            </w:pPr>
            <w:hyperlink w:anchor="t_12">
              <w:r>
                <w:rPr>
                  <w:rStyle w:val="InternetLink"/>
                </w:rPr>
                <w:t>Experts</w:t>
              </w:r>
            </w:hyperlink>
          </w:p>
        </w:tc>
        <w:tc>
          <w:tcPr>
            <w:tcW w:w="530" w:type="dxa"/>
            <w:tcBorders/>
            <w:vAlign w:val="center"/>
          </w:tcPr>
          <w:p>
            <w:pPr>
              <w:pStyle w:val="TableContents"/>
              <w:bidi w:val="0"/>
              <w:spacing w:before="0" w:after="283"/>
              <w:jc w:val="right"/>
              <w:rPr/>
            </w:pPr>
            <w:hyperlink w:anchor="t_12">
              <w:r>
                <w:rPr>
                  <w:rStyle w:val="InternetLink"/>
                </w:rPr>
                <w:t>S-12</w:t>
              </w:r>
            </w:hyperlink>
          </w:p>
        </w:tc>
      </w:tr>
      <w:tr>
        <w:trPr/>
        <w:tc>
          <w:tcPr>
            <w:tcW w:w="7640" w:type="dxa"/>
            <w:tcBorders/>
            <w:vAlign w:val="center"/>
          </w:tcPr>
          <w:p>
            <w:pPr>
              <w:pStyle w:val="TableContents"/>
              <w:bidi w:val="0"/>
              <w:spacing w:before="0" w:after="283"/>
              <w:jc w:val="left"/>
              <w:rPr/>
            </w:pPr>
            <w:hyperlink w:anchor="t_13">
              <w:r>
                <w:rPr>
                  <w:rStyle w:val="InternetLink"/>
                </w:rPr>
                <w:t>Where You Can Find More Information; Information Incorporated by Reference</w:t>
              </w:r>
            </w:hyperlink>
          </w:p>
        </w:tc>
        <w:tc>
          <w:tcPr>
            <w:tcW w:w="530" w:type="dxa"/>
            <w:tcBorders/>
            <w:vAlign w:val="center"/>
          </w:tcPr>
          <w:p>
            <w:pPr>
              <w:pStyle w:val="TableContents"/>
              <w:bidi w:val="0"/>
              <w:spacing w:before="0" w:after="283"/>
              <w:jc w:val="right"/>
              <w:rPr/>
            </w:pPr>
            <w:hyperlink w:anchor="t_13">
              <w:r>
                <w:rPr>
                  <w:rStyle w:val="InternetLink"/>
                </w:rPr>
                <w:t>S-12</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pPr>
      <w:r>
        <w:rPr/>
        <w:t> </w:t>
      </w:r>
    </w:p>
    <w:tbl>
      <w:tblPr>
        <w:tblW w:w="4930" w:type="dxa"/>
        <w:jc w:val="left"/>
        <w:tblInd w:w="0" w:type="dxa"/>
        <w:tblLayout w:type="fixed"/>
        <w:tblCellMar>
          <w:top w:w="0" w:type="dxa"/>
          <w:left w:w="0" w:type="dxa"/>
          <w:bottom w:w="0" w:type="dxa"/>
          <w:right w:w="0" w:type="dxa"/>
        </w:tblCellMar>
      </w:tblPr>
      <w:tblGrid>
        <w:gridCol w:w="4685"/>
        <w:gridCol w:w="245"/>
      </w:tblGrid>
      <w:tr>
        <w:trPr/>
        <w:tc>
          <w:tcPr>
            <w:tcW w:w="4685" w:type="dxa"/>
            <w:tcBorders/>
            <w:vAlign w:val="center"/>
          </w:tcPr>
          <w:p>
            <w:pPr>
              <w:pStyle w:val="TableContents"/>
              <w:bidi w:val="0"/>
              <w:spacing w:before="0" w:after="283"/>
              <w:jc w:val="left"/>
              <w:rPr/>
            </w:pPr>
            <w:hyperlink w:anchor="a_001">
              <w:r>
                <w:rPr>
                  <w:rStyle w:val="InternetLink"/>
                  <w:sz w:val="20"/>
                </w:rPr>
                <w:t>About this prospectus</w:t>
              </w:r>
            </w:hyperlink>
          </w:p>
        </w:tc>
        <w:tc>
          <w:tcPr>
            <w:tcW w:w="245" w:type="dxa"/>
            <w:tcBorders/>
            <w:vAlign w:val="center"/>
          </w:tcPr>
          <w:p>
            <w:pPr>
              <w:pStyle w:val="TableContents"/>
              <w:bidi w:val="0"/>
              <w:spacing w:before="0" w:after="283"/>
              <w:jc w:val="right"/>
              <w:rPr/>
            </w:pPr>
            <w:hyperlink w:anchor="a_001">
              <w:r>
                <w:rPr>
                  <w:rStyle w:val="InternetLink"/>
                  <w:sz w:val="20"/>
                </w:rPr>
                <w:t>1</w:t>
              </w:r>
            </w:hyperlink>
          </w:p>
        </w:tc>
      </w:tr>
      <w:tr>
        <w:trPr/>
        <w:tc>
          <w:tcPr>
            <w:tcW w:w="4685" w:type="dxa"/>
            <w:tcBorders/>
            <w:vAlign w:val="center"/>
          </w:tcPr>
          <w:p>
            <w:pPr>
              <w:pStyle w:val="TableContents"/>
              <w:bidi w:val="0"/>
              <w:spacing w:before="0" w:after="283"/>
              <w:jc w:val="left"/>
              <w:rPr/>
            </w:pPr>
            <w:hyperlink w:anchor="a_002">
              <w:r>
                <w:rPr>
                  <w:rStyle w:val="InternetLink"/>
                  <w:sz w:val="20"/>
                </w:rPr>
                <w:t>Cautionary Note Regarding Forward-Looking Statements</w:t>
              </w:r>
            </w:hyperlink>
          </w:p>
        </w:tc>
        <w:tc>
          <w:tcPr>
            <w:tcW w:w="245" w:type="dxa"/>
            <w:tcBorders/>
            <w:vAlign w:val="center"/>
          </w:tcPr>
          <w:p>
            <w:pPr>
              <w:pStyle w:val="TableContents"/>
              <w:bidi w:val="0"/>
              <w:spacing w:before="0" w:after="283"/>
              <w:jc w:val="right"/>
              <w:rPr/>
            </w:pPr>
            <w:hyperlink w:anchor="a_002">
              <w:r>
                <w:rPr>
                  <w:rStyle w:val="InternetLink"/>
                  <w:sz w:val="20"/>
                </w:rPr>
                <w:t>2</w:t>
              </w:r>
            </w:hyperlink>
          </w:p>
        </w:tc>
      </w:tr>
      <w:tr>
        <w:trPr/>
        <w:tc>
          <w:tcPr>
            <w:tcW w:w="4685" w:type="dxa"/>
            <w:tcBorders/>
            <w:vAlign w:val="center"/>
          </w:tcPr>
          <w:p>
            <w:pPr>
              <w:pStyle w:val="TableContents"/>
              <w:bidi w:val="0"/>
              <w:spacing w:before="0" w:after="283"/>
              <w:jc w:val="left"/>
              <w:rPr/>
            </w:pPr>
            <w:hyperlink w:anchor="a_003">
              <w:r>
                <w:rPr>
                  <w:rStyle w:val="InternetLink"/>
                  <w:sz w:val="20"/>
                </w:rPr>
                <w:t>Our Company</w:t>
              </w:r>
            </w:hyperlink>
          </w:p>
        </w:tc>
        <w:tc>
          <w:tcPr>
            <w:tcW w:w="245" w:type="dxa"/>
            <w:tcBorders/>
            <w:vAlign w:val="center"/>
          </w:tcPr>
          <w:p>
            <w:pPr>
              <w:pStyle w:val="TableContents"/>
              <w:bidi w:val="0"/>
              <w:spacing w:before="0" w:after="283"/>
              <w:jc w:val="right"/>
              <w:rPr/>
            </w:pPr>
            <w:hyperlink w:anchor="a_003">
              <w:r>
                <w:rPr>
                  <w:rStyle w:val="InternetLink"/>
                  <w:sz w:val="20"/>
                </w:rPr>
                <w:t>3</w:t>
              </w:r>
            </w:hyperlink>
          </w:p>
        </w:tc>
      </w:tr>
      <w:tr>
        <w:trPr/>
        <w:tc>
          <w:tcPr>
            <w:tcW w:w="4685" w:type="dxa"/>
            <w:tcBorders/>
            <w:vAlign w:val="center"/>
          </w:tcPr>
          <w:p>
            <w:pPr>
              <w:pStyle w:val="TableContents"/>
              <w:bidi w:val="0"/>
              <w:spacing w:before="0" w:after="283"/>
              <w:jc w:val="left"/>
              <w:rPr/>
            </w:pPr>
            <w:hyperlink w:anchor="a_004">
              <w:r>
                <w:rPr>
                  <w:rStyle w:val="InternetLink"/>
                  <w:sz w:val="20"/>
                </w:rPr>
                <w:t>Risk Factors</w:t>
              </w:r>
            </w:hyperlink>
          </w:p>
        </w:tc>
        <w:tc>
          <w:tcPr>
            <w:tcW w:w="245" w:type="dxa"/>
            <w:tcBorders/>
            <w:vAlign w:val="center"/>
          </w:tcPr>
          <w:p>
            <w:pPr>
              <w:pStyle w:val="TableContents"/>
              <w:bidi w:val="0"/>
              <w:spacing w:before="0" w:after="283"/>
              <w:jc w:val="right"/>
              <w:rPr/>
            </w:pPr>
            <w:hyperlink w:anchor="a_004">
              <w:r>
                <w:rPr>
                  <w:rStyle w:val="InternetLink"/>
                  <w:sz w:val="20"/>
                </w:rPr>
                <w:t>6</w:t>
              </w:r>
            </w:hyperlink>
          </w:p>
        </w:tc>
      </w:tr>
      <w:tr>
        <w:trPr/>
        <w:tc>
          <w:tcPr>
            <w:tcW w:w="4685" w:type="dxa"/>
            <w:tcBorders/>
            <w:vAlign w:val="center"/>
          </w:tcPr>
          <w:p>
            <w:pPr>
              <w:pStyle w:val="TableContents"/>
              <w:bidi w:val="0"/>
              <w:spacing w:before="0" w:after="283"/>
              <w:jc w:val="left"/>
              <w:rPr/>
            </w:pPr>
            <w:hyperlink w:anchor="a_005">
              <w:r>
                <w:rPr>
                  <w:rStyle w:val="InternetLink"/>
                  <w:sz w:val="20"/>
                </w:rPr>
                <w:t>Use of Proceeds</w:t>
              </w:r>
            </w:hyperlink>
          </w:p>
        </w:tc>
        <w:tc>
          <w:tcPr>
            <w:tcW w:w="245" w:type="dxa"/>
            <w:tcBorders/>
            <w:vAlign w:val="center"/>
          </w:tcPr>
          <w:p>
            <w:pPr>
              <w:pStyle w:val="TableContents"/>
              <w:bidi w:val="0"/>
              <w:spacing w:before="0" w:after="283"/>
              <w:jc w:val="right"/>
              <w:rPr/>
            </w:pPr>
            <w:hyperlink w:anchor="a_005">
              <w:r>
                <w:rPr>
                  <w:rStyle w:val="InternetLink"/>
                  <w:sz w:val="20"/>
                </w:rPr>
                <w:t>7</w:t>
              </w:r>
            </w:hyperlink>
          </w:p>
        </w:tc>
      </w:tr>
      <w:tr>
        <w:trPr/>
        <w:tc>
          <w:tcPr>
            <w:tcW w:w="4685" w:type="dxa"/>
            <w:tcBorders/>
            <w:vAlign w:val="center"/>
          </w:tcPr>
          <w:p>
            <w:pPr>
              <w:pStyle w:val="TableContents"/>
              <w:bidi w:val="0"/>
              <w:spacing w:before="0" w:after="283"/>
              <w:jc w:val="left"/>
              <w:rPr/>
            </w:pPr>
            <w:hyperlink w:anchor="a_006">
              <w:r>
                <w:rPr>
                  <w:rStyle w:val="InternetLink"/>
                  <w:sz w:val="20"/>
                </w:rPr>
                <w:t>Securities We May Offer</w:t>
              </w:r>
            </w:hyperlink>
          </w:p>
        </w:tc>
        <w:tc>
          <w:tcPr>
            <w:tcW w:w="245" w:type="dxa"/>
            <w:tcBorders/>
            <w:vAlign w:val="center"/>
          </w:tcPr>
          <w:p>
            <w:pPr>
              <w:pStyle w:val="TableContents"/>
              <w:bidi w:val="0"/>
              <w:spacing w:before="0" w:after="283"/>
              <w:jc w:val="right"/>
              <w:rPr/>
            </w:pPr>
            <w:hyperlink w:anchor="a_006">
              <w:r>
                <w:rPr>
                  <w:rStyle w:val="InternetLink"/>
                  <w:sz w:val="20"/>
                </w:rPr>
                <w:t>8</w:t>
              </w:r>
            </w:hyperlink>
          </w:p>
        </w:tc>
      </w:tr>
      <w:tr>
        <w:trPr/>
        <w:tc>
          <w:tcPr>
            <w:tcW w:w="4685" w:type="dxa"/>
            <w:tcBorders/>
            <w:vAlign w:val="center"/>
          </w:tcPr>
          <w:p>
            <w:pPr>
              <w:pStyle w:val="TableContents"/>
              <w:bidi w:val="0"/>
              <w:spacing w:before="0" w:after="283"/>
              <w:jc w:val="left"/>
              <w:rPr/>
            </w:pPr>
            <w:hyperlink w:anchor="a_007">
              <w:r>
                <w:rPr>
                  <w:rStyle w:val="InternetLink"/>
                  <w:sz w:val="20"/>
                </w:rPr>
                <w:t>Description of Capital Stock</w:t>
              </w:r>
            </w:hyperlink>
          </w:p>
        </w:tc>
        <w:tc>
          <w:tcPr>
            <w:tcW w:w="245" w:type="dxa"/>
            <w:tcBorders/>
            <w:vAlign w:val="center"/>
          </w:tcPr>
          <w:p>
            <w:pPr>
              <w:pStyle w:val="TableContents"/>
              <w:bidi w:val="0"/>
              <w:spacing w:before="0" w:after="283"/>
              <w:jc w:val="right"/>
              <w:rPr/>
            </w:pPr>
            <w:hyperlink w:anchor="a_007">
              <w:r>
                <w:rPr>
                  <w:rStyle w:val="InternetLink"/>
                  <w:sz w:val="20"/>
                </w:rPr>
                <w:t>9</w:t>
              </w:r>
            </w:hyperlink>
          </w:p>
        </w:tc>
      </w:tr>
      <w:tr>
        <w:trPr/>
        <w:tc>
          <w:tcPr>
            <w:tcW w:w="4685" w:type="dxa"/>
            <w:tcBorders/>
            <w:vAlign w:val="center"/>
          </w:tcPr>
          <w:p>
            <w:pPr>
              <w:pStyle w:val="TableContents"/>
              <w:bidi w:val="0"/>
              <w:spacing w:before="0" w:after="283"/>
              <w:jc w:val="left"/>
              <w:rPr/>
            </w:pPr>
            <w:hyperlink w:anchor="a_008">
              <w:r>
                <w:rPr>
                  <w:rStyle w:val="InternetLink"/>
                  <w:sz w:val="20"/>
                </w:rPr>
                <w:t>Description of Debt Securities</w:t>
              </w:r>
            </w:hyperlink>
          </w:p>
        </w:tc>
        <w:tc>
          <w:tcPr>
            <w:tcW w:w="245" w:type="dxa"/>
            <w:tcBorders/>
            <w:vAlign w:val="center"/>
          </w:tcPr>
          <w:p>
            <w:pPr>
              <w:pStyle w:val="TableContents"/>
              <w:bidi w:val="0"/>
              <w:spacing w:before="0" w:after="283"/>
              <w:jc w:val="right"/>
              <w:rPr/>
            </w:pPr>
            <w:hyperlink w:anchor="a_008">
              <w:r>
                <w:rPr>
                  <w:rStyle w:val="InternetLink"/>
                  <w:sz w:val="20"/>
                </w:rPr>
                <w:t>16</w:t>
              </w:r>
            </w:hyperlink>
          </w:p>
        </w:tc>
      </w:tr>
      <w:tr>
        <w:trPr/>
        <w:tc>
          <w:tcPr>
            <w:tcW w:w="4685" w:type="dxa"/>
            <w:tcBorders/>
            <w:vAlign w:val="center"/>
          </w:tcPr>
          <w:p>
            <w:pPr>
              <w:pStyle w:val="TableContents"/>
              <w:bidi w:val="0"/>
              <w:spacing w:before="0" w:after="283"/>
              <w:jc w:val="left"/>
              <w:rPr/>
            </w:pPr>
            <w:hyperlink w:anchor="a_009">
              <w:r>
                <w:rPr>
                  <w:rStyle w:val="InternetLink"/>
                  <w:sz w:val="20"/>
                </w:rPr>
                <w:t>Description of Warrants</w:t>
              </w:r>
            </w:hyperlink>
          </w:p>
        </w:tc>
        <w:tc>
          <w:tcPr>
            <w:tcW w:w="245" w:type="dxa"/>
            <w:tcBorders/>
            <w:vAlign w:val="center"/>
          </w:tcPr>
          <w:p>
            <w:pPr>
              <w:pStyle w:val="TableContents"/>
              <w:bidi w:val="0"/>
              <w:spacing w:before="0" w:after="283"/>
              <w:jc w:val="right"/>
              <w:rPr/>
            </w:pPr>
            <w:hyperlink w:anchor="a_009">
              <w:r>
                <w:rPr>
                  <w:rStyle w:val="InternetLink"/>
                  <w:sz w:val="20"/>
                </w:rPr>
                <w:t>21</w:t>
              </w:r>
            </w:hyperlink>
          </w:p>
        </w:tc>
      </w:tr>
      <w:tr>
        <w:trPr/>
        <w:tc>
          <w:tcPr>
            <w:tcW w:w="4685" w:type="dxa"/>
            <w:tcBorders/>
            <w:vAlign w:val="center"/>
          </w:tcPr>
          <w:p>
            <w:pPr>
              <w:pStyle w:val="TableContents"/>
              <w:bidi w:val="0"/>
              <w:spacing w:before="0" w:after="283"/>
              <w:jc w:val="left"/>
              <w:rPr/>
            </w:pPr>
            <w:hyperlink w:anchor="a_010">
              <w:r>
                <w:rPr>
                  <w:rStyle w:val="InternetLink"/>
                  <w:sz w:val="20"/>
                </w:rPr>
                <w:t>Description of Rights</w:t>
              </w:r>
            </w:hyperlink>
          </w:p>
        </w:tc>
        <w:tc>
          <w:tcPr>
            <w:tcW w:w="245" w:type="dxa"/>
            <w:tcBorders/>
            <w:vAlign w:val="center"/>
          </w:tcPr>
          <w:p>
            <w:pPr>
              <w:pStyle w:val="TableContents"/>
              <w:bidi w:val="0"/>
              <w:spacing w:before="0" w:after="283"/>
              <w:jc w:val="right"/>
              <w:rPr/>
            </w:pPr>
            <w:hyperlink w:anchor="a_010">
              <w:r>
                <w:rPr>
                  <w:rStyle w:val="InternetLink"/>
                  <w:sz w:val="20"/>
                </w:rPr>
                <w:t>23</w:t>
              </w:r>
            </w:hyperlink>
          </w:p>
        </w:tc>
      </w:tr>
      <w:tr>
        <w:trPr/>
        <w:tc>
          <w:tcPr>
            <w:tcW w:w="4685" w:type="dxa"/>
            <w:tcBorders/>
            <w:vAlign w:val="center"/>
          </w:tcPr>
          <w:p>
            <w:pPr>
              <w:pStyle w:val="TableContents"/>
              <w:bidi w:val="0"/>
              <w:spacing w:before="0" w:after="283"/>
              <w:jc w:val="left"/>
              <w:rPr/>
            </w:pPr>
            <w:hyperlink w:anchor="a_011">
              <w:r>
                <w:rPr>
                  <w:rStyle w:val="InternetLink"/>
                  <w:sz w:val="20"/>
                </w:rPr>
                <w:t>Description of Units</w:t>
              </w:r>
            </w:hyperlink>
          </w:p>
        </w:tc>
        <w:tc>
          <w:tcPr>
            <w:tcW w:w="245" w:type="dxa"/>
            <w:tcBorders/>
            <w:vAlign w:val="center"/>
          </w:tcPr>
          <w:p>
            <w:pPr>
              <w:pStyle w:val="TableContents"/>
              <w:bidi w:val="0"/>
              <w:spacing w:before="0" w:after="283"/>
              <w:jc w:val="right"/>
              <w:rPr/>
            </w:pPr>
            <w:hyperlink w:anchor="a_011">
              <w:r>
                <w:rPr>
                  <w:rStyle w:val="InternetLink"/>
                  <w:sz w:val="20"/>
                </w:rPr>
                <w:t>24</w:t>
              </w:r>
            </w:hyperlink>
          </w:p>
        </w:tc>
      </w:tr>
      <w:tr>
        <w:trPr/>
        <w:tc>
          <w:tcPr>
            <w:tcW w:w="4685" w:type="dxa"/>
            <w:tcBorders/>
            <w:vAlign w:val="center"/>
          </w:tcPr>
          <w:p>
            <w:pPr>
              <w:pStyle w:val="TableContents"/>
              <w:bidi w:val="0"/>
              <w:spacing w:before="0" w:after="283"/>
              <w:jc w:val="left"/>
              <w:rPr/>
            </w:pPr>
            <w:hyperlink w:anchor="a_012">
              <w:r>
                <w:rPr>
                  <w:rStyle w:val="InternetLink"/>
                  <w:sz w:val="20"/>
                </w:rPr>
                <w:t>Material U.S. Federal Income Tax Considerations</w:t>
              </w:r>
            </w:hyperlink>
          </w:p>
        </w:tc>
        <w:tc>
          <w:tcPr>
            <w:tcW w:w="245" w:type="dxa"/>
            <w:tcBorders/>
            <w:vAlign w:val="center"/>
          </w:tcPr>
          <w:p>
            <w:pPr>
              <w:pStyle w:val="TableContents"/>
              <w:bidi w:val="0"/>
              <w:spacing w:before="0" w:after="283"/>
              <w:jc w:val="right"/>
              <w:rPr/>
            </w:pPr>
            <w:hyperlink w:anchor="a_012">
              <w:r>
                <w:rPr>
                  <w:rStyle w:val="InternetLink"/>
                  <w:sz w:val="20"/>
                </w:rPr>
                <w:t>27</w:t>
              </w:r>
            </w:hyperlink>
          </w:p>
        </w:tc>
      </w:tr>
      <w:tr>
        <w:trPr/>
        <w:tc>
          <w:tcPr>
            <w:tcW w:w="4685" w:type="dxa"/>
            <w:tcBorders/>
            <w:vAlign w:val="center"/>
          </w:tcPr>
          <w:p>
            <w:pPr>
              <w:pStyle w:val="TableContents"/>
              <w:bidi w:val="0"/>
              <w:spacing w:before="0" w:after="283"/>
              <w:jc w:val="left"/>
              <w:rPr/>
            </w:pPr>
            <w:hyperlink w:anchor="a_013">
              <w:r>
                <w:rPr>
                  <w:rStyle w:val="InternetLink"/>
                  <w:sz w:val="20"/>
                </w:rPr>
                <w:t>Plan of Distribution</w:t>
              </w:r>
            </w:hyperlink>
          </w:p>
        </w:tc>
        <w:tc>
          <w:tcPr>
            <w:tcW w:w="245" w:type="dxa"/>
            <w:tcBorders/>
            <w:vAlign w:val="center"/>
          </w:tcPr>
          <w:p>
            <w:pPr>
              <w:pStyle w:val="TableContents"/>
              <w:bidi w:val="0"/>
              <w:spacing w:before="0" w:after="283"/>
              <w:jc w:val="right"/>
              <w:rPr/>
            </w:pPr>
            <w:hyperlink w:anchor="a_013">
              <w:r>
                <w:rPr>
                  <w:rStyle w:val="InternetLink"/>
                  <w:sz w:val="20"/>
                </w:rPr>
                <w:t>28</w:t>
              </w:r>
            </w:hyperlink>
          </w:p>
        </w:tc>
      </w:tr>
      <w:tr>
        <w:trPr/>
        <w:tc>
          <w:tcPr>
            <w:tcW w:w="4685" w:type="dxa"/>
            <w:tcBorders/>
            <w:vAlign w:val="center"/>
          </w:tcPr>
          <w:p>
            <w:pPr>
              <w:pStyle w:val="TableContents"/>
              <w:bidi w:val="0"/>
              <w:spacing w:before="0" w:after="283"/>
              <w:jc w:val="left"/>
              <w:rPr/>
            </w:pPr>
            <w:hyperlink w:anchor="a_014">
              <w:r>
                <w:rPr>
                  <w:rStyle w:val="InternetLink"/>
                  <w:sz w:val="20"/>
                </w:rPr>
                <w:t>Legal Matters</w:t>
              </w:r>
            </w:hyperlink>
          </w:p>
        </w:tc>
        <w:tc>
          <w:tcPr>
            <w:tcW w:w="245" w:type="dxa"/>
            <w:tcBorders/>
            <w:vAlign w:val="center"/>
          </w:tcPr>
          <w:p>
            <w:pPr>
              <w:pStyle w:val="TableContents"/>
              <w:bidi w:val="0"/>
              <w:spacing w:before="0" w:after="283"/>
              <w:jc w:val="right"/>
              <w:rPr/>
            </w:pPr>
            <w:hyperlink w:anchor="a_014">
              <w:r>
                <w:rPr>
                  <w:rStyle w:val="InternetLink"/>
                  <w:sz w:val="20"/>
                </w:rPr>
                <w:t>31</w:t>
              </w:r>
            </w:hyperlink>
          </w:p>
        </w:tc>
      </w:tr>
      <w:tr>
        <w:trPr/>
        <w:tc>
          <w:tcPr>
            <w:tcW w:w="4685" w:type="dxa"/>
            <w:tcBorders/>
            <w:vAlign w:val="center"/>
          </w:tcPr>
          <w:p>
            <w:pPr>
              <w:pStyle w:val="TableContents"/>
              <w:bidi w:val="0"/>
              <w:spacing w:before="0" w:after="283"/>
              <w:jc w:val="left"/>
              <w:rPr/>
            </w:pPr>
            <w:hyperlink w:anchor="a_015">
              <w:r>
                <w:rPr>
                  <w:rStyle w:val="InternetLink"/>
                  <w:sz w:val="20"/>
                </w:rPr>
                <w:t>Experts</w:t>
              </w:r>
            </w:hyperlink>
          </w:p>
        </w:tc>
        <w:tc>
          <w:tcPr>
            <w:tcW w:w="245" w:type="dxa"/>
            <w:tcBorders/>
            <w:vAlign w:val="center"/>
          </w:tcPr>
          <w:p>
            <w:pPr>
              <w:pStyle w:val="TableContents"/>
              <w:bidi w:val="0"/>
              <w:spacing w:before="0" w:after="283"/>
              <w:jc w:val="right"/>
              <w:rPr/>
            </w:pPr>
            <w:hyperlink w:anchor="a_015">
              <w:r>
                <w:rPr>
                  <w:rStyle w:val="InternetLink"/>
                  <w:sz w:val="20"/>
                </w:rPr>
                <w:t>31</w:t>
              </w:r>
            </w:hyperlink>
          </w:p>
        </w:tc>
      </w:tr>
      <w:tr>
        <w:trPr/>
        <w:tc>
          <w:tcPr>
            <w:tcW w:w="4685" w:type="dxa"/>
            <w:tcBorders/>
            <w:vAlign w:val="center"/>
          </w:tcPr>
          <w:p>
            <w:pPr>
              <w:pStyle w:val="TableContents"/>
              <w:bidi w:val="0"/>
              <w:spacing w:before="0" w:after="283"/>
              <w:jc w:val="left"/>
              <w:rPr/>
            </w:pPr>
            <w:hyperlink w:anchor="a_016">
              <w:r>
                <w:rPr>
                  <w:rStyle w:val="InternetLink"/>
                  <w:sz w:val="20"/>
                </w:rPr>
                <w:t>Where You Can Find More Information</w:t>
              </w:r>
            </w:hyperlink>
          </w:p>
        </w:tc>
        <w:tc>
          <w:tcPr>
            <w:tcW w:w="245" w:type="dxa"/>
            <w:tcBorders/>
            <w:vAlign w:val="center"/>
          </w:tcPr>
          <w:p>
            <w:pPr>
              <w:pStyle w:val="TableContents"/>
              <w:bidi w:val="0"/>
              <w:spacing w:before="0" w:after="283"/>
              <w:jc w:val="right"/>
              <w:rPr/>
            </w:pPr>
            <w:hyperlink w:anchor="a_016">
              <w:r>
                <w:rPr>
                  <w:rStyle w:val="InternetLink"/>
                  <w:sz w:val="20"/>
                </w:rPr>
                <w:t>31</w:t>
              </w:r>
            </w:hyperlink>
          </w:p>
        </w:tc>
      </w:tr>
      <w:tr>
        <w:trPr/>
        <w:tc>
          <w:tcPr>
            <w:tcW w:w="4685" w:type="dxa"/>
            <w:tcBorders/>
            <w:vAlign w:val="center"/>
          </w:tcPr>
          <w:p>
            <w:pPr>
              <w:pStyle w:val="TableContents"/>
              <w:bidi w:val="0"/>
              <w:spacing w:before="0" w:after="283"/>
              <w:jc w:val="left"/>
              <w:rPr/>
            </w:pPr>
            <w:hyperlink w:anchor="a_017">
              <w:r>
                <w:rPr>
                  <w:rStyle w:val="InternetLink"/>
                  <w:sz w:val="20"/>
                </w:rPr>
                <w:t>Information Incorporated by Reference</w:t>
              </w:r>
            </w:hyperlink>
          </w:p>
        </w:tc>
        <w:tc>
          <w:tcPr>
            <w:tcW w:w="245" w:type="dxa"/>
            <w:tcBorders/>
            <w:vAlign w:val="center"/>
          </w:tcPr>
          <w:p>
            <w:pPr>
              <w:pStyle w:val="TableContents"/>
              <w:bidi w:val="0"/>
              <w:spacing w:before="0" w:after="283"/>
              <w:jc w:val="right"/>
              <w:rPr/>
            </w:pPr>
            <w:hyperlink w:anchor="a_017">
              <w:r>
                <w:rPr>
                  <w:rStyle w:val="InternetLink"/>
                  <w:sz w:val="20"/>
                </w:rPr>
                <w:t>32</w:t>
              </w:r>
            </w:hyperlink>
          </w:p>
        </w:tc>
      </w:tr>
    </w:tbl>
    <w:p>
      <w:pPr>
        <w:pStyle w:val="TextBody"/>
        <w:bidi w:val="0"/>
        <w:spacing w:before="0" w:after="0"/>
        <w:ind w:left="0" w:right="0" w:firstLine="72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120" w:after="12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t_01"/>
      <w:bookmarkEnd w:id="2"/>
      <w:r>
        <w:rPr>
          <w:rFonts w:ascii="Times New Roman;Times;Serif" w:hAnsi="Times New Roman;Times;Serif"/>
          <w:b/>
          <w:i w:val="false"/>
          <w:caps w:val="false"/>
          <w:smallCaps w:val="false"/>
          <w:sz w:val="20"/>
        </w:rPr>
        <w:t>About this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dated May 14, 2026 are part of a registration statement on Form S-3 that we filed with the Securities and Exchange Commission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utilizing a “shelf” registration process. This prospectus supplement and the accompanying prospectus relate to the offer by us of our Ordinary Shares. We provide information to you about this offering in two separate documents that are bound together: (1) this prospectus supplement, which describes the specific details regarding this offering; and (2) the accompanying prospectus, which provides general information, some of which may not apply to this offering. Generally, when we refer to this “prospectus,” we are referring to both documents combined. If information in this prospectus supplement is inconsistent with the accompanying prospectus or any document incorporated by reference herein prior to the date of this prospectus supplement, you should rely on this prospectus supplement. However, if any statement in one of these documents is inconsistent with a statement in another document having a later date—for example, a document incorporated by reference in this prospectus supplement or the accompanying prospectus—the statement in the document having the later date modifies or supersedes the earlier statement. You should also read and consider the information in the documents we have referred you to under the heading “</w:t>
      </w:r>
      <w:r>
        <w:rPr>
          <w:rFonts w:ascii="Times New Roman;Times;Serif" w:hAnsi="Times New Roman;Times;Serif"/>
          <w:b w:val="false"/>
          <w:i/>
          <w:caps w:val="false"/>
          <w:smallCaps w:val="false"/>
          <w:sz w:val="20"/>
        </w:rPr>
        <w:t>Where You Can Find More Information; Information Incorporated by Reference</w:t>
      </w:r>
      <w:r>
        <w:rPr>
          <w:rFonts w:ascii="Times New Roman;Times;Serif" w:hAnsi="Times New Roman;Times;Serif"/>
          <w:b w:val="false"/>
          <w:i w:val="false"/>
          <w:caps w:val="false"/>
          <w:smallCaps w:val="false"/>
          <w:sz w:val="20"/>
        </w:rPr>
        <w:t>.” These documents contain important information that you should consider when making your investment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information contained in or incorporated by reference into this prospectus supplement and the accompanying prospectus. We have not authorized anyone to provide you with information that is different. We are offering to sell and seeking offers to buy our Ordinary Shares only in jurisdictions where offers and sales are permitted. The information contained in this prospectus supplement, the accompanying prospectus, the documents and information incorporated by reference in this prospectus supplement and the accompanying prospectus, and any free writing prospectus that we have authorized for use in connection with this offering are accurate only as of their respective dates, regardless of the time of delivery of this prospectus supplement or of any sale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supplement, unless the context otherwise indicates, the terms “Sono Group,” the “Company,” “we,” “our” and “us” or similar terms refer to Sono Group N.V.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our trademarks in this prospectus supplement as well as trademarks, tradenames and service marks that are the property of other organizations. Solely for convenience, trademarks and tradenames referred to in this prospectus supplement appear without the ® and ™ symbols, but those references are not intended to indicate, in any way, that we will not assert, to the fullest extent under applicable law, our rights or that the applicable owner will not assert its rights, to these trademarks and tradenames.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t_02"/>
      <w:bookmarkEnd w:id="3"/>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including the documents incorporated by reference herein and therein, and any free writing prospectus that we have authorized for use in connection with this offering contain forward-looking statements within the meaning of Section 27A of the Securities Act and Section 21E of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All statements other than statements of historical facts contained in this prospectus supplement, the accompanying prospectus and the documents incorporated by reference herein, including statements regarding our future results of operations or financial condition, business strategy, our digital asset treasury strategy, our ability to maintain our Nasdaq listing, our ability to generate returns from our treasury operations, plans and objectives of management for future operations, and future results of anticipated business development efforts,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prospectus supplement, the accompanying prospectus and the documents incorporated by reference herein also contain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you can identify forward-looking statements by terms such as “may,” “will,” “would,” “could,” “should,” “expect,” “plan,” “anticipate,” “could,” “intend,” “target,” “project,” “contemplates,” “believes,” “estimates,” “predicts,” “potential” or “continue” or the negative of these terms or other similar expressions. The forward-looking statements in this prospectus supplement, the accompanying prospectus and the documents incorporated by reference herein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supplement, and are subject to a number of risks, uncertainties and assumptions, which we discuss in greater detail in the documents incorporated by reference herein, including under the heading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and elsewhere in this prospectus supplement.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Given these risks and uncertainties, you should not place undue reliance on these forward-looking statements. Except as required by applicable law, we do not plan to publicly update or revise any forward-looking statements contained in this prospectus supplement, the accompanying prospectus or the documents incorporated by reference herein, whether as a result of any new information, future events, changed circumstances or otherwise. For all forward-looking statements, we claim the protection of the safe harbor for forward-looking statements contained in the Private Securities Litigation Reform Act of 1995.</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t_03"/>
      <w:bookmarkEnd w:id="4"/>
      <w:r>
        <w:rPr>
          <w:rFonts w:ascii="Times New Roman;Times;Serif" w:hAnsi="Times New Roman;Times;Serif"/>
          <w:b/>
          <w:i w:val="false"/>
          <w:caps w:val="false"/>
          <w:smallCaps w:val="false"/>
          <w:sz w:val="20"/>
        </w:rPr>
        <w:t>Prospectus Supplement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summary provides an overview of selected information contained elsewhere in or incorporated by reference in this prospectus supplement and the accompanying prospectus and does not contain all the information you should consider before investing in our securities. Therefore, you should read the entire prospectus supplement, the accompanying prospectus and any free writing prospectus that we have authorized for use in connection with this offering carefully, including the “Risk Factors” section, and other documents or information included or incorporated by reference in this prospectus supplement and the accompanying prospectus before making any investment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originally founded as Sono Motors GmbH in March 2016 in Germany and completed a corporate reorganization in November 2020, converting to Sono Group N.V., a public company with limited liability (</w:t>
      </w:r>
      <w:r>
        <w:rPr>
          <w:rFonts w:ascii="Times New Roman;Times;Serif" w:hAnsi="Times New Roman;Times;Serif"/>
          <w:b w:val="false"/>
          <w:i/>
          <w:caps w:val="false"/>
          <w:smallCaps w:val="false"/>
          <w:sz w:val="20"/>
        </w:rPr>
        <w:t>naamloze vennootschap</w:t>
      </w:r>
      <w:r>
        <w:rPr>
          <w:rFonts w:ascii="Times New Roman;Times;Serif" w:hAnsi="Times New Roman;Times;Serif"/>
          <w:b w:val="false"/>
          <w:i w:val="false"/>
          <w:caps w:val="false"/>
          <w:smallCaps w:val="false"/>
          <w:sz w:val="20"/>
        </w:rPr>
        <w:t>) under Dutch law. We previously developed the Sion solar electric vehicle but announced the termination of that program in February 2023 due to lack of available funding. Our business thereafter focused on providing solar technology products and services for integration into vehicles manufactured by other companies through our subsidiary, Sono Motors GmbH. In the first quarter of 2026, we determined to cease funding to Sono Motors GmbH and exit our legacy solar business. On May 4, 2026, we sold and transferred 100% of the outstanding share capital of Sono Motors GmbH to third-party purchasers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14, 2026, our Management Board, with the approval of our Supervisory Board, adopted a digital asset treasury strategy. Under the digital asset treasury strategy, the principal holding in Sono Group N.V.’s treasury reserve on its balance sheet is allocated to digital assets, principally Bitcoin (“</w:t>
      </w:r>
      <w:r>
        <w:rPr>
          <w:rFonts w:ascii="Times New Roman;Times;Serif" w:hAnsi="Times New Roman;Times;Serif"/>
          <w:b/>
          <w:i/>
          <w:caps w:val="false"/>
          <w:smallCaps w:val="false"/>
          <w:sz w:val="20"/>
        </w:rPr>
        <w:t>Bitcoin</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BTC</w:t>
      </w:r>
      <w:r>
        <w:rPr>
          <w:rFonts w:ascii="Times New Roman;Times;Serif" w:hAnsi="Times New Roman;Times;Serif"/>
          <w:b w:val="false"/>
          <w:i w:val="false"/>
          <w:caps w:val="false"/>
          <w:smallCaps w:val="false"/>
          <w:sz w:val="20"/>
        </w:rPr>
        <w:t>”), by applying a covered-call yield strategy. In connection with the digital asset treasury strategy, on March 10, 2026, Sono Group N.V. entered into a 2002 ISDA Master Agreement, a related Schedule and a Credit Support Annex with Blockchain.com, facilitating Sono Group N.V. to enter into derivative and/or hedging transactions to manage the risk associated with the digital asset treasury strategy. Our current business strategy focuses on our digital asset treasury operations and public-company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independent registered public accounting firm has included a going concern explanatory paragraph in its report on our consolidated financial statements for the year ended December 31, 2025, indicating that substantial doubt about our ability to continue as a going concern exists. We have incurred recurring operating losses and negative cash flows from operations since inception. As of December 31, 2025, we had an accumulated deficit of approximately $317.4 million. These conditions raise substantial doubt about our ability to continue as a going concern. Our ability to continue as a going concern is dependent on our ability to raise additional capital and implement our business strategy. See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this prospectus supplement and in the documents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Sports One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stated a desire to enhance our ability to consider various strategic opportunities that might become available to us. In that regard, and in conjunction with this offering, we have on August 31, 2026 announced that we and Sports One (“</w:t>
      </w:r>
      <w:r>
        <w:rPr>
          <w:rFonts w:ascii="Times New Roman;Times;Serif" w:hAnsi="Times New Roman;Times;Serif"/>
          <w:b/>
          <w:i/>
          <w:caps w:val="false"/>
          <w:smallCaps w:val="false"/>
          <w:sz w:val="20"/>
        </w:rPr>
        <w:t>Sports One</w:t>
      </w:r>
      <w:r>
        <w:rPr>
          <w:rFonts w:ascii="Times New Roman;Times;Serif" w:hAnsi="Times New Roman;Times;Serif"/>
          <w:b w:val="false"/>
          <w:i w:val="false"/>
          <w:caps w:val="false"/>
          <w:smallCaps w:val="false"/>
          <w:sz w:val="20"/>
        </w:rPr>
        <w:t>”), an entity that has recently been formed by certain of the Purchasers to operate a sports intelligence business that provides real-time athlete-level data, social media value scoring, and quantified data for what each athlete is worth to sponsors, and which also intends to acquire and hold minority interests in professional sports teams with primary focus on the NBA, NFL, MLB and NHL, have entered into a non-binding letter of intent (the “</w:t>
      </w:r>
      <w:r>
        <w:rPr>
          <w:rFonts w:ascii="Times New Roman;Times;Serif" w:hAnsi="Times New Roman;Times;Serif"/>
          <w:b/>
          <w:i/>
          <w:caps w:val="false"/>
          <w:smallCaps w:val="false"/>
          <w:sz w:val="20"/>
        </w:rPr>
        <w:t>Letter of Intent</w:t>
      </w:r>
      <w:r>
        <w:rPr>
          <w:rFonts w:ascii="Times New Roman;Times;Serif" w:hAnsi="Times New Roman;Times;Serif"/>
          <w:b w:val="false"/>
          <w:i w:val="false"/>
          <w:caps w:val="false"/>
          <w:smallCaps w:val="false"/>
          <w:sz w:val="20"/>
        </w:rPr>
        <w:t>”) for a business combination. The Sports One sports intelligence business combines AI intellectual property and proprietary intelligence that does not currently exist in the market, enabling athletes as a new asset category and supports operating decisions for teams / universities (NIL), betting/prediction companies, and brands, among others. Through the business combination, Sports One will become a publicly listed company with a business that is uniquely anchored by long-term ownership of minority interests in major sports franchises, with the optionality provided by a scalable data-and-intelligence operation that opens up new categories for athlete engagement and value benchmarking. Unlike a traditional private investment fund with a fixed lifespan, the public permanent-capital structure will allow Sports One to hold and scale team interests indefinitely. Sports franchise interests have historically been difficult to access and remain highly illiquid. Sports One's publicly-traded approach will provide investors with daily liquidity, and exposure across a diversified portfolio of the major sports team and league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completion of the business combination is subject to the negotiation and execution of definitive documentation and satisfaction of customary closing conditions stated in the Letter of Intent, including (i) completion of any required regulatory review and (ii) approval of the transaction by the Company’s shareholders. Accordingly, no assurances can be made that the parties will successfully negotiate and enter into a definitive agreement, or that the proposed transaction will be consummated on the terms or timeframe currently contemplated, or at all.</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Letter of Intent, the sole holder of the Company’s preferred shares, YA II PN, Ltd., has entered into a call option agreement (the “</w:t>
      </w:r>
      <w:r>
        <w:rPr>
          <w:rFonts w:ascii="Times New Roman;Times;Serif" w:hAnsi="Times New Roman;Times;Serif"/>
          <w:b/>
          <w:i/>
          <w:caps w:val="false"/>
          <w:smallCaps w:val="false"/>
          <w:sz w:val="20"/>
        </w:rPr>
        <w:t>Call Option Agreement</w:t>
      </w:r>
      <w:r>
        <w:rPr>
          <w:rFonts w:ascii="Times New Roman;Times;Serif" w:hAnsi="Times New Roman;Times;Serif"/>
          <w:b w:val="false"/>
          <w:i w:val="false"/>
          <w:caps w:val="false"/>
          <w:smallCaps w:val="false"/>
          <w:sz w:val="20"/>
        </w:rPr>
        <w:t>”) with an affiliate of Sports One to enable such parties to acquire approximately half of the issued and outstanding preferred shares currently held by YA II PN, Ltd. to the extent that such parties exercise the option provided for in such Call Option Agreement prior to the expiration of such option fifteen calendar days after the closing of the business combination contemplated by the Letter of Intent. Pursuant to the Call Option Agreement, YA II PN, Ltd. has agreed not to dispose of the 700 preferred shares subject to the Call Option Agreement or to convert them to ordinary shares or shares of common stock prior to the expiration of the call option. There are no other restrictions on any shares held by YA II PN,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Letter of Intent, the Company and Sports One intend to enter into a definitive agreement pursuant to which the Company and Sports One would combine, with the former equityholders of both entities holding equity in the combined public company listed on a national stock exchange (the “</w:t>
      </w:r>
      <w:r>
        <w:rPr>
          <w:rFonts w:ascii="Times New Roman;Times;Serif" w:hAnsi="Times New Roman;Times;Serif"/>
          <w:b/>
          <w:i/>
          <w:caps w:val="false"/>
          <w:smallCaps w:val="false"/>
          <w:sz w:val="20"/>
        </w:rPr>
        <w:t>Surviving Company</w:t>
      </w:r>
      <w:r>
        <w:rPr>
          <w:rFonts w:ascii="Times New Roman;Times;Serif" w:hAnsi="Times New Roman;Times;Serif"/>
          <w:b w:val="false"/>
          <w:i w:val="false"/>
          <w:caps w:val="false"/>
          <w:smallCaps w:val="false"/>
          <w:sz w:val="20"/>
        </w:rPr>
        <w:t>”) and with Sports One’s existing equityholders owning a super-majority of the equity in the Surviving Company. The final terms of the definitive agreement are subject to the completion of due diligence to the Company’s satisfaction.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originally founded as Sono Motors GmbH in Munich, Germany in March 2016. In November 2020, we completed a corporate reorganization in which Sono Motors Finance B.V. was converted to Sono Group N.V., a public company with limited liability (</w:t>
      </w:r>
      <w:r>
        <w:rPr>
          <w:rFonts w:ascii="Times New Roman;Times;Serif" w:hAnsi="Times New Roman;Times;Serif"/>
          <w:b w:val="false"/>
          <w:i/>
          <w:caps w:val="false"/>
          <w:smallCaps w:val="false"/>
          <w:sz w:val="20"/>
        </w:rPr>
        <w:t>naamloze vennootschap</w:t>
      </w:r>
      <w:r>
        <w:rPr>
          <w:rFonts w:ascii="Times New Roman;Times;Serif" w:hAnsi="Times New Roman;Times;Serif"/>
          <w:b w:val="false"/>
          <w:i w:val="false"/>
          <w:caps w:val="false"/>
          <w:smallCaps w:val="false"/>
          <w:sz w:val="20"/>
        </w:rPr>
        <w:t>) under Dutch law. Our Ordinary Shares are listed on the Nasdaq Capital Market under the symbol “SSM,” having uplisted from the OTC market on September 5,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4965 Trinidad Drive, Land O’ Lakes, FL 34639, and our telephone number is +1 352-502-1191. Our corporate website address is www.sonomotors.com. Information contained on, or accessible through, our website shall not be deemed incorporated into and is not a part of this prospectus or the registration statement of which it forms a part. We have included our website in this prospectus solely as an inactive textual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in Rule 12b-2 under the Exchange Act. We may take advantage of certain of the scaled disclosures available to smaller reporting companies and will be able to take advantage of these scaled disclosures for so long as (i) the market value of our voting and non-voting Ordinary Shares held by non-affiliates is less than $250 million measured on the last business day of our second fiscal quarter, or (ii) our annual revenue is less than $100 million during the most recently completed fiscal year and the market value of our voting and non-voting Ordinary Shares held by non-affiliates is less than $700 million measured on the last business day of our second fiscal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t_04"/>
      <w:bookmarkEnd w:id="5"/>
      <w:r>
        <w:rPr>
          <w:rFonts w:ascii="Times New Roman;Times;Serif" w:hAnsi="Times New Roman;Times;Serif"/>
          <w:b/>
          <w:i w:val="false"/>
          <w:caps w:val="false"/>
          <w:smallCaps w:val="false"/>
          <w:sz w:val="20"/>
        </w:rPr>
        <w:t>The Offering</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09"/>
        <w:gridCol w:w="7596"/>
      </w:tblGrid>
      <w:tr>
        <w:trPr/>
        <w:tc>
          <w:tcPr>
            <w:tcW w:w="260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offered by us</w:t>
            </w:r>
          </w:p>
          <w:p>
            <w:pPr>
              <w:pStyle w:val="TableContents"/>
              <w:bidi w:val="0"/>
              <w:spacing w:before="0" w:after="0"/>
              <w:ind w:left="0" w:right="0" w:hanging="0"/>
              <w:jc w:val="left"/>
              <w:rPr>
                <w:caps w:val="false"/>
                <w:smallCaps w:val="false"/>
              </w:rPr>
            </w:pPr>
            <w:r>
              <w:rPr>
                <w:caps w:val="false"/>
                <w:smallCaps w:val="false"/>
              </w:rPr>
              <w:t> </w:t>
            </w:r>
          </w:p>
        </w:tc>
        <w:tc>
          <w:tcPr>
            <w:tcW w:w="759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283,500 Ordinary Shares.</w:t>
            </w:r>
          </w:p>
          <w:p>
            <w:pPr>
              <w:pStyle w:val="TableContents"/>
              <w:bidi w:val="0"/>
              <w:spacing w:before="0" w:after="0"/>
              <w:ind w:left="0" w:right="0" w:hanging="0"/>
              <w:jc w:val="both"/>
              <w:rPr>
                <w:caps w:val="false"/>
                <w:smallCaps w:val="false"/>
              </w:rPr>
            </w:pPr>
            <w:r>
              <w:rPr>
                <w:caps w:val="false"/>
                <w:smallCaps w:val="false"/>
              </w:rPr>
              <w:t> </w:t>
            </w:r>
          </w:p>
        </w:tc>
      </w:tr>
      <w:tr>
        <w:trPr/>
        <w:tc>
          <w:tcPr>
            <w:tcW w:w="260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Share Purchase Price</w:t>
            </w:r>
          </w:p>
          <w:p>
            <w:pPr>
              <w:pStyle w:val="TableContents"/>
              <w:bidi w:val="0"/>
              <w:spacing w:before="0" w:after="0"/>
              <w:ind w:left="0" w:right="0" w:hanging="0"/>
              <w:jc w:val="left"/>
              <w:rPr>
                <w:caps w:val="false"/>
                <w:smallCaps w:val="false"/>
              </w:rPr>
            </w:pPr>
            <w:r>
              <w:rPr>
                <w:caps w:val="false"/>
                <w:smallCaps w:val="false"/>
              </w:rPr>
              <w:t> </w:t>
            </w:r>
          </w:p>
        </w:tc>
        <w:tc>
          <w:tcPr>
            <w:tcW w:w="759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 per Ordinary Share (equal to the consolidated closing bid price on the trading day immediately preceding the date of the Purchase Agreement).</w:t>
            </w:r>
          </w:p>
          <w:p>
            <w:pPr>
              <w:pStyle w:val="TableContents"/>
              <w:bidi w:val="0"/>
              <w:spacing w:before="0" w:after="0"/>
              <w:ind w:left="0" w:right="0" w:hanging="0"/>
              <w:jc w:val="both"/>
              <w:rPr>
                <w:caps w:val="false"/>
                <w:smallCaps w:val="false"/>
              </w:rPr>
            </w:pPr>
            <w:r>
              <w:rPr>
                <w:caps w:val="false"/>
                <w:smallCaps w:val="false"/>
              </w:rPr>
              <w:t> </w:t>
            </w:r>
          </w:p>
        </w:tc>
      </w:tr>
      <w:tr>
        <w:trPr/>
        <w:tc>
          <w:tcPr>
            <w:tcW w:w="260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to be outstanding immediately after this offering</w:t>
            </w:r>
          </w:p>
          <w:p>
            <w:pPr>
              <w:pStyle w:val="TableContents"/>
              <w:bidi w:val="0"/>
              <w:spacing w:before="0" w:after="0"/>
              <w:ind w:left="0" w:right="0" w:hanging="0"/>
              <w:jc w:val="left"/>
              <w:rPr>
                <w:caps w:val="false"/>
                <w:smallCaps w:val="false"/>
              </w:rPr>
            </w:pPr>
            <w:r>
              <w:rPr>
                <w:caps w:val="false"/>
                <w:smallCaps w:val="false"/>
              </w:rPr>
              <w:t> </w:t>
            </w:r>
          </w:p>
        </w:tc>
        <w:tc>
          <w:tcPr>
            <w:tcW w:w="75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1,708,334 Ordinary Shares.</w:t>
            </w:r>
          </w:p>
        </w:tc>
      </w:tr>
      <w:tr>
        <w:trPr/>
        <w:tc>
          <w:tcPr>
            <w:tcW w:w="260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w:t>
            </w:r>
          </w:p>
          <w:p>
            <w:pPr>
              <w:pStyle w:val="TableContents"/>
              <w:bidi w:val="0"/>
              <w:spacing w:before="0" w:after="0"/>
              <w:ind w:left="0" w:right="0" w:hanging="0"/>
              <w:jc w:val="left"/>
              <w:rPr>
                <w:caps w:val="false"/>
                <w:smallCaps w:val="false"/>
              </w:rPr>
            </w:pPr>
            <w:r>
              <w:rPr>
                <w:caps w:val="false"/>
                <w:smallCaps w:val="false"/>
              </w:rPr>
              <w:t> </w:t>
            </w:r>
          </w:p>
        </w:tc>
        <w:tc>
          <w:tcPr>
            <w:tcW w:w="759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for working capital and general corporate purposes. See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both"/>
              <w:rPr>
                <w:caps w:val="false"/>
                <w:smallCaps w:val="false"/>
              </w:rPr>
            </w:pPr>
            <w:r>
              <w:rPr>
                <w:caps w:val="false"/>
                <w:smallCaps w:val="false"/>
              </w:rPr>
              <w:t> </w:t>
            </w:r>
          </w:p>
        </w:tc>
      </w:tr>
      <w:tr>
        <w:trPr/>
        <w:tc>
          <w:tcPr>
            <w:tcW w:w="260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 listing</w:t>
            </w:r>
          </w:p>
          <w:p>
            <w:pPr>
              <w:pStyle w:val="TableContents"/>
              <w:bidi w:val="0"/>
              <w:spacing w:before="0" w:after="0"/>
              <w:ind w:left="0" w:right="0" w:hanging="0"/>
              <w:jc w:val="left"/>
              <w:rPr>
                <w:caps w:val="false"/>
                <w:smallCaps w:val="false"/>
              </w:rPr>
            </w:pPr>
            <w:r>
              <w:rPr>
                <w:caps w:val="false"/>
                <w:smallCaps w:val="false"/>
              </w:rPr>
              <w:t> </w:t>
            </w:r>
          </w:p>
        </w:tc>
        <w:tc>
          <w:tcPr>
            <w:tcW w:w="759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Capital Market under the symbol SSM.</w:t>
            </w:r>
          </w:p>
          <w:p>
            <w:pPr>
              <w:pStyle w:val="TableContents"/>
              <w:bidi w:val="0"/>
              <w:spacing w:before="0" w:after="0"/>
              <w:ind w:left="0" w:right="0" w:hanging="0"/>
              <w:jc w:val="both"/>
              <w:rPr>
                <w:caps w:val="false"/>
                <w:smallCaps w:val="false"/>
              </w:rPr>
            </w:pPr>
            <w:r>
              <w:rPr>
                <w:caps w:val="false"/>
                <w:smallCaps w:val="false"/>
              </w:rPr>
              <w:t> </w:t>
            </w:r>
          </w:p>
        </w:tc>
      </w:tr>
      <w:tr>
        <w:trPr/>
        <w:tc>
          <w:tcPr>
            <w:tcW w:w="260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factors</w:t>
            </w:r>
          </w:p>
          <w:p>
            <w:pPr>
              <w:pStyle w:val="TableContents"/>
              <w:bidi w:val="0"/>
              <w:spacing w:before="0" w:after="0"/>
              <w:ind w:left="0" w:right="0" w:hanging="0"/>
              <w:jc w:val="left"/>
              <w:rPr>
                <w:caps w:val="false"/>
                <w:smallCaps w:val="false"/>
              </w:rPr>
            </w:pPr>
            <w:r>
              <w:rPr>
                <w:caps w:val="false"/>
                <w:smallCaps w:val="false"/>
              </w:rPr>
              <w:t> </w:t>
            </w:r>
          </w:p>
        </w:tc>
        <w:tc>
          <w:tcPr>
            <w:tcW w:w="75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section of this prospectus supplement and in the documents incorporated by reference in this prospectus supplement for a discussion of factors to consider before deciding to invest in our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Ordinary Shares to be outstanding after this offering is based on 1,424,834 Ordinary Shares outstanding as of August 31, 2026, and excludes: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31"/>
        <w:gridCol w:w="10034"/>
      </w:tblGrid>
      <w:tr>
        <w:trPr/>
        <w:tc>
          <w:tcPr>
            <w:tcW w:w="4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Symbol" w:hAnsi="Symbol"/>
              </w:rPr>
            </w:pPr>
            <w:r>
              <w:rPr>
                <w:rFonts w:ascii="Symbol" w:hAnsi="Symbol"/>
              </w:rPr>
              <w:t>·</w:t>
            </w:r>
          </w:p>
        </w:tc>
        <w:tc>
          <w:tcPr>
            <w:tcW w:w="10034" w:type="dxa"/>
            <w:tcBorders/>
            <w:vAlign w:val="center"/>
          </w:tcPr>
          <w:p>
            <w:pPr>
              <w:pStyle w:val="TableContents"/>
              <w:bidi w:val="0"/>
              <w:spacing w:before="0" w:after="283"/>
              <w:jc w:val="both"/>
              <w:rPr/>
            </w:pPr>
            <w:r>
              <w:rPr/>
              <w:t>40,000 Ordinary Shares issuable upon conversion of our 40,000 outstanding high voting shares;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Up to 42,030,000 Ordinary Shares issuable upon conversion of our 1,401 outstanding preferred shares, presuming that the contractually agreed conversion blocker equal to 4.99% of the Ordinary Shares is waived by the holder of the preferred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we will not issue Ordinary Shares to the extent that after giving effect thereto, the aggregate number of Ordinary Shares issued pursuant to the Purchase Agreement would exceed 19.9% of the aggregate voting power or 19.9% of the total number of issued and outstanding Ordinary Shares as of the date of the Purchase Agreement, calculated in accordance with the applicable rules of the Nasdaq Capital Market, unless we obtain shareholder approval to exceed such limit.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t_05"/>
      <w:bookmarkEnd w:id="6"/>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a high degree of risk. You should carefully review the risks and uncertainties described below and under the section titled “Risk Factors” in our most recent Annual Report on Form 10-K and any subsequent Quarterly Reports on Form 10-Q or Current Reports on Form 8-K, and all other information contained or incorporated by reference into this prospectus supplement and the accompanying prospectus, before acquiring any of such securities. The occurrence of any of these risks might cause you to lose all or part of your investment in the offered securities. The risks described below are not the only ones that we face. Additional risks not presently known to us or that we currently deem immaterial may also affect our business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This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substantial doubt about our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independent registered public accounting firm has included a going concern explanatory paragraph in its report on our consolidated financial statements for the year ended December 31, 2025. We have incurred recurring operating losses and negative cash flows from operations since inception. As of December 31, 2025, we had an accumulated deficit of approximately $317.4 million and recorded a net operating loss of approximately €7.7 million. As of March 31, 2026, our cash and cash equivalents were $166 thousand. If we are unable to raise additional capital or implement our business strategy, we may be unable to continue as a going concern, in which case you could lose your entire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recently sold our legacy solar technology subsidiary and our current business strategy is focused on digital asset treasury operations, which involves significant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4, 2026, we sold and transferred 100% of the outstanding share capital of our subsidiary, Sono Motors GmbH, to third-party purchasers for an aggregate purchase price of €1.00. Our current business strategy focuses on digital asset treasury operations. Digital assets are highly volatile and subject to wide fluctuations in value. Our digital asset treasury strategy may not generate expected returns and could result in significant losses. Additionally, the regulatory environment for digital assets is evolving and uncertain, and future regulations could materially and adversely impact our ability to implement our treasury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material weaknesses in our internal control over financial reporting, which could adversely affect our ability to report our financial condition and results of operations in a timely and accurate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identified material weaknesses in our internal control over financial reporting. Our disclosure controls and procedures were not effective as of December 31, 2025 and June 30, 2026.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If we are unable to remediate our material weaknesses, our ability to record, process, and report financial information accurately, and to prepare financial statements within the time periods specified by SEC rules,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you purchase Ordinary Shares in this offering, you will experience immediate and substantial dilution in the net tangible book value of your shares. In addition, we may issue additional equity or convertible debt securities in the future, which may result in additional dilution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 share purchase price for Ordinary Shares in this offering may exceed the net tangible book value per share of our outstanding Ordinary Shares. As a result, investors purchasing Ordinary Shares in this offering may experience immediate and substantial dilution in the net tangible book value of the shares they purchase. For a more detailed discussion of the foregoing, see the section entitled “</w:t>
      </w:r>
      <w:r>
        <w:rPr>
          <w:rFonts w:ascii="Times New Roman;Times;Serif" w:hAnsi="Times New Roman;Times;Serif"/>
          <w:b w:val="false"/>
          <w:i/>
          <w:caps w:val="false"/>
          <w:smallCaps w:val="false"/>
          <w:sz w:val="20"/>
        </w:rPr>
        <w:t>Dilution</w:t>
      </w:r>
      <w:r>
        <w:rPr>
          <w:rFonts w:ascii="Times New Roman;Times;Serif" w:hAnsi="Times New Roman;Times;Serif"/>
          <w:b w:val="false"/>
          <w:i w:val="false"/>
          <w:caps w:val="false"/>
          <w:smallCaps w:val="false"/>
          <w:sz w:val="20"/>
        </w:rPr>
        <w:t>” below. In addition, to the extent we need to raise additional capital in the future and we issue additional equity or convertible debt securities, our then existing shareholders may experience dilution and the new securities may have rights senior to those of the securities offered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team may invest or spend the proceeds of this offering in ways with which you may not agree or in ways which may not yield a significant return.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over the use of proceeds from this offering. We intend to use the net proceeds from this offering for working capital and general corporate purposes. Our management will have considerable discretion in the application of the net proceeds, and you will not have the opportunity, as part of your investment decision, to assess whether the proceeds are being used appropriately. The net proceeds may be used for corporate purposes that do not increase our operating results or enhance the value of our Ordinary Shares.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This offering, occurring concurrently with the Call Option Agreement, and the entry by us into the non-binding Letter of Intent with Sports One are part of a coordinated strategic path that will result in massive dilution and a total change of control of us if approved by our shareholders. There is no assurance that the proposed business combination will be completed, which could materially alter the value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this offering, we have entered into a non-binding Letter of Intent to combine with Sports One (the “</w:t>
      </w:r>
      <w:r>
        <w:rPr>
          <w:rFonts w:ascii="Times New Roman;Times;Serif" w:hAnsi="Times New Roman;Times;Serif"/>
          <w:b/>
          <w:i/>
          <w:caps w:val="false"/>
          <w:smallCaps w:val="false"/>
          <w:sz w:val="20"/>
        </w:rPr>
        <w:t>Proposed Combination</w:t>
      </w:r>
      <w:r>
        <w:rPr>
          <w:rFonts w:ascii="Times New Roman;Times;Serif" w:hAnsi="Times New Roman;Times;Serif"/>
          <w:b w:val="false"/>
          <w:i w:val="false"/>
          <w:caps w:val="false"/>
          <w:smallCaps w:val="false"/>
          <w:sz w:val="20"/>
        </w:rPr>
        <w:t>”), a company controlled by the purchasers in the offering (the “</w:t>
      </w:r>
      <w:r>
        <w:rPr>
          <w:rFonts w:ascii="Times New Roman;Times;Serif" w:hAnsi="Times New Roman;Times;Serif"/>
          <w:b/>
          <w:i/>
          <w:caps w:val="false"/>
          <w:smallCaps w:val="false"/>
          <w:sz w:val="20"/>
        </w:rPr>
        <w:t>Purchasers</w:t>
      </w:r>
      <w:r>
        <w:rPr>
          <w:rFonts w:ascii="Times New Roman;Times;Serif" w:hAnsi="Times New Roman;Times;Serif"/>
          <w:b w:val="false"/>
          <w:i w:val="false"/>
          <w:caps w:val="false"/>
          <w:smallCaps w:val="false"/>
          <w:sz w:val="20"/>
        </w:rPr>
        <w:t>”). In connection with these transactions, an affiliate of certain of the Purchasers has also entered into the Call Option Agreement with the sole holder of our preferred shares to acquire up to half of our outstanding preferred shares (representing an aggregate cost of approximately $21.0 million), which preferred shares are convertible into Ordinary Shares subject to a 4.99% conversion blocker that requires 65 days’ prior notice to waive.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offering is closing for a fixed number of shares representing approximately 19.9% of our issued and outstanding Ordinary Shares as of the date of the Purchase Agreement and is not conditioned on the entry into or closing of the Proposed Combination, the transactions are highly interrelated. You should carefully consider the following risks associated with this structure: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i/>
              </w:rPr>
              <w:t>Massive Dilution and Loss of Control</w:t>
            </w:r>
            <w:r>
              <w:rPr/>
              <w:t>: If the Proposed Combination is finalized and approved by our shareholders, the Purchasers and their affiliates are expected to own super-majority of the equity in the Surviving Company. As a result, the issuance of Ordinary Shares in the Proposed Combination will result in immediate, severe, and massive dilution to the net tangible book value per share of our Ordinary Shares and will completely shift voting control away from our current public shareholders and the holder of our high voting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i/>
              </w:rPr>
              <w:t>The Proposed Combination is Non-Binding and May Not Close</w:t>
            </w:r>
            <w:r>
              <w:rPr/>
              <w:t>: The Letter of Intent is non-binding, and the completion of the Proposed Combination remains subject to several significant conditions. These include the negotiation and execution of a definitive documentation, the completion of satisfactory due diligence, the completion of any required regulatory review, and the receipt of shareholder approval under Nasdaq Listing Rule 5635. We cannot assure you that a definitive agreement will be reached or that the Proposed Combination will close on the terms described, or at all.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i/>
              </w:rPr>
              <w:t>Our Stock May Be Volatile Pending the Shareholder Vote</w:t>
            </w:r>
            <w:r>
              <w:rPr/>
              <w:t>: Although the holder of our high voting shares and the holder of our preferred shares, which together constitute a majority of the voting power in our capital shares, are expected to vote in favor of the Proposed Combination and related transactions, we must still clear a formal proxy review process with the SEC and host a formal shareholder meeting to satisfy Nasdaq rules. The uncertainty surrounding the timeline and final execution of this vote may cause extreme volatility in the trading price of our Ordinary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i/>
              </w:rPr>
              <w:t>If the Combination Fails, We Will Remain a Standalone Entity with Altered Ownership</w:t>
            </w:r>
            <w:r>
              <w:rPr/>
              <w:t>: If our shareholders do not approve the Proposed Combination, or if the definitive documentation is not executed, the Purchasers will retain the block of Ordinary Shares purchased in this offering that is equal to 19.9% of the total number of issued and outstanding Ordinary Shares as of the date of the Purchase Agreement, and the affiliate of certain of the Purchasers may still exercise its rights under the $21.0 million preferred stock call option. In such an event, you will remain a minority investor in our standalone business, which will be subject to the significant influence of the Purchasers as a concentrated shareholder group holding near-threshold equity and voting positions.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i/>
              </w:rPr>
              <w:t>The Sized Offering Approaches Nasdaq Limits</w:t>
            </w:r>
            <w:r>
              <w:rPr/>
              <w:t>: The offering has been structured to issue 19.9% of our outstanding Ordinary Shares to remain below the 20% prior shareholder approval threshold mandated by Nasdaq Listing Rule 5635. While we believe the offering is legally compliant and has independent utility—including to provide the immediate cash runway required to fund our proxy preparation and filing expenses—Nasdaq may review the sequence of these transactions. Any regulatory dispute regarding the timing of this closing relative to the ultimate change-of-control vote could disrupt our listing status or trading market.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 w:name="t_06"/>
      <w:bookmarkEnd w:id="7"/>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net proceeds to us from the sale of the Ordinary Shares offered hereby will be approximately $556,945, after deducting estimated offering expenses payable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for working capital and general corporate purposes. The amounts and timing of our actual expenditures will depend on numerous factors. We therefore cannot estimate with certainty the amount of net proceeds to be used for the purposes described above. We may find it necessary or advisable to use the net proceeds for other purposes, and we will have broad discretion in the application of the net proceeds. Pending the uses described above, we plan to invest the net proceeds from this offering in short- and intermediate-term, interest-bearing obligations, investment-grade instruments, certificates of deposit or direct or guaranteed obligations of the U.S. government. We will not use the proceeds from this offering for (a) the satisfaction of any portion of indebtedness (other than payment of trade payables in the ordinary course of business), (b) the redemption of any ordinary shares or equivalent, (c) the settlement of any outstanding litigation, or (d) in violation of the Foreign Corrupt Practices Act or OFAC regulations.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t_07"/>
      <w:bookmarkEnd w:id="8"/>
      <w:r>
        <w:rPr>
          <w:rFonts w:ascii="Times New Roman;Times;Serif" w:hAnsi="Times New Roman;Times;Serif"/>
          <w:b/>
          <w:i w:val="false"/>
          <w:caps w:val="false"/>
          <w:smallCaps w:val="false"/>
          <w:sz w:val="20"/>
        </w:rPr>
        <w:t>Description of Securities Offered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Ordinary Shares are issued in registered form. Our authorized share capital is €1,630,300, divided into 120,000,000 ordinary shares, each with a nominal value of €0.01, 40,000 high voting shares, each with a nominal value of €0.25 and 1,401 preferred shares, each with a nominal value of €300.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On December 23, 2024, the Company amended its Articles of Association to implement a reverse share split (the “</w:t>
      </w:r>
      <w:r>
        <w:rPr>
          <w:rFonts w:ascii="Times New Roman;Times;Serif" w:hAnsi="Times New Roman;Times;Serif"/>
          <w:b/>
          <w:i/>
          <w:caps w:val="false"/>
          <w:smallCaps w:val="false"/>
          <w:sz w:val="20"/>
        </w:rPr>
        <w:t>Reverse Share Split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of the Company’s Ordinary Shares and High Voting Shares at a ratio of 1-for-75. The Reverse Share Split took market effect on January 6, 2025, following confirmation from the Financial Industry Regulatory Authority that it had received and reviewed all necessary documentation to process the Reverse Share Split and was perfected pursuant to an amendment of the Company’s Articles of Association on September 9,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at Sono N.V.’s extraordinary general meeting held on January 31, 2024, the shareholders approved a proposal to increase (in one or a series of amendments) our authorized share capital in order to cover conversions under the convertible debentures held by YA II PN, Ltd. At the Company’s extraordinary meeting of shareholders on November 7, 2024, the shareholders approved a proposal to inter alia (i) increase (in one or a series of amendments) our authorised share capital in order to cover the increase of our authorised share capital under an authority of the management board to issue Ordinary Shares or grant rights to subscribe for Ordinary Shares, and (ii) introduce a new class of preferred shares, with a nominal value of €300.00 per preferred share, with each preferred share being convertible into 30,000 Ordinary Shares, which changes were implemented by amendment to the Company’s Articles of Association on September 9,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Dutch law, our authorized share capital is the maximum capital that we may issue without amending our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t_08"/>
      <w:bookmarkEnd w:id="9"/>
      <w:r>
        <w:rPr>
          <w:rFonts w:ascii="Times New Roman;Times;Serif" w:hAnsi="Times New Roman;Times;Serif"/>
          <w:b/>
          <w:i w:val="false"/>
          <w:caps w:val="false"/>
          <w:smallCaps w:val="false"/>
          <w:sz w:val="20"/>
        </w:rPr>
        <w:t>Dilution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invest in our securities in this offering, your ownership interest will be diluted to the extent of the difference between the per share purchase price and the net tangible book value per share of our Ordinary Shares after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our net tangible book value (deficit) was $(2,791) thousand, or $(1.96) per share, based on 1,424,834 Ordinary Shares outstanding as of June 30, 2026. Our net tangible book value per share represents the amount of our total tangible assets reduced by the amount of our total liabilities, divided by the total number of Ordinary Shares outstanding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our sale in this offering of 283,500 Ordinary Shares at a per share purchase price of $2.67, after deducting estimated offering expenses payable by us, our as adjusted net tangible book value as of June 30, 2026 would have been $(2,234) thousand, or $(1.31) per share. This represents an immediate increase of net tangible book value of $0.65 per share to our existing shareholders and an immediate dilution of $3.98 per share to new investors purchasing securities in this offering.</w:t>
      </w:r>
    </w:p>
    <w:p>
      <w:pPr>
        <w:pStyle w:val="TextBody"/>
        <w:bidi w:val="0"/>
        <w:spacing w:before="0" w:after="0"/>
        <w:ind w:left="0" w:right="0" w:hanging="0"/>
        <w:jc w:val="both"/>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8570"/>
        <w:gridCol w:w="60"/>
        <w:gridCol w:w="140"/>
        <w:gridCol w:w="515"/>
        <w:gridCol w:w="95"/>
        <w:gridCol w:w="60"/>
        <w:gridCol w:w="140"/>
        <w:gridCol w:w="515"/>
        <w:gridCol w:w="110"/>
      </w:tblGrid>
      <w:tr>
        <w:trPr/>
        <w:tc>
          <w:tcPr>
            <w:tcW w:w="8570" w:type="dxa"/>
            <w:tcBorders/>
            <w:shd w:fill="CCEEFF" w:val="clear"/>
            <w:vAlign w:val="center"/>
          </w:tcPr>
          <w:p>
            <w:pPr>
              <w:pStyle w:val="TableContents"/>
              <w:bidi w:val="0"/>
              <w:spacing w:before="0" w:after="283"/>
              <w:jc w:val="left"/>
              <w:rPr/>
            </w:pPr>
            <w:r>
              <w:rPr/>
              <w:t>Offering price per share of Ordinary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15" w:type="dxa"/>
            <w:tcBorders/>
            <w:shd w:fill="CCEEFF" w:val="clear"/>
            <w:vAlign w:val="center"/>
          </w:tcPr>
          <w:p>
            <w:pPr>
              <w:pStyle w:val="TableContents"/>
              <w:bidi w:val="0"/>
              <w:spacing w:before="0" w:after="283"/>
              <w:jc w:val="right"/>
              <w:rPr/>
            </w:pPr>
            <w:r>
              <w:rPr/>
              <w:t>2.67</w:t>
            </w:r>
          </w:p>
        </w:tc>
        <w:tc>
          <w:tcPr>
            <w:tcW w:w="110" w:type="dxa"/>
            <w:tcBorders/>
            <w:shd w:fill="CCEEFF" w:val="clear"/>
            <w:vAlign w:val="center"/>
          </w:tcPr>
          <w:p>
            <w:pPr>
              <w:pStyle w:val="TableContents"/>
              <w:bidi w:val="0"/>
              <w:spacing w:before="0" w:after="283"/>
              <w:jc w:val="left"/>
              <w:rPr/>
            </w:pPr>
            <w:r>
              <w:rPr/>
              <w:t> </w:t>
            </w:r>
          </w:p>
        </w:tc>
      </w:tr>
      <w:tr>
        <w:trPr/>
        <w:tc>
          <w:tcPr>
            <w:tcW w:w="8570" w:type="dxa"/>
            <w:tcBorders/>
            <w:shd w:fill="FFFFFF" w:val="clear"/>
            <w:vAlign w:val="center"/>
          </w:tcPr>
          <w:p>
            <w:pPr>
              <w:pStyle w:val="TableContents"/>
              <w:bidi w:val="0"/>
              <w:spacing w:before="0" w:after="283"/>
              <w:jc w:val="left"/>
              <w:rPr/>
            </w:pPr>
            <w:r>
              <w:rPr/>
              <w:t>Net tangible book deficit per share at June 30,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15" w:type="dxa"/>
            <w:tcBorders/>
            <w:shd w:fill="FFFFFF" w:val="clear"/>
            <w:vAlign w:val="center"/>
          </w:tcPr>
          <w:p>
            <w:pPr>
              <w:pStyle w:val="TableContents"/>
              <w:bidi w:val="0"/>
              <w:spacing w:before="0" w:after="283"/>
              <w:jc w:val="right"/>
              <w:rPr/>
            </w:pPr>
            <w:r>
              <w:rPr/>
              <w:t>(1.96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sz w:val="4"/>
                <w:szCs w:val="4"/>
              </w:rPr>
            </w:pPr>
            <w:r>
              <w:rPr>
                <w:sz w:val="4"/>
                <w:szCs w:val="4"/>
              </w:rPr>
            </w:r>
          </w:p>
        </w:tc>
        <w:tc>
          <w:tcPr>
            <w:tcW w:w="110" w:type="dxa"/>
            <w:tcBorders/>
            <w:shd w:fill="FFFFFF" w:val="clear"/>
            <w:vAlign w:val="center"/>
          </w:tcPr>
          <w:p>
            <w:pPr>
              <w:pStyle w:val="TableContents"/>
              <w:bidi w:val="0"/>
              <w:spacing w:before="0" w:after="283"/>
              <w:jc w:val="left"/>
              <w:rPr/>
            </w:pPr>
            <w:r>
              <w:rPr/>
              <w:t> </w:t>
            </w:r>
          </w:p>
        </w:tc>
      </w:tr>
      <w:tr>
        <w:trPr/>
        <w:tc>
          <w:tcPr>
            <w:tcW w:w="8570" w:type="dxa"/>
            <w:tcBorders/>
            <w:shd w:fill="CCEEFF" w:val="clear"/>
            <w:vAlign w:val="center"/>
          </w:tcPr>
          <w:p>
            <w:pPr>
              <w:pStyle w:val="TableContents"/>
              <w:bidi w:val="0"/>
              <w:spacing w:before="0" w:after="283"/>
              <w:jc w:val="left"/>
              <w:rPr/>
            </w:pPr>
            <w:r>
              <w:rPr/>
              <w:t>Increase per share attributable to new investors purchasing shares in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0.65</w:t>
            </w:r>
          </w:p>
        </w:tc>
        <w:tc>
          <w:tcPr>
            <w:tcW w:w="110" w:type="dxa"/>
            <w:tcBorders/>
            <w:shd w:fill="CCEEFF" w:val="clear"/>
            <w:vAlign w:val="center"/>
          </w:tcPr>
          <w:p>
            <w:pPr>
              <w:pStyle w:val="TableContents"/>
              <w:bidi w:val="0"/>
              <w:spacing w:before="0" w:after="283"/>
              <w:ind w:left="0" w:right="0" w:hanging="255"/>
              <w:jc w:val="left"/>
              <w:rPr/>
            </w:pPr>
            <w:r>
              <w:rPr/>
              <w:t> </w:t>
            </w:r>
          </w:p>
        </w:tc>
      </w:tr>
      <w:tr>
        <w:trPr/>
        <w:tc>
          <w:tcPr>
            <w:tcW w:w="8570" w:type="dxa"/>
            <w:tcBorders/>
            <w:shd w:fill="FFFFFF" w:val="clear"/>
            <w:vAlign w:val="center"/>
          </w:tcPr>
          <w:p>
            <w:pPr>
              <w:pStyle w:val="TableContents"/>
              <w:bidi w:val="0"/>
              <w:spacing w:before="0" w:after="283"/>
              <w:jc w:val="left"/>
              <w:rPr/>
            </w:pPr>
            <w:r>
              <w:rPr/>
              <w:t>As adjusted net tangible book value per share as of June 30, 2026, after giving effect to this offering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pPr>
            <w:r>
              <w:rPr/>
              <w:t>(1.31</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r>
      <w:tr>
        <w:trPr/>
        <w:tc>
          <w:tcPr>
            <w:tcW w:w="8570" w:type="dxa"/>
            <w:tcBorders/>
            <w:shd w:fill="CCEEFF" w:val="clear"/>
            <w:vAlign w:val="center"/>
          </w:tcPr>
          <w:p>
            <w:pPr>
              <w:pStyle w:val="TableContents"/>
              <w:bidi w:val="0"/>
              <w:spacing w:before="0" w:after="283"/>
              <w:jc w:val="left"/>
              <w:rPr/>
            </w:pPr>
            <w:r>
              <w:rPr/>
              <w:t>Dilution per share to new investors purchasing our Ordinary Shares in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pPr>
            <w:r>
              <w:rPr/>
              <w:t>3.98</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discussion and table are based on 1,424,834 Ordinary Shares outstanding as of June 30, 2026. The number of shares outstanding as of June 30, 2026, unless otherwise indicated, excludes: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31"/>
        <w:gridCol w:w="10034"/>
      </w:tblGrid>
      <w:tr>
        <w:trPr/>
        <w:tc>
          <w:tcPr>
            <w:tcW w:w="4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Symbol" w:hAnsi="Symbol"/>
              </w:rPr>
            </w:pPr>
            <w:r>
              <w:rPr>
                <w:rFonts w:ascii="Symbol" w:hAnsi="Symbol"/>
              </w:rPr>
              <w:t>·</w:t>
            </w:r>
          </w:p>
        </w:tc>
        <w:tc>
          <w:tcPr>
            <w:tcW w:w="10034" w:type="dxa"/>
            <w:tcBorders/>
            <w:vAlign w:val="center"/>
          </w:tcPr>
          <w:p>
            <w:pPr>
              <w:pStyle w:val="TableContents"/>
              <w:bidi w:val="0"/>
              <w:spacing w:before="0" w:after="283"/>
              <w:jc w:val="both"/>
              <w:rPr/>
            </w:pPr>
            <w:r>
              <w:rPr/>
              <w:t>40,000 Ordinary Shares issuable upon conversion of our 40,000 outstanding high voting shares;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Up to 42,030,000 Ordinary Shares issuable upon conversion of our 1,401 outstanding preferred shares, presuming that the contractually agreed conversion blocker equal to 4.99% of the Ordinary Shares is waived by the holder of the preferred shares.</w:t>
            </w:r>
          </w:p>
        </w:tc>
      </w:tr>
    </w:tbl>
    <w:p>
      <w:pPr>
        <w:pStyle w:val="TextBody"/>
        <w:bidi w:val="0"/>
        <w:spacing w:before="0" w:after="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we issue additional equity securities in the future, you may experience further dilution. In addition, we may choose to raise additional capital due to market conditions or strategic considerations even if we believe we have sufficient funds for our current or future operating plans. To the extent that we raise additional capital by issuing equity or convertible debt securities, your ownership will be further diluted.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discussion and table do not include the potential dilutive effect of any Ordinary Shares issued upon the conversion of high voting shares or preferred shares or other convertible securities that are outstanding or that may be issued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t_09"/>
      <w:bookmarkEnd w:id="10"/>
      <w:r>
        <w:rPr>
          <w:rFonts w:ascii="Times New Roman;Times;Serif" w:hAnsi="Times New Roman;Times;Serif"/>
          <w:b/>
          <w:i w:val="false"/>
          <w:caps w:val="false"/>
          <w:smallCaps w:val="false"/>
          <w:sz w:val="20"/>
        </w:rPr>
        <w:t>Certain Material U.S. Federal Income Tax Considerations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Scope and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describes the material U.S. federal income tax consequences to a U.S. Holder (as defined below) of the acquisition, ownership, and disposition of Ordinary Shares offered hereby. This discussion applies only to a U.S. Holder that acquires the Ordinary Shares in this offering for cash and holds the Ordinary Shares as capital assets within the meaning of Section 1221 of the Internal Revenue Code of 1986, as amended (the “</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(generally, property held for investment), and that uses the U.S. dollar as its functional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does not purport to be a complete analysis of all potential tax considerations arising in connection with ownership and disposition of our Ordinary Shares. The effects and considerations of other U.S. federal tax laws, such as estate and gift tax laws, alternative minimum tax or Medicare contribution tax and any applicable state, local or non-U.S. tax laws, are not discussed. This discussion is based on the Code, U.S. Treasury Regulations promulgated thereunder, judicial decisions and published rulings and administrative pronouncements of the Internal Revenue Service (the “</w:t>
      </w:r>
      <w:r>
        <w:rPr>
          <w:rFonts w:ascii="Times New Roman;Times;Serif" w:hAnsi="Times New Roman;Times;Serif"/>
          <w:b/>
          <w:i/>
          <w:caps w:val="false"/>
          <w:smallCaps w:val="false"/>
          <w:sz w:val="20"/>
        </w:rPr>
        <w:t>IRS</w:t>
      </w:r>
      <w:r>
        <w:rPr>
          <w:rFonts w:ascii="Times New Roman;Times;Serif" w:hAnsi="Times New Roman;Times;Serif"/>
          <w:b w:val="false"/>
          <w:i w:val="false"/>
          <w:caps w:val="false"/>
          <w:smallCaps w:val="false"/>
          <w:sz w:val="20"/>
        </w:rPr>
        <w:t>”), in each case in effect as of the date hereof. These authorities may change or be subject to differing interpretations. Any such change or differing interpretation may be applied retroactively in a manner that could adversely affect the tax consequences discussed below. The Company has not sought nor will seek any rulings from the IRS regarding the matters discussed below. There can be no assurance that the IRS will not take or that a court will not sustain a contrary position to the tax considerations discussed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does not address all aspects of U.S. federal income taxation that may be relevant to a holder’s particular circumstances. In addition, it does not address considerations relevant to holders subject to special rules, including, without limitation:</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1"/>
        <w:gridCol w:w="368"/>
        <w:gridCol w:w="9726"/>
      </w:tblGrid>
      <w:tr>
        <w:trPr/>
        <w:tc>
          <w:tcPr>
            <w:tcW w:w="11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rFonts w:ascii="Symbol" w:hAnsi="Symbol"/>
              </w:rPr>
            </w:pPr>
            <w:r>
              <w:rPr>
                <w:rFonts w:ascii="Symbol" w:hAnsi="Symbol"/>
              </w:rPr>
              <w:t>·</w:t>
            </w:r>
          </w:p>
        </w:tc>
        <w:tc>
          <w:tcPr>
            <w:tcW w:w="9726" w:type="dxa"/>
            <w:tcBorders/>
            <w:vAlign w:val="center"/>
          </w:tcPr>
          <w:p>
            <w:pPr>
              <w:pStyle w:val="TableContents"/>
              <w:bidi w:val="0"/>
              <w:spacing w:before="0" w:after="283"/>
              <w:jc w:val="both"/>
              <w:rPr/>
            </w:pPr>
            <w:r>
              <w:rPr/>
              <w:t>persons who are not U.S. Holders;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195"/>
        <w:gridCol w:w="9951"/>
      </w:tblGrid>
      <w:tr>
        <w:trPr/>
        <w:tc>
          <w:tcPr>
            <w:tcW w:w="5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Symbol" w:hAnsi="Symbol"/>
              </w:rPr>
            </w:pPr>
            <w:r>
              <w:rPr>
                <w:rFonts w:ascii="Symbol" w:hAnsi="Symbol"/>
              </w:rPr>
              <w:t>·</w:t>
            </w:r>
          </w:p>
        </w:tc>
        <w:tc>
          <w:tcPr>
            <w:tcW w:w="9951" w:type="dxa"/>
            <w:tcBorders/>
            <w:vAlign w:val="center"/>
          </w:tcPr>
          <w:p>
            <w:pPr>
              <w:pStyle w:val="TableContents"/>
              <w:bidi w:val="0"/>
              <w:spacing w:before="0" w:after="283"/>
              <w:jc w:val="both"/>
              <w:rPr/>
            </w:pPr>
            <w:r>
              <w:rPr/>
              <w:t>banks, insurance companies, and certain other financial institutions;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02"/>
        <w:gridCol w:w="9942"/>
      </w:tblGrid>
      <w:tr>
        <w:trPr/>
        <w:tc>
          <w:tcPr>
            <w:tcW w:w="6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Symbol" w:hAnsi="Symbol"/>
              </w:rPr>
            </w:pPr>
            <w:r>
              <w:rPr>
                <w:rFonts w:ascii="Symbol" w:hAnsi="Symbol"/>
              </w:rPr>
              <w:t>·</w:t>
            </w:r>
          </w:p>
        </w:tc>
        <w:tc>
          <w:tcPr>
            <w:tcW w:w="9942" w:type="dxa"/>
            <w:tcBorders/>
            <w:vAlign w:val="center"/>
          </w:tcPr>
          <w:p>
            <w:pPr>
              <w:pStyle w:val="TableContents"/>
              <w:bidi w:val="0"/>
              <w:spacing w:before="0" w:after="283"/>
              <w:jc w:val="both"/>
              <w:rPr/>
            </w:pPr>
            <w:r>
              <w:rPr/>
              <w:t>regulated investment companies and real estate investment trusts;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0"/>
        <w:gridCol w:w="331"/>
        <w:gridCol w:w="9774"/>
      </w:tblGrid>
      <w:tr>
        <w:trPr/>
        <w:tc>
          <w:tcPr>
            <w:tcW w:w="10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rFonts w:ascii="Symbol" w:hAnsi="Symbol"/>
              </w:rPr>
            </w:pPr>
            <w:r>
              <w:rPr>
                <w:rFonts w:ascii="Symbol" w:hAnsi="Symbol"/>
              </w:rPr>
              <w:t>·</w:t>
            </w:r>
          </w:p>
        </w:tc>
        <w:tc>
          <w:tcPr>
            <w:tcW w:w="9774" w:type="dxa"/>
            <w:tcBorders/>
            <w:vAlign w:val="center"/>
          </w:tcPr>
          <w:p>
            <w:pPr>
              <w:pStyle w:val="TableContents"/>
              <w:bidi w:val="0"/>
              <w:spacing w:before="0" w:after="283"/>
              <w:jc w:val="both"/>
              <w:rPr/>
            </w:pPr>
            <w:r>
              <w:rPr/>
              <w:t>brokers, dealers or traders in securities;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273"/>
        <w:gridCol w:w="9850"/>
      </w:tblGrid>
      <w:tr>
        <w:trPr/>
        <w:tc>
          <w:tcPr>
            <w:tcW w:w="8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rFonts w:ascii="Symbol" w:hAnsi="Symbol"/>
              </w:rPr>
            </w:pPr>
            <w:r>
              <w:rPr>
                <w:rFonts w:ascii="Symbol" w:hAnsi="Symbol"/>
              </w:rPr>
              <w:t>·</w:t>
            </w:r>
          </w:p>
        </w:tc>
        <w:tc>
          <w:tcPr>
            <w:tcW w:w="9850" w:type="dxa"/>
            <w:tcBorders/>
            <w:vAlign w:val="center"/>
          </w:tcPr>
          <w:p>
            <w:pPr>
              <w:pStyle w:val="TableContents"/>
              <w:bidi w:val="0"/>
              <w:spacing w:before="0" w:after="283"/>
              <w:jc w:val="both"/>
              <w:rPr/>
            </w:pPr>
            <w:r>
              <w:rPr/>
              <w:t>traders in securities that elect to mark to market;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230"/>
        <w:gridCol w:w="9906"/>
      </w:tblGrid>
      <w:tr>
        <w:trPr/>
        <w:tc>
          <w:tcPr>
            <w:tcW w:w="6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Symbol" w:hAnsi="Symbol"/>
              </w:rPr>
            </w:pPr>
            <w:r>
              <w:rPr>
                <w:rFonts w:ascii="Symbol" w:hAnsi="Symbol"/>
              </w:rPr>
              <w:t>·</w:t>
            </w:r>
          </w:p>
        </w:tc>
        <w:tc>
          <w:tcPr>
            <w:tcW w:w="9906" w:type="dxa"/>
            <w:tcBorders/>
            <w:vAlign w:val="center"/>
          </w:tcPr>
          <w:p>
            <w:pPr>
              <w:pStyle w:val="TableContents"/>
              <w:bidi w:val="0"/>
              <w:spacing w:before="0" w:after="283"/>
              <w:jc w:val="both"/>
              <w:rPr/>
            </w:pPr>
            <w:r>
              <w:rPr/>
              <w:t>tax-exempt organizations or governmental organizations;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167"/>
        <w:gridCol w:w="9988"/>
      </w:tblGrid>
      <w:tr>
        <w:trPr/>
        <w:tc>
          <w:tcPr>
            <w:tcW w:w="5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Symbol" w:hAnsi="Symbol"/>
              </w:rPr>
            </w:pPr>
            <w:r>
              <w:rPr>
                <w:rFonts w:ascii="Symbol" w:hAnsi="Symbol"/>
              </w:rPr>
              <w:t>·</w:t>
            </w:r>
          </w:p>
        </w:tc>
        <w:tc>
          <w:tcPr>
            <w:tcW w:w="9988" w:type="dxa"/>
            <w:tcBorders/>
            <w:vAlign w:val="center"/>
          </w:tcPr>
          <w:p>
            <w:pPr>
              <w:pStyle w:val="TableContents"/>
              <w:bidi w:val="0"/>
              <w:spacing w:before="0" w:after="283"/>
              <w:jc w:val="both"/>
              <w:rPr/>
            </w:pPr>
            <w:r>
              <w:rPr/>
              <w:t>U.S. expatriates and former citizens or long-term residents of the United States;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28"/>
        <w:gridCol w:w="10039"/>
      </w:tblGrid>
      <w:tr>
        <w:trPr/>
        <w:tc>
          <w:tcPr>
            <w:tcW w:w="3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rFonts w:ascii="Symbol" w:hAnsi="Symbol"/>
              </w:rPr>
            </w:pPr>
            <w:r>
              <w:rPr>
                <w:rFonts w:ascii="Symbol" w:hAnsi="Symbol"/>
              </w:rPr>
              <w:t>·</w:t>
            </w:r>
          </w:p>
        </w:tc>
        <w:tc>
          <w:tcPr>
            <w:tcW w:w="10039" w:type="dxa"/>
            <w:tcBorders/>
            <w:vAlign w:val="center"/>
          </w:tcPr>
          <w:p>
            <w:pPr>
              <w:pStyle w:val="TableContents"/>
              <w:bidi w:val="0"/>
              <w:spacing w:before="0" w:after="283"/>
              <w:jc w:val="both"/>
              <w:rPr/>
            </w:pPr>
            <w:r>
              <w:rPr/>
              <w:t>persons holding Ordinary Shares as part of a hedge, straddle, conversion or other integrated transaction;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230"/>
        <w:gridCol w:w="9906"/>
      </w:tblGrid>
      <w:tr>
        <w:trPr/>
        <w:tc>
          <w:tcPr>
            <w:tcW w:w="6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Symbol" w:hAnsi="Symbol"/>
              </w:rPr>
            </w:pPr>
            <w:r>
              <w:rPr>
                <w:rFonts w:ascii="Symbol" w:hAnsi="Symbol"/>
              </w:rPr>
              <w:t>·</w:t>
            </w:r>
          </w:p>
        </w:tc>
        <w:tc>
          <w:tcPr>
            <w:tcW w:w="9906" w:type="dxa"/>
            <w:tcBorders/>
            <w:vAlign w:val="center"/>
          </w:tcPr>
          <w:p>
            <w:pPr>
              <w:pStyle w:val="TableContents"/>
              <w:bidi w:val="0"/>
              <w:spacing w:before="0" w:after="283"/>
              <w:jc w:val="both"/>
              <w:rPr/>
            </w:pPr>
            <w:r>
              <w:rPr/>
              <w:t>persons whose functional currency is not the U.S. dollar;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61"/>
        <w:gridCol w:w="9995"/>
      </w:tblGrid>
      <w:tr>
        <w:trPr/>
        <w:tc>
          <w:tcPr>
            <w:tcW w:w="4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Symbol" w:hAnsi="Symbol"/>
              </w:rPr>
            </w:pPr>
            <w:r>
              <w:rPr>
                <w:rFonts w:ascii="Symbol" w:hAnsi="Symbol"/>
              </w:rPr>
              <w:t>·</w:t>
            </w:r>
          </w:p>
        </w:tc>
        <w:tc>
          <w:tcPr>
            <w:tcW w:w="9995" w:type="dxa"/>
            <w:tcBorders/>
            <w:vAlign w:val="center"/>
          </w:tcPr>
          <w:p>
            <w:pPr>
              <w:pStyle w:val="TableContents"/>
              <w:bidi w:val="0"/>
              <w:spacing w:before="0" w:after="283"/>
              <w:jc w:val="both"/>
              <w:rPr/>
            </w:pPr>
            <w:r>
              <w:rPr/>
              <w:t>persons that own (directly, indirectly or constructively) 10% or more of our stock;</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S corporations, partnerships or other entities or arrangements treated as partnerships or other flow-through entities for U.S. federal income tax purposes (and investors therein)</w:t>
            </w:r>
          </w:p>
        </w:tc>
      </w:tr>
    </w:tbl>
    <w:tbl>
      <w:tblPr>
        <w:tblW w:w="5000" w:type="pct"/>
        <w:jc w:val="left"/>
        <w:tblInd w:w="0" w:type="dxa"/>
        <w:tblLayout w:type="fixed"/>
        <w:tblCellMar>
          <w:top w:w="0" w:type="dxa"/>
          <w:left w:w="0" w:type="dxa"/>
          <w:bottom w:w="0" w:type="dxa"/>
          <w:right w:w="0" w:type="dxa"/>
        </w:tblCellMar>
      </w:tblPr>
      <w:tblGrid>
        <w:gridCol w:w="56"/>
        <w:gridCol w:w="185"/>
        <w:gridCol w:w="9964"/>
      </w:tblGrid>
      <w:tr>
        <w:trPr/>
        <w:tc>
          <w:tcPr>
            <w:tcW w:w="5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Symbol" w:hAnsi="Symbol"/>
              </w:rPr>
            </w:pPr>
            <w:r>
              <w:rPr>
                <w:rFonts w:ascii="Symbol" w:hAnsi="Symbol"/>
              </w:rPr>
              <w:t>·</w:t>
            </w:r>
          </w:p>
        </w:tc>
        <w:tc>
          <w:tcPr>
            <w:tcW w:w="9964" w:type="dxa"/>
            <w:tcBorders/>
            <w:vAlign w:val="center"/>
          </w:tcPr>
          <w:p>
            <w:pPr>
              <w:pStyle w:val="TableContents"/>
              <w:bidi w:val="0"/>
              <w:spacing w:before="0" w:after="283"/>
              <w:jc w:val="both"/>
              <w:rPr/>
            </w:pPr>
            <w:r>
              <w:rPr/>
              <w:t>persons deemed to sell Ordinary Shares under applicable tax rules;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268"/>
        <w:gridCol w:w="9856"/>
      </w:tblGrid>
      <w:tr>
        <w:trPr/>
        <w:tc>
          <w:tcPr>
            <w:tcW w:w="8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rFonts w:ascii="Symbol" w:hAnsi="Symbol"/>
              </w:rPr>
            </w:pPr>
            <w:r>
              <w:rPr>
                <w:rFonts w:ascii="Symbol" w:hAnsi="Symbol"/>
              </w:rPr>
              <w:t>·</w:t>
            </w:r>
          </w:p>
        </w:tc>
        <w:tc>
          <w:tcPr>
            <w:tcW w:w="9856" w:type="dxa"/>
            <w:tcBorders/>
            <w:vAlign w:val="center"/>
          </w:tcPr>
          <w:p>
            <w:pPr>
              <w:pStyle w:val="TableContents"/>
              <w:bidi w:val="0"/>
              <w:spacing w:before="0" w:after="283"/>
              <w:jc w:val="both"/>
              <w:rPr/>
            </w:pPr>
            <w:r>
              <w:rPr/>
              <w:t>pension plans and tax-qualified retirement plans.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entity or arrangement treated as a partnership for U.S. federal income tax purposes holds Ordinary Shares, the U.S. federal income tax treatment of a partner generally will depend on the status of the partner, the activities of the partnership and certain determinations made at the partnership level. A partner in a partnership holding Ordinary Shares should consult its own tax advisor regarding the U.S. federal income tax consequences of the partnership’s acquisition, ownership and disposition of Ordinary Shares. The discussion below generally does not address the tax treatment of such partners.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U.S. FEDERAL INCOME TAX CONSIDERATIONS OF ACQUIRING, HOLDING OR DISPOSING OF OUR ORDINARY SHARES FOR ANY PARTICULAR HOLDER DEPENDS ON DETERMINATIONS OF FACT AND INTERPRETATIONS OF COMPLEX PROVISIONS OF U.S. FEDERAL INCOME TAX LAW FOR WHICH NO CLEAR PRECEDENT OR AUTHORITY MAY BE AVAILABLE AND WILL DEPEND ON THE HOLDER’S PARTICULAR TAX CIRCUMSTANCES. U.S. HOLDERS SHOULD CONSULT THEIR TAX ADVISOR REGARDING THE U.S. FEDERAL, STATE AND LOCAL, AND NON-U.S. INCOME AND OTHER TAX CONSEQUENCES TO THEM, IN LIGHT OF THEIR PARTICULAR INVESTMENT OR TAX CIRCUMSTANCES AND THE U.S. FEDERAL INCOME TAX CONSIDERATIONS OF OWNING AND/OR DISPOSING OF OUR ORDINARY SHARES.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w:t>
      </w:r>
      <w:r>
        <w:rPr>
          <w:rFonts w:ascii="Times New Roman;Times;Serif" w:hAnsi="Times New Roman;Times;Serif"/>
          <w:b/>
          <w:i/>
          <w:caps w:val="false"/>
          <w:smallCaps w:val="false"/>
          <w:sz w:val="20"/>
        </w:rPr>
        <w:t>U.S. Holder</w:t>
      </w:r>
      <w:r>
        <w:rPr>
          <w:rFonts w:ascii="Times New Roman;Times;Serif" w:hAnsi="Times New Roman;Times;Serif"/>
          <w:b w:val="false"/>
          <w:i w:val="false"/>
          <w:caps w:val="false"/>
          <w:smallCaps w:val="false"/>
          <w:sz w:val="20"/>
        </w:rPr>
        <w:t>” is a beneficial owner of Ordinary Shares that is, for U.S. federal income tax purposes: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385"/>
        <w:gridCol w:w="9757"/>
      </w:tblGrid>
      <w:tr>
        <w:trPr/>
        <w:tc>
          <w:tcPr>
            <w:tcW w:w="6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pPr>
            <w:r>
              <w:rPr/>
              <w:t>(i)</w:t>
            </w:r>
          </w:p>
        </w:tc>
        <w:tc>
          <w:tcPr>
            <w:tcW w:w="9757" w:type="dxa"/>
            <w:tcBorders/>
            <w:vAlign w:val="center"/>
          </w:tcPr>
          <w:p>
            <w:pPr>
              <w:pStyle w:val="TableContents"/>
              <w:bidi w:val="0"/>
              <w:spacing w:before="0" w:after="283"/>
              <w:jc w:val="both"/>
              <w:rPr/>
            </w:pPr>
            <w:r>
              <w:rPr/>
              <w:t>an individual who is a citizen or resident of the United States;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(ii)</w:t>
            </w:r>
          </w:p>
        </w:tc>
        <w:tc>
          <w:tcPr>
            <w:tcW w:w="9916" w:type="dxa"/>
            <w:tcBorders/>
            <w:vAlign w:val="center"/>
          </w:tcPr>
          <w:p>
            <w:pPr>
              <w:pStyle w:val="TableContents"/>
              <w:bidi w:val="0"/>
              <w:spacing w:before="0" w:after="283"/>
              <w:jc w:val="both"/>
              <w:rPr/>
            </w:pPr>
            <w:r>
              <w:rPr/>
              <w:t>a corporation (or other entity treated as a corporation for U.S. federal income tax purposes) created or organized in or under the laws of the United States, any state thereof or the District of Columbia;</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413"/>
        <w:gridCol w:w="9748"/>
      </w:tblGrid>
      <w:tr>
        <w:trPr/>
        <w:tc>
          <w:tcPr>
            <w:tcW w:w="4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pPr>
            <w:r>
              <w:rPr/>
              <w:t>(iii)</w:t>
            </w:r>
          </w:p>
        </w:tc>
        <w:tc>
          <w:tcPr>
            <w:tcW w:w="9748" w:type="dxa"/>
            <w:tcBorders/>
            <w:vAlign w:val="center"/>
          </w:tcPr>
          <w:p>
            <w:pPr>
              <w:pStyle w:val="TableContents"/>
              <w:bidi w:val="0"/>
              <w:spacing w:before="0" w:after="283"/>
              <w:jc w:val="both"/>
              <w:rPr/>
            </w:pPr>
            <w:r>
              <w:rPr/>
              <w:t>an estate whose income is subject to U.S. federal income tax regardless of its source;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0"/>
        <w:gridCol w:w="9868"/>
      </w:tblGrid>
      <w:tr>
        <w:trPr/>
        <w:tc>
          <w:tcPr>
            <w:tcW w:w="3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(iv)</w:t>
            </w:r>
          </w:p>
        </w:tc>
        <w:tc>
          <w:tcPr>
            <w:tcW w:w="9868" w:type="dxa"/>
            <w:tcBorders/>
            <w:vAlign w:val="center"/>
          </w:tcPr>
          <w:p>
            <w:pPr>
              <w:pStyle w:val="TableContents"/>
              <w:bidi w:val="0"/>
              <w:spacing w:before="0" w:after="283"/>
              <w:jc w:val="both"/>
              <w:rPr/>
            </w:pPr>
            <w:r>
              <w:rPr/>
              <w:t>a trust if (A) a U.S. court can exercise primary supervision over the administration of the trust and one or more U.S. persons have authority to control all substantial decisions of the trust, or (B) the trust has elected to be treated as a U.S. person for U.S. federal income tax purposes.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Dividends and Other Distributions on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PFIC rules described below under the heading “— </w:t>
      </w:r>
      <w:r>
        <w:rPr>
          <w:rFonts w:ascii="Times New Roman;Times;Serif" w:hAnsi="Times New Roman;Times;Serif"/>
          <w:b w:val="false"/>
          <w:i/>
          <w:caps w:val="false"/>
          <w:smallCaps w:val="false"/>
          <w:sz w:val="20"/>
        </w:rPr>
        <w:t>Passive Foreign Investment Company Rules</w:t>
      </w:r>
      <w:r>
        <w:rPr>
          <w:rFonts w:ascii="Times New Roman;Times;Serif" w:hAnsi="Times New Roman;Times;Serif"/>
          <w:b w:val="false"/>
          <w:i w:val="false"/>
          <w:caps w:val="false"/>
          <w:smallCaps w:val="false"/>
          <w:sz w:val="20"/>
        </w:rPr>
        <w:t>,” the gross amount of any distribution made by us with respect to Ordinary Shares, including any Dutch tax withheld from the distribution, generally will be includible in a U.S. Holder’s gross income as dividend income in the year received, to the extent the distribution is paid out of our current or accumulated earnings and profits, as determined under U.S. federal income tax principles. Because we do not maintain calculations of our earnings and profits under U.S. federal income tax principles, U.S. Holders should expect that distributions generally will be reported as dividends for U.S. federal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extent a distribution exceeds our current and accumulated earnings and profits, the excess generally will be treated first as a non-taxable return of capital to the extent of the U.S. Holder’s adjusted tax basis in the Ordinary Shares. Any remaining excess will be treated as described below under the heading “— </w:t>
      </w:r>
      <w:r>
        <w:rPr>
          <w:rFonts w:ascii="Times New Roman;Times;Serif" w:hAnsi="Times New Roman;Times;Serif"/>
          <w:b w:val="false"/>
          <w:i/>
          <w:caps w:val="false"/>
          <w:smallCaps w:val="false"/>
          <w:sz w:val="20"/>
        </w:rPr>
        <w:t>Sale, Exchange, Redemption, or Other Taxable Disposition of Ordinary Shares</w:t>
      </w:r>
      <w:r>
        <w:rPr>
          <w:rFonts w:ascii="Times New Roman;Times;Serif" w:hAnsi="Times New Roman;Times;Serif"/>
          <w:b w:val="false"/>
          <w:i w:val="false"/>
          <w:caps w:val="false"/>
          <w:smallCaps w:val="false"/>
          <w:sz w:val="20"/>
        </w:rPr>
        <w:t>.” Dividends paid with respect to Ordinary Shares generally will not be eligible for the dividends-received deduction otherwise available to certain corporate 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PFIC rules described below “— </w:t>
      </w:r>
      <w:r>
        <w:rPr>
          <w:rFonts w:ascii="Times New Roman;Times;Serif" w:hAnsi="Times New Roman;Times;Serif"/>
          <w:b w:val="false"/>
          <w:i/>
          <w:caps w:val="false"/>
          <w:smallCaps w:val="false"/>
          <w:sz w:val="20"/>
        </w:rPr>
        <w:t>Passive Foreign Investment Company Rules</w:t>
      </w:r>
      <w:r>
        <w:rPr>
          <w:rFonts w:ascii="Times New Roman;Times;Serif" w:hAnsi="Times New Roman;Times;Serif"/>
          <w:b w:val="false"/>
          <w:i w:val="false"/>
          <w:caps w:val="false"/>
          <w:smallCaps w:val="false"/>
          <w:sz w:val="20"/>
        </w:rPr>
        <w:t>,” and applicable holding-period and other requirements, dividends paid to certain non-corporate U.S. Holders (including individuals) by a qualified foreign corporation may be taxable at the preferential rates applicable to long-term capital gains. However, a dividend will not be treated as qualified dividend income if we are a PFIC for the taxable year in which the dividend is paid or the preceding taxable year. U.S. Holders should consult their tax advisors regarding the availability of preferential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distributions are paid in a currency other than U.S. dollars, a U.S. Holder generally will be required to include in income the U.S. dollar value of the distribution calculated by reference to the spot exchange rate on the date the distribution is received (or constructively received), regardless of whether the payment is converted into U.S. dollars at that time. A U.S. Holder generally will have foreign currency gain or loss if the currency is converted into U.S. dollars after the date of receipt, which gain or loss generally will be treated as U.S.-source ordinary income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Potential Dutch Dividend Withholding and Foreign Tax Credits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Sono Group N.V. is incorporated under the laws of the Netherlands. We currently do not intend to pay dividends on our Ordinary Shares. If we do pay dividends, however, dividends distributed by us generally will be subject to Dutch dividend withholding tax under Dutch domestic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Dutch dividend withholding tax may be required with respect to dividends paid to holders of Ordinary Shares. In addition, we may need to identify our shareholders to determine whether Dutch withholding applies, and Dutch dividend withholding tax may be imposed on a dividend if the identity of a holder cannot be determined.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Dutch withholding tax imposed on a dividend generally will be included in the gross amount of the dividend for U.S. federal income tax purposes. Subject to applicable limitations, a U.S. Holder may be eligible to claim a credit against, or a deduction in computing, U.S. federal income tax for Dutch income taxes withheld. Foreign tax credit rules are complex and may limit or prevent a credit, including where the tax is imposed at a rate exceeding an applicable treaty rate, where the tax is not creditable under the Foreign Tax Credit Regulations, or where the U.S. Holder’s dividend income is characterized differently under U.S. and foreign law. In addition, dividends generally constitute foreign-source passive category income for foreign tax credit purposes, and a U.S. Holder may not have sufficient foreign-source income in the relevant category to use a credit. An election to deduct foreign taxes applies to all otherwise creditable foreign taxes paid or accrued in the taxable year and is subject to generally applicable limitations.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Exchange, Redemption, or Other Taxable Disposition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below, a U.S. Holder generally will recognize capital gain or loss on a sale, exchange or other taxable disposition of Ordinary Shares equal to the difference between the amount realized and the U.S. Holder’s adjusted tax basis in the Ordinary Shares. A U.S. Holder’s initial tax basis generally will equal the cost of the Ordinary Shares, determined in U.S. dollars. Gain or loss generally will be long-term capital gain or loss if the U.S. Holder has held the Ordinary Shares for more than one year. Long-term capital gains recognized by certain non-corporate U.S. Holders generally are taxable at preferential rates. The deductibility of capital losses is subject to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receives foreign currency upon a disposition of Ordinary Shares, the U.S. dollar amount realized generally will be determined by reference to the exchange rate on the settlement date (or another date required under the U.S. Holder’s method of accounting), and subsequent fluctuations generally will produce U.S.-source ordinary foreign currency gain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or loss realized by a U.S. Holder on the sale or other disposition of Ordinary Shares generally will be treated as U.S.-source gain or loss for U.S. foreign tax credit limitation purposes. Accordingly, if Dutch tax is imposed on such gain, a U.S. Holder may be unable to claim a foreign tax credit for that tax or may be subject to significant limitations. U.S. Holders should consult their tax advisors regarding the treatment and creditability or deductibility of any foreign tax imposed on a disposition.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Passive Foreign Investment Company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classified as a passive foreign investment company, or “</w:t>
      </w:r>
      <w:r>
        <w:rPr>
          <w:rFonts w:ascii="Times New Roman;Times;Serif" w:hAnsi="Times New Roman;Times;Serif"/>
          <w:b/>
          <w:i/>
          <w:caps w:val="false"/>
          <w:smallCaps w:val="false"/>
          <w:sz w:val="20"/>
        </w:rPr>
        <w:t>PFIC</w:t>
      </w:r>
      <w:r>
        <w:rPr>
          <w:rFonts w:ascii="Times New Roman;Times;Serif" w:hAnsi="Times New Roman;Times;Serif"/>
          <w:b w:val="false"/>
          <w:i w:val="false"/>
          <w:caps w:val="false"/>
          <w:smallCaps w:val="false"/>
          <w:sz w:val="20"/>
        </w:rPr>
        <w:t>,” for U.S. federal income tax purposes for any taxable year in which, after applying applicable look-through rules to certain subsidiaries, either: (i) at least 75% of our gross income is passive income; or (ii) at least 50% of the average quarterly value of our assets is attributable to assets that produce or are held for the production of passive income. Passive income generally includes dividends, interest, rents, royalties (other than certain rents and royalties derived from the active conduct of a trade or business), annuities and gains from assets that produce passive income. Cash and cash equivalents generally are passive assets for these purposes. If we own, directly or indirectly, at least 25% by value of the stock of another corporation, we generally are treated as owning our proportionate share of that corporation’s assets and receiving our proportionate share of its income for purposes of the PFIC tests.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composition of our income and the valuation of our assets, we believe that we were not a PFIC for our taxable year ended December 31, 2025. That conclusion is not binding on the Internal Revenue Service and is not a prediction or guarantee of our status for any other taxable year. The PFIC determination is made annually and depends on the composition of our income and assets, including the value of our assets and the market capitalization of our Ordinary Shares, and on the application of complex and sometimes uncertain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December 31, 2025, we adopted a digital asset treasury strategy under which the principal holding in our treasury reserve is allocated to digital assets, principally Bitcoin, using a covered-call yield strategy. Our cash and digital asset holdings, the income and gains we may derive from digital assets and related transactions, our market capitalization, and the relative mix and value of passive and non-passive assets may materially affect the PFIC tests in future years. The treatment of digital assets and digital-asset-related income under the PFIC rules may be subject to differing interpretations. Accordingly, we could become a PFIC for our taxable year ending December 31, 2026 or a future taxable year, and no assurance can be given that we will not be a PFIC.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taxable year during which a U.S. Holder holds Ordinary Shares, we generally will continue to be treated as a PFIC with respect to that U.S. Holder for all succeeding years during which the U.S. Holder holds Ordinary Shares, even if we cease to satisfy the income and asset tests, unless the U.S. Holder makes a timely and effective election, such as a deemed sale or deemed distribution election, to terminate the PFIC taint. As a result, a U.S. Holder may remain subject to the PFIC rules for a period after we cease to be a PFIC. Special rules apply to a U.S. Holder that makes a QEF election,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Default PFIC Rules; Excess Distributions and Dispositions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U.S. Holder makes a valid mark-to-market election or a timely QEF election, the U.S. Holder generally will be subject to the default rules of Section 1291 of the Code with respect to (i) any gain recognized on a sale or other taxable disposition (including a pledge) of Ordinary Shares and (ii) any “excess distribution” received on Ordinary Shares. A distribution generally will be an excess distribution to the extent that, together with other distributions received in the same taxable year, it exceeds 125% of the average annual distributions received during the three preceding taxable years (or, if shorter, the U.S. Holder’s holding period for the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these rules, the excess distribution or gain is allocated ratably over the U.S. Holder’s holding period for the Ordinary Shares. The amount allocated to the current taxable year and to any taxable year before the first taxable year in which we were a PFIC generally is taxed as ordinary income. The amount allocated to each other prior taxable year generally is taxed at the highest rate in effect for ordinary income for that year, and an interest charge is imposed on the resulting tax as if it had been due in that year. A U.S. Holder that is not a corporation generally must treat the interest charge as personal interest, which is not deductible. These rules may apply even if the U.S. Holder receives no cash from us in the year of a disposition, and special rules apply to foreign tax credits attributable to excess distributions.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recognized on the disposition of Ordinary Shares subject to these default rules is treated as ordinary income rather than capital gain, and the special PFIC rules may prevent the use of net operating losses or other attributes to offset amounts allocated to prior years. In addition, if we are a PFIC in either the taxable year of a distribution or the preceding taxable year, dividends generally will not qualify for preferential rates applicable to qualified dividend income, regardless of any election made with respect to the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Mark-to-Market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Ordinary Shares are “marketable stock,” a U.S. Holder may be eligible to make a mark-to-market election with respect to the Ordinary Shares. Stock generally is marketable stock if it is regularly traded on a qualified exchange or other market, as defined in applicable U.S. Treasury regulations. Our Ordinary Shares are listed on the Nasdaq Capital Market, which is a qualified exchange, but no assurance can be given that the Ordinary Shares will be regularly traded for purposes of the mark-to-market rules in any taxable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makes a valid mark-to-market election, the U.S. Holder generally will include in ordinary income for each taxable year in which we are a PFIC an amount equal to the excess, if any, of the fair market value of the Ordinary Shares at the close of the U.S. Holder’s taxable year over the U.S. Holder’s adjusted tax basis in the Ordinary Shares. The U.S. Holder generally will be allowed an ordinary loss for the excess, if any, of the adjusted tax basis over fair market value, but only to the extent of the net amount of mark-to-market income previously included in income. The U.S. Holder’s basis will be adjusted to reflect these inclusions and deductions.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sale or other taxable disposition of Ordinary Shares subject to a mark-to-market election, any gain generally will be treated as ordinary income, and any loss generally will be treated as ordinary loss to the extent of the net amount of mark-to-market income previously included in income, with any excess loss treated under the generally applicable rules. A mark-to-market election generally is made by filing IRS Form 8621 with a timely filed U.S. federal income tax return and generally applies for the year made and all subsequent years unless the Ordinary Shares cease to be marketable stock or the Internal Revenue Service consents to revocation. A mark-to-market election does not eliminate PFIC consequences with respect to any lower-tier PFIC.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QEF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Alternatively, a U.S. Holder may seek to make a qualified electing fund, or “</w:t>
      </w:r>
      <w:r>
        <w:rPr>
          <w:rFonts w:ascii="Times New Roman;Times;Serif" w:hAnsi="Times New Roman;Times;Serif"/>
          <w:b/>
          <w:i/>
          <w:caps w:val="false"/>
          <w:smallCaps w:val="false"/>
          <w:sz w:val="20"/>
        </w:rPr>
        <w:t>QEF</w:t>
      </w:r>
      <w:r>
        <w:rPr>
          <w:rFonts w:ascii="Times New Roman;Times;Serif" w:hAnsi="Times New Roman;Times;Serif"/>
          <w:b w:val="false"/>
          <w:i w:val="false"/>
          <w:caps w:val="false"/>
          <w:smallCaps w:val="false"/>
          <w:sz w:val="20"/>
        </w:rPr>
        <w:t>,” election with respect to the Ordinary Shares if we provide the information required under applicable U.S. Treasury regulations. A valid QEF election generally requires the U.S. Holder to include currently in gross income, for each taxable year in which we are a PFIC, its pro rata share of our ordinary earnings and net capital gain, whether or not we make distributions. Ordinary earnings generally are treated as ordinary income and net capital gain generally is treated as long-term capital gain.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included under a QEF election generally are determined without regard to our prior-year losses or the amount of cash distributions, if any. A U.S. Holder’s tax basis in the Ordinary Shares generally is increased by amounts included under the QEF rules and decreased by distributions of amounts previously taxed under those rules. A QEF election made for a later taxable year may not eliminate the adverse consequences of the default PFIC rules attributable to an earlier taxable year, and special rules may apply to make a late election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QEF election is available only if the PFIC provides timely annual information, including information relating to ordinary earnings and net capital gain, that the U.S. Holder needs to calculate its income inclusions. No assurance can be given that we will provide such information if we are a PFIC, and prospective U.S. Holders should not assume that a QEF election will be available. U.S. Holders should consult their tax advisors regarding the availability, timing and consequences of a QEF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Lower-Tier PFICs and Form 8621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and, at any time, own an interest in a non-U.S. corporation that is itself a PFIC, the non-U.S. corporation generally may be treated as a lower-tier PFIC with respect to a U.S. Holder. The U.S. Holder generally will be treated as owning a proportionate amount of the lower-tier PFIC’s stock and may be subject to the PFIC rules with respect to distributions received, or gain recognized on a disposition or deemed disposition of, the lower-tier PFIC by us or another lower-tier PFIC. A U.S. Holder may also be subject to PFIC tax consequences on a disposition of Ordinary Shares even if the U.S. Holder receives no distribution from, and makes no direct disposition of, the lower-tier PFIC.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mark-to-market election with respect to Ordinary Shares generally will not apply to stock of a lower-tier PFIC, because that stock generally will not be marketable stock. Accordingly, a U.S. Holder may remain subject to the default PFIC rules with respect to a lower-tier PFIC notwithstanding a mark-to-market election for the Ordinary Shares. A QEF election with respect to a lower-tier PFIC generally is available only if the lower-tier PFIC or another person provides the information required for the election, and no assurance can be given that such information will be available.</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that owns Ordinary Shares during any taxable year in which we are a PFIC generally may be required to file IRS Form 8621, Information Return by a Shareholder of a Passive Foreign Investment Company or Qualified Electing Fund, with respect to the Ordinary Shares, whether or not the U.S. Holder receives a distribution or recognizes gain and whether or not the U.S. Holder makes a QEF or mark-to-market election. Additional information may be required with respect to any lower-tier PFIC. The PFIC rules, including the rules governing elections, purging elections and Form 8621 reporting, are complex, and U.S. Holders should consult their tax advisors.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Reporting and Backup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payments (including constructive dividends) with respect to Ordinary Shares and proceeds from the sale, exchange or other taxable disposition of Ordinary Shares generally will be subject to information reporting to the IRS if paid within the United States or through certain U.S.-related financial intermediaries. A U.S. Holder generally will be subject to backup withholding on those payments, currently at the applicable statutory rate, unless the U.S. Holder is an exempt recipient or furnishes a correct taxpayer identification number and makes any other required certification, generally on IRS Form W-9.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Amounts withheld under the backup withholding rules generally may be credited against a U.S. Holder’s U.S. federal income tax liability and may entitle the U.S. Holder to a refund if the required information is timely furnished to the IRS. U.S. Holders should consult their tax advisors regarding the application of these rules to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Specified Foreign Financial Asset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Holders that are individuals, and certain specified domestic entities, may be required to report information relating to an interest in Ordinary Shares by filing IRS Form 8938, Statement of Specified Foreign Financial Assets, with their U.S. federal income tax returns. The reporting obligation generally applies if the aggregate value of the holder’s specified foreign financial assets exceeds applicable thresholds, which vary depending on the holder’s filing status, residence and other circumstances. Ordinary Shares generally constitute specified foreign financial assets when they are not held in an account maintained by certain financial institutions. Exceptions may apply, including for Ordinary Shares held in certain financial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report may result in penalties, and the statute of limitations for the related tax year may be extended. Form 8938 reporting is in addition to, and not a substitute for, any Form 8621 filing. U.S. Holders should consult their tax advisors regarding the applicability of these reporting requirements to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ABOVE DISCUSSION IS NOT INTENDED TO CONSTITUTE A COMPLETE ANALYSIS OF ALL TAX CONSIDERATIONS APPLICABLE TO U.S. HOLDERS WITH RESPECT TO THE ACQUISITION, OWNERSHIP AND DISPOSITION OF ORDINARY SHARES. EACH PROSPECTIVE INVESTOR SHOULD CONSULT ITS OWN TAX ADVISOR CONCERNING THE U.S. FEDERAL, STATE, LOCAL, DUTCH AND OTHER TAX CONSEQUENCES OF AN INVESTMENT IN ORDINARY SHARES, INCLUDING THE EFFECTS OF ANY CHANGE IN LAW OR INTERPRETATION AND THE AVAILABILITY OF ANY TAX ELECTIONS OR CREDITS.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t_10"/>
      <w:bookmarkEnd w:id="11"/>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the Ordinary Shares described in this prospectus supplement directly to certain accredited investors and qualified institutional buyers pursuant to the Purchase Agreement. There is no placement agent, underwriter or broker-dealer involved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the Ordinary Shares offered hereby is expected to take place on or about September 2, 2026, subject to satisfaction of certain customary 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the total expenses of this offering paid or payable by us will be approximately $200,000. There are no placement agent fees or commissions payable in connection with this offering. Each party to the Purchase Agreement is responsible for its own fees and expenses. We are responsible for Transfer Agent fees and stamp taxes, if any. After deducting our estimated expenses in connection with this offering, we expect the net proceeds from this offering will be approximately $556,945.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we have agreed to indemnify the purchasers against certain liabilities, including liabilities under the Securities Act and liabilities arising from breaches of representations and warranties contained in the Purchase Agreement.</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Capital Market under the symbol SSM. On August 28, 2026, the closing price of our Ordinary Shares, which was the closing price immediately prior to the entry into the Purchase Agreement, was $2.67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Transfer Agent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Ordinary Shares is Equiniti Trust Company,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t_11"/>
      <w:bookmarkEnd w:id="12"/>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issuance of the securities offered hereby will be passed upon for us by DLA Piper LLP (US), San Francisco, California.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t_12"/>
      <w:bookmarkEnd w:id="13"/>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incorporated by reference in this prospectus supplement and in the registration statement have been so incorporated in reliance on the report of Grassi &amp; Co., CPAs, P.C., an independent registered public accounting firm, incorporated herein by reference, given on the authority of said firm as experts in auditing and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t_13"/>
      <w:bookmarkEnd w:id="14"/>
      <w:r>
        <w:rPr>
          <w:rFonts w:ascii="Times New Roman;Times;Serif" w:hAnsi="Times New Roman;Times;Serif"/>
          <w:b/>
          <w:i w:val="false"/>
          <w:caps w:val="false"/>
          <w:smallCaps w:val="false"/>
          <w:sz w:val="20"/>
        </w:rPr>
        <w:t>Where You Can Find More Information; Information Incorporated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Available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S-3 under the Securities Act, of which this prospectus supplement forms a part. The rules and regulations of the SEC allow us to omit from this prospectus supplement and the accompanying prospectus certain information included in the registration statement. For further information about us and the securities we are offering under this prospectus supplement, you should refer to the registration statement and the exhibits and schedules filed with the registration statement. With respect to the statements contained in this prospectus supplement and the accompanying prospectus regarding the contents of any agreement or any other document, in each instance, the statement is qualified in all respects by the complete text of the agreement or document, a copy of which has been filed as an exhibit to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reports, proxy statements and other information with the SEC. The SEC maintains a website that contains reports, proxy and information statements and other information about issuers, such as us, who file electronically with the SEC. The address of that website is http://www.sec.gov.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website address is www.sonomotors.com. The information on, or accessible through, our website is not part of, and is not incorporated into, this prospectus supplement or the accompanying prospectus and should not be considered part of this prospectus supplement or the accompanying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SEC’s rules allow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and the accompanying prospectus, and subsequent information that we file with the SEC will automatically update and supersede that information. Any statement contained in a previously filed document incorporated by reference will be deemed to be modified or superseded for purposes of this prospectus supplement and accompanying prospectus to the extent that a statement contained in this prospectus supplement or the accompanying prospectus modifies or replaces that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our documents listed below and any future filings made by us with the SEC under Sections 13(a), 13(c), 14 or 15(d) of the Exchange Act between the date of this prospectus supplement and the termination of the offering of the securities described in this prospectus supplement. We are not, however, incorporating by reference any documents or portions thereof, whether specifically listed below or filed in the future, that are not deemed “filed” with the SEC, including any information furnished pursuant to Items 2.02 or 7.01 of Form 8-K or related exhibits furnished pursuant to Item 9.01 of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incorporate by reference the documents set forth below that have previously been filed with the SEC:</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our Annual Report on Form 10-K for the year ended December 31, 2025, filed with the SEC on April 1,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our Quarterly Reports on Form 10-Q for the quarter ended June 30, 2026, filed with the SEC on August 14, 2026 and the quarter ended March 31, 2026, filed with the SEC on May 19,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our Current Reports on Form 8-K filed with the SEC subsequent to the filing of our Annual Report on Form 10-K for the year ended December 31, 2025;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the description of our Ordinary Shares contained in our registration statement on Form S-3 (File No. 333-295804), filed with the SEC on May 12, 2026 and any amendment or report filed with the SEC for the purpose of updating the description.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reports and other documents we subsequently file pursuant to Section 13(a), 13(c), 14 or 15(d) of the Exchange Act prior to the termination of this offering, including, but excluding any information furnished to, rather than filed with, the SEC, will also be incorporated by reference into this prospectus supplement and the accompanying prospectus and deemed to be part of this prospectus supplement and the accompanying prospectus from the date of the filing of such reports and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request a free copy of any of the documents incorporated by reference in this prospectus supplement and the accompanying prospectus (other than exhibits, unless they are specifically incorporated by reference in the documents) by writing or telephoning us at the following address: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Sono Group N.V.</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Corporate Secretary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4965 Trinidad Drive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 O’ Lakes, FL 34639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+1 352-502-1191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SONO GROUP N.V.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283,500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August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120" w:after="12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olor w:val="DE1A1E"/>
        </w:rPr>
      </w:pPr>
      <w:r>
        <w:rPr>
          <w:color w:val="DE1A1E"/>
        </w:rPr>
        <w:t> </w:t>
      </w:r>
    </w:p>
    <w:p>
      <w:pPr>
        <w:pStyle w:val="TextBody"/>
        <w:bidi w:val="0"/>
        <w:spacing w:before="0" w:after="0"/>
        <w:ind w:left="0" w:right="0" w:hanging="0"/>
        <w:jc w:val="center"/>
        <w:rPr>
          <w:b/>
          <w:color w:val="000000"/>
          <w:sz w:val="20"/>
        </w:rPr>
      </w:pPr>
      <w:r>
        <w:rPr>
          <w:b/>
          <w:color w:val="000000"/>
          <w:sz w:val="20"/>
        </w:rPr>
        <w:t>PROSPECTUS</w:t>
      </w:r>
    </w:p>
    <w:p>
      <w:pPr>
        <w:pStyle w:val="TextBody"/>
        <w:bidi w:val="0"/>
        <w:spacing w:before="0" w:after="0"/>
        <w:ind w:left="0" w:right="0" w:hanging="0"/>
        <w:jc w:val="center"/>
        <w:rPr>
          <w:color w:val="DE1A1E"/>
        </w:rPr>
      </w:pPr>
      <w:r>
        <w:rPr>
          <w:color w:val="DE1A1E"/>
        </w:rPr>
        <w:t> </w:t>
      </w:r>
    </w:p>
    <w:p>
      <w:pPr>
        <w:pStyle w:val="TextBody"/>
        <w:bidi w:val="0"/>
        <w:spacing w:before="0" w:after="0"/>
        <w:ind w:left="0" w:right="0" w:hanging="0"/>
        <w:jc w:val="center"/>
        <w:rPr>
          <w:b/>
          <w:sz w:val="20"/>
        </w:rPr>
      </w:pPr>
      <w:r>
        <w:rPr>
          <w:b/>
          <w:sz w:val="20"/>
        </w:rPr>
        <w:t>SONO GROUP N.V.</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 xml:space="preserve">Up to </w:t>
      </w:r>
      <w:r>
        <w:rPr>
          <w:b/>
          <w:sz w:val="20"/>
          <w:shd w:fill="FFFFFF" w:val="clear"/>
        </w:rPr>
        <w:t>$100,000,000</w:t>
      </w:r>
    </w:p>
    <w:p>
      <w:pPr>
        <w:pStyle w:val="TextBody"/>
        <w:bidi w:val="0"/>
        <w:spacing w:before="0" w:after="0"/>
        <w:ind w:left="0" w:right="0" w:hanging="0"/>
        <w:jc w:val="center"/>
        <w:rPr>
          <w:b/>
          <w:sz w:val="20"/>
        </w:rPr>
      </w:pPr>
      <w:r>
        <w:rPr>
          <w:b/>
          <w:sz w:val="20"/>
        </w:rPr>
        <w:t>Ordinary Shares</w:t>
      </w:r>
    </w:p>
    <w:p>
      <w:pPr>
        <w:pStyle w:val="TextBody"/>
        <w:bidi w:val="0"/>
        <w:spacing w:before="0" w:after="0"/>
        <w:ind w:left="0" w:right="0" w:hanging="0"/>
        <w:jc w:val="center"/>
        <w:rPr>
          <w:b/>
          <w:sz w:val="20"/>
        </w:rPr>
      </w:pPr>
      <w:r>
        <w:rPr>
          <w:b/>
          <w:sz w:val="20"/>
        </w:rPr>
        <w:t>Preferred Shares</w:t>
      </w:r>
    </w:p>
    <w:p>
      <w:pPr>
        <w:pStyle w:val="TextBody"/>
        <w:bidi w:val="0"/>
        <w:spacing w:before="0" w:after="0"/>
        <w:ind w:left="0" w:right="0" w:hanging="0"/>
        <w:jc w:val="center"/>
        <w:rPr>
          <w:b/>
          <w:sz w:val="20"/>
        </w:rPr>
      </w:pPr>
      <w:r>
        <w:rPr>
          <w:b/>
          <w:sz w:val="20"/>
        </w:rPr>
        <w:t>Debt Securities</w:t>
      </w:r>
    </w:p>
    <w:p>
      <w:pPr>
        <w:pStyle w:val="TextBody"/>
        <w:bidi w:val="0"/>
        <w:spacing w:before="0" w:after="0"/>
        <w:ind w:left="0" w:right="0" w:hanging="0"/>
        <w:jc w:val="center"/>
        <w:rPr>
          <w:b/>
          <w:sz w:val="20"/>
        </w:rPr>
      </w:pPr>
      <w:r>
        <w:rPr>
          <w:b/>
          <w:sz w:val="20"/>
        </w:rPr>
        <w:t>Warrants</w:t>
      </w:r>
    </w:p>
    <w:p>
      <w:pPr>
        <w:pStyle w:val="TextBody"/>
        <w:bidi w:val="0"/>
        <w:spacing w:before="0" w:after="0"/>
        <w:ind w:left="0" w:right="0" w:hanging="0"/>
        <w:jc w:val="center"/>
        <w:rPr>
          <w:b/>
          <w:sz w:val="20"/>
        </w:rPr>
      </w:pPr>
      <w:r>
        <w:rPr>
          <w:b/>
          <w:sz w:val="20"/>
        </w:rPr>
        <w:t>Rights</w:t>
      </w:r>
    </w:p>
    <w:p>
      <w:pPr>
        <w:pStyle w:val="TextBody"/>
        <w:bidi w:val="0"/>
        <w:spacing w:before="0" w:after="0"/>
        <w:ind w:left="0" w:right="0" w:hanging="0"/>
        <w:jc w:val="center"/>
        <w:rPr>
          <w:b/>
          <w:sz w:val="20"/>
        </w:rPr>
      </w:pPr>
      <w:r>
        <w:rPr>
          <w:b/>
          <w:sz w:val="20"/>
        </w:rPr>
        <w:t>Units</w:t>
      </w:r>
    </w:p>
    <w:p>
      <w:pPr>
        <w:pStyle w:val="TextBody"/>
        <w:bidi w:val="0"/>
        <w:spacing w:before="0" w:after="0"/>
        <w:ind w:left="0" w:right="0" w:hanging="0"/>
        <w:jc w:val="center"/>
        <w:rPr/>
      </w:pPr>
      <w:r>
        <w:rPr/>
        <w:t> </w:t>
      </w:r>
    </w:p>
    <w:p>
      <w:pPr>
        <w:pStyle w:val="TextBody"/>
        <w:bidi w:val="0"/>
        <w:spacing w:before="0" w:after="0"/>
        <w:ind w:left="0" w:right="0" w:firstLine="360"/>
        <w:jc w:val="left"/>
        <w:rPr>
          <w:sz w:val="20"/>
          <w:shd w:fill="FFFFFF" w:val="clear"/>
        </w:rPr>
      </w:pPr>
      <w:r>
        <w:rPr>
          <w:sz w:val="20"/>
          <w:shd w:fill="FFFFFF" w:val="clear"/>
        </w:rPr>
        <w:t>We may, from time to time in one or more offerings, offer and sell up to $100.0 million in the aggregate amount of our ordinary shares, nominal value €0.01 per share (“</w:t>
      </w:r>
      <w:r>
        <w:rPr>
          <w:b/>
          <w:i/>
          <w:sz w:val="20"/>
          <w:shd w:fill="FFFFFF" w:val="clear"/>
        </w:rPr>
        <w:t>Ordinary Shares</w:t>
      </w:r>
      <w:r>
        <w:rPr>
          <w:sz w:val="20"/>
          <w:shd w:fill="FFFFFF" w:val="clear"/>
        </w:rPr>
        <w:t>”), preferred shares, nominal value €300.00 per share (“</w:t>
      </w:r>
      <w:r>
        <w:rPr>
          <w:b/>
          <w:i/>
          <w:sz w:val="20"/>
          <w:shd w:fill="FFFFFF" w:val="clear"/>
        </w:rPr>
        <w:t>Preferred Shares</w:t>
      </w:r>
      <w:r>
        <w:rPr>
          <w:sz w:val="20"/>
          <w:shd w:fill="FFFFFF" w:val="clear"/>
        </w:rPr>
        <w:t>”), debt securities, warrants, rights and/or units, in one or more series or classes and in any combination, together or separately, in one or more offerings in amounts, at prices and on the terms that we will determine at the time of the offering and which will be set forth in a prospectus supplement to this prospectus and any related free writing prospectus.</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 xml:space="preserve">We may offer these securities separately or together in units. This prospectus provides a general description of the securities we may offer. Each time we sell securities described herein, we will provide the specific terms of the securities offered in one or more supplements to this prospectus. We will provide prospective investors with a supplement to this prospectus that will specify the terms of the securities being offered. We may also authorize one or more free writing prospectuses to be provided to you in connection with these offerings. We may sell these securities to or through underwriters or dealers and also to other purchasers or through agents. We will set forth the names of any underwriters or agents, and any fees, conversions, or discount arrangements, in the applicable prospectus supplement. For additional information on the methods of sale, you should refer to the section entitled “Plan of Distribution” in this prospectus and in the applicable prospectus supplement. The prospectus supplement and any related free writing prospectus may add, update or change information contained in this prospectus. Please read carefully this prospectus, the applicable prospectus supplement, any related free writing prospectus, and the documents incorporated by reference before you invest in any of our securities. We may not sell any securities under this prospectus without delivery of the applicable prospectus supplement. </w:t>
      </w:r>
      <w:r>
        <w:rPr>
          <w:b/>
          <w:sz w:val="20"/>
        </w:rPr>
        <w:t>This prospectus may not be used to offer or sell any securities unless accompanied by the applicable prospectus supplement.</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You should read this prospectus and any prospectus supplement or amendment carefully before you invest in our securities. Our Ordinary Shares are listed on the Nasdaq Stock Market LLC (“</w:t>
      </w:r>
      <w:r>
        <w:rPr>
          <w:b/>
          <w:i/>
          <w:sz w:val="20"/>
        </w:rPr>
        <w:t>Nasdaq</w:t>
      </w:r>
      <w:r>
        <w:rPr>
          <w:sz w:val="20"/>
        </w:rPr>
        <w:t>”) and trade on the Nasdaq Capital Market (“</w:t>
      </w:r>
      <w:r>
        <w:rPr>
          <w:b/>
          <w:i/>
          <w:sz w:val="20"/>
        </w:rPr>
        <w:t>Nasdaq-CM</w:t>
      </w:r>
      <w:r>
        <w:rPr>
          <w:sz w:val="20"/>
        </w:rPr>
        <w:t>”) under the symbol “SSM”. On May 8, 2026, the closing price of our Ordinary Shares was $4.42.</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We are an “emerging growth company” as defined in Section 2(a) of the Securities Act of 1933, as amended (the “</w:t>
      </w:r>
      <w:r>
        <w:rPr>
          <w:b/>
          <w:i/>
          <w:sz w:val="20"/>
        </w:rPr>
        <w:t>Securities Act</w:t>
      </w:r>
      <w:r>
        <w:rPr>
          <w:sz w:val="20"/>
        </w:rPr>
        <w:t>”), until December 31, 2026, and a “smaller reporting company” as defined in Item 10(f)(1) of Regulation S-K of the U.S. Securities and Exchange Commission (the “</w:t>
      </w:r>
      <w:r>
        <w:rPr>
          <w:b/>
          <w:i/>
          <w:sz w:val="20"/>
        </w:rPr>
        <w:t>SEC</w:t>
      </w:r>
      <w:r>
        <w:rPr>
          <w:sz w:val="20"/>
        </w:rPr>
        <w:t>”), and are subject to reduced public company reporting requirements. This prospectus complies with the requirements that apply to an issuer that is an emerging growth company and a smaller reporting company.</w:t>
      </w:r>
    </w:p>
    <w:p>
      <w:pPr>
        <w:pStyle w:val="TextBody"/>
        <w:bidi w:val="0"/>
        <w:spacing w:before="0" w:after="0"/>
        <w:ind w:left="0" w:right="0" w:hanging="0"/>
        <w:jc w:val="left"/>
        <w:rPr/>
      </w:pPr>
      <w:r>
        <w:rPr/>
        <w:t> </w:t>
      </w:r>
    </w:p>
    <w:p>
      <w:pPr>
        <w:pStyle w:val="TextBody"/>
        <w:bidi w:val="0"/>
        <w:spacing w:before="0" w:after="0"/>
        <w:ind w:left="0" w:right="0" w:hanging="0"/>
        <w:jc w:val="left"/>
        <w:rPr/>
      </w:pPr>
      <w:r>
        <w:rPr>
          <w:b/>
          <w:sz w:val="20"/>
        </w:rPr>
        <w:t>Investing in our securities involves a high degree of risk. You should review carefully the risks and uncertainties referenced under the heading “</w:t>
      </w:r>
      <w:hyperlink w:anchor="a_001">
        <w:r>
          <w:rPr>
            <w:rStyle w:val="InternetLink"/>
            <w:b/>
            <w:i/>
            <w:sz w:val="20"/>
          </w:rPr>
          <w:t>Risk Factors</w:t>
        </w:r>
      </w:hyperlink>
      <w:r>
        <w:rPr>
          <w:b/>
          <w:sz w:val="20"/>
        </w:rPr>
        <w:t>” contained in this prospectus beginning on page 6 and any applicable prospectus supplement, and under similar headings in the other documents that are incorporated by reference into this prospectus. You should read the entire prospectus carefully before you make your investment decision.</w:t>
      </w:r>
    </w:p>
    <w:p>
      <w:pPr>
        <w:pStyle w:val="TextBody"/>
        <w:bidi w:val="0"/>
        <w:spacing w:before="0" w:after="0"/>
        <w:ind w:left="0" w:right="0" w:hanging="0"/>
        <w:jc w:val="left"/>
        <w:rPr/>
      </w:pPr>
      <w:r>
        <w:rPr/>
        <w:t> </w:t>
      </w:r>
    </w:p>
    <w:p>
      <w:pPr>
        <w:pStyle w:val="TextBody"/>
        <w:bidi w:val="0"/>
        <w:spacing w:before="0" w:after="0"/>
        <w:ind w:left="0" w:right="0" w:firstLine="360"/>
        <w:jc w:val="left"/>
        <w:rPr>
          <w:b/>
          <w:sz w:val="20"/>
        </w:rPr>
      </w:pPr>
      <w:r>
        <w:rPr>
          <w:b/>
          <w:sz w:val="20"/>
        </w:rPr>
        <w:t>Neither the SEC nor any other state securities commission has approved or disapproved of these securities or passed on the adequacy or accuracy of this prospectus. Any representation to the contrary is a criminal offense.</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The date of this prospectus is May 12, 2026</w:t>
      </w:r>
    </w:p>
    <w:p>
      <w:pPr>
        <w:pStyle w:val="TextBody"/>
        <w:bidi w:val="0"/>
        <w:spacing w:before="0" w:after="0"/>
        <w:ind w:left="0" w:right="0" w:hanging="0"/>
        <w:jc w:val="center"/>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TABLE OF CONTENTS</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tbl>
      <w:tblPr>
        <w:tblW w:w="6490" w:type="dxa"/>
        <w:jc w:val="left"/>
        <w:tblInd w:w="0" w:type="dxa"/>
        <w:tblLayout w:type="fixed"/>
        <w:tblCellMar>
          <w:top w:w="0" w:type="dxa"/>
          <w:left w:w="0" w:type="dxa"/>
          <w:bottom w:w="0" w:type="dxa"/>
          <w:right w:w="0" w:type="dxa"/>
        </w:tblCellMar>
      </w:tblPr>
      <w:tblGrid>
        <w:gridCol w:w="6245"/>
        <w:gridCol w:w="245"/>
      </w:tblGrid>
      <w:tr>
        <w:trPr/>
        <w:tc>
          <w:tcPr>
            <w:tcW w:w="6245" w:type="dxa"/>
            <w:tcBorders/>
            <w:vAlign w:val="center"/>
          </w:tcPr>
          <w:p>
            <w:pPr>
              <w:pStyle w:val="TableContents"/>
              <w:bidi w:val="0"/>
              <w:spacing w:before="0" w:after="283"/>
              <w:jc w:val="left"/>
              <w:rPr/>
            </w:pPr>
            <w:hyperlink w:anchor="a_001">
              <w:r>
                <w:rPr>
                  <w:rStyle w:val="InternetLink"/>
                  <w:sz w:val="20"/>
                </w:rPr>
                <w:t>ABOUT THIS PROSPECTUS</w:t>
              </w:r>
            </w:hyperlink>
          </w:p>
        </w:tc>
        <w:tc>
          <w:tcPr>
            <w:tcW w:w="245" w:type="dxa"/>
            <w:tcBorders/>
            <w:vAlign w:val="center"/>
          </w:tcPr>
          <w:p>
            <w:pPr>
              <w:pStyle w:val="TableContents"/>
              <w:bidi w:val="0"/>
              <w:spacing w:before="0" w:after="283"/>
              <w:jc w:val="left"/>
              <w:rPr/>
            </w:pPr>
            <w:hyperlink w:anchor="a_001">
              <w:r>
                <w:rPr>
                  <w:rStyle w:val="InternetLink"/>
                  <w:sz w:val="20"/>
                </w:rPr>
                <w:t>1</w:t>
              </w:r>
            </w:hyperlink>
          </w:p>
        </w:tc>
      </w:tr>
      <w:tr>
        <w:trPr/>
        <w:tc>
          <w:tcPr>
            <w:tcW w:w="624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283"/>
              <w:jc w:val="left"/>
              <w:rPr/>
            </w:pPr>
            <w:hyperlink w:anchor="a_002">
              <w:r>
                <w:rPr>
                  <w:rStyle w:val="InternetLink"/>
                  <w:sz w:val="20"/>
                </w:rPr>
                <w:t>CAUTIONARY NOTE REGARDING FORWARD-LOOKING STATEMENTS</w:t>
              </w:r>
            </w:hyperlink>
          </w:p>
        </w:tc>
        <w:tc>
          <w:tcPr>
            <w:tcW w:w="245" w:type="dxa"/>
            <w:tcBorders/>
            <w:vAlign w:val="center"/>
          </w:tcPr>
          <w:p>
            <w:pPr>
              <w:pStyle w:val="TableContents"/>
              <w:bidi w:val="0"/>
              <w:spacing w:before="0" w:after="283"/>
              <w:jc w:val="left"/>
              <w:rPr/>
            </w:pPr>
            <w:hyperlink w:anchor="a_002">
              <w:r>
                <w:rPr>
                  <w:rStyle w:val="InternetLink"/>
                  <w:sz w:val="20"/>
                </w:rPr>
                <w:t>2</w:t>
              </w:r>
            </w:hyperlink>
          </w:p>
        </w:tc>
      </w:tr>
      <w:tr>
        <w:trPr/>
        <w:tc>
          <w:tcPr>
            <w:tcW w:w="624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283"/>
              <w:jc w:val="left"/>
              <w:rPr/>
            </w:pPr>
            <w:hyperlink w:anchor="a_003">
              <w:r>
                <w:rPr>
                  <w:rStyle w:val="InternetLink"/>
                  <w:sz w:val="20"/>
                </w:rPr>
                <w:t>OUR COMPANY</w:t>
              </w:r>
            </w:hyperlink>
          </w:p>
        </w:tc>
        <w:tc>
          <w:tcPr>
            <w:tcW w:w="245" w:type="dxa"/>
            <w:tcBorders/>
            <w:vAlign w:val="center"/>
          </w:tcPr>
          <w:p>
            <w:pPr>
              <w:pStyle w:val="TableContents"/>
              <w:bidi w:val="0"/>
              <w:spacing w:before="0" w:after="283"/>
              <w:jc w:val="left"/>
              <w:rPr/>
            </w:pPr>
            <w:hyperlink w:anchor="a_003">
              <w:r>
                <w:rPr>
                  <w:rStyle w:val="InternetLink"/>
                  <w:sz w:val="20"/>
                </w:rPr>
                <w:t>3</w:t>
              </w:r>
            </w:hyperlink>
          </w:p>
        </w:tc>
      </w:tr>
      <w:tr>
        <w:trPr/>
        <w:tc>
          <w:tcPr>
            <w:tcW w:w="624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283"/>
              <w:jc w:val="left"/>
              <w:rPr/>
            </w:pPr>
            <w:hyperlink w:anchor="a_004">
              <w:r>
                <w:rPr>
                  <w:rStyle w:val="InternetLink"/>
                  <w:sz w:val="20"/>
                </w:rPr>
                <w:t>RISK FACTORS</w:t>
              </w:r>
            </w:hyperlink>
          </w:p>
        </w:tc>
        <w:tc>
          <w:tcPr>
            <w:tcW w:w="245" w:type="dxa"/>
            <w:tcBorders/>
            <w:vAlign w:val="center"/>
          </w:tcPr>
          <w:p>
            <w:pPr>
              <w:pStyle w:val="TableContents"/>
              <w:bidi w:val="0"/>
              <w:spacing w:before="0" w:after="283"/>
              <w:jc w:val="left"/>
              <w:rPr/>
            </w:pPr>
            <w:hyperlink w:anchor="a_004">
              <w:r>
                <w:rPr>
                  <w:rStyle w:val="InternetLink"/>
                  <w:sz w:val="20"/>
                </w:rPr>
                <w:t>6</w:t>
              </w:r>
            </w:hyperlink>
          </w:p>
        </w:tc>
      </w:tr>
      <w:tr>
        <w:trPr/>
        <w:tc>
          <w:tcPr>
            <w:tcW w:w="624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283"/>
              <w:jc w:val="left"/>
              <w:rPr/>
            </w:pPr>
            <w:hyperlink w:anchor="a_005">
              <w:r>
                <w:rPr>
                  <w:rStyle w:val="InternetLink"/>
                  <w:sz w:val="20"/>
                </w:rPr>
                <w:t>USE OF PROCEEDS</w:t>
              </w:r>
            </w:hyperlink>
          </w:p>
        </w:tc>
        <w:tc>
          <w:tcPr>
            <w:tcW w:w="245" w:type="dxa"/>
            <w:tcBorders/>
            <w:vAlign w:val="center"/>
          </w:tcPr>
          <w:p>
            <w:pPr>
              <w:pStyle w:val="TableContents"/>
              <w:bidi w:val="0"/>
              <w:spacing w:before="0" w:after="283"/>
              <w:jc w:val="left"/>
              <w:rPr/>
            </w:pPr>
            <w:hyperlink w:anchor="a_005">
              <w:r>
                <w:rPr>
                  <w:rStyle w:val="InternetLink"/>
                  <w:sz w:val="20"/>
                </w:rPr>
                <w:t>7</w:t>
              </w:r>
            </w:hyperlink>
          </w:p>
        </w:tc>
      </w:tr>
      <w:tr>
        <w:trPr/>
        <w:tc>
          <w:tcPr>
            <w:tcW w:w="624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283"/>
              <w:jc w:val="left"/>
              <w:rPr/>
            </w:pPr>
            <w:hyperlink w:anchor="a_006">
              <w:r>
                <w:rPr>
                  <w:rStyle w:val="InternetLink"/>
                  <w:sz w:val="20"/>
                </w:rPr>
                <w:t>SECURITIES WE MAY OFFER</w:t>
              </w:r>
            </w:hyperlink>
          </w:p>
        </w:tc>
        <w:tc>
          <w:tcPr>
            <w:tcW w:w="245" w:type="dxa"/>
            <w:tcBorders/>
            <w:vAlign w:val="center"/>
          </w:tcPr>
          <w:p>
            <w:pPr>
              <w:pStyle w:val="TableContents"/>
              <w:bidi w:val="0"/>
              <w:spacing w:before="0" w:after="283"/>
              <w:jc w:val="left"/>
              <w:rPr/>
            </w:pPr>
            <w:hyperlink w:anchor="a_006">
              <w:r>
                <w:rPr>
                  <w:rStyle w:val="InternetLink"/>
                  <w:sz w:val="20"/>
                </w:rPr>
                <w:t>8</w:t>
              </w:r>
            </w:hyperlink>
          </w:p>
        </w:tc>
      </w:tr>
      <w:tr>
        <w:trPr/>
        <w:tc>
          <w:tcPr>
            <w:tcW w:w="624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283"/>
              <w:jc w:val="left"/>
              <w:rPr/>
            </w:pPr>
            <w:hyperlink w:anchor="a_007">
              <w:r>
                <w:rPr>
                  <w:rStyle w:val="InternetLink"/>
                  <w:sz w:val="20"/>
                </w:rPr>
                <w:t>DESCRIPTION OF CAPITAL STOCK</w:t>
              </w:r>
            </w:hyperlink>
          </w:p>
        </w:tc>
        <w:tc>
          <w:tcPr>
            <w:tcW w:w="245" w:type="dxa"/>
            <w:tcBorders/>
            <w:vAlign w:val="center"/>
          </w:tcPr>
          <w:p>
            <w:pPr>
              <w:pStyle w:val="TableContents"/>
              <w:bidi w:val="0"/>
              <w:spacing w:before="0" w:after="283"/>
              <w:jc w:val="left"/>
              <w:rPr/>
            </w:pPr>
            <w:hyperlink w:anchor="a_007">
              <w:r>
                <w:rPr>
                  <w:rStyle w:val="InternetLink"/>
                  <w:sz w:val="20"/>
                </w:rPr>
                <w:t>9</w:t>
              </w:r>
            </w:hyperlink>
          </w:p>
        </w:tc>
      </w:tr>
      <w:tr>
        <w:trPr/>
        <w:tc>
          <w:tcPr>
            <w:tcW w:w="624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283"/>
              <w:jc w:val="left"/>
              <w:rPr/>
            </w:pPr>
            <w:hyperlink w:anchor="a_008">
              <w:r>
                <w:rPr>
                  <w:rStyle w:val="InternetLink"/>
                  <w:sz w:val="20"/>
                </w:rPr>
                <w:t>DESCRIPTION OF DEBT SECURITIES</w:t>
              </w:r>
            </w:hyperlink>
          </w:p>
        </w:tc>
        <w:tc>
          <w:tcPr>
            <w:tcW w:w="245" w:type="dxa"/>
            <w:tcBorders/>
            <w:vAlign w:val="center"/>
          </w:tcPr>
          <w:p>
            <w:pPr>
              <w:pStyle w:val="TableContents"/>
              <w:bidi w:val="0"/>
              <w:spacing w:before="0" w:after="283"/>
              <w:jc w:val="left"/>
              <w:rPr/>
            </w:pPr>
            <w:hyperlink w:anchor="a_008">
              <w:r>
                <w:rPr>
                  <w:rStyle w:val="InternetLink"/>
                  <w:sz w:val="20"/>
                </w:rPr>
                <w:t>16</w:t>
              </w:r>
            </w:hyperlink>
          </w:p>
        </w:tc>
      </w:tr>
      <w:tr>
        <w:trPr/>
        <w:tc>
          <w:tcPr>
            <w:tcW w:w="624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283"/>
              <w:jc w:val="left"/>
              <w:rPr/>
            </w:pPr>
            <w:hyperlink w:anchor="a_009">
              <w:r>
                <w:rPr>
                  <w:rStyle w:val="InternetLink"/>
                  <w:sz w:val="20"/>
                </w:rPr>
                <w:t>DESCRIPTION OF WARRANTS</w:t>
              </w:r>
            </w:hyperlink>
          </w:p>
        </w:tc>
        <w:tc>
          <w:tcPr>
            <w:tcW w:w="245" w:type="dxa"/>
            <w:tcBorders/>
            <w:vAlign w:val="center"/>
          </w:tcPr>
          <w:p>
            <w:pPr>
              <w:pStyle w:val="TableContents"/>
              <w:bidi w:val="0"/>
              <w:spacing w:before="0" w:after="283"/>
              <w:jc w:val="left"/>
              <w:rPr/>
            </w:pPr>
            <w:hyperlink w:anchor="a_009">
              <w:r>
                <w:rPr>
                  <w:rStyle w:val="InternetLink"/>
                  <w:sz w:val="20"/>
                </w:rPr>
                <w:t>21</w:t>
              </w:r>
            </w:hyperlink>
          </w:p>
        </w:tc>
      </w:tr>
      <w:tr>
        <w:trPr/>
        <w:tc>
          <w:tcPr>
            <w:tcW w:w="624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283"/>
              <w:jc w:val="left"/>
              <w:rPr/>
            </w:pPr>
            <w:hyperlink w:anchor="a_010">
              <w:r>
                <w:rPr>
                  <w:rStyle w:val="InternetLink"/>
                  <w:sz w:val="20"/>
                </w:rPr>
                <w:t>DESCRIPTION OF RIGHTS</w:t>
              </w:r>
            </w:hyperlink>
          </w:p>
        </w:tc>
        <w:tc>
          <w:tcPr>
            <w:tcW w:w="245" w:type="dxa"/>
            <w:tcBorders/>
            <w:vAlign w:val="center"/>
          </w:tcPr>
          <w:p>
            <w:pPr>
              <w:pStyle w:val="TableContents"/>
              <w:bidi w:val="0"/>
              <w:spacing w:before="0" w:after="283"/>
              <w:jc w:val="left"/>
              <w:rPr/>
            </w:pPr>
            <w:hyperlink w:anchor="a_010">
              <w:r>
                <w:rPr>
                  <w:rStyle w:val="InternetLink"/>
                  <w:sz w:val="20"/>
                </w:rPr>
                <w:t>23</w:t>
              </w:r>
            </w:hyperlink>
          </w:p>
        </w:tc>
      </w:tr>
      <w:tr>
        <w:trPr/>
        <w:tc>
          <w:tcPr>
            <w:tcW w:w="624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283"/>
              <w:jc w:val="left"/>
              <w:rPr/>
            </w:pPr>
            <w:hyperlink w:anchor="a_011">
              <w:r>
                <w:rPr>
                  <w:rStyle w:val="InternetLink"/>
                  <w:sz w:val="20"/>
                </w:rPr>
                <w:t>DESCRIPTION OF UNITS</w:t>
              </w:r>
            </w:hyperlink>
          </w:p>
        </w:tc>
        <w:tc>
          <w:tcPr>
            <w:tcW w:w="245" w:type="dxa"/>
            <w:tcBorders/>
            <w:vAlign w:val="center"/>
          </w:tcPr>
          <w:p>
            <w:pPr>
              <w:pStyle w:val="TableContents"/>
              <w:bidi w:val="0"/>
              <w:spacing w:before="0" w:after="283"/>
              <w:jc w:val="left"/>
              <w:rPr/>
            </w:pPr>
            <w:hyperlink w:anchor="a_011">
              <w:r>
                <w:rPr>
                  <w:rStyle w:val="InternetLink"/>
                  <w:sz w:val="20"/>
                </w:rPr>
                <w:t>24</w:t>
              </w:r>
            </w:hyperlink>
          </w:p>
        </w:tc>
      </w:tr>
      <w:tr>
        <w:trPr/>
        <w:tc>
          <w:tcPr>
            <w:tcW w:w="624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283"/>
              <w:jc w:val="left"/>
              <w:rPr/>
            </w:pPr>
            <w:hyperlink w:anchor="a_012">
              <w:r>
                <w:rPr>
                  <w:rStyle w:val="InternetLink"/>
                  <w:sz w:val="20"/>
                </w:rPr>
                <w:t>MATERIAL U.S. FEDERAL INCOME TAX CONSIDERATIONS</w:t>
              </w:r>
            </w:hyperlink>
          </w:p>
        </w:tc>
        <w:tc>
          <w:tcPr>
            <w:tcW w:w="245" w:type="dxa"/>
            <w:tcBorders/>
            <w:vAlign w:val="center"/>
          </w:tcPr>
          <w:p>
            <w:pPr>
              <w:pStyle w:val="TableContents"/>
              <w:bidi w:val="0"/>
              <w:spacing w:before="0" w:after="283"/>
              <w:jc w:val="left"/>
              <w:rPr/>
            </w:pPr>
            <w:hyperlink w:anchor="a_012">
              <w:r>
                <w:rPr>
                  <w:rStyle w:val="InternetLink"/>
                  <w:sz w:val="20"/>
                </w:rPr>
                <w:t>27</w:t>
              </w:r>
            </w:hyperlink>
          </w:p>
        </w:tc>
      </w:tr>
      <w:tr>
        <w:trPr/>
        <w:tc>
          <w:tcPr>
            <w:tcW w:w="624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283"/>
              <w:jc w:val="left"/>
              <w:rPr/>
            </w:pPr>
            <w:hyperlink w:anchor="a_013">
              <w:r>
                <w:rPr>
                  <w:rStyle w:val="InternetLink"/>
                  <w:sz w:val="20"/>
                </w:rPr>
                <w:t>PLAN OF DISTRIBUTION</w:t>
              </w:r>
            </w:hyperlink>
          </w:p>
        </w:tc>
        <w:tc>
          <w:tcPr>
            <w:tcW w:w="245" w:type="dxa"/>
            <w:tcBorders/>
            <w:vAlign w:val="center"/>
          </w:tcPr>
          <w:p>
            <w:pPr>
              <w:pStyle w:val="TableContents"/>
              <w:bidi w:val="0"/>
              <w:spacing w:before="0" w:after="283"/>
              <w:jc w:val="left"/>
              <w:rPr/>
            </w:pPr>
            <w:hyperlink w:anchor="a_013">
              <w:r>
                <w:rPr>
                  <w:rStyle w:val="InternetLink"/>
                  <w:sz w:val="20"/>
                </w:rPr>
                <w:t>28</w:t>
              </w:r>
            </w:hyperlink>
          </w:p>
        </w:tc>
      </w:tr>
      <w:tr>
        <w:trPr/>
        <w:tc>
          <w:tcPr>
            <w:tcW w:w="624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283"/>
              <w:jc w:val="left"/>
              <w:rPr/>
            </w:pPr>
            <w:hyperlink w:anchor="a_014">
              <w:r>
                <w:rPr>
                  <w:rStyle w:val="InternetLink"/>
                  <w:sz w:val="20"/>
                </w:rPr>
                <w:t>LEGAL MATTERS</w:t>
              </w:r>
            </w:hyperlink>
          </w:p>
        </w:tc>
        <w:tc>
          <w:tcPr>
            <w:tcW w:w="245" w:type="dxa"/>
            <w:tcBorders/>
            <w:vAlign w:val="center"/>
          </w:tcPr>
          <w:p>
            <w:pPr>
              <w:pStyle w:val="TableContents"/>
              <w:bidi w:val="0"/>
              <w:spacing w:before="0" w:after="283"/>
              <w:jc w:val="left"/>
              <w:rPr/>
            </w:pPr>
            <w:hyperlink w:anchor="a_014">
              <w:r>
                <w:rPr>
                  <w:rStyle w:val="InternetLink"/>
                  <w:sz w:val="20"/>
                </w:rPr>
                <w:t>31</w:t>
              </w:r>
            </w:hyperlink>
          </w:p>
        </w:tc>
      </w:tr>
      <w:tr>
        <w:trPr/>
        <w:tc>
          <w:tcPr>
            <w:tcW w:w="624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283"/>
              <w:jc w:val="left"/>
              <w:rPr/>
            </w:pPr>
            <w:hyperlink w:anchor="a_015">
              <w:r>
                <w:rPr>
                  <w:rStyle w:val="InternetLink"/>
                  <w:sz w:val="20"/>
                </w:rPr>
                <w:t>EXPERTS</w:t>
              </w:r>
            </w:hyperlink>
          </w:p>
        </w:tc>
        <w:tc>
          <w:tcPr>
            <w:tcW w:w="245" w:type="dxa"/>
            <w:tcBorders/>
            <w:vAlign w:val="center"/>
          </w:tcPr>
          <w:p>
            <w:pPr>
              <w:pStyle w:val="TableContents"/>
              <w:bidi w:val="0"/>
              <w:spacing w:before="0" w:after="283"/>
              <w:jc w:val="left"/>
              <w:rPr/>
            </w:pPr>
            <w:hyperlink w:anchor="a_015">
              <w:r>
                <w:rPr>
                  <w:rStyle w:val="InternetLink"/>
                  <w:sz w:val="20"/>
                </w:rPr>
                <w:t>31</w:t>
              </w:r>
            </w:hyperlink>
          </w:p>
        </w:tc>
      </w:tr>
      <w:tr>
        <w:trPr/>
        <w:tc>
          <w:tcPr>
            <w:tcW w:w="624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283"/>
              <w:jc w:val="left"/>
              <w:rPr/>
            </w:pPr>
            <w:hyperlink w:anchor="a_016">
              <w:r>
                <w:rPr>
                  <w:rStyle w:val="InternetLink"/>
                  <w:sz w:val="20"/>
                </w:rPr>
                <w:t>WHERE YOU CAN FIND MORE INFORMATION</w:t>
              </w:r>
            </w:hyperlink>
          </w:p>
        </w:tc>
        <w:tc>
          <w:tcPr>
            <w:tcW w:w="245" w:type="dxa"/>
            <w:tcBorders/>
            <w:vAlign w:val="center"/>
          </w:tcPr>
          <w:p>
            <w:pPr>
              <w:pStyle w:val="TableContents"/>
              <w:bidi w:val="0"/>
              <w:spacing w:before="0" w:after="283"/>
              <w:jc w:val="left"/>
              <w:rPr/>
            </w:pPr>
            <w:hyperlink w:anchor="a_016">
              <w:r>
                <w:rPr>
                  <w:rStyle w:val="InternetLink"/>
                  <w:sz w:val="20"/>
                </w:rPr>
                <w:t>31</w:t>
              </w:r>
            </w:hyperlink>
          </w:p>
        </w:tc>
      </w:tr>
      <w:tr>
        <w:trPr/>
        <w:tc>
          <w:tcPr>
            <w:tcW w:w="624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283"/>
              <w:jc w:val="left"/>
              <w:rPr/>
            </w:pPr>
            <w:hyperlink w:anchor="a_017">
              <w:r>
                <w:rPr>
                  <w:rStyle w:val="InternetLink"/>
                  <w:sz w:val="20"/>
                </w:rPr>
                <w:t>INFORMATION INCORPORATED BY REFERENCE</w:t>
              </w:r>
            </w:hyperlink>
          </w:p>
        </w:tc>
        <w:tc>
          <w:tcPr>
            <w:tcW w:w="245" w:type="dxa"/>
            <w:tcBorders/>
            <w:vAlign w:val="center"/>
          </w:tcPr>
          <w:p>
            <w:pPr>
              <w:pStyle w:val="TableContents"/>
              <w:bidi w:val="0"/>
              <w:spacing w:before="0" w:after="283"/>
              <w:jc w:val="left"/>
              <w:rPr/>
            </w:pPr>
            <w:hyperlink w:anchor="a_017">
              <w:r>
                <w:rPr>
                  <w:rStyle w:val="InternetLink"/>
                  <w:sz w:val="20"/>
                </w:rPr>
                <w:t>32</w:t>
              </w:r>
            </w:hyperlink>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15" w:name="a_001"/>
      <w:bookmarkEnd w:id="15"/>
      <w:r>
        <w:rPr>
          <w:b/>
          <w:sz w:val="20"/>
        </w:rPr>
        <w:t>ABOUT THIS PROSPECTUS</w:t>
      </w:r>
    </w:p>
    <w:p>
      <w:pPr>
        <w:pStyle w:val="TextBody"/>
        <w:bidi w:val="0"/>
        <w:spacing w:before="0" w:after="0"/>
        <w:ind w:left="0" w:right="0" w:hanging="0"/>
        <w:jc w:val="center"/>
        <w:rPr/>
      </w:pPr>
      <w:r>
        <w:rPr/>
        <w:t> </w:t>
      </w:r>
    </w:p>
    <w:p>
      <w:pPr>
        <w:pStyle w:val="TextBody"/>
        <w:bidi w:val="0"/>
        <w:spacing w:before="0" w:after="0"/>
        <w:ind w:left="0" w:right="0" w:firstLine="360"/>
        <w:jc w:val="left"/>
        <w:rPr>
          <w:sz w:val="20"/>
        </w:rPr>
      </w:pPr>
      <w:r>
        <w:rPr>
          <w:sz w:val="20"/>
        </w:rPr>
        <w:t>This prospectus is part of a registration statement on Form S-3 that we filed with the Securities and Exchange Commission, or the SEC, under the Securities Act of 1933, as amended (the “</w:t>
      </w:r>
      <w:r>
        <w:rPr>
          <w:b/>
          <w:i/>
          <w:sz w:val="20"/>
        </w:rPr>
        <w:t>Securities Act</w:t>
      </w:r>
      <w:r>
        <w:rPr>
          <w:sz w:val="20"/>
        </w:rPr>
        <w:t xml:space="preserve">”), using the “shelf” registration process for the offering and sale of securities pursuant to Rule 415 under the Securities Act. Under this shelf registration process, we may, from time to time, offer and sell any combination of the securities described in this prospectus in one or more offerings, up to a total dollar amount of </w:t>
      </w:r>
      <w:r>
        <w:rPr>
          <w:sz w:val="20"/>
          <w:shd w:fill="FFFFFF" w:val="clear"/>
        </w:rPr>
        <w:t xml:space="preserve">$100.0 </w:t>
      </w:r>
      <w:r>
        <w:rPr>
          <w:sz w:val="20"/>
        </w:rPr>
        <w:t>million.</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This prospectus provides a general description of the securities we may offer. Each time we sell securities under this prospectus, we will, to the extent required by law, provide a prospectus supplement that will contain specific information about the terms of that offering. We may also authorize one or more free writing prospectuses to be provided to you that may contain material information relating to a particular offering. The prospectus supplement and any related free writing prospectus may also add, update or change information contained in this prospectus or in any documents that we have incorporated by reference into this prospectus. To the extent there is a conflict between any statement contained in this prospectus, any applicable prospectus supplement, any related free writing prospectus or any document incorporated by reference into this prospectus, the statement in the document having the later date modifies or supersedes the earlier statement.</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The information appearing in this prospectus, any applicable prospectus supplement or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any applicable prospectus supplement or any related free writing prospectus, or the time of any sale of a security. Our business, financial condition, results of operations and prospects may have changed since those dates.</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You may rely only on the information contained in, or incorporated by reference into, this prospectus and any applicable prospectus supplement, or the information contained in any free writing prospectus we have authorized for use in connection with a specific offering. We have not authorized anyone to provide you with different or additional information. This prospectus is an offer to sell only the securities offered hereby, but only under circumstances and in jurisdictions where it is lawful to do so.</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As permitted by SEC rules and regulations, the registration statement of which this prospectus forms a part includes additional information not contained in this prospectus. This prospectus also contains summaries of certain provisions of the documents described herein, but all summaries are qualified in their entirety by reference to the actual documents. You may read the registration statement and the other reports we file with the SEC, and you may obtain copies of the actual documents summarized herein (if and when filed with the SEC), at the SEC’s website or at its offices described in the section of this prospectus titled “</w:t>
      </w:r>
      <w:r>
        <w:rPr>
          <w:i/>
          <w:sz w:val="20"/>
        </w:rPr>
        <w:t>Where You Can Find More Information</w:t>
      </w:r>
      <w:r>
        <w:rPr>
          <w:sz w:val="20"/>
        </w:rPr>
        <w:t>.”</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shd w:fill="FFFFFF" w:val="clear"/>
        </w:rPr>
      </w:pPr>
      <w:r>
        <w:rPr>
          <w:sz w:val="20"/>
          <w:shd w:fill="FFFFFF" w:val="clear"/>
        </w:rPr>
        <w:t>Sono Group N.V. was incorporated on October 23, 2020 (at that time as a Dutch limited liability company (</w:t>
      </w:r>
      <w:r>
        <w:rPr>
          <w:i/>
          <w:sz w:val="20"/>
          <w:shd w:fill="FFFFFF" w:val="clear"/>
        </w:rPr>
        <w:t>besloten vennootschap met beperkte aansprakelijkheid</w:t>
      </w:r>
      <w:r>
        <w:rPr>
          <w:sz w:val="20"/>
          <w:shd w:fill="FFFFFF" w:val="clear"/>
        </w:rPr>
        <w:t>) named Sono Motors Finance B.V.), pursuant to the laws of the Netherlands, as a wholly owned subsidiary of Sono Motors GmbH, a German limited liability company (</w:t>
      </w:r>
      <w:r>
        <w:rPr>
          <w:i/>
          <w:sz w:val="20"/>
          <w:shd w:fill="FFFFFF" w:val="clear"/>
        </w:rPr>
        <w:t>Gesellschaft mit beschränkter Haftung</w:t>
      </w:r>
      <w:r>
        <w:rPr>
          <w:sz w:val="20"/>
          <w:shd w:fill="FFFFFF" w:val="clear"/>
        </w:rPr>
        <w:t>) (the “</w:t>
      </w:r>
      <w:r>
        <w:rPr>
          <w:b/>
          <w:i/>
          <w:sz w:val="20"/>
          <w:shd w:fill="FFFFFF" w:val="clear"/>
        </w:rPr>
        <w:t>Subsidiary</w:t>
      </w:r>
      <w:r>
        <w:rPr>
          <w:sz w:val="20"/>
          <w:shd w:fill="FFFFFF" w:val="clear"/>
        </w:rPr>
        <w:t>”). On November 27, 2020, as part of a corporate reorganization, our then-existing shareholders contributed all of their shares in the Subsidiary to Sono Motors Finance B.V. in exchange for newly issued common shares of Sono Motors Finance B.V. In addition, the sole issued and outstanding common share in Sono Motors Finance B.V. at that time, which was held by the Subsidiary, was cancelled (</w:t>
      </w:r>
      <w:r>
        <w:rPr>
          <w:i/>
          <w:sz w:val="20"/>
          <w:shd w:fill="FFFFFF" w:val="clear"/>
        </w:rPr>
        <w:t>ingetrokken</w:t>
      </w:r>
      <w:r>
        <w:rPr>
          <w:sz w:val="20"/>
          <w:shd w:fill="FFFFFF" w:val="clear"/>
        </w:rPr>
        <w:t>). As a result, the Subsidiary became a wholly owned subsidiary of Sono Motors Finance B.V. and the then-existing shareholders of the Subsidiary became the shareholders of Sono Motors Finance B.V. Also on November 27, 2020, Sono Motors Finance B.V. was converted into a public company with limited liability under Dutch law (</w:t>
      </w:r>
      <w:r>
        <w:rPr>
          <w:i/>
          <w:sz w:val="20"/>
          <w:shd w:fill="FFFFFF" w:val="clear"/>
        </w:rPr>
        <w:t>naamloze vennootschap</w:t>
      </w:r>
      <w:r>
        <w:rPr>
          <w:sz w:val="20"/>
          <w:shd w:fill="FFFFFF" w:val="clear"/>
        </w:rPr>
        <w:t>), and changed its legal name from Sono Motors Finance B.V. to Sono Group N.V. (the “</w:t>
      </w:r>
      <w:r>
        <w:rPr>
          <w:b/>
          <w:i/>
          <w:sz w:val="20"/>
          <w:shd w:fill="FFFFFF" w:val="clear"/>
        </w:rPr>
        <w:t>Conversion</w:t>
      </w:r>
      <w:r>
        <w:rPr>
          <w:sz w:val="20"/>
          <w:shd w:fill="FFFFFF" w:val="clear"/>
        </w:rPr>
        <w:t>”). Following the Conversion, Sono Group N.V. will be referred to as the “</w:t>
      </w:r>
      <w:r>
        <w:rPr>
          <w:b/>
          <w:i/>
          <w:sz w:val="20"/>
          <w:shd w:fill="FFFFFF" w:val="clear"/>
        </w:rPr>
        <w:t>Company</w:t>
      </w:r>
      <w:r>
        <w:rPr>
          <w:sz w:val="20"/>
          <w:shd w:fill="FFFFFF" w:val="clear"/>
        </w:rPr>
        <w:t>” or “</w:t>
      </w:r>
      <w:r>
        <w:rPr>
          <w:b/>
          <w:i/>
          <w:sz w:val="20"/>
          <w:shd w:fill="FFFFFF" w:val="clear"/>
        </w:rPr>
        <w:t>Sono N.V.</w:t>
      </w:r>
      <w:r>
        <w:rPr>
          <w:sz w:val="20"/>
          <w:shd w:fill="FFFFFF" w:val="clear"/>
        </w:rPr>
        <w:t>” Unless the context indicates otherwise, references in this prospectus to the “Company,” “Sono N.V.,” “we,” “us,” “our” and similar terms refer to Sono Group N.V. (f/k/a Sono Motors Finance B.V.).</w:t>
      </w:r>
    </w:p>
    <w:p>
      <w:pPr>
        <w:pStyle w:val="TextBody"/>
        <w:bidi w:val="0"/>
        <w:spacing w:before="0" w:after="0"/>
        <w:ind w:left="0" w:right="0" w:firstLine="360"/>
        <w:jc w:val="left"/>
        <w:rPr/>
      </w:pPr>
      <w:r>
        <w:rPr/>
        <w:t> </w:t>
      </w:r>
    </w:p>
    <w:p>
      <w:pPr>
        <w:pStyle w:val="TextBody"/>
        <w:bidi w:val="0"/>
        <w:spacing w:before="0" w:after="0"/>
        <w:ind w:left="0" w:right="0" w:firstLine="360"/>
        <w:jc w:val="left"/>
        <w:rPr>
          <w:b/>
          <w:sz w:val="20"/>
        </w:rPr>
      </w:pPr>
      <w:r>
        <w:rPr>
          <w:b/>
          <w:sz w:val="20"/>
        </w:rPr>
        <w:t>THIS PROSPECTUS MAY NOT BE USED TO OFFER AND SELL SECURITIES UNLESS IT IS ACCOMPANIED BY AN ADDITIONAL PROSPECTUS OR A PROSPECTUS SUPPLEMENT.</w:t>
      </w:r>
    </w:p>
    <w:p>
      <w:pPr>
        <w:pStyle w:val="TextBody"/>
        <w:bidi w:val="0"/>
        <w:spacing w:before="0" w:after="0"/>
        <w:ind w:left="0" w:right="0"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16" w:name="a_002"/>
      <w:bookmarkEnd w:id="16"/>
      <w:r>
        <w:rPr>
          <w:b/>
          <w:sz w:val="20"/>
        </w:rPr>
        <w:t>CAUTIONARY NOTE REGARDING FORWARD-LOOKING STATEMENTS</w:t>
      </w:r>
    </w:p>
    <w:p>
      <w:pPr>
        <w:pStyle w:val="TextBody"/>
        <w:bidi w:val="0"/>
        <w:spacing w:before="0" w:after="0"/>
        <w:ind w:left="0" w:right="0" w:hanging="0"/>
        <w:jc w:val="center"/>
        <w:rPr/>
      </w:pPr>
      <w:r>
        <w:rPr/>
        <w:t> </w:t>
      </w:r>
    </w:p>
    <w:p>
      <w:pPr>
        <w:pStyle w:val="TextBody"/>
        <w:bidi w:val="0"/>
        <w:spacing w:before="0" w:after="0"/>
        <w:ind w:left="0" w:right="0" w:firstLine="360"/>
        <w:jc w:val="left"/>
        <w:rPr>
          <w:sz w:val="20"/>
        </w:rPr>
      </w:pPr>
      <w:r>
        <w:rPr>
          <w:sz w:val="20"/>
        </w:rPr>
        <w:t xml:space="preserve">This prospectus contains certain forward-looking statements within the meaning of the Private Securities Litigation Reform Act of 1995 that relate to our current expectations and views of future events. We intend for such forward-looking statements to be covered by the safe harbor provisions for forward-looking statements contained in Section 27A of the Securities Act and Section 21E of the Exchange Act. These forward-looking statements relate to events that involve known and unknown risks, uncertainties and other factors, including those listed under “Risk Factors,” which may cause our actual results, performance or achievements to be materially different from any future results, performance or achievements expressed or implied by the forward-looking statements. When used in this prospectus, the words “believe,” “may,” “might,” “could,” “will,” “estimate,” “continue,” “anticipate,” “intend,” “expect,” “indicate,” “seek,” “should,” “plan,” “potential,” “is/are likely to,” “would,” and similar expressions (including the negative of any of the foregoing) are intended to identify forward-looking statements, though not all forward-looking statements contain these identifying words.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These forward-looking statements include, without limitation, statements about the following matters: </w:t>
      </w:r>
    </w:p>
    <w:p>
      <w:pPr>
        <w:pStyle w:val="TextBody"/>
        <w:bidi w:val="0"/>
        <w:spacing w:before="0" w:after="0"/>
        <w:ind w:left="0" w:right="0" w:firstLine="360"/>
        <w:jc w:val="left"/>
        <w:rPr/>
      </w:pPr>
      <w:r>
        <w:rPr/>
        <w:t> </w:t>
      </w:r>
    </w:p>
    <w:tbl>
      <w:tblPr>
        <w:tblW w:w="5000" w:type="pct"/>
        <w:jc w:val="left"/>
        <w:tblInd w:w="0" w:type="dxa"/>
        <w:tblLayout w:type="fixed"/>
        <w:tblCellMar>
          <w:top w:w="0" w:type="dxa"/>
          <w:left w:w="0" w:type="dxa"/>
          <w:bottom w:w="0" w:type="dxa"/>
          <w:right w:w="0" w:type="dxa"/>
        </w:tblCellMar>
      </w:tblPr>
      <w:tblGrid>
        <w:gridCol w:w="56"/>
        <w:gridCol w:w="185"/>
        <w:gridCol w:w="9964"/>
      </w:tblGrid>
      <w:tr>
        <w:trPr/>
        <w:tc>
          <w:tcPr>
            <w:tcW w:w="5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Symbol" w:hAnsi="Symbol"/>
              </w:rPr>
            </w:pPr>
            <w:r>
              <w:rPr>
                <w:rFonts w:ascii="Symbol" w:hAnsi="Symbol"/>
              </w:rPr>
              <w:t>·</w:t>
            </w:r>
          </w:p>
        </w:tc>
        <w:tc>
          <w:tcPr>
            <w:tcW w:w="9964" w:type="dxa"/>
            <w:tcBorders/>
            <w:vAlign w:val="center"/>
          </w:tcPr>
          <w:p>
            <w:pPr>
              <w:pStyle w:val="TableContents"/>
              <w:bidi w:val="0"/>
              <w:spacing w:before="0" w:after="283"/>
              <w:jc w:val="left"/>
              <w:rPr/>
            </w:pPr>
            <w:r>
              <w:rPr/>
              <w:t>our ability to comply with the continuing standards of the Nasdaq-CM;</w:t>
            </w:r>
          </w:p>
        </w:tc>
      </w:tr>
    </w:tbl>
    <w:tbl>
      <w:tblPr>
        <w:tblW w:w="5000" w:type="pct"/>
        <w:jc w:val="left"/>
        <w:tblInd w:w="0" w:type="dxa"/>
        <w:tblLayout w:type="fixed"/>
        <w:tblCellMar>
          <w:top w:w="0" w:type="dxa"/>
          <w:left w:w="0" w:type="dxa"/>
          <w:bottom w:w="0" w:type="dxa"/>
          <w:right w:w="0" w:type="dxa"/>
        </w:tblCellMar>
      </w:tblPr>
      <w:tblGrid>
        <w:gridCol w:w="95"/>
        <w:gridCol w:w="315"/>
        <w:gridCol w:w="9795"/>
      </w:tblGrid>
      <w:tr>
        <w:trPr/>
        <w:tc>
          <w:tcPr>
            <w:tcW w:w="9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rFonts w:ascii="Symbol" w:hAnsi="Symbol"/>
              </w:rPr>
            </w:pPr>
            <w:r>
              <w:rPr>
                <w:rFonts w:ascii="Symbol" w:hAnsi="Symbol"/>
              </w:rPr>
              <w:t>·</w:t>
            </w:r>
          </w:p>
        </w:tc>
        <w:tc>
          <w:tcPr>
            <w:tcW w:w="9795" w:type="dxa"/>
            <w:tcBorders/>
            <w:vAlign w:val="center"/>
          </w:tcPr>
          <w:p>
            <w:pPr>
              <w:pStyle w:val="TableContents"/>
              <w:bidi w:val="0"/>
              <w:spacing w:before="0" w:after="283"/>
              <w:jc w:val="left"/>
              <w:rPr/>
            </w:pPr>
            <w:r>
              <w:rPr/>
              <w:t>our strategies, plan, objectives and goals;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our expectations regarding the development of our industry, market size and the regulatory and competitive environment in which we operate;</w:t>
            </w:r>
          </w:p>
        </w:tc>
      </w:tr>
    </w:tbl>
    <w:tbl>
      <w:tblPr>
        <w:tblW w:w="5000" w:type="pct"/>
        <w:jc w:val="left"/>
        <w:tblInd w:w="0" w:type="dxa"/>
        <w:tblLayout w:type="fixed"/>
        <w:tblCellMar>
          <w:top w:w="0" w:type="dxa"/>
          <w:left w:w="0" w:type="dxa"/>
          <w:bottom w:w="0" w:type="dxa"/>
          <w:right w:w="0" w:type="dxa"/>
        </w:tblCellMar>
      </w:tblPr>
      <w:tblGrid>
        <w:gridCol w:w="60"/>
        <w:gridCol w:w="198"/>
        <w:gridCol w:w="9947"/>
      </w:tblGrid>
      <w:tr>
        <w:trPr/>
        <w:tc>
          <w:tcPr>
            <w:tcW w:w="6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Symbol" w:hAnsi="Symbol"/>
              </w:rPr>
            </w:pPr>
            <w:r>
              <w:rPr>
                <w:rFonts w:ascii="Symbol" w:hAnsi="Symbol"/>
              </w:rPr>
              <w:t>·</w:t>
            </w:r>
          </w:p>
        </w:tc>
        <w:tc>
          <w:tcPr>
            <w:tcW w:w="9947" w:type="dxa"/>
            <w:tcBorders/>
            <w:vAlign w:val="center"/>
          </w:tcPr>
          <w:p>
            <w:pPr>
              <w:pStyle w:val="TableContents"/>
              <w:bidi w:val="0"/>
              <w:spacing w:before="0" w:after="283"/>
              <w:jc w:val="left"/>
              <w:rPr/>
            </w:pPr>
            <w:r>
              <w:rPr/>
              <w:t>our expectations and beliefs regarding accounting and tax matters;</w:t>
            </w:r>
          </w:p>
        </w:tc>
      </w:tr>
    </w:tbl>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Although we believe that the expectations reflected in these forward-looking statements are reasonable as of the date of this prospectus, actual results may prove to be materially different from the results expressed or implied by the forward-looking statements. Important factors that could cause actual results to differ materially from those in the forward-looking statements include, but are not limited to, those summarized below:</w:t>
      </w:r>
    </w:p>
    <w:p>
      <w:pPr>
        <w:pStyle w:val="TextBody"/>
        <w:bidi w:val="0"/>
        <w:spacing w:before="0" w:after="0"/>
        <w:ind w:left="0" w:right="0" w:firstLine="360"/>
        <w:jc w:val="left"/>
        <w:rPr/>
      </w:pPr>
      <w:r>
        <w:rPr/>
        <w:t> </w:t>
      </w:r>
    </w:p>
    <w:tbl>
      <w:tblPr>
        <w:tblW w:w="5000" w:type="pct"/>
        <w:jc w:val="left"/>
        <w:tblInd w:w="0" w:type="dxa"/>
        <w:tblLayout w:type="fixed"/>
        <w:tblCellMar>
          <w:top w:w="0" w:type="dxa"/>
          <w:left w:w="0" w:type="dxa"/>
          <w:bottom w:w="0" w:type="dxa"/>
          <w:right w:w="0" w:type="dxa"/>
        </w:tblCellMar>
      </w:tblPr>
      <w:tblGrid>
        <w:gridCol w:w="56"/>
        <w:gridCol w:w="184"/>
        <w:gridCol w:w="9965"/>
      </w:tblGrid>
      <w:tr>
        <w:trPr/>
        <w:tc>
          <w:tcPr>
            <w:tcW w:w="5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Symbol" w:hAnsi="Symbol"/>
              </w:rPr>
            </w:pPr>
            <w:r>
              <w:rPr>
                <w:rFonts w:ascii="Symbol" w:hAnsi="Symbol"/>
              </w:rPr>
              <w:t>·</w:t>
            </w:r>
          </w:p>
        </w:tc>
        <w:tc>
          <w:tcPr>
            <w:tcW w:w="9965" w:type="dxa"/>
            <w:tcBorders/>
            <w:vAlign w:val="center"/>
          </w:tcPr>
          <w:p>
            <w:pPr>
              <w:pStyle w:val="TableContents"/>
              <w:bidi w:val="0"/>
              <w:spacing w:before="0" w:after="283"/>
              <w:jc w:val="left"/>
              <w:rPr/>
            </w:pPr>
            <w:r>
              <w:rPr/>
              <w:t>our ability to maintain relationships with lenders and other third parties;</w:t>
            </w:r>
          </w:p>
        </w:tc>
      </w:tr>
    </w:tbl>
    <w:tbl>
      <w:tblPr>
        <w:tblW w:w="5000" w:type="pct"/>
        <w:jc w:val="left"/>
        <w:tblInd w:w="0" w:type="dxa"/>
        <w:tblLayout w:type="fixed"/>
        <w:tblCellMar>
          <w:top w:w="0" w:type="dxa"/>
          <w:left w:w="0" w:type="dxa"/>
          <w:bottom w:w="0" w:type="dxa"/>
          <w:right w:w="0" w:type="dxa"/>
        </w:tblCellMar>
      </w:tblPr>
      <w:tblGrid>
        <w:gridCol w:w="41"/>
        <w:gridCol w:w="139"/>
        <w:gridCol w:w="10025"/>
      </w:tblGrid>
      <w:tr>
        <w:trPr/>
        <w:tc>
          <w:tcPr>
            <w:tcW w:w="4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Symbol" w:hAnsi="Symbol"/>
              </w:rPr>
            </w:pPr>
            <w:r>
              <w:rPr>
                <w:rFonts w:ascii="Symbol" w:hAnsi="Symbol"/>
              </w:rPr>
              <w:t>·</w:t>
            </w:r>
          </w:p>
        </w:tc>
        <w:tc>
          <w:tcPr>
            <w:tcW w:w="10025" w:type="dxa"/>
            <w:tcBorders/>
            <w:vAlign w:val="center"/>
          </w:tcPr>
          <w:p>
            <w:pPr>
              <w:pStyle w:val="TableContents"/>
              <w:bidi w:val="0"/>
              <w:spacing w:before="0" w:after="283"/>
              <w:jc w:val="left"/>
              <w:rPr/>
            </w:pPr>
            <w:r>
              <w:rPr/>
              <w:t>our ability to raise any additional financing that may be required to continue as a going concern;</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our future business and financial performance, including our ability to turn profitable, scale our operations and build a well-recognized and respected brand cost-effectively;</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our ability to develop and maintain relationships with key business partners who are crucial for our operations;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our exposure to various liability risks resulting from past or existing employment relationships and labor laws; and</w:t>
            </w:r>
          </w:p>
        </w:tc>
      </w:tr>
    </w:tbl>
    <w:tbl>
      <w:tblPr>
        <w:tblW w:w="5000" w:type="pct"/>
        <w:jc w:val="left"/>
        <w:tblInd w:w="0" w:type="dxa"/>
        <w:tblLayout w:type="fixed"/>
        <w:tblCellMar>
          <w:top w:w="0" w:type="dxa"/>
          <w:left w:w="0" w:type="dxa"/>
          <w:bottom w:w="0" w:type="dxa"/>
          <w:right w:w="0" w:type="dxa"/>
        </w:tblCellMar>
      </w:tblPr>
      <w:tblGrid>
        <w:gridCol w:w="41"/>
        <w:gridCol w:w="136"/>
        <w:gridCol w:w="10028"/>
      </w:tblGrid>
      <w:tr>
        <w:trPr/>
        <w:tc>
          <w:tcPr>
            <w:tcW w:w="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Symbol" w:hAnsi="Symbol"/>
              </w:rPr>
            </w:pPr>
            <w:r>
              <w:rPr>
                <w:rFonts w:ascii="Symbol" w:hAnsi="Symbol"/>
              </w:rPr>
              <w:t>·</w:t>
            </w:r>
          </w:p>
        </w:tc>
        <w:tc>
          <w:tcPr>
            <w:tcW w:w="10028" w:type="dxa"/>
            <w:tcBorders/>
            <w:vAlign w:val="center"/>
          </w:tcPr>
          <w:p>
            <w:pPr>
              <w:pStyle w:val="TableContents"/>
              <w:bidi w:val="0"/>
              <w:spacing w:before="0" w:after="283"/>
              <w:jc w:val="left"/>
              <w:rPr/>
            </w:pPr>
            <w:r>
              <w:rPr/>
              <w:t>changes in general political, economic and competitive conditions and specific market conditions.</w:t>
            </w:r>
          </w:p>
        </w:tc>
      </w:tr>
    </w:tbl>
    <w:p>
      <w:pPr>
        <w:pStyle w:val="TextBody"/>
        <w:bidi w:val="0"/>
        <w:spacing w:before="0" w:after="0"/>
        <w:ind w:left="1570" w:right="0" w:hanging="0"/>
        <w:jc w:val="left"/>
        <w:rPr/>
      </w:pPr>
      <w:r>
        <w:rPr/>
        <w:t> </w:t>
      </w:r>
    </w:p>
    <w:p>
      <w:pPr>
        <w:pStyle w:val="TextBody"/>
        <w:bidi w:val="0"/>
        <w:spacing w:before="0" w:after="0"/>
        <w:ind w:left="0" w:right="0" w:firstLine="360"/>
        <w:jc w:val="left"/>
        <w:rPr>
          <w:sz w:val="20"/>
        </w:rPr>
      </w:pPr>
      <w:r>
        <w:rPr>
          <w:sz w:val="20"/>
        </w:rPr>
        <w:t xml:space="preserve">For additional information regarding known material factors that could cause our actual results to differ from our projected results, please read the descriptions under the heading “Risk Factors” contained in (1) Part I, Item 1A. of our 2025 Annual Report, (2) our other reports and registration statements filed from time to time with the SEC, and (3) other public announcements we make from time to time. Given these uncertainties, you should not place undue reliance on these forward-looking statements, which speak only as of the date of this prospectus. Except as required by law, we assume no obligation to update or revise these forward-looking statements for any reason, even if new information becomes available in the future. </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 xml:space="preserve">All forward-looking statements included herein attributable to Sono N.V. or any person acting on its behalf are expressly qualified in their entirety by the cautionary statements contained or referred to in this section. </w:t>
      </w:r>
    </w:p>
    <w:p>
      <w:pPr>
        <w:pStyle w:val="TextBody"/>
        <w:bidi w:val="0"/>
        <w:spacing w:before="0" w:after="0"/>
        <w:ind w:left="0" w:right="0"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dr w:val="single" w:sz="8" w:space="10" w:color="000000"/>
        </w:rPr>
      </w:pPr>
      <w:r>
        <w:rPr>
          <w:bdr w:val="single" w:sz="8" w:space="10" w:color="000000"/>
        </w:rPr>
        <w:t> </w:t>
      </w:r>
    </w:p>
    <w:p>
      <w:pPr>
        <w:pStyle w:val="TextBody"/>
        <w:bidi w:val="0"/>
        <w:spacing w:before="0" w:after="0"/>
        <w:ind w:left="0" w:right="0" w:hanging="0"/>
        <w:jc w:val="center"/>
        <w:rPr>
          <w:b/>
          <w:sz w:val="20"/>
          <w:bdr w:val="single" w:sz="8" w:space="10" w:color="000000"/>
        </w:rPr>
      </w:pPr>
      <w:bookmarkStart w:id="17" w:name="a_003"/>
      <w:bookmarkEnd w:id="17"/>
      <w:r>
        <w:rPr>
          <w:b/>
          <w:sz w:val="20"/>
          <w:bdr w:val="single" w:sz="8" w:space="10" w:color="000000"/>
        </w:rPr>
        <w:t>OUR COMPANY</w:t>
      </w:r>
    </w:p>
    <w:p>
      <w:pPr>
        <w:pStyle w:val="TextBody"/>
        <w:bidi w:val="0"/>
        <w:spacing w:before="0" w:after="0"/>
        <w:ind w:left="0" w:right="0" w:hanging="0"/>
        <w:jc w:val="center"/>
        <w:rPr>
          <w:bdr w:val="single" w:sz="8" w:space="10" w:color="000000"/>
        </w:rPr>
      </w:pPr>
      <w:r>
        <w:rPr>
          <w:bdr w:val="single" w:sz="8" w:space="10" w:color="000000"/>
        </w:rPr>
        <w:t> </w:t>
      </w:r>
    </w:p>
    <w:p>
      <w:pPr>
        <w:pStyle w:val="TextBody"/>
        <w:bidi w:val="0"/>
        <w:spacing w:before="0" w:after="0"/>
        <w:ind w:left="0" w:right="0" w:firstLine="360"/>
        <w:jc w:val="left"/>
        <w:rPr>
          <w:i/>
          <w:sz w:val="20"/>
          <w:bdr w:val="single" w:sz="8" w:space="10" w:color="000000"/>
        </w:rPr>
      </w:pPr>
      <w:r>
        <w:rPr>
          <w:i/>
          <w:sz w:val="20"/>
          <w:bdr w:val="single" w:sz="8" w:space="10" w:color="000000"/>
        </w:rPr>
        <w:t>This summary highlights selected information appearing in this prospectus. Because it is a summary, it may not contain all of the information that may be important to you. To understand this offering fully, you should read this entire prospectus carefully, including the information set forth in the sections entitled “Risk Factors,” before making an investment decision.</w:t>
      </w:r>
    </w:p>
    <w:p>
      <w:pPr>
        <w:pStyle w:val="TextBody"/>
        <w:bidi w:val="0"/>
        <w:spacing w:before="0" w:after="0"/>
        <w:ind w:left="0" w:right="0" w:firstLine="360"/>
        <w:jc w:val="left"/>
        <w:rPr>
          <w:bdr w:val="single" w:sz="8" w:space="10" w:color="000000"/>
        </w:rPr>
      </w:pPr>
      <w:r>
        <w:rPr>
          <w:bdr w:val="single" w:sz="8" w:space="10" w:color="000000"/>
        </w:rPr>
        <w:t> </w:t>
      </w:r>
    </w:p>
    <w:p>
      <w:pPr>
        <w:pStyle w:val="TextBody"/>
        <w:bidi w:val="0"/>
        <w:spacing w:before="0" w:after="0"/>
        <w:ind w:left="0" w:right="0" w:hanging="0"/>
        <w:jc w:val="left"/>
        <w:rPr>
          <w:b/>
          <w:sz w:val="20"/>
          <w:bdr w:val="single" w:sz="8" w:space="10" w:color="000000"/>
        </w:rPr>
      </w:pPr>
      <w:r>
        <w:rPr>
          <w:b/>
          <w:sz w:val="20"/>
          <w:bdr w:val="single" w:sz="8" w:space="10" w:color="000000"/>
        </w:rPr>
        <w:t>The Company</w:t>
      </w:r>
    </w:p>
    <w:p>
      <w:pPr>
        <w:pStyle w:val="TextBody"/>
        <w:bidi w:val="0"/>
        <w:spacing w:before="0" w:after="0"/>
        <w:ind w:left="0" w:right="0" w:hanging="0"/>
        <w:jc w:val="left"/>
        <w:rPr>
          <w:bdr w:val="single" w:sz="8" w:space="10" w:color="000000"/>
        </w:rPr>
      </w:pPr>
      <w:r>
        <w:rPr>
          <w:bdr w:val="single" w:sz="8" w:space="10" w:color="000000"/>
        </w:rPr>
        <w:t> </w:t>
      </w:r>
    </w:p>
    <w:p>
      <w:pPr>
        <w:pStyle w:val="TextBody"/>
        <w:bidi w:val="0"/>
        <w:spacing w:before="0" w:after="0"/>
        <w:ind w:left="0" w:right="0" w:firstLine="720"/>
        <w:jc w:val="both"/>
        <w:rPr>
          <w:sz w:val="20"/>
          <w:bdr w:val="single" w:sz="8" w:space="10" w:color="000000"/>
        </w:rPr>
      </w:pPr>
      <w:r>
        <w:rPr>
          <w:sz w:val="20"/>
          <w:bdr w:val="single" w:sz="8" w:space="10" w:color="000000"/>
        </w:rPr>
        <w:t>Sono Group N.V. (“</w:t>
      </w:r>
      <w:r>
        <w:rPr>
          <w:b/>
          <w:i/>
          <w:sz w:val="20"/>
          <w:bdr w:val="single" w:sz="8" w:space="10" w:color="000000"/>
        </w:rPr>
        <w:t>Sono N.V.</w:t>
      </w:r>
      <w:r>
        <w:rPr>
          <w:sz w:val="20"/>
          <w:bdr w:val="single" w:sz="8" w:space="10" w:color="000000"/>
        </w:rPr>
        <w:t>”) is a public company with limited liability (</w:t>
      </w:r>
      <w:r>
        <w:rPr>
          <w:i/>
          <w:sz w:val="20"/>
          <w:bdr w:val="single" w:sz="8" w:space="10" w:color="000000"/>
        </w:rPr>
        <w:t>naamloze vennootschap</w:t>
      </w:r>
      <w:r>
        <w:rPr>
          <w:sz w:val="20"/>
          <w:bdr w:val="single" w:sz="8" w:space="10" w:color="000000"/>
        </w:rPr>
        <w:t>) duly incorporated and validly existing under the laws of the Netherlands, having its registered office at 4965 Trinidad Drive, Land O’ Lakes, FL 34639. Our telephone number is +1 352-502-1191, and our website address is https://ir.sonomotors.com/. During the year ended December 31, 2025, our business consisted of our legacy solar operations conducted through the Subsidiary, as further described below under the subheading “</w:t>
      </w:r>
      <w:r>
        <w:rPr>
          <w:i/>
          <w:sz w:val="20"/>
          <w:bdr w:val="single" w:sz="8" w:space="10" w:color="000000"/>
        </w:rPr>
        <w:t>Overview</w:t>
      </w:r>
      <w:r>
        <w:rPr>
          <w:sz w:val="20"/>
          <w:bdr w:val="single" w:sz="8" w:space="10" w:color="000000"/>
        </w:rPr>
        <w:t>” in this prospectus and in our 2025 Annual Report. As of December 31, 2025, we operated our legacy solar business as a single business segment, managing our financing, research and development and product commercialization on a consolidated basis. Subsequent to December 31, 2025, Sono N.V. adopted the digital asset treasury strategy and initiated an exit from our legacy solar operations. As a result, we anticipate that future operating losses will be materially reduced compared to historical periods, as the primary source of our historical cash consumption (the solar operations) has been eliminated. Our long-term financial performance will depend on the successful implementation of the digital asset treasury strategy, the cash flows generated through our digital asset holdings, and efficient management of our streamlined holding company cost structure. There can be no assurance that the digital asset treasury strategy will generate the anticipated returns or that additional financing will not be required. See the discussion in our 2025 Annual Report.</w:t>
      </w:r>
    </w:p>
    <w:p>
      <w:pPr>
        <w:pStyle w:val="TextBody"/>
        <w:bidi w:val="0"/>
        <w:spacing w:before="0" w:after="0"/>
        <w:ind w:left="0" w:right="0" w:firstLine="720"/>
        <w:jc w:val="both"/>
        <w:rPr>
          <w:bdr w:val="single" w:sz="8" w:space="10" w:color="000000"/>
        </w:rPr>
      </w:pPr>
      <w:r>
        <w:rPr>
          <w:bdr w:val="single" w:sz="8" w:space="10" w:color="000000"/>
        </w:rPr>
        <w:t> </w:t>
      </w:r>
    </w:p>
    <w:p>
      <w:pPr>
        <w:pStyle w:val="TextBody"/>
        <w:bidi w:val="0"/>
        <w:spacing w:before="0" w:after="0"/>
        <w:ind w:left="0" w:right="0" w:firstLine="720"/>
        <w:jc w:val="both"/>
        <w:rPr>
          <w:sz w:val="20"/>
          <w:bdr w:val="single" w:sz="8" w:space="10" w:color="000000"/>
        </w:rPr>
      </w:pPr>
      <w:r>
        <w:rPr>
          <w:sz w:val="20"/>
          <w:bdr w:val="single" w:sz="8" w:space="10" w:color="000000"/>
        </w:rPr>
        <w:t xml:space="preserve">Sono N.V. was incorporated on October 23, 2020 </w:t>
      </w:r>
      <w:r>
        <w:rPr>
          <w:sz w:val="20"/>
          <w:bdr w:val="single" w:sz="8" w:space="10" w:color="000000"/>
          <w:shd w:fill="FFFFFF" w:val="clear"/>
        </w:rPr>
        <w:t>(at that time as a Dutch limited liability company (</w:t>
      </w:r>
      <w:r>
        <w:rPr>
          <w:i/>
          <w:sz w:val="20"/>
          <w:bdr w:val="single" w:sz="8" w:space="10" w:color="000000"/>
          <w:shd w:fill="FFFFFF" w:val="clear"/>
        </w:rPr>
        <w:t>besloten vennootschap met beperkte aansprakelijkheid</w:t>
      </w:r>
      <w:r>
        <w:rPr>
          <w:sz w:val="20"/>
          <w:bdr w:val="single" w:sz="8" w:space="10" w:color="000000"/>
          <w:shd w:fill="FFFFFF" w:val="clear"/>
        </w:rPr>
        <w:t>) named Sono Motors Finance B.V.)</w:t>
      </w:r>
      <w:r>
        <w:rPr>
          <w:sz w:val="20"/>
          <w:bdr w:val="single" w:sz="8" w:space="10" w:color="000000"/>
        </w:rPr>
        <w:t>, pursuant to the laws of the Netherlands, as a wholly owned-subsidiary of Sono Motors GmbH</w:t>
      </w:r>
      <w:r>
        <w:rPr>
          <w:sz w:val="20"/>
          <w:bdr w:val="single" w:sz="8" w:space="10" w:color="000000"/>
          <w:shd w:fill="FFFFFF" w:val="clear"/>
        </w:rPr>
        <w:t xml:space="preserve">, </w:t>
      </w:r>
      <w:r>
        <w:rPr>
          <w:sz w:val="20"/>
          <w:bdr w:val="single" w:sz="8" w:space="10" w:color="000000"/>
        </w:rPr>
        <w:t>a German limited liability company (</w:t>
      </w:r>
      <w:r>
        <w:rPr>
          <w:i/>
          <w:sz w:val="20"/>
          <w:bdr w:val="single" w:sz="8" w:space="10" w:color="000000"/>
        </w:rPr>
        <w:t>Gesellschaft mit beschr</w:t>
      </w:r>
      <w:r>
        <w:rPr>
          <w:sz w:val="20"/>
          <w:bdr w:val="single" w:sz="8" w:space="10" w:color="000000"/>
        </w:rPr>
        <w:t>ä</w:t>
      </w:r>
      <w:r>
        <w:rPr>
          <w:i/>
          <w:sz w:val="20"/>
          <w:bdr w:val="single" w:sz="8" w:space="10" w:color="000000"/>
        </w:rPr>
        <w:t>nkter Haftung</w:t>
      </w:r>
      <w:r>
        <w:rPr>
          <w:sz w:val="20"/>
          <w:bdr w:val="single" w:sz="8" w:space="10" w:color="000000"/>
        </w:rPr>
        <w:t>) (the “</w:t>
      </w:r>
      <w:r>
        <w:rPr>
          <w:b/>
          <w:i/>
          <w:sz w:val="20"/>
          <w:bdr w:val="single" w:sz="8" w:space="10" w:color="000000"/>
        </w:rPr>
        <w:t>Subsidiary</w:t>
      </w:r>
      <w:r>
        <w:rPr>
          <w:sz w:val="20"/>
          <w:bdr w:val="single" w:sz="8" w:space="10" w:color="000000"/>
        </w:rPr>
        <w:t>”). As part of the corporate reorganization that was completed on November 27, 2020, our then-existing shareholders contributed all of their shares in the Subsidiary to Sono Motors Finance B.V. in exchange for newly issued common shares of Sono Motors Finance B.V. In addition, the sole issued and outstanding common share in Sono Motors Finance B.V. at that time, which was held by the Subsidiary, was cancelled (</w:t>
      </w:r>
      <w:r>
        <w:rPr>
          <w:i/>
          <w:sz w:val="20"/>
          <w:bdr w:val="single" w:sz="8" w:space="10" w:color="000000"/>
        </w:rPr>
        <w:t>ingetrokken</w:t>
      </w:r>
      <w:r>
        <w:rPr>
          <w:sz w:val="20"/>
          <w:bdr w:val="single" w:sz="8" w:space="10" w:color="000000"/>
        </w:rPr>
        <w:t>). As a result, the Subsidiary became a wholly owned subsidiary of Sono Motors Finance B.V. and the then-existing shareholders of the Subsidiary became the shareholders of Sono Motors Finance B.V. Also on November 27, 2020, Sono Motors Finance B.V. was converted into a public company with limited liability under Dutch law (</w:t>
      </w:r>
      <w:r>
        <w:rPr>
          <w:i/>
          <w:sz w:val="20"/>
          <w:bdr w:val="single" w:sz="8" w:space="10" w:color="000000"/>
        </w:rPr>
        <w:t>naamloze vennootschap</w:t>
      </w:r>
      <w:r>
        <w:rPr>
          <w:sz w:val="20"/>
          <w:bdr w:val="single" w:sz="8" w:space="10" w:color="000000"/>
        </w:rPr>
        <w:t>), and changed its legal name from Sono Motors Finance B.V. to Sono Group N.V.</w:t>
      </w:r>
    </w:p>
    <w:p>
      <w:pPr>
        <w:pStyle w:val="TextBody"/>
        <w:bidi w:val="0"/>
        <w:spacing w:before="0" w:after="0"/>
        <w:ind w:left="0" w:right="0" w:firstLine="720"/>
        <w:jc w:val="both"/>
        <w:rPr>
          <w:bdr w:val="single" w:sz="8" w:space="10" w:color="000000"/>
        </w:rPr>
      </w:pPr>
      <w:r>
        <w:rPr>
          <w:bdr w:val="single" w:sz="8" w:space="10" w:color="000000"/>
        </w:rPr>
        <w:t> </w:t>
      </w:r>
    </w:p>
    <w:p>
      <w:pPr>
        <w:pStyle w:val="TextBody"/>
        <w:bidi w:val="0"/>
        <w:spacing w:before="0" w:after="0"/>
        <w:ind w:left="0" w:right="0" w:firstLine="720"/>
        <w:jc w:val="both"/>
        <w:rPr>
          <w:sz w:val="20"/>
          <w:bdr w:val="single" w:sz="8" w:space="10" w:color="000000"/>
        </w:rPr>
      </w:pPr>
      <w:r>
        <w:rPr>
          <w:sz w:val="20"/>
          <w:bdr w:val="single" w:sz="8" w:space="10" w:color="000000"/>
        </w:rPr>
        <w:t>On September 5, 2025, the Sono N.V. Ordinary Shares commenced trading on the Nasdaq-CM under the ticker symbol “SSM.” The Sono N.V. high voting shares (“</w:t>
      </w:r>
      <w:r>
        <w:rPr>
          <w:b/>
          <w:i/>
          <w:sz w:val="20"/>
          <w:bdr w:val="single" w:sz="8" w:space="10" w:color="000000"/>
        </w:rPr>
        <w:t>High Voting Shares</w:t>
      </w:r>
      <w:r>
        <w:rPr>
          <w:sz w:val="20"/>
          <w:bdr w:val="single" w:sz="8" w:space="10" w:color="000000"/>
        </w:rPr>
        <w:t>”) and the Sono N.V. Preferred Shares are not currently listed for trading on any securities exchange or included in any automatic quotation system.</w:t>
      </w:r>
    </w:p>
    <w:p>
      <w:pPr>
        <w:pStyle w:val="TextBody"/>
        <w:bidi w:val="0"/>
        <w:spacing w:before="0" w:after="0"/>
        <w:ind w:left="0" w:right="0" w:firstLine="720"/>
        <w:jc w:val="both"/>
        <w:rPr>
          <w:bdr w:val="single" w:sz="8" w:space="10" w:color="000000"/>
        </w:rPr>
      </w:pPr>
      <w:r>
        <w:rPr>
          <w:bdr w:val="single" w:sz="8" w:space="10" w:color="000000"/>
        </w:rPr>
        <w:t> </w:t>
      </w:r>
    </w:p>
    <w:p>
      <w:pPr>
        <w:pStyle w:val="TextBody"/>
        <w:bidi w:val="0"/>
        <w:spacing w:before="0" w:after="0"/>
        <w:ind w:left="0" w:right="0" w:firstLine="720"/>
        <w:jc w:val="both"/>
        <w:rPr>
          <w:sz w:val="20"/>
          <w:bdr w:val="single" w:sz="8" w:space="10" w:color="000000"/>
        </w:rPr>
      </w:pPr>
      <w:r>
        <w:rPr>
          <w:sz w:val="20"/>
          <w:bdr w:val="single" w:sz="8" w:space="10" w:color="000000"/>
        </w:rPr>
        <w:t>Additional information regarding Sono N.V. is contained in the documents incorporated by reference into this prospectus and the other documents that we file with the SEC. See the section entitled “</w:t>
      </w:r>
      <w:r>
        <w:rPr>
          <w:i/>
          <w:sz w:val="20"/>
          <w:bdr w:val="single" w:sz="8" w:space="10" w:color="000000"/>
        </w:rPr>
        <w:t>Where You Can Find More Information</w:t>
      </w:r>
      <w:r>
        <w:rPr>
          <w:sz w:val="20"/>
          <w:bdr w:val="single" w:sz="8" w:space="10" w:color="000000"/>
        </w:rPr>
        <w:t>” beginning on page 31 of this prospectus. The information contained in, or that can be accessed through, Sono N.V.’s website is not part of this prospectus or incorporated by reference herein.</w:t>
      </w:r>
    </w:p>
    <w:p>
      <w:pPr>
        <w:pStyle w:val="TextBody"/>
        <w:bidi w:val="0"/>
        <w:spacing w:before="0" w:after="0"/>
        <w:ind w:left="0" w:right="0" w:firstLine="720"/>
        <w:jc w:val="both"/>
        <w:rPr>
          <w:bdr w:val="single" w:sz="8" w:space="10" w:color="000000"/>
        </w:rPr>
      </w:pPr>
      <w:r>
        <w:rPr>
          <w:bdr w:val="single" w:sz="8" w:space="10" w:color="000000"/>
        </w:rPr>
        <w:t> </w:t>
      </w:r>
    </w:p>
    <w:p>
      <w:pPr>
        <w:pStyle w:val="TextBody"/>
        <w:bidi w:val="0"/>
        <w:spacing w:before="0" w:after="0"/>
        <w:ind w:left="0" w:right="0" w:hanging="0"/>
        <w:jc w:val="left"/>
        <w:rPr>
          <w:b/>
          <w:sz w:val="20"/>
          <w:bdr w:val="single" w:sz="8" w:space="10" w:color="000000"/>
        </w:rPr>
      </w:pPr>
      <w:r>
        <w:rPr>
          <w:b/>
          <w:sz w:val="20"/>
          <w:bdr w:val="single" w:sz="8" w:space="10" w:color="000000"/>
        </w:rPr>
        <w:t xml:space="preserve">Overview </w:t>
      </w:r>
    </w:p>
    <w:p>
      <w:pPr>
        <w:pStyle w:val="TextBody"/>
        <w:bidi w:val="0"/>
        <w:spacing w:before="0" w:after="0"/>
        <w:ind w:left="0" w:right="0" w:hanging="0"/>
        <w:jc w:val="left"/>
        <w:rPr>
          <w:bdr w:val="single" w:sz="8" w:space="10" w:color="000000"/>
        </w:rPr>
      </w:pPr>
      <w:r>
        <w:rPr>
          <w:bdr w:val="single" w:sz="8" w:space="10" w:color="000000"/>
        </w:rPr>
        <w:t> </w:t>
      </w:r>
    </w:p>
    <w:p>
      <w:pPr>
        <w:pStyle w:val="TextBody"/>
        <w:shd w:fill="FFFFFF" w:val="clear"/>
        <w:bidi w:val="0"/>
        <w:spacing w:before="0" w:after="0"/>
        <w:ind w:left="0" w:right="0" w:hanging="0"/>
        <w:jc w:val="both"/>
        <w:rPr>
          <w:b/>
          <w:i/>
          <w:sz w:val="20"/>
          <w:bdr w:val="single" w:sz="8" w:space="10" w:color="000000"/>
        </w:rPr>
      </w:pPr>
      <w:r>
        <w:rPr>
          <w:b/>
          <w:i/>
          <w:sz w:val="20"/>
          <w:bdr w:val="single" w:sz="8" w:space="10" w:color="000000"/>
        </w:rPr>
        <w:t>Digital Asset Treasury</w:t>
      </w:r>
    </w:p>
    <w:p>
      <w:pPr>
        <w:pStyle w:val="TextBody"/>
        <w:shd w:fill="FFFFFF" w:val="clear"/>
        <w:bidi w:val="0"/>
        <w:spacing w:before="0" w:after="0"/>
        <w:ind w:left="0" w:right="0" w:firstLine="720"/>
        <w:jc w:val="both"/>
        <w:rPr>
          <w:bdr w:val="single" w:sz="8" w:space="10" w:color="000000"/>
        </w:rPr>
      </w:pPr>
      <w:r>
        <w:rPr>
          <w:bdr w:val="single" w:sz="8" w:space="10" w:color="000000"/>
        </w:rPr>
        <w:t> </w:t>
      </w:r>
    </w:p>
    <w:p>
      <w:pPr>
        <w:pStyle w:val="TextBody"/>
        <w:shd w:fill="FFFFFF" w:val="clear"/>
        <w:bidi w:val="0"/>
        <w:spacing w:before="0" w:after="0"/>
        <w:ind w:left="0" w:right="0" w:firstLine="720"/>
        <w:jc w:val="both"/>
        <w:rPr>
          <w:sz w:val="20"/>
          <w:bdr w:val="single" w:sz="8" w:space="10" w:color="000000"/>
        </w:rPr>
      </w:pPr>
      <w:r>
        <w:rPr>
          <w:sz w:val="20"/>
          <w:bdr w:val="single" w:sz="8" w:space="10" w:color="000000"/>
        </w:rPr>
        <w:t>Subsequent to December 31, 2025, on March 14, 2026, the Management Board, with the approval of the Supervisory Board, ratified Sono N.V.’s entry into the ISDA Master Agreement, the Schedule and the Credit Support Annex (in each case, as defined below) and approved the adoption of a digital asset treasury strategy and digital asset treasury policy and the purchase by Sono N.V. of Bitcoin (“</w:t>
      </w:r>
      <w:r>
        <w:rPr>
          <w:b/>
          <w:i/>
          <w:sz w:val="20"/>
          <w:bdr w:val="single" w:sz="8" w:space="10" w:color="000000"/>
        </w:rPr>
        <w:t>Bitcoin</w:t>
      </w:r>
      <w:r>
        <w:rPr>
          <w:sz w:val="20"/>
          <w:bdr w:val="single" w:sz="8" w:space="10" w:color="000000"/>
        </w:rPr>
        <w:t>” or “</w:t>
      </w:r>
      <w:r>
        <w:rPr>
          <w:b/>
          <w:i/>
          <w:sz w:val="20"/>
          <w:bdr w:val="single" w:sz="8" w:space="10" w:color="000000"/>
        </w:rPr>
        <w:t>BTC</w:t>
      </w:r>
      <w:r>
        <w:rPr>
          <w:sz w:val="20"/>
          <w:bdr w:val="single" w:sz="8" w:space="10" w:color="000000"/>
        </w:rPr>
        <w:t>”) and other digital assets in connection therewith. Under Sono N.V.’s digital asset treasury strategy, the principal holding in Sono N.V.’s treasury reserve on its balance sheet will be allocated to digital assets, principally Bitcoin, by applying a covered-call yield strategy. Sono N.V. may use available liquidity, including proceeds from previously disclosed financing arrangements, to purchase Bitcoin and other digital assets, subject to applicable law.</w:t>
      </w:r>
    </w:p>
    <w:p>
      <w:pPr>
        <w:pStyle w:val="TextBody"/>
        <w:shd w:fill="FFFFFF" w:val="clear"/>
        <w:bidi w:val="0"/>
        <w:spacing w:before="0" w:after="0"/>
        <w:ind w:left="0" w:right="0" w:firstLine="720"/>
        <w:jc w:val="both"/>
        <w:rPr>
          <w:bdr w:val="single" w:sz="8" w:space="10" w:color="000000"/>
        </w:rPr>
      </w:pPr>
      <w:r>
        <w:rPr>
          <w:bdr w:val="single" w:sz="8" w:space="10" w:color="000000"/>
        </w:rPr>
        <w:t> </w:t>
      </w:r>
    </w:p>
    <w:p>
      <w:pPr>
        <w:pStyle w:val="TextBody"/>
        <w:shd w:fill="FFFFFF" w:val="clear"/>
        <w:bidi w:val="0"/>
        <w:spacing w:before="0" w:after="0"/>
        <w:ind w:left="0" w:right="0" w:firstLine="720"/>
        <w:jc w:val="both"/>
        <w:rPr>
          <w:sz w:val="20"/>
          <w:bdr w:val="single" w:sz="8" w:space="10" w:color="000000"/>
        </w:rPr>
      </w:pPr>
      <w:r>
        <w:rPr>
          <w:sz w:val="20"/>
          <w:bdr w:val="single" w:sz="8" w:space="10" w:color="000000"/>
        </w:rPr>
        <w:t>In connection with the digital asset treasury strategy, on March 10, 2026, Sono N.V. entered into an International Swaps and Derivatives Association, Inc. (“</w:t>
      </w:r>
      <w:r>
        <w:rPr>
          <w:b/>
          <w:i/>
          <w:sz w:val="20"/>
          <w:bdr w:val="single" w:sz="8" w:space="10" w:color="000000"/>
        </w:rPr>
        <w:t>ISDA</w:t>
      </w:r>
      <w:r>
        <w:rPr>
          <w:sz w:val="20"/>
          <w:bdr w:val="single" w:sz="8" w:space="10" w:color="000000"/>
        </w:rPr>
        <w:t>”) 2002 ISDA Master Agreement, (the “</w:t>
      </w:r>
      <w:r>
        <w:rPr>
          <w:b/>
          <w:i/>
          <w:sz w:val="20"/>
          <w:bdr w:val="single" w:sz="8" w:space="10" w:color="000000"/>
        </w:rPr>
        <w:t>ISDA Master Agreement</w:t>
      </w:r>
      <w:r>
        <w:rPr>
          <w:sz w:val="20"/>
          <w:bdr w:val="single" w:sz="8" w:space="10" w:color="000000"/>
        </w:rPr>
        <w:t>”) with Blockchain.com (BVI) II Limited, a business company incorporated under the laws of the British Virgin Islands (“</w:t>
      </w:r>
      <w:r>
        <w:rPr>
          <w:b/>
          <w:i/>
          <w:sz w:val="20"/>
          <w:bdr w:val="single" w:sz="8" w:space="10" w:color="000000"/>
        </w:rPr>
        <w:t>Blockchain.com</w:t>
      </w:r>
      <w:r>
        <w:rPr>
          <w:sz w:val="20"/>
          <w:bdr w:val="single" w:sz="8" w:space="10" w:color="000000"/>
        </w:rPr>
        <w:t>”), facilitating Sono N.V. to enter into derivative and/or hedging transactions (collectively, the “</w:t>
      </w:r>
      <w:r>
        <w:rPr>
          <w:b/>
          <w:i/>
          <w:sz w:val="20"/>
          <w:bdr w:val="single" w:sz="8" w:space="10" w:color="000000"/>
        </w:rPr>
        <w:t>Transactions</w:t>
      </w:r>
      <w:r>
        <w:rPr>
          <w:sz w:val="20"/>
          <w:bdr w:val="single" w:sz="8" w:space="10" w:color="000000"/>
        </w:rPr>
        <w:t>”) to manage the risk associated with the digital asset treasury strategy. The derivative and hedging transactions will be governed by the ISDA Master Agreement, including the related Schedule to the ISDA Master Agreement executed by Sono N.V. and Blockchain.com on March 10, 2026 (the “</w:t>
      </w:r>
      <w:r>
        <w:rPr>
          <w:b/>
          <w:i/>
          <w:sz w:val="20"/>
          <w:bdr w:val="single" w:sz="8" w:space="10" w:color="000000"/>
        </w:rPr>
        <w:t>Schedule</w:t>
      </w:r>
      <w:r>
        <w:rPr>
          <w:sz w:val="20"/>
          <w:bdr w:val="single" w:sz="8" w:space="10" w:color="000000"/>
        </w:rPr>
        <w:t>”). The structure of the Transactions may include forwards, swaps, futures, options or other derivatives transactions in respect of digital assets. Certain events of default will apply to the Transactions under the ISDA Master Agreement and Schedule, including, but not limited to, failure to pay or deliver, breach of the agreement, credit support default, cross-defaults and misrepresentation. In addition, in connection with the ISDA Master Agreement, Sono N.V. and Blockchain.com entered into a Credit Support Annex to the Schedule to the ISDA Master Agreement, dated as of March 10, 2026 (the “</w:t>
      </w:r>
      <w:r>
        <w:rPr>
          <w:b/>
          <w:i/>
          <w:sz w:val="20"/>
          <w:bdr w:val="single" w:sz="8" w:space="10" w:color="000000"/>
        </w:rPr>
        <w:t>Credit Support Annex</w:t>
      </w:r>
      <w:r>
        <w:rPr>
          <w:sz w:val="20"/>
          <w:bdr w:val="single" w:sz="8" w:space="10" w:color="000000"/>
        </w:rPr>
        <w:t>”), which sets forth the terms and conditions upon which Sono N.V. will be required to deliver additional collateral to Blockchain.com (and Blockchain.com will be required to return collateral to Sono N.V.) depending upon the mark to market exposure under the ISDA Master Agreement and the value of the collateral. The ISDA Master Agreement, the Schedule and the Credit Support Annex are governed by the laws of England and Wales.</w:t>
      </w:r>
    </w:p>
    <w:p>
      <w:pPr>
        <w:pStyle w:val="TextBody"/>
        <w:shd w:fill="FFFFFF" w:val="clear"/>
        <w:bidi w:val="0"/>
        <w:spacing w:before="0" w:after="0"/>
        <w:ind w:left="0" w:right="0" w:firstLine="720"/>
        <w:jc w:val="both"/>
        <w:rPr>
          <w:bdr w:val="single" w:sz="8" w:space="10" w:color="000000"/>
        </w:rPr>
      </w:pPr>
      <w:r>
        <w:rPr>
          <w:bdr w:val="single" w:sz="8" w:space="10" w:color="000000"/>
        </w:rPr>
        <w:t> </w:t>
      </w:r>
    </w:p>
    <w:p>
      <w:pPr>
        <w:pStyle w:val="TextBody"/>
        <w:shd w:fill="FFFFFF" w:val="clear"/>
        <w:bidi w:val="0"/>
        <w:spacing w:before="0" w:after="0"/>
        <w:ind w:left="0" w:right="0" w:firstLine="72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pPr>
      <w:r>
        <w:rPr/>
        <w:t> </w:t>
      </w:r>
    </w:p>
    <w:p>
      <w:pPr>
        <w:pStyle w:val="TextBody"/>
        <w:shd w:fill="FFFFFF" w:val="clear"/>
        <w:bidi w:val="0"/>
        <w:spacing w:before="0" w:after="0"/>
        <w:ind w:left="0" w:right="0" w:firstLine="720"/>
        <w:jc w:val="both"/>
        <w:rPr>
          <w:bdr w:val="single" w:sz="8" w:space="10" w:color="000000"/>
        </w:rPr>
      </w:pPr>
      <w:r>
        <w:rPr>
          <w:bdr w:val="single" w:sz="8" w:space="10" w:color="000000"/>
        </w:rPr>
        <w:t> </w:t>
      </w:r>
    </w:p>
    <w:p>
      <w:pPr>
        <w:pStyle w:val="TextBody"/>
        <w:shd w:fill="FFFFFF" w:val="clear"/>
        <w:bidi w:val="0"/>
        <w:spacing w:before="0" w:after="0"/>
        <w:ind w:left="0" w:right="0" w:firstLine="720"/>
        <w:jc w:val="both"/>
        <w:rPr>
          <w:sz w:val="20"/>
          <w:bdr w:val="single" w:sz="8" w:space="10" w:color="000000"/>
        </w:rPr>
      </w:pPr>
      <w:r>
        <w:rPr>
          <w:sz w:val="20"/>
          <w:bdr w:val="single" w:sz="8" w:space="10" w:color="000000"/>
        </w:rPr>
        <w:t>Under the strategy, we intend to use the net proceeds from our recent financings to purchase or otherwise acquire Bitcoin and other digital assets and to establish digital asset treasury operations.</w:t>
      </w:r>
    </w:p>
    <w:p>
      <w:pPr>
        <w:pStyle w:val="TextBody"/>
        <w:shd w:fill="FFFFFF" w:val="clear"/>
        <w:bidi w:val="0"/>
        <w:spacing w:before="0" w:after="0"/>
        <w:ind w:left="0" w:right="0" w:firstLine="720"/>
        <w:jc w:val="both"/>
        <w:rPr>
          <w:bdr w:val="single" w:sz="8" w:space="10" w:color="000000"/>
        </w:rPr>
      </w:pPr>
      <w:r>
        <w:rPr>
          <w:bdr w:val="single" w:sz="8" w:space="10" w:color="000000"/>
        </w:rPr>
        <w:t> </w:t>
      </w:r>
    </w:p>
    <w:p>
      <w:pPr>
        <w:pStyle w:val="TextBody"/>
        <w:shd w:fill="FFFFFF" w:val="clear"/>
        <w:bidi w:val="0"/>
        <w:spacing w:before="0" w:after="0"/>
        <w:ind w:left="0" w:right="0" w:hanging="0"/>
        <w:jc w:val="both"/>
        <w:rPr>
          <w:b/>
          <w:i/>
          <w:sz w:val="20"/>
          <w:bdr w:val="single" w:sz="8" w:space="10" w:color="000000"/>
        </w:rPr>
      </w:pPr>
      <w:r>
        <w:rPr>
          <w:b/>
          <w:i/>
          <w:sz w:val="20"/>
          <w:bdr w:val="single" w:sz="8" w:space="10" w:color="000000"/>
        </w:rPr>
        <w:t>Overview of Legacy Solar Operations through Sono Motors GmbH</w:t>
      </w:r>
    </w:p>
    <w:p>
      <w:pPr>
        <w:pStyle w:val="TextBody"/>
        <w:shd w:fill="FFFFFF" w:val="clear"/>
        <w:bidi w:val="0"/>
        <w:spacing w:before="0" w:after="0"/>
        <w:ind w:left="0" w:right="0" w:firstLine="720"/>
        <w:jc w:val="both"/>
        <w:rPr>
          <w:bdr w:val="single" w:sz="8" w:space="10" w:color="000000"/>
        </w:rPr>
      </w:pPr>
      <w:r>
        <w:rPr>
          <w:bdr w:val="single" w:sz="8" w:space="10" w:color="000000"/>
        </w:rPr>
        <w:t> </w:t>
      </w:r>
    </w:p>
    <w:p>
      <w:pPr>
        <w:pStyle w:val="TextBody"/>
        <w:shd w:fill="FFFFFF" w:val="clear"/>
        <w:bidi w:val="0"/>
        <w:spacing w:before="0" w:after="0"/>
        <w:ind w:left="0" w:right="0" w:firstLine="720"/>
        <w:jc w:val="both"/>
        <w:rPr>
          <w:sz w:val="20"/>
          <w:bdr w:val="single" w:sz="8" w:space="10" w:color="000000"/>
        </w:rPr>
      </w:pPr>
      <w:r>
        <w:rPr>
          <w:sz w:val="20"/>
          <w:bdr w:val="single" w:sz="8" w:space="10" w:color="000000"/>
        </w:rPr>
        <w:t>For the year ended December 31, 2025, we were a technology company focused on the development and commercialization of solar integration solutions for commercial vehicles, as further described in our 2025 Annual Report. After terminating our Sion passenger car program due to a lack of available funding at the end of February 2023, we pivoted our business model to focus exclusively on retrofitting and integrating our proprietary solar technology onto third party vehicles with an initial focus on our Solar Bus Kit.</w:t>
      </w:r>
    </w:p>
    <w:p>
      <w:pPr>
        <w:pStyle w:val="TextBody"/>
        <w:shd w:fill="FFFFFF" w:val="clear"/>
        <w:bidi w:val="0"/>
        <w:spacing w:before="0" w:after="0"/>
        <w:ind w:left="0" w:right="0" w:firstLine="720"/>
        <w:jc w:val="both"/>
        <w:rPr>
          <w:bdr w:val="single" w:sz="8" w:space="10" w:color="000000"/>
        </w:rPr>
      </w:pPr>
      <w:r>
        <w:rPr>
          <w:bdr w:val="single" w:sz="8" w:space="10" w:color="000000"/>
        </w:rPr>
        <w:t> </w:t>
      </w:r>
    </w:p>
    <w:p>
      <w:pPr>
        <w:pStyle w:val="TextBody"/>
        <w:shd w:fill="FFFFFF" w:val="clear"/>
        <w:bidi w:val="0"/>
        <w:spacing w:before="0" w:after="0"/>
        <w:ind w:left="0" w:right="0" w:firstLine="720"/>
        <w:jc w:val="both"/>
        <w:rPr>
          <w:sz w:val="20"/>
          <w:bdr w:val="single" w:sz="8" w:space="10" w:color="000000"/>
        </w:rPr>
      </w:pPr>
      <w:r>
        <w:rPr>
          <w:sz w:val="20"/>
          <w:bdr w:val="single" w:sz="8" w:space="10" w:color="000000"/>
        </w:rPr>
        <w:t>In 2024, we expanded our product portfolio beyond the Solar Bus Kit to include similar solar integration solutions for additional commercial vehicle categories, including trucks, vans, RVs, refrigerated trailers, coach buses and panel vans. This strategic expansion was intended to align with the growing demand for sustainable energy solutions across multiple transportation sectors, allowing us to address a broader range of manufacturers and fleet operators looking to reduce fuel costs and emissions.</w:t>
      </w:r>
    </w:p>
    <w:p>
      <w:pPr>
        <w:pStyle w:val="TextBody"/>
        <w:shd w:fill="FFFFFF" w:val="clear"/>
        <w:bidi w:val="0"/>
        <w:spacing w:before="0" w:after="0"/>
        <w:ind w:left="0" w:right="0" w:firstLine="720"/>
        <w:jc w:val="both"/>
        <w:rPr>
          <w:bdr w:val="single" w:sz="8" w:space="10" w:color="000000"/>
        </w:rPr>
      </w:pPr>
      <w:r>
        <w:rPr>
          <w:bdr w:val="single" w:sz="8" w:space="10" w:color="000000"/>
        </w:rPr>
        <w:t> </w:t>
      </w:r>
    </w:p>
    <w:p>
      <w:pPr>
        <w:pStyle w:val="TextBody"/>
        <w:shd w:fill="FFFFFF" w:val="clear"/>
        <w:bidi w:val="0"/>
        <w:spacing w:before="0" w:after="0"/>
        <w:ind w:left="0" w:right="0" w:firstLine="720"/>
        <w:jc w:val="both"/>
        <w:rPr>
          <w:sz w:val="20"/>
          <w:bdr w:val="single" w:sz="8" w:space="10" w:color="000000"/>
        </w:rPr>
      </w:pPr>
      <w:r>
        <w:rPr>
          <w:sz w:val="20"/>
          <w:bdr w:val="single" w:sz="8" w:space="10" w:color="000000"/>
        </w:rPr>
        <w:t>Expanding beyond our low-voltage retrofit solar solutions, in the beginning of 2025, we increased our offerings to also include high-voltage solar solutions, leveraging our proprietary solar charge controller, also known as the MCU. This advanced technology enables seamless solar energy integration into the high voltage system of commercial vehicles with larger energy demands. Additionally, we adjusted our distribution strategy and increased our focus on direct collaborations with original equipment manufacturers (“</w:t>
      </w:r>
      <w:r>
        <w:rPr>
          <w:b/>
          <w:i/>
          <w:sz w:val="20"/>
          <w:bdr w:val="single" w:sz="8" w:space="10" w:color="000000"/>
        </w:rPr>
        <w:t>OEMs</w:t>
      </w:r>
      <w:r>
        <w:rPr>
          <w:sz w:val="20"/>
          <w:bdr w:val="single" w:sz="8" w:space="10" w:color="000000"/>
        </w:rPr>
        <w:t>”) and certain partners including cooling unit and battery manufacturers. Building on a series of pilot projects, we aimed to collaborate with OEMs and certain partners to integrate our complete solar solutions and standalone solar products into vehicle structures, and work toward collaborations with several OEMs for specific vehicles, which could enable customers to select solar-powered options at the time of vehicle or trailer purchase. This approach was designed to enhance accessibility and scalability while streamlining adoption for commercial fleets.</w:t>
      </w:r>
    </w:p>
    <w:p>
      <w:pPr>
        <w:pStyle w:val="TextBody"/>
        <w:shd w:fill="FFFFFF" w:val="clear"/>
        <w:bidi w:val="0"/>
        <w:spacing w:before="0" w:after="0"/>
        <w:ind w:left="0" w:right="0" w:firstLine="720"/>
        <w:jc w:val="both"/>
        <w:rPr>
          <w:bdr w:val="single" w:sz="8" w:space="10" w:color="000000"/>
        </w:rPr>
      </w:pPr>
      <w:r>
        <w:rPr>
          <w:bdr w:val="single" w:sz="8" w:space="10" w:color="000000"/>
        </w:rPr>
        <w:t> </w:t>
      </w:r>
    </w:p>
    <w:p>
      <w:pPr>
        <w:pStyle w:val="TextBody"/>
        <w:shd w:fill="FFFFFF" w:val="clear"/>
        <w:bidi w:val="0"/>
        <w:spacing w:before="0" w:after="0"/>
        <w:ind w:left="0" w:right="0" w:firstLine="720"/>
        <w:jc w:val="both"/>
        <w:rPr>
          <w:sz w:val="20"/>
          <w:bdr w:val="single" w:sz="8" w:space="10" w:color="000000"/>
        </w:rPr>
      </w:pPr>
      <w:r>
        <w:rPr>
          <w:sz w:val="20"/>
          <w:bdr w:val="single" w:sz="8" w:space="10" w:color="000000"/>
        </w:rPr>
        <w:t>Historically, Sono N.V. has incurred recurring operating losses and negative cash flows from operations since inception, primarily attributable to the operations of the Subsidiary; however, in 2024, Sono N.V. recorded an operating profit due to the impact of revaluation gains following the reconsolidation of Sono Motors GmbH after the termination of the Self-Administration Proceedings in early 2024. This one-time accounting impact significantly influenced our reported net income for the year ended December 31, 2024. In 2025, we recorded an operating loss of €7.7 million, although our net income for the same period was positive and amounted to €4.0 million, primarily due to recorded gains in the fair value of convertible debentures carried at fair value.</w:t>
      </w:r>
    </w:p>
    <w:p>
      <w:pPr>
        <w:pStyle w:val="TextBody"/>
        <w:shd w:fill="FFFFFF" w:val="clear"/>
        <w:bidi w:val="0"/>
        <w:spacing w:before="0" w:after="0"/>
        <w:ind w:left="0" w:right="0" w:firstLine="720"/>
        <w:jc w:val="both"/>
        <w:rPr>
          <w:bdr w:val="single" w:sz="8" w:space="10" w:color="000000"/>
        </w:rPr>
      </w:pPr>
      <w:r>
        <w:rPr>
          <w:bdr w:val="single" w:sz="8" w:space="10" w:color="000000"/>
        </w:rPr>
        <w:t> </w:t>
      </w:r>
    </w:p>
    <w:p>
      <w:pPr>
        <w:pStyle w:val="TextBody"/>
        <w:shd w:fill="FFFFFF" w:val="clear"/>
        <w:bidi w:val="0"/>
        <w:spacing w:before="0" w:after="0"/>
        <w:ind w:left="0" w:right="0" w:hanging="0"/>
        <w:jc w:val="both"/>
        <w:rPr>
          <w:b/>
          <w:i/>
          <w:sz w:val="20"/>
          <w:bdr w:val="single" w:sz="8" w:space="10" w:color="000000"/>
        </w:rPr>
      </w:pPr>
      <w:r>
        <w:rPr>
          <w:b/>
          <w:i/>
          <w:sz w:val="20"/>
          <w:bdr w:val="single" w:sz="8" w:space="10" w:color="000000"/>
        </w:rPr>
        <w:t>Exit from Legacy Solar Operations through Sono Motors GmbH</w:t>
      </w:r>
    </w:p>
    <w:p>
      <w:pPr>
        <w:pStyle w:val="TextBody"/>
        <w:shd w:fill="FFFFFF" w:val="clear"/>
        <w:bidi w:val="0"/>
        <w:spacing w:before="0" w:after="0"/>
        <w:ind w:left="0" w:right="0" w:firstLine="720"/>
        <w:jc w:val="both"/>
        <w:rPr>
          <w:bdr w:val="single" w:sz="8" w:space="10" w:color="000000"/>
        </w:rPr>
      </w:pPr>
      <w:r>
        <w:rPr>
          <w:bdr w:val="single" w:sz="8" w:space="10" w:color="000000"/>
        </w:rPr>
        <w:t> </w:t>
      </w:r>
    </w:p>
    <w:p>
      <w:pPr>
        <w:pStyle w:val="TextBody"/>
        <w:shd w:fill="FFFFFF" w:val="clear"/>
        <w:bidi w:val="0"/>
        <w:spacing w:before="0" w:after="0"/>
        <w:ind w:left="0" w:right="0" w:firstLine="720"/>
        <w:jc w:val="both"/>
        <w:rPr>
          <w:sz w:val="20"/>
          <w:bdr w:val="single" w:sz="8" w:space="10" w:color="000000"/>
        </w:rPr>
      </w:pPr>
      <w:r>
        <w:rPr>
          <w:sz w:val="20"/>
          <w:bdr w:val="single" w:sz="8" w:space="10" w:color="000000"/>
        </w:rPr>
        <w:t>On March 14, 2026, the Management Board, with approval of our Supervisory Board resolved to terminate all current and future funding commitments to the Subsidiary and to exit the legacy solar operations conducted through the Subsidiary, with immediate effect. Sono N.V.’s decision was driven by the Subsidiary’s historical lack of profitability, which has resulted in Sono N.V. having to continuously provide funding to the Subsidiary, and thus incur losses, and a determination by the Management Board that there was not a clear path for the Subsidiary to achieve profitability in a reasonably desirable timeframe and thus, avoid future losses by Sono N.V. This decision was made in conjunction with the decision on March 14, 2026 by the Management Board, with the approval of the Supervisory Board, to adopt the digital asset treasury strategy. The digital asset treasury strategy is projected to generate cash flow for Sono N.V. in the first year of its execution. Sono N.V. is also exploring other strategic alternatives to maximize shareholder value.</w:t>
      </w:r>
    </w:p>
    <w:p>
      <w:pPr>
        <w:pStyle w:val="TextBody"/>
        <w:shd w:fill="FFFFFF" w:val="clear"/>
        <w:bidi w:val="0"/>
        <w:spacing w:before="0" w:after="0"/>
        <w:ind w:left="0" w:right="0" w:firstLine="720"/>
        <w:jc w:val="both"/>
        <w:rPr>
          <w:bdr w:val="single" w:sz="8" w:space="10" w:color="000000"/>
        </w:rPr>
      </w:pPr>
      <w:r>
        <w:rPr>
          <w:bdr w:val="single" w:sz="8" w:space="10" w:color="000000"/>
        </w:rPr>
        <w:t> </w:t>
      </w:r>
    </w:p>
    <w:p>
      <w:pPr>
        <w:pStyle w:val="TextBody"/>
        <w:shd w:fill="FFFFFF" w:val="clear"/>
        <w:bidi w:val="0"/>
        <w:spacing w:before="0" w:after="0"/>
        <w:ind w:left="0" w:right="0" w:firstLine="720"/>
        <w:jc w:val="both"/>
        <w:rPr>
          <w:sz w:val="20"/>
          <w:bdr w:val="single" w:sz="8" w:space="10" w:color="000000"/>
        </w:rPr>
      </w:pPr>
      <w:r>
        <w:rPr>
          <w:sz w:val="20"/>
          <w:bdr w:val="single" w:sz="8" w:space="10" w:color="000000"/>
        </w:rPr>
        <w:t>Sono N.V. is currently unable to make a good faith estimate of the total costs and charges, if any, that may be incurred in connection with the cessation of funding to the Subsidiary and the exit from our legacy solar business. The determination of any such costs is subject to significant uncertainties, including, among other things, the timing, scope and manner of any actions undertaken with respect to the Subsidiary following the cessation of funding, as well as the extent of any obligations of Sono N.V. in connection therewith. Potential costs, if any, may include legal, advisory and other professional fees and expenses associated with activities relating to the Subsidiary. Any such costs and expenditures, if incurred, are expected to be reduced by cash flow to Sono N.V. from the digital asset treasury strategy. Sono N.V. will disclose material costs, charges and cash expenditures to be borne directly by Sono N.V., if and when such amounts become reasonably estimable.</w:t>
      </w:r>
    </w:p>
    <w:p>
      <w:pPr>
        <w:pStyle w:val="TextBody"/>
        <w:shd w:fill="FFFFFF" w:val="clear"/>
        <w:bidi w:val="0"/>
        <w:spacing w:before="0" w:after="0"/>
        <w:ind w:left="0" w:right="0" w:firstLine="720"/>
        <w:jc w:val="both"/>
        <w:rPr>
          <w:bdr w:val="single" w:sz="8" w:space="10" w:color="000000"/>
        </w:rPr>
      </w:pPr>
      <w:r>
        <w:rPr>
          <w:bdr w:val="single" w:sz="8" w:space="10" w:color="000000"/>
        </w:rPr>
        <w:t> </w:t>
      </w:r>
    </w:p>
    <w:p>
      <w:pPr>
        <w:pStyle w:val="TextBody"/>
        <w:shd w:fill="FFFFFF" w:val="clear"/>
        <w:bidi w:val="0"/>
        <w:spacing w:before="0" w:after="0"/>
        <w:ind w:left="0" w:right="0" w:firstLine="72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bdr w:val="single" w:sz="8" w:space="10" w:color="000000"/>
        </w:rPr>
      </w:pPr>
      <w:r>
        <w:rPr>
          <w:bdr w:val="single" w:sz="8" w:space="10" w:color="000000"/>
        </w:rPr>
        <w:t> </w:t>
      </w:r>
    </w:p>
    <w:p>
      <w:pPr>
        <w:pStyle w:val="TextBody"/>
        <w:shd w:fill="FFFFFF" w:val="clear"/>
        <w:bidi w:val="0"/>
        <w:spacing w:before="0" w:after="0"/>
        <w:ind w:left="0" w:right="0" w:hanging="0"/>
        <w:jc w:val="both"/>
        <w:rPr>
          <w:b/>
          <w:sz w:val="20"/>
          <w:bdr w:val="single" w:sz="8" w:space="10" w:color="000000"/>
        </w:rPr>
      </w:pPr>
      <w:r>
        <w:rPr>
          <w:b/>
          <w:sz w:val="20"/>
          <w:bdr w:val="single" w:sz="8" w:space="10" w:color="000000"/>
        </w:rPr>
        <w:t>Corporate Information</w:t>
      </w:r>
    </w:p>
    <w:p>
      <w:pPr>
        <w:pStyle w:val="TextBody"/>
        <w:shd w:fill="FFFFFF" w:val="clear"/>
        <w:bidi w:val="0"/>
        <w:spacing w:before="0" w:after="0"/>
        <w:ind w:left="0" w:right="0" w:hanging="0"/>
        <w:jc w:val="both"/>
        <w:rPr>
          <w:bdr w:val="single" w:sz="8" w:space="10" w:color="000000"/>
        </w:rPr>
      </w:pPr>
      <w:r>
        <w:rPr>
          <w:bdr w:val="single" w:sz="8" w:space="10" w:color="000000"/>
        </w:rPr>
        <w:t> </w:t>
      </w:r>
    </w:p>
    <w:p>
      <w:pPr>
        <w:pStyle w:val="TextBody"/>
        <w:shd w:fill="FFFFFF" w:val="clear"/>
        <w:bidi w:val="0"/>
        <w:spacing w:before="0" w:after="0"/>
        <w:ind w:left="0" w:right="0" w:firstLine="720"/>
        <w:jc w:val="both"/>
        <w:rPr>
          <w:sz w:val="20"/>
          <w:bdr w:val="single" w:sz="8" w:space="10" w:color="000000"/>
        </w:rPr>
      </w:pPr>
      <w:r>
        <w:rPr>
          <w:sz w:val="20"/>
          <w:bdr w:val="single" w:sz="8" w:space="10" w:color="000000"/>
        </w:rPr>
        <w:t>We were incorporated pursuant to the laws of the Netherlands as Sono Motors Finance B.V. on October 23, 2020 as a wholly-owned subsidiary of Sono Motors GmbH. As part of the corporate reorganization that was completed on November 27, 2020, our then-existing shareholders contributed all of their shares in Sono Motors GmbH to Sono Motors Finance B.V. in exchange for newly issued common shares of Sono Motors Finance B.V. In addition, the sole issued and outstanding common share in Sono Motors Finance B.V. at that time, which was held by Sono Motors GmbH, was cancelled (</w:t>
      </w:r>
      <w:r>
        <w:rPr>
          <w:i/>
          <w:sz w:val="20"/>
          <w:bdr w:val="single" w:sz="8" w:space="10" w:color="000000"/>
        </w:rPr>
        <w:t>ingetrokken</w:t>
      </w:r>
      <w:r>
        <w:rPr>
          <w:sz w:val="20"/>
          <w:bdr w:val="single" w:sz="8" w:space="10" w:color="000000"/>
        </w:rPr>
        <w:t>). As a result, Sono Motors GmbH became a wholly-owned subsidiary of Sono Motors Finance B.V. and the then-existing shareholders of Sono Motors GmbH became the shareholders of Sono Motors Finance B.V. Also on November 27, 2020, Sono Motors Finance B.V. was converted into a public company with limited liability under Dutch law (</w:t>
      </w:r>
      <w:r>
        <w:rPr>
          <w:i/>
          <w:sz w:val="20"/>
          <w:bdr w:val="single" w:sz="8" w:space="10" w:color="000000"/>
        </w:rPr>
        <w:t>naamloze vennootschap</w:t>
      </w:r>
      <w:r>
        <w:rPr>
          <w:sz w:val="20"/>
          <w:bdr w:val="single" w:sz="8" w:space="10" w:color="000000"/>
        </w:rPr>
        <w:t>), and changed its legal name from Sono Motors Finance B.V. to Sono Group N.V. The corporate office of Sono Group N.V. is located at 4965 Trinidad Drive, Land O’ Lakes, FL 34639 and its telephone number is +1 352-502-1191.</w:t>
      </w:r>
    </w:p>
    <w:p>
      <w:pPr>
        <w:pStyle w:val="TextBody"/>
        <w:shd w:fill="FFFFFF" w:val="clear"/>
        <w:bidi w:val="0"/>
        <w:spacing w:before="0" w:after="0"/>
        <w:ind w:left="0" w:right="0" w:firstLine="720"/>
        <w:jc w:val="both"/>
        <w:rPr>
          <w:bdr w:val="single" w:sz="8" w:space="10" w:color="000000"/>
        </w:rPr>
      </w:pPr>
      <w:r>
        <w:rPr>
          <w:bdr w:val="single" w:sz="8" w:space="10" w:color="000000"/>
        </w:rPr>
        <w:t> </w:t>
      </w:r>
    </w:p>
    <w:p>
      <w:pPr>
        <w:pStyle w:val="TextBody"/>
        <w:shd w:fill="FFFFFF" w:val="clear"/>
        <w:bidi w:val="0"/>
        <w:spacing w:before="0" w:after="0"/>
        <w:ind w:left="0" w:right="0" w:hanging="0"/>
        <w:jc w:val="both"/>
        <w:rPr>
          <w:b/>
          <w:sz w:val="20"/>
          <w:bdr w:val="single" w:sz="8" w:space="10" w:color="000000"/>
        </w:rPr>
      </w:pPr>
      <w:r>
        <w:rPr>
          <w:b/>
          <w:sz w:val="20"/>
          <w:bdr w:val="single" w:sz="8" w:space="10" w:color="000000"/>
        </w:rPr>
        <w:t>Implications of Being an Emerging Growth Company and a Smaller Reporting Company</w:t>
      </w:r>
    </w:p>
    <w:p>
      <w:pPr>
        <w:pStyle w:val="TextBody"/>
        <w:shd w:fill="FFFFFF" w:val="clear"/>
        <w:bidi w:val="0"/>
        <w:spacing w:before="0" w:after="0"/>
        <w:ind w:left="0" w:right="0" w:firstLine="720"/>
        <w:jc w:val="both"/>
        <w:rPr>
          <w:bdr w:val="single" w:sz="8" w:space="10" w:color="000000"/>
        </w:rPr>
      </w:pPr>
      <w:r>
        <w:rPr>
          <w:bdr w:val="single" w:sz="8" w:space="10" w:color="000000"/>
        </w:rPr>
        <w:t> </w:t>
      </w:r>
    </w:p>
    <w:p>
      <w:pPr>
        <w:pStyle w:val="TextBody"/>
        <w:shd w:fill="FFFFFF" w:val="clear"/>
        <w:bidi w:val="0"/>
        <w:spacing w:before="0" w:after="0"/>
        <w:ind w:left="0" w:right="0" w:firstLine="720"/>
        <w:jc w:val="both"/>
        <w:rPr>
          <w:sz w:val="20"/>
          <w:bdr w:val="single" w:sz="8" w:space="10" w:color="000000"/>
        </w:rPr>
      </w:pPr>
      <w:r>
        <w:rPr>
          <w:sz w:val="20"/>
          <w:bdr w:val="single" w:sz="8" w:space="10" w:color="000000"/>
        </w:rPr>
        <w:t>We are an emerging growth company as defined in the Jumpstart Our Business Startups Act of 2012 (the “</w:t>
      </w:r>
      <w:r>
        <w:rPr>
          <w:b/>
          <w:i/>
          <w:sz w:val="20"/>
          <w:bdr w:val="single" w:sz="8" w:space="10" w:color="000000"/>
        </w:rPr>
        <w:t>JOBS</w:t>
      </w:r>
      <w:r>
        <w:rPr>
          <w:b/>
          <w:sz w:val="20"/>
          <w:bdr w:val="single" w:sz="8" w:space="10" w:color="000000"/>
        </w:rPr>
        <w:t xml:space="preserve"> </w:t>
      </w:r>
      <w:r>
        <w:rPr>
          <w:b/>
          <w:i/>
          <w:sz w:val="20"/>
          <w:bdr w:val="single" w:sz="8" w:space="10" w:color="000000"/>
        </w:rPr>
        <w:t>Act</w:t>
      </w:r>
      <w:r>
        <w:rPr>
          <w:sz w:val="20"/>
          <w:bdr w:val="single" w:sz="8" w:space="10" w:color="000000"/>
        </w:rPr>
        <w:t>”). We will remain an emerging growth company under the JOBS Act until the earliest of (i) the last day of our first fiscal year (a) following the fifth anniversary of our IPO (November 17, 2026), (b) in which we have total annual gross revenue of at least $1.235 billion, or (c) in which we are deemed to be a “large accelerated filer” under the rules of the SEC with at least $700.0 million of outstanding securities held by non-affiliates; and (ii) the date on which we have issued more than $1.00 billion in non-convertible debt securities during the prior three-year period.</w:t>
      </w:r>
    </w:p>
    <w:p>
      <w:pPr>
        <w:pStyle w:val="TextBody"/>
        <w:shd w:fill="FFFFFF" w:val="clear"/>
        <w:bidi w:val="0"/>
        <w:spacing w:before="0" w:after="0"/>
        <w:ind w:left="0" w:right="0" w:firstLine="720"/>
        <w:jc w:val="both"/>
        <w:rPr>
          <w:bdr w:val="single" w:sz="8" w:space="10" w:color="000000"/>
        </w:rPr>
      </w:pPr>
      <w:r>
        <w:rPr>
          <w:bdr w:val="single" w:sz="8" w:space="10" w:color="000000"/>
        </w:rPr>
        <w:t> </w:t>
      </w:r>
    </w:p>
    <w:p>
      <w:pPr>
        <w:pStyle w:val="TextBody"/>
        <w:shd w:fill="FFFFFF" w:val="clear"/>
        <w:bidi w:val="0"/>
        <w:spacing w:before="0" w:after="0"/>
        <w:ind w:left="0" w:right="0" w:firstLine="720"/>
        <w:jc w:val="both"/>
        <w:rPr>
          <w:sz w:val="20"/>
          <w:bdr w:val="single" w:sz="8" w:space="10" w:color="000000"/>
        </w:rPr>
      </w:pPr>
      <w:r>
        <w:rPr>
          <w:sz w:val="20"/>
          <w:bdr w:val="single" w:sz="8" w:space="10" w:color="000000"/>
        </w:rPr>
        <w:t>We are also a “smaller reporting company” as defined in Item 10(f)(1) of Regulation S-K of the SEC.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Ordinary Shares held by non-affiliates is less than $250.0 million measured on the last business day of our second fiscal quarter, or our annual revenue is less than $100.0 million during the most recently completed fiscal year and the market value of our voting and non-voting Ordinary Shares held by non-affiliates is less than $700.0 million measured on the last business day of our second fiscal quarter.</w:t>
      </w:r>
    </w:p>
    <w:p>
      <w:pPr>
        <w:pStyle w:val="TextBody"/>
        <w:shd w:fill="FFFFFF" w:val="clear"/>
        <w:bidi w:val="0"/>
        <w:spacing w:before="0" w:after="0"/>
        <w:ind w:left="0" w:right="0" w:firstLine="720"/>
        <w:jc w:val="both"/>
        <w:rPr>
          <w:bdr w:val="single" w:sz="8" w:space="10" w:color="000000"/>
        </w:rPr>
      </w:pPr>
      <w:r>
        <w:rPr>
          <w:bdr w:val="single" w:sz="8" w:space="10" w:color="000000"/>
        </w:rPr>
        <w:t> </w:t>
      </w:r>
    </w:p>
    <w:p>
      <w:pPr>
        <w:pStyle w:val="TextBody"/>
        <w:shd w:fill="FFFFFF" w:val="clear"/>
        <w:bidi w:val="0"/>
        <w:spacing w:before="0" w:after="0"/>
        <w:ind w:left="0" w:right="0" w:firstLine="720"/>
        <w:jc w:val="both"/>
        <w:rPr>
          <w:sz w:val="20"/>
          <w:bdr w:val="single" w:sz="8" w:space="10" w:color="000000"/>
          <w:shd w:fill="FFFFFF" w:val="clear"/>
        </w:rPr>
      </w:pPr>
      <w:r>
        <w:rPr>
          <w:sz w:val="20"/>
          <w:bdr w:val="single" w:sz="8" w:space="10" w:color="000000"/>
          <w:shd w:fill="FFFFFF" w:val="clear"/>
        </w:rPr>
        <w:t>As a result, the information in this prospectus and that we provide to our investors in the future may be different than what you might receive from other public reporting companies or what has been shared/disclosed by Sono N.V. previously.</w:t>
      </w:r>
    </w:p>
    <w:p>
      <w:pPr>
        <w:pStyle w:val="TextBody"/>
        <w:bidi w:val="0"/>
        <w:spacing w:before="0" w:after="0"/>
        <w:ind w:left="0" w:right="0" w:hanging="0"/>
        <w:jc w:val="left"/>
        <w:rPr>
          <w:bdr w:val="single" w:sz="8" w:space="10" w:color="000000"/>
        </w:rPr>
      </w:pPr>
      <w:r>
        <w:rPr>
          <w:bdr w:val="single" w:sz="8" w:space="10"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18" w:name="a_004"/>
      <w:bookmarkEnd w:id="18"/>
      <w:r>
        <w:rPr>
          <w:b/>
          <w:sz w:val="20"/>
        </w:rPr>
        <w:t>RISK FACTORS</w:t>
      </w:r>
    </w:p>
    <w:p>
      <w:pPr>
        <w:pStyle w:val="TextBody"/>
        <w:bidi w:val="0"/>
        <w:spacing w:before="0" w:after="0"/>
        <w:ind w:left="0" w:right="0" w:hanging="0"/>
        <w:jc w:val="center"/>
        <w:rPr/>
      </w:pPr>
      <w:r>
        <w:rPr/>
        <w:t> </w:t>
      </w:r>
    </w:p>
    <w:p>
      <w:pPr>
        <w:pStyle w:val="TextBody"/>
        <w:bidi w:val="0"/>
        <w:spacing w:before="0" w:after="0"/>
        <w:ind w:left="0" w:right="0" w:firstLine="360"/>
        <w:jc w:val="left"/>
        <w:rPr>
          <w:sz w:val="20"/>
        </w:rPr>
      </w:pPr>
      <w:r>
        <w:rPr>
          <w:sz w:val="20"/>
        </w:rPr>
        <w:t>An investment in our securities involves a high degree of risk. Before investing in our securities, you should carefully consider the risk factors incorporated by reference into this prospectus, including any reports we file with the SEC after the date of this prospectus that are incorporated herein by reference, as well as the risk factors and other information contained in any applicable prospectus supplement and any applicable free writing prospectus we file with the SEC. The market price of our securities could decline if one or more of these risks or uncertainties actually occur, causing you to lose all or part of your investment in our securities. See “</w:t>
      </w:r>
      <w:r>
        <w:rPr>
          <w:i/>
          <w:sz w:val="20"/>
        </w:rPr>
        <w:t>Where You Can Find More Information</w:t>
      </w:r>
      <w:r>
        <w:rPr>
          <w:sz w:val="20"/>
        </w:rPr>
        <w:t>” and “</w:t>
      </w:r>
      <w:r>
        <w:rPr>
          <w:i/>
          <w:sz w:val="20"/>
        </w:rPr>
        <w:t>Information Incorporated by Reference</w:t>
      </w:r>
      <w:r>
        <w:rPr>
          <w:sz w:val="20"/>
        </w:rPr>
        <w:t>” elsewhere in this prospectus.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19" w:name="a_005"/>
      <w:bookmarkEnd w:id="19"/>
      <w:r>
        <w:rPr>
          <w:b/>
          <w:sz w:val="20"/>
        </w:rPr>
        <w:t>USE OF PROCEEDS</w:t>
      </w:r>
    </w:p>
    <w:p>
      <w:pPr>
        <w:pStyle w:val="TextBody"/>
        <w:bidi w:val="0"/>
        <w:spacing w:before="0" w:after="0"/>
        <w:ind w:left="0" w:right="0" w:hanging="0"/>
        <w:jc w:val="center"/>
        <w:rPr/>
      </w:pPr>
      <w:r>
        <w:rPr/>
        <w:t> </w:t>
      </w:r>
    </w:p>
    <w:p>
      <w:pPr>
        <w:pStyle w:val="TextBody"/>
        <w:bidi w:val="0"/>
        <w:spacing w:before="0" w:after="0"/>
        <w:ind w:left="0" w:right="0" w:firstLine="360"/>
        <w:jc w:val="left"/>
        <w:rPr>
          <w:sz w:val="20"/>
        </w:rPr>
      </w:pPr>
      <w:r>
        <w:rPr>
          <w:sz w:val="20"/>
        </w:rPr>
        <w:t xml:space="preserve">We will retain broad discretion over the use of the net proceeds from the sale of our securities offered hereby. Except as described in any prospectus supplement or any related free writing prospectus that we may authorize to be provided to you, we currently intend to use the net proceeds from the sale of our securities offered hereby for working capital and general corporate purposes. We may invest the net proceeds in a variety of capital preservation instruments, including purchasing or otherwise acquiring Bitcoin and other digital assets and establishing digital asset treasury operations, or may hold such proceeds as cash, until they are used for their stated purpose. We have not determined the amount of net proceeds to be used specifically for such purposes. As a result, management will retain broad discretion over the allocation of net proceeds. We will set forth in the applicable prospectus supplement or free writing prospectus our intended use for the net proceeds received from the sale of any securities sold pursuant to the prospectus supplement or free writing prospectus. </w:t>
      </w:r>
    </w:p>
    <w:p>
      <w:pPr>
        <w:pStyle w:val="TextBody"/>
        <w:bidi w:val="0"/>
        <w:spacing w:before="0" w:after="0"/>
        <w:ind w:left="0" w:right="0" w:hanging="0"/>
        <w:jc w:val="righ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20" w:name="a_006"/>
      <w:bookmarkEnd w:id="20"/>
      <w:r>
        <w:rPr>
          <w:b/>
          <w:sz w:val="20"/>
        </w:rPr>
        <w:t>SECURITIES WE MAY OFFER</w:t>
      </w:r>
    </w:p>
    <w:p>
      <w:pPr>
        <w:pStyle w:val="TextBody"/>
        <w:bidi w:val="0"/>
        <w:spacing w:before="0" w:after="0"/>
        <w:ind w:left="0" w:right="0" w:hanging="0"/>
        <w:jc w:val="center"/>
        <w:rPr/>
      </w:pPr>
      <w:r>
        <w:rPr/>
        <w:t> </w:t>
      </w:r>
    </w:p>
    <w:p>
      <w:pPr>
        <w:pStyle w:val="TextBody"/>
        <w:bidi w:val="0"/>
        <w:spacing w:before="0" w:after="0"/>
        <w:ind w:left="0" w:right="0" w:firstLine="360"/>
        <w:jc w:val="left"/>
        <w:rPr>
          <w:sz w:val="20"/>
        </w:rPr>
      </w:pPr>
      <w:r>
        <w:rPr>
          <w:sz w:val="20"/>
        </w:rPr>
        <w:t xml:space="preserve">This prospectus contains summary descriptions of the securities we may offer from time to time. These summary descriptions are not meant to be complete descriptions of each security. The particular terms of any security will be described in the applicable prospectus supplement. This prospectus provides you with a general description of the securities we may offer. Each time we sell securities described herein, we will provide prospective investors with a supplement to this prospectus that will contain specific information about the terms of that offering, including the specific amounts, prices and terms of the securities offered. </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 xml:space="preserve">We may offer up to </w:t>
      </w:r>
      <w:r>
        <w:rPr>
          <w:sz w:val="20"/>
          <w:shd w:fill="FFFFFF" w:val="clear"/>
        </w:rPr>
        <w:t xml:space="preserve">$100.0 </w:t>
      </w:r>
      <w:r>
        <w:rPr>
          <w:sz w:val="20"/>
        </w:rPr>
        <w:t>million of securities under this prospectus. The prices and terms of any offering will be determined by market conditions at the time of the offering. We may sell the securities to or through underwriters, dealers or agents, directly to purchasers or through a combination of any of these methods of sale or as otherwise set forth below under “</w:t>
      </w:r>
      <w:r>
        <w:rPr>
          <w:i/>
          <w:sz w:val="20"/>
        </w:rPr>
        <w:t>Plan of Distribution</w:t>
      </w:r>
      <w:r>
        <w:rPr>
          <w:sz w:val="20"/>
        </w:rPr>
        <w:t>.” We, as well as any agents acting on our behalf, reserve the sole right to accept and to reject in whole or in part any proposed purchase of securities. This prospectus provides a general description of the securities we may offer. Each time we offer securities under this prospectus, we will, to the extent required by law, provide offerees with a prospectus supplement that will describe the specific amounts, prices and other important terms of the securities being offered. The prospectus supplement may also add, update or change information in this prospectus. For more information, see “</w:t>
      </w:r>
      <w:r>
        <w:rPr>
          <w:i/>
          <w:sz w:val="20"/>
        </w:rPr>
        <w:t>About this Prospectus</w:t>
      </w:r>
      <w:r>
        <w:rPr>
          <w:sz w:val="20"/>
        </w:rPr>
        <w:t>.”</w:t>
      </w:r>
    </w:p>
    <w:p>
      <w:pPr>
        <w:pStyle w:val="TextBody"/>
        <w:bidi w:val="0"/>
        <w:spacing w:before="0" w:after="0"/>
        <w:ind w:left="0" w:right="0" w:hanging="0"/>
        <w:jc w:val="left"/>
        <w:rPr/>
      </w:pPr>
      <w:r>
        <w:rPr/>
        <w:t> </w:t>
      </w:r>
    </w:p>
    <w:p>
      <w:pPr>
        <w:pStyle w:val="TextBody"/>
        <w:bidi w:val="0"/>
        <w:spacing w:before="0" w:after="0"/>
        <w:ind w:left="0" w:right="0" w:hanging="0"/>
        <w:jc w:val="righ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21" w:name="a_007"/>
      <w:bookmarkEnd w:id="21"/>
      <w:r>
        <w:rPr>
          <w:b/>
          <w:sz w:val="20"/>
        </w:rPr>
        <w:t>DESCRIPTION OF CAPITAL STOCK</w:t>
      </w:r>
    </w:p>
    <w:p>
      <w:pPr>
        <w:pStyle w:val="TextBody"/>
        <w:bidi w:val="0"/>
        <w:spacing w:before="0" w:after="0"/>
        <w:ind w:left="0" w:right="0" w:hanging="0"/>
        <w:jc w:val="center"/>
        <w:rPr/>
      </w:pPr>
      <w:r>
        <w:rPr/>
        <w:t> </w:t>
      </w:r>
    </w:p>
    <w:p>
      <w:pPr>
        <w:pStyle w:val="TextBody"/>
        <w:bidi w:val="0"/>
        <w:spacing w:before="0" w:after="0"/>
        <w:ind w:left="0" w:right="0" w:firstLine="360"/>
        <w:jc w:val="left"/>
        <w:rPr>
          <w:sz w:val="20"/>
          <w:shd w:fill="FFFFFF" w:val="clear"/>
        </w:rPr>
      </w:pPr>
      <w:r>
        <w:rPr>
          <w:sz w:val="20"/>
          <w:shd w:fill="FFFFFF" w:val="clear"/>
        </w:rPr>
        <w:t>The following summary of the general terms and provisions of our Ordinary Shares does not purport to be complete and is subject to and qualified in its entirety by reference to our articles of association (as amended from time to time, our “</w:t>
      </w:r>
      <w:r>
        <w:rPr>
          <w:b/>
          <w:i/>
          <w:sz w:val="20"/>
          <w:shd w:fill="FFFFFF" w:val="clear"/>
        </w:rPr>
        <w:t>Articles of Association</w:t>
      </w:r>
      <w:r>
        <w:rPr>
          <w:sz w:val="20"/>
          <w:shd w:fill="FFFFFF" w:val="clear"/>
        </w:rPr>
        <w:t>”) and applicable Dutch law provisions.</w:t>
      </w:r>
    </w:p>
    <w:p>
      <w:pPr>
        <w:pStyle w:val="TextBody"/>
        <w:bidi w:val="0"/>
        <w:spacing w:before="0" w:after="0"/>
        <w:ind w:left="0" w:right="0" w:firstLine="360"/>
        <w:jc w:val="left"/>
        <w:rPr/>
      </w:pPr>
      <w:r>
        <w:rPr/>
        <w:t> </w:t>
      </w:r>
    </w:p>
    <w:p>
      <w:pPr>
        <w:pStyle w:val="TextBody"/>
        <w:bidi w:val="0"/>
        <w:spacing w:before="0" w:after="0"/>
        <w:ind w:left="0" w:right="0" w:hanging="0"/>
        <w:jc w:val="left"/>
        <w:rPr>
          <w:b/>
          <w:sz w:val="20"/>
        </w:rPr>
      </w:pPr>
      <w:r>
        <w:rPr>
          <w:b/>
          <w:sz w:val="20"/>
        </w:rPr>
        <w:t>Ordinary Shares</w:t>
      </w:r>
    </w:p>
    <w:p>
      <w:pPr>
        <w:pStyle w:val="TextBody"/>
        <w:bidi w:val="0"/>
        <w:spacing w:before="0" w:after="0"/>
        <w:ind w:left="0" w:right="0" w:hanging="0"/>
        <w:jc w:val="left"/>
        <w:rPr/>
      </w:pPr>
      <w:r>
        <w:rPr/>
        <w:t> </w:t>
      </w:r>
    </w:p>
    <w:p>
      <w:pPr>
        <w:pStyle w:val="TextBody"/>
        <w:bidi w:val="0"/>
        <w:spacing w:before="0" w:after="0"/>
        <w:ind w:left="0" w:right="0" w:firstLine="360"/>
        <w:jc w:val="left"/>
        <w:rPr>
          <w:sz w:val="20"/>
        </w:rPr>
      </w:pPr>
      <w:r>
        <w:rPr>
          <w:sz w:val="20"/>
        </w:rPr>
        <w:t>Our Ordinary Shares are issued in registered form. Our authorized share capital is €1,630,300, divided into 120,000,000 ordinary shares, each with a nominal value of €0.01, 40,000 high voting shares, each with a nominal value of €0.25 and 1,401 preferred shares, each with a nominal value of €300.   </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shd w:fill="FFFFFF" w:val="clear"/>
        </w:rPr>
      </w:pPr>
      <w:r>
        <w:rPr>
          <w:sz w:val="20"/>
          <w:shd w:fill="FFFFFF" w:val="clear"/>
        </w:rPr>
        <w:t>On December 23, 2024, the Company amended its Articles of Association to implement a reverse share split (the “</w:t>
      </w:r>
      <w:r>
        <w:rPr>
          <w:b/>
          <w:i/>
          <w:sz w:val="20"/>
          <w:shd w:fill="FFFFFF" w:val="clear"/>
        </w:rPr>
        <w:t>Reverse Share Split</w:t>
      </w:r>
      <w:r>
        <w:rPr>
          <w:sz w:val="20"/>
          <w:shd w:fill="FFFFFF" w:val="clear"/>
        </w:rPr>
        <w:t>”) of the Company’s Ordinary Shares and High Voting Shares at a ratio of 1-for-75. The Reverse Share Split took market effect on January 6, 2025, following confirmation from the Financial Industry Regulatory Authority that it had received and reviewed all necessary documentation to process the Reverse Share Split and was perfected pursuant to an amendment of the Company's Articles of Association on September 9, 2025.</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I</w:t>
      </w:r>
      <w:r>
        <w:rPr>
          <w:sz w:val="20"/>
          <w:shd w:fill="FFFFFF" w:val="clear"/>
        </w:rPr>
        <w:t>n addition, at Sono N.V.'s extraordinary general meeting held on January 31, 2024, the shareholders approved a proposal to increase (in one or a series of amendments) our authorized share capital in order to cover conversions under the convertible debentures held by YA II PN, Ltd. (“</w:t>
      </w:r>
      <w:r>
        <w:rPr>
          <w:b/>
          <w:i/>
          <w:sz w:val="20"/>
          <w:shd w:fill="FFFFFF" w:val="clear"/>
        </w:rPr>
        <w:t>Yorkville</w:t>
      </w:r>
      <w:r>
        <w:rPr>
          <w:sz w:val="20"/>
          <w:shd w:fill="FFFFFF" w:val="clear"/>
        </w:rPr>
        <w:t>”). At the Company’s extraordinary meeting of shareholders on November 7, 2024 (the “</w:t>
      </w:r>
      <w:r>
        <w:rPr>
          <w:b/>
          <w:i/>
          <w:sz w:val="20"/>
          <w:shd w:fill="FFFFFF" w:val="clear"/>
        </w:rPr>
        <w:t>November 2024 EGM</w:t>
      </w:r>
      <w:r>
        <w:rPr>
          <w:sz w:val="20"/>
          <w:shd w:fill="FFFFFF" w:val="clear"/>
        </w:rPr>
        <w:t>”), the shareholders approved a proposal to inter alia (i) increase (in one or a series of amendments) our authorised share capital in order to cover the increase of our authorised share capital under an authority of the management board to issue Ordinary Shares or grant rights to subscribe for Ordinary Shares, and (ii) introduce a new class of preferred shares, with a nominal value of €300.00 per preferred share, with each preferred share being convertible into 30,000 Ordinary Shares, which changes were implemented by amendment to the Company's Articles of Association on September 9, 2025.</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Under Dutch law, our authorized share capital is the maximum capital that we may issue without amending our Articles of Association.</w:t>
      </w:r>
    </w:p>
    <w:p>
      <w:pPr>
        <w:pStyle w:val="TextBody"/>
        <w:bidi w:val="0"/>
        <w:spacing w:before="0" w:after="0"/>
        <w:ind w:left="0" w:right="0" w:firstLine="360"/>
        <w:jc w:val="left"/>
        <w:rPr/>
      </w:pPr>
      <w:r>
        <w:rPr/>
        <w:t> </w:t>
      </w:r>
    </w:p>
    <w:p>
      <w:pPr>
        <w:pStyle w:val="TextBody"/>
        <w:bidi w:val="0"/>
        <w:spacing w:before="0" w:after="0"/>
        <w:ind w:left="0" w:right="0" w:hanging="0"/>
        <w:jc w:val="left"/>
        <w:rPr>
          <w:b/>
          <w:sz w:val="20"/>
        </w:rPr>
      </w:pPr>
      <w:r>
        <w:rPr>
          <w:b/>
          <w:sz w:val="20"/>
        </w:rPr>
        <w:t>Preferred Shares</w:t>
      </w:r>
    </w:p>
    <w:p>
      <w:pPr>
        <w:pStyle w:val="TextBody"/>
        <w:bidi w:val="0"/>
        <w:spacing w:before="0" w:after="0"/>
        <w:ind w:left="0" w:right="0" w:hanging="0"/>
        <w:jc w:val="left"/>
        <w:rPr/>
      </w:pPr>
      <w:r>
        <w:rPr/>
        <w:t> </w:t>
      </w:r>
    </w:p>
    <w:p>
      <w:pPr>
        <w:pStyle w:val="TextBody"/>
        <w:bidi w:val="0"/>
        <w:spacing w:before="0" w:after="0"/>
        <w:ind w:left="0" w:right="0" w:firstLine="360"/>
        <w:jc w:val="left"/>
        <w:rPr>
          <w:sz w:val="20"/>
        </w:rPr>
      </w:pPr>
      <w:r>
        <w:rPr>
          <w:sz w:val="20"/>
        </w:rPr>
        <w:t>We are authorized to issue 1,401 preferred shares, nominal value €300.00 per share (the “</w:t>
      </w:r>
      <w:r>
        <w:rPr>
          <w:b/>
          <w:i/>
          <w:sz w:val="20"/>
        </w:rPr>
        <w:t>Preferred Shares</w:t>
      </w:r>
      <w:r>
        <w:rPr>
          <w:sz w:val="20"/>
        </w:rPr>
        <w:t>”), all of which are issued, outstanding and held by Yorkville. The Preferred Shares were created as a new class of shares approved by shareholders at the November 2024 EGM and were issued on September 9, 2025 solely in exchange for the surrender and cancellation of all outstanding convertible debentures held by Yorkville pursuant to an exchange agreement dated December 30, 2024, as amended (the “</w:t>
      </w:r>
      <w:r>
        <w:rPr>
          <w:b/>
          <w:i/>
          <w:sz w:val="20"/>
        </w:rPr>
        <w:t>Exchange Agreement</w:t>
      </w:r>
      <w:r>
        <w:rPr>
          <w:sz w:val="20"/>
        </w:rPr>
        <w:t>”). The total debt converted was approximately $42.1 million (inclusive of accrued interest).</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Each Preferred Share is convertible into 30,000 Ordinary Shares, subject to the terms of the Exchange Agreement. The effective conversion price (the “</w:t>
      </w:r>
      <w:r>
        <w:rPr>
          <w:b/>
          <w:i/>
          <w:sz w:val="20"/>
        </w:rPr>
        <w:t>Effective Conversion Price</w:t>
      </w:r>
      <w:r>
        <w:rPr>
          <w:sz w:val="20"/>
        </w:rPr>
        <w:t>”) equals 85% of the lowest daily volume weighted average price of the Ordinary Shares during the 10 trading days immediately preceding the date of notice of conversion, subject to a floor price equal to $4.00 per Ordinary Share from the closing date until six months after the Nasdaq listing date, and $1.00 per Ordinary Share thereafter. Upon conversion, Yorkville must surrender the Preferred Shares being converted plus automatically sell back to the Company (for no consideration) additional Preferred Shares such that the total number of Preferred Shares surrendered and subject to the conversion will be equal to (a) the total number of Ordinary Shares issuable upon such conversion, multiplied by (b) the Effective Conversion Price, divided by (c) 30,000.</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Each Preferred Share carries 30,000 votes at any general meeting of shareholders. However, Yorkville is subject to a contractually agreed voting blocker equal to 4.99% of the combined voting power in the share capital of Sono N.V. In addition, Yorkville may not convert Preferred Shares if, after giving effect to such conversion, Yorkville (together with its affiliates) would beneficially own more than 4.99% of the number or voting power of the outstanding Ordinary Shares. This beneficial ownership limitation may be waived by Yorkville upon not less than 65 days’ prior notice to the Company.</w:t>
      </w:r>
    </w:p>
    <w:p>
      <w:pPr>
        <w:pStyle w:val="TextBody"/>
        <w:bidi w:val="0"/>
        <w:spacing w:before="0" w:after="0"/>
        <w:ind w:left="0" w:right="0" w:firstLine="360"/>
        <w:jc w:val="left"/>
        <w:rPr/>
      </w:pPr>
      <w:r>
        <w:rPr/>
        <w:t> </w:t>
      </w:r>
    </w:p>
    <w:p>
      <w:pPr>
        <w:pStyle w:val="TextBody"/>
        <w:bidi w:val="0"/>
        <w:spacing w:before="0" w:after="0"/>
        <w:ind w:left="0" w:right="0" w:hanging="0"/>
        <w:jc w:val="left"/>
        <w:rPr>
          <w:b/>
          <w:sz w:val="20"/>
        </w:rPr>
      </w:pPr>
      <w:r>
        <w:rPr>
          <w:b/>
          <w:sz w:val="20"/>
        </w:rPr>
        <w:t>Issuance of Shares</w:t>
      </w:r>
    </w:p>
    <w:p>
      <w:pPr>
        <w:pStyle w:val="TextBody"/>
        <w:bidi w:val="0"/>
        <w:spacing w:before="0" w:after="0"/>
        <w:ind w:left="0" w:right="0" w:hanging="0"/>
        <w:jc w:val="left"/>
        <w:rPr/>
      </w:pPr>
      <w:r>
        <w:rPr/>
        <w:t> </w:t>
      </w:r>
    </w:p>
    <w:p>
      <w:pPr>
        <w:pStyle w:val="TextBody"/>
        <w:bidi w:val="0"/>
        <w:spacing w:before="0" w:after="0"/>
        <w:ind w:left="0" w:right="0" w:firstLine="360"/>
        <w:jc w:val="left"/>
        <w:rPr>
          <w:sz w:val="20"/>
        </w:rPr>
      </w:pPr>
      <w:r>
        <w:rPr>
          <w:sz w:val="20"/>
          <w:shd w:fill="FFFFFF" w:val="clear"/>
        </w:rPr>
        <w:t>Under Dutch law and our Articles of Association, the issuance of shares and/or the granting of rights to subscribe for shares requires a resolution of the general meeting. Another corporate body, such as the management board or the supervisory board, may be designated as the authorized body to do so by the general meeting. Such designation can be granted for a period not exceeding five years. A resolution of the general meeting to issue shares, grant rights to subscribe for shares or designate another corporate body of the Company to do the same requires the approval of the relevant class meeting whose rights are prejudiced. A designation of another corporate body is irrevocable unless stipulated differently. Our supervisory board has been authorized to issue shares and/or rights to subscribe for shares, for a period of maximum eighteen months after an annual general meeting of Sono N.V. held on August 13, 2025 (the “</w:t>
      </w:r>
      <w:r>
        <w:rPr>
          <w:b/>
          <w:i/>
          <w:sz w:val="20"/>
          <w:shd w:fill="FFFFFF" w:val="clear"/>
        </w:rPr>
        <w:t>August 2025 AGM</w:t>
      </w:r>
      <w:r>
        <w:rPr>
          <w:sz w:val="20"/>
        </w:rPr>
        <w:t>”)</w:t>
      </w:r>
      <w:r>
        <w:rPr>
          <w:sz w:val="20"/>
          <w:shd w:fill="FFFFFF" w:val="clear"/>
        </w:rPr>
        <w:t>.</w:t>
      </w:r>
    </w:p>
    <w:p>
      <w:pPr>
        <w:pStyle w:val="TextBody"/>
        <w:bidi w:val="0"/>
        <w:spacing w:before="0" w:after="0"/>
        <w:ind w:left="0" w:right="0" w:firstLine="36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Preemptive Rights</w:t>
      </w:r>
    </w:p>
    <w:p>
      <w:pPr>
        <w:pStyle w:val="TextBody"/>
        <w:bidi w:val="0"/>
        <w:spacing w:before="0" w:after="0"/>
        <w:ind w:left="0" w:right="0" w:hanging="0"/>
        <w:jc w:val="left"/>
        <w:rPr/>
      </w:pPr>
      <w:r>
        <w:rPr/>
        <w:t> </w:t>
      </w:r>
    </w:p>
    <w:p>
      <w:pPr>
        <w:pStyle w:val="TextBody"/>
        <w:bidi w:val="0"/>
        <w:spacing w:before="0" w:after="0"/>
        <w:ind w:left="0" w:right="0" w:firstLine="360"/>
        <w:jc w:val="left"/>
        <w:rPr>
          <w:sz w:val="20"/>
        </w:rPr>
      </w:pPr>
      <w:r>
        <w:rPr>
          <w:sz w:val="20"/>
        </w:rPr>
        <w:t>Under Dutch law and our Articles of Association, in the event of an issuance of shares of a certain class, each shareholder will have a pro rata preemptive right in proportion to the aggregate nominal value of the shares of such class held by such holder (with the exception of shares to be issued to employees or shares issued against a contribution other than in cash or pursuant to the exercise of a previously acquired right to subscribe for shares). Under our Articles of Association, the preemptive rights in respect of newly issued shares may be restricted or excluded by a resolution of the general meeting. Another corporate body, such as the management board or the supervisory board, may restrict or exclude the preemptive rights in respect of newly issued shares if it has been designated as the authorized body to do so by the general meeting. Such designation can be granted for a period not exceeding five years. A resolution of the general meeting to restrict or exclude the preemptive rights or to designate another corporate body as the authorized body to do so requires a majority of not less than two-thirds of the votes cast, if less than one-half of our issued share capital is represented at the meeting. Our supervisory board has been authorized to restrict or exclude preemptive rights, for a period of maximum eighteen months after the August 2025 AGM.</w:t>
      </w:r>
    </w:p>
    <w:p>
      <w:pPr>
        <w:pStyle w:val="TextBody"/>
        <w:bidi w:val="0"/>
        <w:spacing w:before="0" w:after="0"/>
        <w:ind w:left="0" w:right="0" w:firstLine="360"/>
        <w:jc w:val="left"/>
        <w:rPr/>
      </w:pPr>
      <w:r>
        <w:rPr/>
        <w:t> </w:t>
      </w:r>
    </w:p>
    <w:p>
      <w:pPr>
        <w:pStyle w:val="TextBody"/>
        <w:bidi w:val="0"/>
        <w:spacing w:before="0" w:after="0"/>
        <w:ind w:left="0" w:right="0" w:hanging="0"/>
        <w:jc w:val="left"/>
        <w:rPr>
          <w:b/>
          <w:sz w:val="20"/>
        </w:rPr>
      </w:pPr>
      <w:r>
        <w:rPr>
          <w:b/>
          <w:sz w:val="20"/>
        </w:rPr>
        <w:t>Conversion of Shares</w:t>
      </w:r>
    </w:p>
    <w:p>
      <w:pPr>
        <w:pStyle w:val="TextBody"/>
        <w:bidi w:val="0"/>
        <w:spacing w:before="0" w:after="0"/>
        <w:ind w:left="0" w:right="0" w:hanging="0"/>
        <w:jc w:val="left"/>
        <w:rPr/>
      </w:pPr>
      <w:r>
        <w:rPr/>
        <w:t> </w:t>
      </w:r>
    </w:p>
    <w:p>
      <w:pPr>
        <w:pStyle w:val="TextBody"/>
        <w:bidi w:val="0"/>
        <w:spacing w:before="0" w:after="0"/>
        <w:ind w:left="0" w:right="0" w:firstLine="360"/>
        <w:jc w:val="left"/>
        <w:rPr>
          <w:sz w:val="20"/>
        </w:rPr>
      </w:pPr>
      <w:r>
        <w:rPr>
          <w:sz w:val="20"/>
        </w:rPr>
        <w:t>Under our Articles of Association, and subject to certain requirements, each issued high voting share can be converted into twenty-five Ordinary Shares. Ordinary shares cannot be converted into High Voting Shares. Upon the issuance of the Preferred Shares, and subject to certain requirements, each issued preferred share can be converted into 30,000 Ordinary Shares. Ordinary shares cannot be converted into Preferred Shares.</w:t>
      </w:r>
    </w:p>
    <w:p>
      <w:pPr>
        <w:pStyle w:val="TextBody"/>
        <w:bidi w:val="0"/>
        <w:spacing w:before="0" w:after="0"/>
        <w:ind w:left="0" w:right="0" w:firstLine="360"/>
        <w:jc w:val="left"/>
        <w:rPr/>
      </w:pPr>
      <w:r>
        <w:rPr/>
        <w:t> </w:t>
      </w:r>
    </w:p>
    <w:p>
      <w:pPr>
        <w:pStyle w:val="TextBody"/>
        <w:bidi w:val="0"/>
        <w:spacing w:before="0" w:after="0"/>
        <w:ind w:left="0" w:right="0" w:hanging="0"/>
        <w:jc w:val="left"/>
        <w:rPr>
          <w:b/>
          <w:sz w:val="20"/>
        </w:rPr>
      </w:pPr>
      <w:r>
        <w:rPr>
          <w:b/>
          <w:sz w:val="20"/>
        </w:rPr>
        <w:t>Transfer of Ordinary Shares</w:t>
      </w:r>
    </w:p>
    <w:p>
      <w:pPr>
        <w:pStyle w:val="TextBody"/>
        <w:bidi w:val="0"/>
        <w:spacing w:before="0" w:after="0"/>
        <w:ind w:left="0" w:right="0" w:hanging="0"/>
        <w:jc w:val="left"/>
        <w:rPr/>
      </w:pPr>
      <w:r>
        <w:rPr/>
        <w:t> </w:t>
      </w:r>
    </w:p>
    <w:p>
      <w:pPr>
        <w:pStyle w:val="TextBody"/>
        <w:bidi w:val="0"/>
        <w:spacing w:before="0" w:after="0"/>
        <w:ind w:left="0" w:right="0" w:firstLine="360"/>
        <w:jc w:val="left"/>
        <w:rPr>
          <w:sz w:val="20"/>
          <w:shd w:fill="FFFFFF" w:val="clear"/>
        </w:rPr>
      </w:pPr>
      <w:r>
        <w:rPr>
          <w:sz w:val="20"/>
          <w:shd w:fill="FFFFFF" w:val="clear"/>
        </w:rPr>
        <w:t>Except as otherwise provided or allowed by Dutch law, the issue or transfer of a share shall require a deed to that effect and, in the case of a transfer and unless the Company itself is a party to the transaction, acknowledgement of the transfer by the Company. The acknowledgement shall be set out in the deed or shall be made in such other manner as prescribed by law. For as long as any Ordinary Shares are admitted to trading on the New York Stock Exchange, the Nasdaq Stock Market or on any other regulated stock exchange operating in the United States of America, the laws of the State of New York shall apply to the property law aspects of the Ordinary Shares reflected in the register administered by the relevant transfer agent.</w:t>
      </w:r>
    </w:p>
    <w:p>
      <w:pPr>
        <w:pStyle w:val="TextBody"/>
        <w:bidi w:val="0"/>
        <w:spacing w:before="0" w:after="0"/>
        <w:ind w:left="0" w:right="0" w:firstLine="360"/>
        <w:jc w:val="left"/>
        <w:rPr/>
      </w:pPr>
      <w:r>
        <w:rPr/>
        <w:t> </w:t>
      </w:r>
    </w:p>
    <w:p>
      <w:pPr>
        <w:pStyle w:val="TextBody"/>
        <w:bidi w:val="0"/>
        <w:spacing w:before="0" w:after="0"/>
        <w:ind w:left="0" w:right="0" w:hanging="0"/>
        <w:jc w:val="left"/>
        <w:rPr>
          <w:b/>
          <w:sz w:val="20"/>
        </w:rPr>
      </w:pPr>
      <w:r>
        <w:rPr>
          <w:b/>
          <w:sz w:val="20"/>
        </w:rPr>
        <w:t>Repurchase of Shares</w:t>
      </w:r>
    </w:p>
    <w:p>
      <w:pPr>
        <w:pStyle w:val="TextBody"/>
        <w:bidi w:val="0"/>
        <w:spacing w:before="0" w:after="0"/>
        <w:ind w:left="0" w:right="0" w:hanging="0"/>
        <w:jc w:val="left"/>
        <w:rPr/>
      </w:pPr>
      <w:r>
        <w:rPr/>
        <w:t> </w:t>
      </w:r>
    </w:p>
    <w:p>
      <w:pPr>
        <w:pStyle w:val="TextBody"/>
        <w:bidi w:val="0"/>
        <w:spacing w:before="0" w:after="0"/>
        <w:ind w:left="0" w:right="0" w:firstLine="360"/>
        <w:jc w:val="left"/>
        <w:rPr>
          <w:sz w:val="20"/>
          <w:shd w:fill="FFFFFF" w:val="clear"/>
        </w:rPr>
      </w:pPr>
      <w:r>
        <w:rPr>
          <w:sz w:val="20"/>
          <w:shd w:fill="FFFFFF" w:val="clear"/>
        </w:rPr>
        <w:t>An acquisition of Ordinary Shares for a consideration must be authorized by our general meeting. Such authorization may be granted for a maximum period of 18 months and must specify the number of Ordinary Shares that may be acquired, the manner in which Ordinary Shares may be acquired and the price limits within which Ordinary Shares may be acquired. The actual acquisition may only be effected by a resolution of our management board, with the approval of our supervisory board. No authorization of the general meeting of shareholders is required if fully paid Ordinary Shares are acquired by us with the intention of transferring such Ordinary Shares to our employees under an applicable employee stock purchase plan or if shares are acquired for no consideration.</w:t>
      </w:r>
    </w:p>
    <w:p>
      <w:pPr>
        <w:pStyle w:val="TextBody"/>
        <w:bidi w:val="0"/>
        <w:spacing w:before="0" w:after="0"/>
        <w:ind w:left="0" w:right="0" w:firstLine="360"/>
        <w:jc w:val="left"/>
        <w:rPr/>
      </w:pPr>
      <w:r>
        <w:rPr/>
        <w:t> </w:t>
      </w:r>
    </w:p>
    <w:p>
      <w:pPr>
        <w:pStyle w:val="TextBody"/>
        <w:bidi w:val="0"/>
        <w:spacing w:before="0" w:after="0"/>
        <w:ind w:left="0" w:right="0" w:hanging="0"/>
        <w:jc w:val="left"/>
        <w:rPr>
          <w:b/>
          <w:sz w:val="20"/>
        </w:rPr>
      </w:pPr>
      <w:r>
        <w:rPr>
          <w:b/>
          <w:sz w:val="20"/>
        </w:rPr>
        <w:t>Requirements for Amendments to our Articles of Association</w:t>
      </w:r>
    </w:p>
    <w:p>
      <w:pPr>
        <w:pStyle w:val="TextBody"/>
        <w:bidi w:val="0"/>
        <w:spacing w:before="0" w:after="0"/>
        <w:ind w:left="0" w:right="0" w:hanging="0"/>
        <w:jc w:val="left"/>
        <w:rPr/>
      </w:pPr>
      <w:r>
        <w:rPr/>
        <w:t> </w:t>
      </w:r>
    </w:p>
    <w:p>
      <w:pPr>
        <w:pStyle w:val="TextBody"/>
        <w:bidi w:val="0"/>
        <w:spacing w:before="0" w:after="0"/>
        <w:ind w:left="0" w:right="0" w:firstLine="360"/>
        <w:jc w:val="left"/>
        <w:rPr>
          <w:sz w:val="20"/>
        </w:rPr>
      </w:pPr>
      <w:r>
        <w:rPr>
          <w:sz w:val="20"/>
        </w:rPr>
        <w:t>An amendment of our Articles of Association would require a resolution of the general meeting upon proposal by the management board with the approval of our supervisory board.</w:t>
      </w:r>
    </w:p>
    <w:p>
      <w:pPr>
        <w:pStyle w:val="TextBody"/>
        <w:bidi w:val="0"/>
        <w:spacing w:before="0" w:after="0"/>
        <w:ind w:left="0" w:right="0" w:firstLine="360"/>
        <w:jc w:val="left"/>
        <w:rPr/>
      </w:pPr>
      <w:r>
        <w:rPr/>
        <w:t> </w:t>
      </w:r>
    </w:p>
    <w:p>
      <w:pPr>
        <w:pStyle w:val="TextBody"/>
        <w:bidi w:val="0"/>
        <w:spacing w:before="0" w:after="0"/>
        <w:ind w:left="0" w:right="0" w:hanging="0"/>
        <w:jc w:val="left"/>
        <w:rPr>
          <w:b/>
          <w:sz w:val="20"/>
        </w:rPr>
      </w:pPr>
      <w:r>
        <w:rPr>
          <w:b/>
          <w:sz w:val="20"/>
        </w:rPr>
        <w:t>Limitations on the Right to Own Ordinary Shares</w:t>
      </w:r>
    </w:p>
    <w:p>
      <w:pPr>
        <w:pStyle w:val="TextBody"/>
        <w:bidi w:val="0"/>
        <w:spacing w:before="0" w:after="0"/>
        <w:ind w:left="0" w:right="0" w:hanging="0"/>
        <w:jc w:val="left"/>
        <w:rPr/>
      </w:pPr>
      <w:r>
        <w:rPr/>
        <w:t> </w:t>
      </w:r>
    </w:p>
    <w:p>
      <w:pPr>
        <w:pStyle w:val="TextBody"/>
        <w:bidi w:val="0"/>
        <w:spacing w:before="0" w:after="0"/>
        <w:ind w:left="0" w:right="0" w:firstLine="360"/>
        <w:jc w:val="left"/>
        <w:rPr>
          <w:sz w:val="20"/>
        </w:rPr>
      </w:pPr>
      <w:r>
        <w:rPr>
          <w:sz w:val="20"/>
        </w:rPr>
        <w:t>Our Articles of Association contain no limitation on the rights to own our shares provided that we cannot hold more than fifty per cent of the nominal value of our own share capital. Pursuant to our Articles of Association, for as long as any of our Ordinary Shares are admitted to trading on any regulated stock exchange operating in the United States of America, the laws of the State of New York shall apply to the property law aspects of our Ordinary Shares reflected in the register administered by the relevant transfer agent. However, certain other aspects relating to our Ordinary Shares remain subject to Dutch law and Dutch law continues to determine, for example, how new shares are issued.</w:t>
      </w:r>
    </w:p>
    <w:p>
      <w:pPr>
        <w:pStyle w:val="TextBody"/>
        <w:bidi w:val="0"/>
        <w:spacing w:before="0" w:after="0"/>
        <w:ind w:left="0" w:right="0" w:firstLine="36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Shareholders’ Meetings</w:t>
      </w:r>
    </w:p>
    <w:p>
      <w:pPr>
        <w:pStyle w:val="TextBody"/>
        <w:bidi w:val="0"/>
        <w:spacing w:before="0" w:after="0"/>
        <w:ind w:left="0" w:right="0" w:hanging="0"/>
        <w:jc w:val="left"/>
        <w:rPr/>
      </w:pPr>
      <w:r>
        <w:rPr/>
        <w:t> </w:t>
      </w:r>
    </w:p>
    <w:p>
      <w:pPr>
        <w:pStyle w:val="TextBody"/>
        <w:bidi w:val="0"/>
        <w:spacing w:before="0" w:after="0"/>
        <w:ind w:left="0" w:right="0" w:firstLine="360"/>
        <w:jc w:val="left"/>
        <w:rPr>
          <w:sz w:val="20"/>
        </w:rPr>
      </w:pPr>
      <w:r>
        <w:rPr>
          <w:sz w:val="20"/>
        </w:rPr>
        <w:t>General meetings may be held in Amsterdam, Arnhem, Assen, The Hague, Haarlem, ‘s-Hertogenbosch, Groningen, Leeuwarden, Lelystad, Maastricht, Middelburg, Rotterdam, Schiphol (Haarlemmermeer), Utrecht or Zwolle, all in the Netherlands. The annual general meeting shall be held within six months of the end of each financial year. Additional extraordinary general meetings may also be held, whenever considered appropriate by the management board or the supervisory board and shall be held within three months after our management board has considered it to be likely that our equity has decreased to an amount equal to or lower than half of its paid-in and called-up share capital, in order to discuss the measures to be taken if so required.</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Pursuant to Dutch law, one or more shareholders or others with meeting rights under Dutch law that jointly represent at least one-tenth of the issued share capital may request us to convene a general meeting, setting out in detail the matters to be discussed. If we have not taken the steps necessary to ensure that such meeting can be held within six weeks after the request, the requesting party/parties may, on their application, be authorized by the competent Dutch court in preliminary relief proceedings to convene a general meeting. The court shall disallow the application if it does not appear that the applicants have previously requested our management board and our supervisory board to convene a general meeting and neither our management board nor our supervisory board has taken the necessary steps so that the general meeting could be held within six weeks after the request.</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General meetings must be convened by an announcement published in a Dutch daily newspaper with national distribution. The notice must state the agenda, the time and place of the meeting, the record date (if any), the procedure for participating in the general meeting by proxy, as well as other information as required by Dutch law. The notice must be given at least 15 days prior to the day of the meeting. The agenda for the annual general meeting shall include – if possible and applicable – among other things, the adoption of the annual accounts, appropriation of our profits and proposals relating to the composition of the management board and supervisory board, including the filling of any vacancies in such bodies. In addition, the agenda shall include such items as have been included therein by the management board or the supervisory board. The agenda shall also include such items requested by one or more shareholders, or others with meeting rights under Dutch law, representing at least 3% of the issued share capital. Requests must be made in writing or by electronic means and received by us at least 60 days before the day of the meeting. No resolutions shall be adopted on items other than those that have been included in the agenda.</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In accordance with the Dutch Corporate Governance Code (the “</w:t>
      </w:r>
      <w:r>
        <w:rPr>
          <w:b/>
          <w:sz w:val="20"/>
        </w:rPr>
        <w:t>DCGC</w:t>
      </w:r>
      <w:r>
        <w:rPr>
          <w:sz w:val="20"/>
        </w:rPr>
        <w:t>”) and our Articles of Association, shareholders having the right to put an item on the agenda under the rules described above shall exercise such right only after consulting the management board in that respect. If one or more shareholders intend to request that an item be put on the agenda that may result in a change in the company’s strategy (for example, the removal of management board members or supervisory board members), the management board must be given the opportunity to invoke a reasonable period to respond to such intention. Such period shall not exceed 180 days (or such other period as may be stipulated for such purpose by Dutch law and/or the DCGC from time to time). If invoked, the management board must use such response period for further deliberation and constructive consultation, in any event with the shareholders(s) concerned, and shall explore the alternatives. At the end of the response time, the management board shall report on this consultation and the exploration of alternatives to the general meeting. This shall be supervised by our supervisory board. The response period may be invoked only once for any given general meeting and shall not apply: (a) in respect of a matter for which a response period or a statutory cooling-off period (as discussed below) has been previously invoked; or (b) if a shareholder holds at least 75% of the company’s issued share capital as a consequence of a successful public bid. The response period may also be invoked in response to shareholders or others with meeting rights under Dutch law requesting that a general meeting be convened, as described above.</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Moreover, our management board, with the approval of our supervisory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management board members or supervisory board members (or to amend any provision in our Articles of Association dealing with those matters) or when a public offer for our company is made or announced without our support, provided, in each case, that our management board believes that such proposal or offer materially conflicts with the interests of our company and its business. During a cooling-off period, our general meeting cannot dismiss, suspend or appoint management board members and supervisory board members (or amend the provisions in our Articles of Association dealing with those matters) except at the proposal of our management board. During a cooling-off period, our management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management board must publish a report in respect of its policy and conduct of affairs during the cooling-off period on our website. This report must remain available for inspection by shareholders and others with meeting rights under Dutch law at our office and must be tabled for discussion at the next general meeting. Shareholders representing at least 3% of our issued share capital may request the Enterprise Chamber of the Amsterdam Court of Appeal, or the Enterprise Chamber (Ondernemingskamer), for early termination of the cooling-off period. The Enterprise Chamber must rule in favor of the request if the shareholders can demonstrate that:</w:t>
      </w:r>
    </w:p>
    <w:p>
      <w:pPr>
        <w:pStyle w:val="TextBody"/>
        <w:bidi w:val="0"/>
        <w:spacing w:before="0" w:after="0"/>
        <w:ind w:left="0" w:right="0" w:firstLine="36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our management board, in light of the circumstances at hand when the cooling-off period was invoked, could not reasonably have concluded that the relevant proposal or hostile offer constituted a material conflict with the interests of our company and its business;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our management board cannot reasonably believe that a continuation of the cooling-off period would contribute to careful policy-making; or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tc>
      </w:tr>
    </w:tbl>
    <w:p>
      <w:pPr>
        <w:pStyle w:val="TextBody"/>
        <w:bidi w:val="0"/>
        <w:spacing w:before="0" w:after="0"/>
        <w:jc w:val="left"/>
        <w:rPr/>
      </w:pPr>
      <w:r>
        <w:rPr/>
        <w:t> </w:t>
      </w:r>
    </w:p>
    <w:p>
      <w:pPr>
        <w:pStyle w:val="TextBody"/>
        <w:bidi w:val="0"/>
        <w:spacing w:before="0" w:after="0"/>
        <w:ind w:left="0" w:right="0" w:firstLine="360"/>
        <w:jc w:val="left"/>
        <w:rPr>
          <w:sz w:val="20"/>
        </w:rPr>
      </w:pPr>
      <w:r>
        <w:rPr>
          <w:sz w:val="20"/>
        </w:rPr>
        <w:t>The general meeting is presided over by the chairperson of the supervisory board. If no chairperson has been elected or if he or she is not present at the meeting, the general meeting shall be presided over by another supervisory board member present at the meeting. If no supervisory board member is present, the meeting shall be presided over by our CEO. If the CEO is not present at the meeting, the general meeting shall be presided over by another management board member present at the meeting. If no management board member is present at the meeting, the general meeting shall be presided over by any other person appointed by the general meeting. In each case, the person who should chair the general meeting pursuant to the rules described above may appoint another person to chair the general meeting instead. Management board members and supervisory board members may always attend a general meeting. In these meetings, they have an advisory vote. The chairman of the meeting may decide, at his or her discretion, to admit other persons to the meeting.</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All shareholders and others with meeting rights under Dutch law are authorized to attend the general meeting, to address the meeting and, insofar as they have such right, to vote pro rata to the total nominal value of his or her shareholding. Shareholders may exercise these rights, if they are the holders of shares on the record date, if any, as required by Dutch law, which is currently the 28th day before the day of the general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shd w:fill="FFFFFF" w:val="clear"/>
        </w:rPr>
      </w:pPr>
      <w:r>
        <w:rPr>
          <w:sz w:val="20"/>
          <w:shd w:fill="FFFFFF" w:val="clear"/>
        </w:rPr>
        <w:t>Each ordinary share confers the right on the holder to cast one vote at the general meeting and each high voting share confers the right on the holder to cast twenty-five votes at the general meeting. Each preferred share confers the right to cast 30,000 votes at a general meeting. Shareholders may vote by proxy. No votes may be cast at a general meeting on shares held by us or our subsidiaries or on shares for which we or our subsidiaries hold depository receipts. Nonetheless, the holders of a right of usufruct (</w:t>
      </w:r>
      <w:r>
        <w:rPr>
          <w:i/>
          <w:sz w:val="20"/>
          <w:shd w:fill="FFFFFF" w:val="clear"/>
        </w:rPr>
        <w:t>vruchtgebruik</w:t>
      </w:r>
      <w:r>
        <w:rPr>
          <w:sz w:val="20"/>
          <w:shd w:fill="FFFFFF" w:val="clear"/>
        </w:rPr>
        <w:t>) and the holders of a right of pledge (</w:t>
      </w:r>
      <w:r>
        <w:rPr>
          <w:i/>
          <w:sz w:val="20"/>
          <w:shd w:fill="FFFFFF" w:val="clear"/>
        </w:rPr>
        <w:t>pandrecht</w:t>
      </w:r>
      <w:r>
        <w:rPr>
          <w:sz w:val="20"/>
          <w:shd w:fill="FFFFFF" w:val="clear"/>
        </w:rPr>
        <w:t>) in respect of shares held by us or our subsidiaries in our share capital are not excluded from the right to vote on such shares, if the right of usufruct (</w:t>
      </w:r>
      <w:r>
        <w:rPr>
          <w:i/>
          <w:sz w:val="20"/>
          <w:shd w:fill="FFFFFF" w:val="clear"/>
        </w:rPr>
        <w:t>vruchtgebruik</w:t>
      </w:r>
      <w:r>
        <w:rPr>
          <w:sz w:val="20"/>
          <w:shd w:fill="FFFFFF" w:val="clear"/>
        </w:rPr>
        <w:t>) or the right of pledge (</w:t>
      </w:r>
      <w:r>
        <w:rPr>
          <w:i/>
          <w:sz w:val="20"/>
          <w:shd w:fill="FFFFFF" w:val="clear"/>
        </w:rPr>
        <w:t>pandrecht</w:t>
      </w:r>
      <w:r>
        <w:rPr>
          <w:sz w:val="20"/>
          <w:shd w:fill="FFFFFF" w:val="clear"/>
        </w:rPr>
        <w:t>) was granted prior to the time such shares were acquired by us or any of our subsidiaries. Neither we nor any of our subsidiaries may cast votes in respect of a share on which we or such subsidiary holds a right of usufruct (</w:t>
      </w:r>
      <w:r>
        <w:rPr>
          <w:i/>
          <w:sz w:val="20"/>
          <w:shd w:fill="FFFFFF" w:val="clear"/>
        </w:rPr>
        <w:t>vruchtgebruik</w:t>
      </w:r>
      <w:r>
        <w:rPr>
          <w:sz w:val="20"/>
          <w:shd w:fill="FFFFFF" w:val="clear"/>
        </w:rPr>
        <w:t>) or a right of pledge (</w:t>
      </w:r>
      <w:r>
        <w:rPr>
          <w:i/>
          <w:sz w:val="20"/>
          <w:shd w:fill="FFFFFF" w:val="clear"/>
        </w:rPr>
        <w:t>pandrecht</w:t>
      </w:r>
      <w:r>
        <w:rPr>
          <w:sz w:val="20"/>
          <w:shd w:fill="FFFFFF" w:val="clear"/>
        </w:rPr>
        <w:t>). Shares which are not entitled to voting rights pursuant to the preceding sentences will not be taken into account for the purpose of determining the number of shareholders that vote and that are present or represented, or the amount of the share capital that is provided or that is represented at a general meeting.</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shd w:fill="FFFFFF" w:val="clear"/>
        </w:rPr>
      </w:pPr>
      <w:r>
        <w:rPr>
          <w:sz w:val="20"/>
          <w:shd w:fill="FFFFFF" w:val="clear"/>
        </w:rPr>
        <w:t>Decisions of the general meeting are taken by a simple majority of votes cast in a meeting where at least one third of the entire issued share capital is represented, except where Dutch law or our Articles of Association provide for a qualified majority or unanimity.</w:t>
      </w:r>
    </w:p>
    <w:p>
      <w:pPr>
        <w:pStyle w:val="TextBody"/>
        <w:bidi w:val="0"/>
        <w:spacing w:before="0" w:after="0"/>
        <w:ind w:left="0" w:right="0" w:firstLine="36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Dividends and Other Distributions</w:t>
      </w:r>
    </w:p>
    <w:p>
      <w:pPr>
        <w:pStyle w:val="TextBody"/>
        <w:bidi w:val="0"/>
        <w:spacing w:before="0" w:after="0"/>
        <w:ind w:left="0" w:right="0" w:hanging="0"/>
        <w:jc w:val="left"/>
        <w:rPr/>
      </w:pPr>
      <w:r>
        <w:rPr/>
        <w:t> </w:t>
      </w:r>
    </w:p>
    <w:p>
      <w:pPr>
        <w:pStyle w:val="TextBody"/>
        <w:bidi w:val="0"/>
        <w:spacing w:before="0" w:after="0"/>
        <w:ind w:left="0" w:right="0" w:hanging="0"/>
        <w:jc w:val="left"/>
        <w:rPr>
          <w:i/>
          <w:sz w:val="20"/>
        </w:rPr>
      </w:pPr>
      <w:r>
        <w:rPr>
          <w:i/>
          <w:sz w:val="20"/>
        </w:rPr>
        <w:t>Dividends</w:t>
      </w:r>
    </w:p>
    <w:p>
      <w:pPr>
        <w:pStyle w:val="TextBody"/>
        <w:bidi w:val="0"/>
        <w:spacing w:before="0" w:after="0"/>
        <w:ind w:left="0" w:right="0" w:hanging="0"/>
        <w:jc w:val="left"/>
        <w:rPr/>
      </w:pPr>
      <w:r>
        <w:rPr/>
        <w:t> </w:t>
      </w:r>
    </w:p>
    <w:p>
      <w:pPr>
        <w:pStyle w:val="TextBody"/>
        <w:bidi w:val="0"/>
        <w:spacing w:before="0" w:after="0"/>
        <w:ind w:left="0" w:right="0" w:firstLine="360"/>
        <w:jc w:val="left"/>
        <w:rPr>
          <w:sz w:val="20"/>
        </w:rPr>
      </w:pPr>
      <w:r>
        <w:rPr>
          <w:sz w:val="20"/>
        </w:rPr>
        <w:t>We may only make distributions, whether a distribution of profits or of freely distributable reserves, to our shareholders to the extent our shareholders’ equity (eigen vermogen) exceeds the sum of the paid-in and called-up share capital plus any reserves required by Dutch law or by our Articles of Association. Under our Articles of Association, our management board may decide that all or part of the profits are carried to reserves. After reservation by the management board of any profit, any remaining profit will be at the disposal of the general meeting for distribution, subject to restrictions of Dutch law and approval by our supervisory board.</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We only make a distribution to our shareholders after the adoption of our annual accounts demonstrating that such distribution is legally permitted. The management board is permitted, subject to certain requirements, to declare interim distributions without the approval of the general meeting, but only with the approval of the supervisory board.</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Dividends and other distributions shall be made payable not later than the date determined by the management board. Claims to dividends and other distributions not made within five years from the date that such dividends or distributions became payable will lapse and any such amounts will be considered to have been forfeited to us (verjaring).</w:t>
      </w:r>
    </w:p>
    <w:p>
      <w:pPr>
        <w:pStyle w:val="TextBody"/>
        <w:bidi w:val="0"/>
        <w:spacing w:before="0" w:after="0"/>
        <w:ind w:left="0" w:right="0" w:firstLine="360"/>
        <w:jc w:val="left"/>
        <w:rPr/>
      </w:pPr>
      <w:r>
        <w:rPr/>
        <w:t> </w:t>
      </w:r>
    </w:p>
    <w:p>
      <w:pPr>
        <w:pStyle w:val="TextBody"/>
        <w:bidi w:val="0"/>
        <w:spacing w:before="0" w:after="0"/>
        <w:ind w:left="0" w:right="0" w:hanging="0"/>
        <w:jc w:val="left"/>
        <w:rPr>
          <w:i/>
          <w:sz w:val="20"/>
        </w:rPr>
      </w:pPr>
      <w:r>
        <w:rPr>
          <w:i/>
          <w:sz w:val="20"/>
        </w:rPr>
        <w:t>Exchange Controls</w:t>
      </w:r>
    </w:p>
    <w:p>
      <w:pPr>
        <w:pStyle w:val="TextBody"/>
        <w:bidi w:val="0"/>
        <w:spacing w:before="0" w:after="0"/>
        <w:ind w:left="0" w:right="0" w:hanging="0"/>
        <w:jc w:val="left"/>
        <w:rPr/>
      </w:pPr>
      <w:r>
        <w:rPr/>
        <w:t> </w:t>
      </w:r>
    </w:p>
    <w:p>
      <w:pPr>
        <w:pStyle w:val="TextBody"/>
        <w:bidi w:val="0"/>
        <w:spacing w:before="0" w:after="0"/>
        <w:ind w:left="0" w:right="0" w:firstLine="360"/>
        <w:jc w:val="left"/>
        <w:rPr>
          <w:sz w:val="20"/>
        </w:rPr>
      </w:pPr>
      <w:r>
        <w:rPr>
          <w:sz w:val="20"/>
        </w:rPr>
        <w:t>Under Dutch law, there are no exchange controls applicable to the transfer to persons outside of the Netherlands of dividends or other distributions with respect to, or of the proceeds from the sale of, shares of a Dutch company, albeit those transfers being subject to applicable restrictions under trade and economic sanctions and measures, including those concerning export control, pursuant to European Union regulations, the Sanctions Act 1977 (Sanctiewet 1977) or other legislation, applicable anti-boycott regulations, applicable anti-money-laundering regulations and similar rules and provided that, under circumstances, such dividends or other distributions must be reported to the Dutch Central Bank for statistical purposes. There are no special restrictions in the Articles of Association or Dutch law that limit the right of shareholders who are not citizens or residents of the Netherlands to hold or vote shares.</w:t>
      </w:r>
    </w:p>
    <w:p>
      <w:pPr>
        <w:pStyle w:val="TextBody"/>
        <w:bidi w:val="0"/>
        <w:spacing w:before="0" w:after="0"/>
        <w:ind w:left="0" w:right="0" w:firstLine="360"/>
        <w:jc w:val="left"/>
        <w:rPr/>
      </w:pPr>
      <w:r>
        <w:rPr/>
        <w:t> </w:t>
      </w:r>
    </w:p>
    <w:p>
      <w:pPr>
        <w:pStyle w:val="TextBody"/>
        <w:bidi w:val="0"/>
        <w:spacing w:before="0" w:after="0"/>
        <w:ind w:left="0" w:right="0" w:hanging="0"/>
        <w:jc w:val="left"/>
        <w:rPr>
          <w:i/>
          <w:sz w:val="20"/>
        </w:rPr>
      </w:pPr>
      <w:r>
        <w:rPr>
          <w:i/>
          <w:sz w:val="20"/>
        </w:rPr>
        <w:t>Squeeze-Out Procedures</w:t>
      </w:r>
    </w:p>
    <w:p>
      <w:pPr>
        <w:pStyle w:val="TextBody"/>
        <w:bidi w:val="0"/>
        <w:spacing w:before="0" w:after="0"/>
        <w:ind w:left="0" w:right="0" w:hanging="0"/>
        <w:jc w:val="left"/>
        <w:rPr/>
      </w:pPr>
      <w:r>
        <w:rPr/>
        <w:t> </w:t>
      </w:r>
    </w:p>
    <w:p>
      <w:pPr>
        <w:pStyle w:val="TextBody"/>
        <w:bidi w:val="0"/>
        <w:spacing w:before="0" w:after="0"/>
        <w:ind w:left="0" w:right="0" w:firstLine="360"/>
        <w:jc w:val="left"/>
        <w:rPr>
          <w:sz w:val="20"/>
        </w:rPr>
      </w:pPr>
      <w:r>
        <w:rPr>
          <w:sz w:val="20"/>
        </w:rPr>
        <w:t>A shareholder who holds at least 95% of our issued share capital for his or her own account, alone or together with group companies, may initiate proceedings against the other shareholders jointly for the transfer of their shares to such shareholder. The proceedings are held before the Enterprise Chamber and can be instituted by means of a writ of summons served upon each of the other shareholders in accordance with the provisions of the Dutch Code of Civil Procedure (Wetboek van Burgerlijke Rechtsvordering). The Enterprise Chamber may grant the claim for squeeze-out in relation to the other shareholders and will determine the price to be paid for the shares, if necessary, after appointment of one or three experts who will offer an opinion to the Enterprise Chamber on the value to be paid for the shares of the other shareholders. Once the order to transfer becomes final before the Enterprise Chamber, the person acquiring the shares shall give written notice of the date and place of payment and the price to the holders of the shares to be acquired whose addresses are known to him. Unless the addresses of all of them are known to the acquiring person, such person is required to publish the same in a daily newspaper with a national circulation.</w:t>
      </w:r>
    </w:p>
    <w:p>
      <w:pPr>
        <w:pStyle w:val="TextBody"/>
        <w:bidi w:val="0"/>
        <w:spacing w:before="0" w:after="0"/>
        <w:ind w:left="0" w:right="0" w:firstLine="360"/>
        <w:jc w:val="left"/>
        <w:rPr/>
      </w:pPr>
      <w:r>
        <w:rPr/>
        <w:t> </w:t>
      </w:r>
    </w:p>
    <w:p>
      <w:pPr>
        <w:pStyle w:val="TextBody"/>
        <w:bidi w:val="0"/>
        <w:spacing w:before="0" w:after="0"/>
        <w:ind w:left="0" w:right="0" w:hanging="0"/>
        <w:jc w:val="left"/>
        <w:rPr>
          <w:i/>
          <w:sz w:val="20"/>
        </w:rPr>
      </w:pPr>
      <w:r>
        <w:rPr>
          <w:i/>
          <w:sz w:val="20"/>
        </w:rPr>
        <w:t>Dissolution and Liquidation</w:t>
      </w:r>
    </w:p>
    <w:p>
      <w:pPr>
        <w:pStyle w:val="TextBody"/>
        <w:bidi w:val="0"/>
        <w:spacing w:before="0" w:after="0"/>
        <w:ind w:left="0" w:right="0" w:hanging="0"/>
        <w:jc w:val="left"/>
        <w:rPr/>
      </w:pPr>
      <w:r>
        <w:rPr/>
        <w:t> </w:t>
      </w:r>
    </w:p>
    <w:p>
      <w:pPr>
        <w:pStyle w:val="TextBody"/>
        <w:bidi w:val="0"/>
        <w:spacing w:before="0" w:after="0"/>
        <w:ind w:left="0" w:right="0" w:firstLine="360"/>
        <w:jc w:val="left"/>
        <w:rPr>
          <w:sz w:val="20"/>
        </w:rPr>
      </w:pPr>
      <w:r>
        <w:rPr>
          <w:sz w:val="20"/>
        </w:rPr>
        <w:t>Under our Articles of Association, we may be dissolved by a resolution of the general meeting, subject to a proposal of the management board approved by our supervisory board. In the event of a dissolution, the liquidation shall be effected by the management board, under supervision of our supervisory board, unless the general meeting decides otherwise. During liquidation, the provisions of our Articles of Association will remain in force as far as possible. To the extent that any assets remain after payment of all debts, those remaining assets shall be distributed to our shareholders in proportion to their number of shares.</w:t>
      </w:r>
    </w:p>
    <w:p>
      <w:pPr>
        <w:pStyle w:val="TextBody"/>
        <w:bidi w:val="0"/>
        <w:spacing w:before="0" w:after="0"/>
        <w:ind w:left="0" w:right="0" w:firstLine="360"/>
        <w:jc w:val="left"/>
        <w:rPr/>
      </w:pPr>
      <w:r>
        <w:rPr/>
        <w:t> </w:t>
      </w:r>
    </w:p>
    <w:p>
      <w:pPr>
        <w:pStyle w:val="TextBody"/>
        <w:bidi w:val="0"/>
        <w:spacing w:before="0" w:after="0"/>
        <w:ind w:left="0" w:right="0" w:hanging="0"/>
        <w:jc w:val="left"/>
        <w:rPr>
          <w:b/>
          <w:sz w:val="20"/>
        </w:rPr>
      </w:pPr>
      <w:r>
        <w:rPr>
          <w:b/>
          <w:sz w:val="20"/>
        </w:rPr>
        <w:t>Provisions Impacting any Change of Control</w:t>
      </w:r>
    </w:p>
    <w:p>
      <w:pPr>
        <w:pStyle w:val="TextBody"/>
        <w:bidi w:val="0"/>
        <w:spacing w:before="0" w:after="0"/>
        <w:ind w:left="0" w:right="0" w:hanging="0"/>
        <w:jc w:val="left"/>
        <w:rPr/>
      </w:pPr>
      <w:r>
        <w:rPr/>
        <w:t> </w:t>
      </w:r>
    </w:p>
    <w:p>
      <w:pPr>
        <w:pStyle w:val="TextBody"/>
        <w:bidi w:val="0"/>
        <w:spacing w:before="0" w:after="0"/>
        <w:ind w:left="0" w:right="0" w:firstLine="360"/>
        <w:jc w:val="left"/>
        <w:rPr>
          <w:sz w:val="20"/>
        </w:rPr>
      </w:pPr>
      <w:r>
        <w:rPr>
          <w:sz w:val="20"/>
        </w:rPr>
        <w:t>Under Dutch law, various protective measures are possible and permissible within the boundaries set by Dutch law and Dutch case law. In this respect, certain provisions of our Articles of Association may make it more difficult for a third party to acquire control of us or effect a change in our management board and supervisory board. These provisions include:</w:t>
      </w:r>
    </w:p>
    <w:p>
      <w:pPr>
        <w:pStyle w:val="TextBody"/>
        <w:bidi w:val="0"/>
        <w:spacing w:before="0" w:after="0"/>
        <w:ind w:left="0" w:right="0" w:firstLine="36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w:t>
            </w:r>
            <w:r>
              <w:rPr>
                <w:shd w:fill="FFFFFF" w:val="clear"/>
              </w:rPr>
              <w:t xml:space="preserve"> multi-class share structure, which consists of Ordinary Shares, High Voting Shares and Preferred Shares, with Ordinary Shares carrying one vote per share, High Voting Shares carrying 25 votes per share and Preferred Shares carrying 30,000 votes;</w:t>
            </w:r>
          </w:p>
        </w:tc>
      </w:tr>
    </w:tbl>
    <w:p>
      <w:pPr>
        <w:pStyle w:val="TextBody"/>
        <w:bidi w:val="0"/>
        <w:spacing w:before="0" w:after="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44"/>
        <w:gridCol w:w="147"/>
        <w:gridCol w:w="10014"/>
      </w:tblGrid>
      <w:tr>
        <w:trPr/>
        <w:tc>
          <w:tcPr>
            <w:tcW w:w="4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rFonts w:ascii="Symbol" w:hAnsi="Symbol"/>
              </w:rPr>
            </w:pPr>
            <w:r>
              <w:rPr>
                <w:rFonts w:ascii="Symbol" w:hAnsi="Symbol"/>
              </w:rPr>
              <w:t>·</w:t>
            </w:r>
          </w:p>
        </w:tc>
        <w:tc>
          <w:tcPr>
            <w:tcW w:w="10014" w:type="dxa"/>
            <w:tcBorders/>
            <w:vAlign w:val="center"/>
          </w:tcPr>
          <w:p>
            <w:pPr>
              <w:pStyle w:val="TableContents"/>
              <w:bidi w:val="0"/>
              <w:spacing w:before="0" w:after="283"/>
              <w:jc w:val="left"/>
              <w:rPr/>
            </w:pPr>
            <w:r>
              <w:rPr/>
              <w:t>t</w:t>
            </w:r>
            <w:r>
              <w:rPr>
                <w:shd w:fill="FFFFFF" w:val="clear"/>
              </w:rPr>
              <w:t>he High Voting Shares and the Preferred Shares are not being listed on a stock exchange</w:t>
            </w:r>
            <w:r>
              <w:rPr/>
              <w: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 provision that our management board members and the supervisory board members are appointed on the basis of a binding nomination prepared by our supervisory board which can only be overruled by a two-thirds majority of votes cast representing more than half of our issued share capital;</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 provision that our management board members and the supervisory board members may only be dismissed by the general meeting by a two-thirds majority of votes cast representing more than half of our issued share capital (unless the dismissal is proposed by the supervisory board in which case a simple majority of the votes cast would be sufficient);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 provision allowing, among other matters, the former chairperson of our supervisory board to manage our affairs if all of our supervisory board members are removed from office and to appoint others to be charged with the supervision of our affairs, until new supervisory board members are appointed by the general meeting on the basis of the binding nominations discussed above; and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 requirement that certain matters, including an amendment of our Articles of Association, may only be brought to our general meeting for a vote upon a proposal by our management board with the approval of our supervisory board.</w:t>
            </w:r>
          </w:p>
        </w:tc>
      </w:tr>
    </w:tbl>
    <w:p>
      <w:pPr>
        <w:pStyle w:val="TextBody"/>
        <w:bidi w:val="0"/>
        <w:spacing w:before="0" w:after="0"/>
        <w:jc w:val="left"/>
        <w:rPr/>
      </w:pPr>
      <w:r>
        <w:rPr/>
        <w:t> </w:t>
      </w:r>
    </w:p>
    <w:p>
      <w:pPr>
        <w:pStyle w:val="TextBody"/>
        <w:bidi w:val="0"/>
        <w:spacing w:before="0" w:after="0"/>
        <w:ind w:left="0" w:right="0" w:firstLine="360"/>
        <w:jc w:val="left"/>
        <w:rPr>
          <w:sz w:val="20"/>
        </w:rPr>
      </w:pPr>
      <w:r>
        <w:rPr>
          <w:sz w:val="20"/>
        </w:rPr>
        <w:t>In addition, Dutch law allows for staggered multi-year terms of our management board members and supervisory board members, as a result of which only part of our management board members and supervisory board members may be subject to appointment or re-appointment in any one year.</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In accordance with the DCGC and our Articles of Association, shareholders having the right to put an item on the agenda under the rules described above shall exercise such right only after consulting the management board in that respect. If one or more shareholders intend to request that an item be put on the agenda that may result in a change in the company’s strategy (for example, the removal of management board members or supervisory board members), the management board must be given the opportunity to invoke a reasonable period to respond to such intention. Such period shall not exceed 180 days (or such other period as may be stipulated for such purpose by Dutch law and/or the DCGC from time to time). If invoked, the management board must use such response period for further deliberation and constructive consultation, in any event with the shareholders(s) concerned, and shall explore the alternatives. At the end of the response time, the management board shall report on this consultation and the exploration of alternatives to the general meeting. This shall be supervised by our supervisory board. The response period may be invoked only once for any given general meeting and shall not apply: (a) in respect of a matter for which a response period or a statutory cooling-off period (as discussed below) has been previously invoked; or (b) if a shareholder holds at least 75% of the Company’s issued share capital as a consequence of a successful public bid. The response period may also be invoked in response to shareholders or others with meeting rights under Dutch law requesting that a general meeting be convened, as described above.</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Moreover, our management board, with the approval of our supervisory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management board members or supervisory board members (or to amend any provision in our Articles of Association dealing with those matters) or when a public offer for our company is made or announced without our support, provided, in each case, that our management board believes that such proposal or offer materially conflicts with the interests of our company and its business. During a cooling-off period, our general meeting cannot dismiss, suspend or appoint management board members and supervisory board members (or amend the provisions in our Articles of Association dealing with those matters) except at the proposal of our management board. During a cooling-off period, our management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management board must publish a report in respect of its policy and conduct of affairs during the cooling-off period on our website. This report must remain available for inspection by shareholders and others with meeting rights under Dutch law at our office and must be tabled for discussion at the next general meeting. Shareholders representing at least 3% of our issued share capital may request the Enterprise Chamber of the Amsterdam Court of Appeal, or the Enterprise Chamber (Ondernemingskamer), for early termination of the cooling-off period. The Enterprise Chamber must rule in favor of the request if the shareholders can demonstrate that:</w:t>
      </w:r>
    </w:p>
    <w:p>
      <w:pPr>
        <w:pStyle w:val="TextBody"/>
        <w:bidi w:val="0"/>
        <w:spacing w:before="0" w:after="0"/>
        <w:ind w:left="0" w:right="0" w:firstLine="36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our management board, in light of the circumstances at hand when the cooling-off period was invoked, could not reasonably have concluded that the relevant proposal or hostile offer constituted a material conflict with the interests of our company and its business;</w:t>
            </w:r>
          </w:p>
        </w:tc>
      </w:tr>
    </w:tbl>
    <w:p>
      <w:pPr>
        <w:pStyle w:val="TextBody"/>
        <w:bidi w:val="0"/>
        <w:spacing w:before="0" w:after="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our management board cannot reasonably believe that a continuation of the cooling-off period would contribute to careful policy-making; or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tc>
      </w:tr>
    </w:tbl>
    <w:p>
      <w:pPr>
        <w:pStyle w:val="TextBody"/>
        <w:bidi w:val="0"/>
        <w:spacing w:before="0" w:after="0"/>
        <w:jc w:val="left"/>
        <w:rPr/>
      </w:pPr>
      <w:r>
        <w:rPr/>
        <w:t> </w:t>
      </w:r>
    </w:p>
    <w:p>
      <w:pPr>
        <w:pStyle w:val="TextBody"/>
        <w:bidi w:val="0"/>
        <w:spacing w:before="0" w:after="0"/>
        <w:ind w:left="0" w:right="0" w:hanging="0"/>
        <w:jc w:val="left"/>
        <w:rPr>
          <w:b/>
          <w:sz w:val="20"/>
        </w:rPr>
      </w:pPr>
      <w:r>
        <w:rPr>
          <w:b/>
          <w:sz w:val="20"/>
        </w:rPr>
        <w:t>Limitations on Liability and Indemnification of Officers and Directors</w:t>
      </w:r>
    </w:p>
    <w:p>
      <w:pPr>
        <w:pStyle w:val="TextBody"/>
        <w:bidi w:val="0"/>
        <w:spacing w:before="0" w:after="0"/>
        <w:ind w:left="0" w:right="0" w:hanging="0"/>
        <w:jc w:val="left"/>
        <w:rPr/>
      </w:pPr>
      <w:r>
        <w:rPr/>
        <w:t> </w:t>
      </w:r>
    </w:p>
    <w:p>
      <w:pPr>
        <w:pStyle w:val="TextBody"/>
        <w:bidi w:val="0"/>
        <w:spacing w:before="0" w:after="0"/>
        <w:ind w:left="0" w:right="0" w:firstLine="360"/>
        <w:jc w:val="left"/>
        <w:rPr>
          <w:sz w:val="20"/>
        </w:rPr>
      </w:pPr>
      <w:r>
        <w:rPr>
          <w:sz w:val="20"/>
        </w:rPr>
        <w:t>Pursuant to the Articles of Association, Sono N.V. will indemnify its managing directors and supervisory directors from any financial losses or damages and any expenses reasonably paid or incurred by such managing director or supervisory director in connection with any legal proceedings in which such managing director or supervisory director becomes involved.</w:t>
      </w:r>
    </w:p>
    <w:p>
      <w:pPr>
        <w:pStyle w:val="TextBody"/>
        <w:bidi w:val="0"/>
        <w:spacing w:before="0" w:after="0"/>
        <w:ind w:left="0" w:right="0" w:firstLine="360"/>
        <w:jc w:val="left"/>
        <w:rPr/>
      </w:pPr>
      <w:r>
        <w:rPr/>
        <w:t> </w:t>
      </w:r>
    </w:p>
    <w:p>
      <w:pPr>
        <w:pStyle w:val="TextBody"/>
        <w:bidi w:val="0"/>
        <w:spacing w:before="0" w:after="0"/>
        <w:ind w:left="0" w:right="0" w:hanging="0"/>
        <w:jc w:val="left"/>
        <w:rPr>
          <w:b/>
          <w:sz w:val="20"/>
        </w:rPr>
      </w:pPr>
      <w:r>
        <w:rPr>
          <w:b/>
          <w:sz w:val="20"/>
        </w:rPr>
        <w:t xml:space="preserve">Dissenters’ Rights of Appraisal </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shd w:fill="FFFFFF" w:val="clear"/>
        </w:rPr>
        <w:t xml:space="preserve">Under </w:t>
      </w:r>
      <w:r>
        <w:rPr>
          <w:sz w:val="20"/>
        </w:rPr>
        <w:t>article 2:333h of the Dutch Civil Code</w:t>
      </w:r>
      <w:r>
        <w:rPr>
          <w:sz w:val="20"/>
          <w:shd w:fill="FFFFFF" w:val="clear"/>
        </w:rPr>
        <w:t>, with certain exceptions, registered shareholders who vote against a cross-border merger will have statutory appraisal rights in connection with such transaction. However, Dutch law does not provide statutory appraisal or dissenters’ rights for shareholders in purely domestic mergers.</w:t>
      </w:r>
    </w:p>
    <w:p>
      <w:pPr>
        <w:pStyle w:val="TextBody"/>
        <w:bidi w:val="0"/>
        <w:spacing w:before="0" w:after="0"/>
        <w:ind w:left="0" w:right="0" w:firstLine="360"/>
        <w:jc w:val="left"/>
        <w:rPr/>
      </w:pPr>
      <w:r>
        <w:rPr/>
        <w:t> </w:t>
      </w:r>
    </w:p>
    <w:p>
      <w:pPr>
        <w:pStyle w:val="TextBody"/>
        <w:bidi w:val="0"/>
        <w:spacing w:before="0" w:after="0"/>
        <w:ind w:left="0" w:right="0" w:hanging="0"/>
        <w:jc w:val="left"/>
        <w:rPr>
          <w:b/>
          <w:sz w:val="20"/>
        </w:rPr>
      </w:pPr>
      <w:r>
        <w:rPr>
          <w:b/>
          <w:sz w:val="20"/>
        </w:rPr>
        <w:t>Shareholders’ Derivative Actions</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Dutch law does not provide for derivative suits. As such, individual shareholders do not have a general right to bring an action on behalf of the Company.</w:t>
      </w:r>
    </w:p>
    <w:p>
      <w:pPr>
        <w:pStyle w:val="TextBody"/>
        <w:bidi w:val="0"/>
        <w:spacing w:before="0" w:after="0"/>
        <w:ind w:left="0" w:right="0" w:firstLine="360"/>
        <w:jc w:val="left"/>
        <w:rPr/>
      </w:pPr>
      <w:r>
        <w:rPr/>
        <w:t> </w:t>
      </w:r>
    </w:p>
    <w:p>
      <w:pPr>
        <w:pStyle w:val="TextBody"/>
        <w:bidi w:val="0"/>
        <w:spacing w:before="0" w:after="0"/>
        <w:ind w:left="0" w:right="0" w:hanging="0"/>
        <w:jc w:val="left"/>
        <w:rPr>
          <w:b/>
          <w:sz w:val="20"/>
        </w:rPr>
      </w:pPr>
      <w:r>
        <w:rPr>
          <w:b/>
          <w:sz w:val="20"/>
        </w:rPr>
        <w:t>Transfer Agent and Warrant Agent</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The transfer agent and registrar for our capital stock is Equiniti Trust Company, LLC.</w:t>
      </w:r>
    </w:p>
    <w:p>
      <w:pPr>
        <w:pStyle w:val="TextBody"/>
        <w:bidi w:val="0"/>
        <w:spacing w:before="0" w:after="0"/>
        <w:ind w:left="0" w:right="0" w:firstLine="360"/>
        <w:jc w:val="left"/>
        <w:rPr/>
      </w:pPr>
      <w:r>
        <w:rPr/>
        <w:t> </w:t>
      </w:r>
    </w:p>
    <w:p>
      <w:pPr>
        <w:pStyle w:val="TextBody"/>
        <w:bidi w:val="0"/>
        <w:spacing w:before="0" w:after="0"/>
        <w:ind w:left="0" w:right="0" w:hanging="0"/>
        <w:jc w:val="left"/>
        <w:rPr>
          <w:b/>
          <w:sz w:val="20"/>
        </w:rPr>
      </w:pPr>
      <w:r>
        <w:rPr>
          <w:b/>
          <w:sz w:val="20"/>
        </w:rPr>
        <w:t>Listing of Ordinary Shares</w:t>
      </w:r>
    </w:p>
    <w:p>
      <w:pPr>
        <w:pStyle w:val="TextBody"/>
        <w:bidi w:val="0"/>
        <w:spacing w:before="0" w:after="0"/>
        <w:ind w:left="0" w:right="0" w:hanging="0"/>
        <w:jc w:val="left"/>
        <w:rPr/>
      </w:pPr>
      <w:r>
        <w:rPr/>
        <w:t> </w:t>
      </w:r>
    </w:p>
    <w:p>
      <w:pPr>
        <w:pStyle w:val="TextBody"/>
        <w:bidi w:val="0"/>
        <w:spacing w:before="0" w:after="0"/>
        <w:ind w:left="0" w:right="0" w:firstLine="360"/>
        <w:jc w:val="left"/>
        <w:rPr>
          <w:sz w:val="20"/>
        </w:rPr>
      </w:pPr>
      <w:r>
        <w:rPr>
          <w:sz w:val="20"/>
        </w:rPr>
        <w:t>Our Ordinary Shares trade on the Nasdaq-CM under the ticker symbol “SSM</w:t>
      </w:r>
      <w:r>
        <w:rPr>
          <w:sz w:val="20"/>
          <w:shd w:fill="FFFFFF" w:val="clear"/>
        </w:rPr>
        <w: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22" w:name="a_008"/>
      <w:bookmarkEnd w:id="22"/>
      <w:r>
        <w:rPr>
          <w:b/>
          <w:sz w:val="20"/>
        </w:rPr>
        <w:t>DESCRIPTION OF DEBT SECURITIES</w:t>
      </w:r>
    </w:p>
    <w:p>
      <w:pPr>
        <w:pStyle w:val="TextBody"/>
        <w:bidi w:val="0"/>
        <w:spacing w:before="0" w:after="0"/>
        <w:ind w:left="0" w:right="0" w:hanging="0"/>
        <w:jc w:val="center"/>
        <w:rPr/>
      </w:pPr>
      <w:r>
        <w:rPr/>
        <w:t> </w:t>
      </w:r>
    </w:p>
    <w:p>
      <w:pPr>
        <w:pStyle w:val="TextBody"/>
        <w:bidi w:val="0"/>
        <w:spacing w:before="0" w:after="0"/>
        <w:ind w:left="0" w:right="0" w:firstLine="360"/>
        <w:jc w:val="left"/>
        <w:rPr>
          <w:sz w:val="20"/>
        </w:rPr>
      </w:pPr>
      <w:r>
        <w:rPr>
          <w:sz w:val="20"/>
        </w:rPr>
        <w:t xml:space="preserve">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 </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We will issue the debt securities under the indenture that we will enter into with the trustee named in the indenture. The indenture will be qualified under the Trust Indenture Act of 1939, as amended (the “</w:t>
      </w:r>
      <w:r>
        <w:rPr>
          <w:b/>
          <w:i/>
          <w:sz w:val="20"/>
        </w:rPr>
        <w:t>Trust Indenture Act</w:t>
      </w:r>
      <w:r>
        <w:rPr>
          <w:sz w:val="20"/>
        </w:rPr>
        <w:t xml:space="preserve">”).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pStyle w:val="TextBody"/>
        <w:bidi w:val="0"/>
        <w:spacing w:before="0" w:after="0"/>
        <w:ind w:left="0" w:right="0" w:firstLine="360"/>
        <w:jc w:val="left"/>
        <w:rPr/>
      </w:pPr>
      <w:r>
        <w:rPr/>
        <w:t> </w:t>
      </w:r>
    </w:p>
    <w:p>
      <w:pPr>
        <w:pStyle w:val="TextBody"/>
        <w:bidi w:val="0"/>
        <w:spacing w:before="0" w:after="0"/>
        <w:ind w:left="0" w:right="0" w:hanging="0"/>
        <w:jc w:val="left"/>
        <w:rPr>
          <w:b/>
          <w:sz w:val="20"/>
        </w:rPr>
      </w:pPr>
      <w:r>
        <w:rPr>
          <w:b/>
          <w:sz w:val="20"/>
        </w:rPr>
        <w:t xml:space="preserve">General </w:t>
      </w:r>
    </w:p>
    <w:p>
      <w:pPr>
        <w:pStyle w:val="TextBody"/>
        <w:bidi w:val="0"/>
        <w:spacing w:before="0" w:after="0"/>
        <w:ind w:left="0" w:right="0" w:hanging="0"/>
        <w:jc w:val="left"/>
        <w:rPr/>
      </w:pPr>
      <w:r>
        <w:rPr/>
        <w:t> </w:t>
      </w:r>
    </w:p>
    <w:p>
      <w:pPr>
        <w:pStyle w:val="TextBody"/>
        <w:bidi w:val="0"/>
        <w:spacing w:before="0" w:after="0"/>
        <w:ind w:left="0" w:right="0" w:firstLine="360"/>
        <w:jc w:val="left"/>
        <w:rPr>
          <w:sz w:val="20"/>
        </w:rPr>
      </w:pPr>
      <w:r>
        <w:rPr>
          <w:sz w:val="20"/>
        </w:rPr>
        <w:t xml:space="preserve">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w:t>
      </w:r>
      <w:r>
        <w:rPr>
          <w:b/>
          <w:i/>
          <w:sz w:val="20"/>
        </w:rPr>
        <w:t>OID</w:t>
      </w:r>
      <w:r>
        <w:rPr>
          <w:sz w:val="20"/>
        </w:rPr>
        <w:t xml:space="preserve">”)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 </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We will describe in the applicable prospectus supplement the terms of the series of debt securities being offered, including:</w:t>
      </w:r>
    </w:p>
    <w:p>
      <w:pPr>
        <w:pStyle w:val="TextBody"/>
        <w:bidi w:val="0"/>
        <w:spacing w:before="0" w:after="0"/>
        <w:ind w:left="0" w:right="0" w:firstLine="360"/>
        <w:jc w:val="left"/>
        <w:rPr/>
      </w:pPr>
      <w:r>
        <w:rPr/>
        <w:t> </w:t>
      </w:r>
    </w:p>
    <w:tbl>
      <w:tblPr>
        <w:tblW w:w="5000" w:type="pct"/>
        <w:jc w:val="left"/>
        <w:tblInd w:w="0" w:type="dxa"/>
        <w:tblLayout w:type="fixed"/>
        <w:tblCellMar>
          <w:top w:w="0" w:type="dxa"/>
          <w:left w:w="0" w:type="dxa"/>
          <w:bottom w:w="0" w:type="dxa"/>
          <w:right w:w="0" w:type="dxa"/>
        </w:tblCellMar>
      </w:tblPr>
      <w:tblGrid>
        <w:gridCol w:w="100"/>
        <w:gridCol w:w="332"/>
        <w:gridCol w:w="9773"/>
      </w:tblGrid>
      <w:tr>
        <w:trPr/>
        <w:tc>
          <w:tcPr>
            <w:tcW w:w="10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rFonts w:ascii="Symbol" w:hAnsi="Symbol"/>
              </w:rPr>
            </w:pPr>
            <w:r>
              <w:rPr>
                <w:rFonts w:ascii="Symbol" w:hAnsi="Symbol"/>
              </w:rPr>
              <w:t>·</w:t>
            </w:r>
          </w:p>
        </w:tc>
        <w:tc>
          <w:tcPr>
            <w:tcW w:w="9773" w:type="dxa"/>
            <w:tcBorders/>
            <w:vAlign w:val="center"/>
          </w:tcPr>
          <w:p>
            <w:pPr>
              <w:pStyle w:val="TableContents"/>
              <w:bidi w:val="0"/>
              <w:spacing w:before="0" w:after="283"/>
              <w:jc w:val="left"/>
              <w:rPr/>
            </w:pPr>
            <w:r>
              <w:rPr/>
              <w:t xml:space="preserve">the title of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9"/>
        <w:gridCol w:w="198"/>
        <w:gridCol w:w="9948"/>
      </w:tblGrid>
      <w:tr>
        <w:trPr/>
        <w:tc>
          <w:tcPr>
            <w:tcW w:w="5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Symbol" w:hAnsi="Symbol"/>
              </w:rPr>
            </w:pPr>
            <w:r>
              <w:rPr>
                <w:rFonts w:ascii="Symbol" w:hAnsi="Symbol"/>
              </w:rPr>
              <w:t>·</w:t>
            </w:r>
          </w:p>
        </w:tc>
        <w:tc>
          <w:tcPr>
            <w:tcW w:w="9948" w:type="dxa"/>
            <w:tcBorders/>
            <w:vAlign w:val="center"/>
          </w:tcPr>
          <w:p>
            <w:pPr>
              <w:pStyle w:val="TableContents"/>
              <w:bidi w:val="0"/>
              <w:spacing w:before="0" w:after="283"/>
              <w:jc w:val="left"/>
              <w:rPr/>
            </w:pPr>
            <w:r>
              <w:rPr/>
              <w:t xml:space="preserve">any limit upon the aggregate principal amount that may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4"/>
        <w:gridCol w:w="474"/>
        <w:gridCol w:w="9587"/>
      </w:tblGrid>
      <w:tr>
        <w:trPr/>
        <w:tc>
          <w:tcPr>
            <w:tcW w:w="14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rFonts w:ascii="Symbol" w:hAnsi="Symbol"/>
              </w:rPr>
            </w:pPr>
            <w:r>
              <w:rPr>
                <w:rFonts w:ascii="Symbol" w:hAnsi="Symbol"/>
              </w:rPr>
              <w:t>·</w:t>
            </w:r>
          </w:p>
        </w:tc>
        <w:tc>
          <w:tcPr>
            <w:tcW w:w="9587" w:type="dxa"/>
            <w:tcBorders/>
            <w:vAlign w:val="center"/>
          </w:tcPr>
          <w:p>
            <w:pPr>
              <w:pStyle w:val="TableContents"/>
              <w:bidi w:val="0"/>
              <w:spacing w:before="0" w:after="283"/>
              <w:jc w:val="left"/>
              <w:rPr/>
            </w:pPr>
            <w:r>
              <w:rPr/>
              <w:t xml:space="preserve">the maturity date or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0"/>
        <w:gridCol w:w="297"/>
        <w:gridCol w:w="9818"/>
      </w:tblGrid>
      <w:tr>
        <w:trPr/>
        <w:tc>
          <w:tcPr>
            <w:tcW w:w="9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rFonts w:ascii="Symbol" w:hAnsi="Symbol"/>
              </w:rPr>
            </w:pPr>
            <w:r>
              <w:rPr>
                <w:rFonts w:ascii="Symbol" w:hAnsi="Symbol"/>
              </w:rPr>
              <w:t>·</w:t>
            </w:r>
          </w:p>
        </w:tc>
        <w:tc>
          <w:tcPr>
            <w:tcW w:w="9818" w:type="dxa"/>
            <w:tcBorders/>
            <w:vAlign w:val="center"/>
          </w:tcPr>
          <w:p>
            <w:pPr>
              <w:pStyle w:val="TableContents"/>
              <w:bidi w:val="0"/>
              <w:spacing w:before="0" w:after="283"/>
              <w:jc w:val="left"/>
              <w:rPr/>
            </w:pPr>
            <w:r>
              <w:rPr/>
              <w:t xml:space="preserve">the form of the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9"/>
        <w:gridCol w:w="360"/>
        <w:gridCol w:w="9736"/>
      </w:tblGrid>
      <w:tr>
        <w:trPr/>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rFonts w:ascii="Symbol" w:hAnsi="Symbol"/>
              </w:rPr>
            </w:pPr>
            <w:r>
              <w:rPr>
                <w:rFonts w:ascii="Symbol" w:hAnsi="Symbol"/>
              </w:rPr>
              <w:t>·</w:t>
            </w:r>
          </w:p>
        </w:tc>
        <w:tc>
          <w:tcPr>
            <w:tcW w:w="9736" w:type="dxa"/>
            <w:tcBorders/>
            <w:vAlign w:val="center"/>
          </w:tcPr>
          <w:p>
            <w:pPr>
              <w:pStyle w:val="TableContents"/>
              <w:bidi w:val="0"/>
              <w:spacing w:before="0" w:after="283"/>
              <w:jc w:val="left"/>
              <w:rPr/>
            </w:pPr>
            <w:r>
              <w:rPr/>
              <w:t xml:space="preserve">the applicability of any guarantees;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
        <w:gridCol w:w="135"/>
        <w:gridCol w:w="10030"/>
      </w:tblGrid>
      <w:tr>
        <w:trPr/>
        <w:tc>
          <w:tcPr>
            <w:tcW w:w="4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Symbol" w:hAnsi="Symbol"/>
              </w:rPr>
            </w:pPr>
            <w:r>
              <w:rPr>
                <w:rFonts w:ascii="Symbol" w:hAnsi="Symbol"/>
              </w:rPr>
              <w:t>·</w:t>
            </w:r>
          </w:p>
        </w:tc>
        <w:tc>
          <w:tcPr>
            <w:tcW w:w="10030" w:type="dxa"/>
            <w:tcBorders/>
            <w:vAlign w:val="center"/>
          </w:tcPr>
          <w:p>
            <w:pPr>
              <w:pStyle w:val="TableContents"/>
              <w:bidi w:val="0"/>
              <w:spacing w:before="0" w:after="283"/>
              <w:jc w:val="left"/>
              <w:rPr/>
            </w:pPr>
            <w:r>
              <w:rPr/>
              <w:t xml:space="preserve">whether or not the debt securities will be secured or unsecured, and the terms of any secured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whether the debt securities rank as senior debt, senior subordinated debt, subordinated debt or any combination thereof, and the terms of any subordination;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the interest rate or rates, which may be fixed or variable, or the method for determining the rate and the date interest will begin to accrue, the dates interest will be payable and the regular record dates for interest payment dates or the method for determining such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
        <w:gridCol w:w="135"/>
        <w:gridCol w:w="10030"/>
      </w:tblGrid>
      <w:tr>
        <w:trPr/>
        <w:tc>
          <w:tcPr>
            <w:tcW w:w="4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Symbol" w:hAnsi="Symbol"/>
              </w:rPr>
            </w:pPr>
            <w:r>
              <w:rPr>
                <w:rFonts w:ascii="Symbol" w:hAnsi="Symbol"/>
              </w:rPr>
              <w:t>·</w:t>
            </w:r>
          </w:p>
        </w:tc>
        <w:tc>
          <w:tcPr>
            <w:tcW w:w="10030" w:type="dxa"/>
            <w:tcBorders/>
            <w:vAlign w:val="center"/>
          </w:tcPr>
          <w:p>
            <w:pPr>
              <w:pStyle w:val="TableContents"/>
              <w:bidi w:val="0"/>
              <w:spacing w:before="0" w:after="283"/>
              <w:jc w:val="left"/>
              <w:rPr/>
            </w:pPr>
            <w:r>
              <w:rPr/>
              <w:t xml:space="preserve">our right, if any, to defer payment of interest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if applicable, the date or dates after which, or the period or periods during which, and the price or prices at which, we may, at our option, redeem the series of debt securities pursuant to any optional or provisional redemption provisions and the terms of those redemption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 </w:t>
            </w:r>
          </w:p>
        </w:tc>
      </w:tr>
    </w:tbl>
    <w:p>
      <w:pPr>
        <w:pStyle w:val="TextBody"/>
        <w:bidi w:val="0"/>
        <w:spacing w:before="0" w:after="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the denominations in which we will issue the series of debt securities,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if other than the full principal amount thereof, the portion of the principal amount of debt securities of the series which shall be payable upon declaration of acceleration of the maturity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additions to or changes in the covenants applicable to the particular debt securities being issued, including, among others, the consolidation, merger or sale covenant;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additions to or changes in the events of default with respect to the securities and any change in the right of the trustee or the holders to declare the principal, premium, if any, and interest, if any, with respect to such securities to be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additions to or changes in or deletions of the provisions relating to covenant defeasance and legal defeasance;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2"/>
        <w:gridCol w:w="139"/>
        <w:gridCol w:w="10024"/>
      </w:tblGrid>
      <w:tr>
        <w:trPr/>
        <w:tc>
          <w:tcPr>
            <w:tcW w:w="4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Symbol" w:hAnsi="Symbol"/>
              </w:rPr>
            </w:pPr>
            <w:r>
              <w:rPr>
                <w:rFonts w:ascii="Symbol" w:hAnsi="Symbol"/>
              </w:rPr>
              <w:t>·</w:t>
            </w:r>
          </w:p>
        </w:tc>
        <w:tc>
          <w:tcPr>
            <w:tcW w:w="10024" w:type="dxa"/>
            <w:tcBorders/>
            <w:vAlign w:val="center"/>
          </w:tcPr>
          <w:p>
            <w:pPr>
              <w:pStyle w:val="TableContents"/>
              <w:bidi w:val="0"/>
              <w:spacing w:before="0" w:after="283"/>
              <w:jc w:val="left"/>
              <w:rPr/>
            </w:pPr>
            <w:r>
              <w:rPr/>
              <w:t xml:space="preserve">additions to or changes in the provisions relating to satisfaction and discharge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additions to or changes in the provisions relating to the modification of the indenture both with and without the consent of holders of debt securities issued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the currency of payment of debt securities if other than U.S. dollars and the manner of determining the equivalent amount in U.S. dollars;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whether interest will be payable in cash or additional debt securities at our or the holders’ option and the terms and conditions upon which the election may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the terms and conditions, if any, upon which we will pay amounts in addition to the stated interest, premium, if any and principal amounts of the debt securities of the series to any holder that is not a “United States person” for federal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7"/>
        <w:gridCol w:w="156"/>
        <w:gridCol w:w="10002"/>
      </w:tblGrid>
      <w:tr>
        <w:trPr/>
        <w:tc>
          <w:tcPr>
            <w:tcW w:w="4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rFonts w:ascii="Symbol" w:hAnsi="Symbol"/>
              </w:rPr>
            </w:pPr>
            <w:r>
              <w:rPr>
                <w:rFonts w:ascii="Symbol" w:hAnsi="Symbol"/>
              </w:rPr>
              <w:t>·</w:t>
            </w:r>
          </w:p>
        </w:tc>
        <w:tc>
          <w:tcPr>
            <w:tcW w:w="10002" w:type="dxa"/>
            <w:tcBorders/>
            <w:vAlign w:val="center"/>
          </w:tcPr>
          <w:p>
            <w:pPr>
              <w:pStyle w:val="TableContents"/>
              <w:bidi w:val="0"/>
              <w:spacing w:before="0" w:after="283"/>
              <w:jc w:val="left"/>
              <w:rPr/>
            </w:pPr>
            <w:r>
              <w:rPr/>
              <w:t>any restrictions on transfer, sale or assignment of the debt securities of the series; and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any other specific terms, preferences, rights or limitations of, or restrictions on, the debt securities, any other additions or changes in the provisions of the indenture, and any terms that may be required by us or advisable under applicable laws or regulations. </w:t>
            </w:r>
          </w:p>
        </w:tc>
      </w:tr>
    </w:tbl>
    <w:p>
      <w:pPr>
        <w:pStyle w:val="TextBody"/>
        <w:bidi w:val="0"/>
        <w:spacing w:before="0" w:after="0"/>
        <w:jc w:val="left"/>
        <w:rPr/>
      </w:pPr>
      <w:r>
        <w:rPr/>
        <w:t> </w:t>
      </w:r>
    </w:p>
    <w:p>
      <w:pPr>
        <w:pStyle w:val="TextBody"/>
        <w:bidi w:val="0"/>
        <w:spacing w:before="0" w:after="0"/>
        <w:ind w:left="0" w:right="0" w:hanging="0"/>
        <w:jc w:val="left"/>
        <w:rPr>
          <w:b/>
          <w:sz w:val="20"/>
        </w:rPr>
      </w:pPr>
      <w:r>
        <w:rPr>
          <w:b/>
          <w:sz w:val="20"/>
        </w:rPr>
        <w:t xml:space="preserve">Conversion or Exchange Rights </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shd w:fill="FFFFFF" w:val="clear"/>
        </w:rPr>
      </w:pPr>
      <w:r>
        <w:rPr>
          <w:sz w:val="20"/>
          <w:shd w:fill="FFFFFF" w:val="clear"/>
        </w:rPr>
        <w:t>We will set forth in the applicable prospectus supplement the terms on which a series of debt securities may be convertible into or exchangeable for our Ordinary Shares or our other securities. We will include provisions as to settlement upon conversion or exchange and whether conversion or exchange is mandatory, at the option of the holder or at our option. We may include provisions pursuant to which the number of our Ordinary Shares or our other securities that the holders of the series of debt securities receive would be subject to adjustment.</w:t>
      </w:r>
    </w:p>
    <w:p>
      <w:pPr>
        <w:pStyle w:val="TextBody"/>
        <w:bidi w:val="0"/>
        <w:spacing w:before="0" w:after="0"/>
        <w:ind w:left="0" w:right="0" w:firstLine="360"/>
        <w:jc w:val="left"/>
        <w:rPr/>
      </w:pPr>
      <w:r>
        <w:rPr/>
        <w:t> </w:t>
      </w:r>
    </w:p>
    <w:p>
      <w:pPr>
        <w:pStyle w:val="TextBody"/>
        <w:bidi w:val="0"/>
        <w:spacing w:before="0" w:after="0"/>
        <w:ind w:left="0" w:right="0" w:hanging="0"/>
        <w:jc w:val="left"/>
        <w:rPr>
          <w:b/>
          <w:sz w:val="20"/>
        </w:rPr>
      </w:pPr>
      <w:r>
        <w:rPr>
          <w:b/>
          <w:sz w:val="20"/>
        </w:rPr>
        <w:t xml:space="preserve">Consolidation, Merger or Sale </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any subsidiary of ours) must assume all of our obligations under the indenture or the debt securities, as appropriate.</w:t>
      </w:r>
    </w:p>
    <w:p>
      <w:pPr>
        <w:pStyle w:val="TextBody"/>
        <w:bidi w:val="0"/>
        <w:spacing w:before="0" w:after="0"/>
        <w:ind w:left="0" w:right="0" w:firstLine="360"/>
        <w:jc w:val="left"/>
        <w:rPr/>
      </w:pPr>
      <w:r>
        <w:rPr/>
        <w:t> </w:t>
      </w:r>
    </w:p>
    <w:p>
      <w:pPr>
        <w:pStyle w:val="TextBody"/>
        <w:bidi w:val="0"/>
        <w:spacing w:before="0" w:after="0"/>
        <w:ind w:left="0" w:right="0" w:hanging="0"/>
        <w:jc w:val="left"/>
        <w:rPr>
          <w:b/>
          <w:sz w:val="20"/>
        </w:rPr>
      </w:pPr>
      <w:r>
        <w:rPr>
          <w:b/>
          <w:sz w:val="20"/>
        </w:rPr>
        <w:t xml:space="preserve">Events of Default under the Indenture </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Unless we provide otherwise in the prospectus supplement applicable to a particular series of debt securities, the following are events of default under the indenture with respect to any series of debt securities that we may issue:</w:t>
      </w:r>
    </w:p>
    <w:p>
      <w:pPr>
        <w:pStyle w:val="TextBody"/>
        <w:bidi w:val="0"/>
        <w:spacing w:before="0" w:after="0"/>
        <w:ind w:left="0" w:right="0" w:firstLine="36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 </w:t>
            </w:r>
          </w:p>
        </w:tc>
      </w:tr>
    </w:tbl>
    <w:p>
      <w:pPr>
        <w:pStyle w:val="TextBody"/>
        <w:bidi w:val="0"/>
        <w:spacing w:before="0" w:after="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7"/>
        <w:gridCol w:w="188"/>
        <w:gridCol w:w="9960"/>
      </w:tblGrid>
      <w:tr>
        <w:trPr/>
        <w:tc>
          <w:tcPr>
            <w:tcW w:w="5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Symbol" w:hAnsi="Symbol"/>
              </w:rPr>
            </w:pPr>
            <w:r>
              <w:rPr>
                <w:rFonts w:ascii="Symbol" w:hAnsi="Symbol"/>
              </w:rPr>
              <w:t>·</w:t>
            </w:r>
          </w:p>
        </w:tc>
        <w:tc>
          <w:tcPr>
            <w:tcW w:w="9960" w:type="dxa"/>
            <w:tcBorders/>
            <w:vAlign w:val="center"/>
          </w:tcPr>
          <w:p>
            <w:pPr>
              <w:pStyle w:val="TableContents"/>
              <w:bidi w:val="0"/>
              <w:spacing w:before="0" w:after="283"/>
              <w:jc w:val="left"/>
              <w:rPr/>
            </w:pPr>
            <w:r>
              <w:rPr/>
              <w:t xml:space="preserve">if specified events of bankruptcy, insolvency or reorganization occur. </w:t>
            </w:r>
          </w:p>
        </w:tc>
      </w:tr>
    </w:tbl>
    <w:p>
      <w:pPr>
        <w:pStyle w:val="TextBody"/>
        <w:bidi w:val="0"/>
        <w:spacing w:before="0" w:after="0"/>
        <w:jc w:val="left"/>
        <w:rPr/>
      </w:pPr>
      <w:r>
        <w:rPr/>
        <w:t> </w:t>
      </w:r>
    </w:p>
    <w:p>
      <w:pPr>
        <w:pStyle w:val="TextBody"/>
        <w:bidi w:val="0"/>
        <w:spacing w:before="0" w:after="0"/>
        <w:ind w:left="0" w:right="0" w:firstLine="360"/>
        <w:jc w:val="left"/>
        <w:rPr>
          <w:sz w:val="20"/>
        </w:rPr>
      </w:pPr>
      <w:r>
        <w:rPr>
          <w:sz w:val="20"/>
        </w:rPr>
        <w:t xml:space="preserve">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 </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 xml:space="preserve">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 </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pStyle w:val="TextBody"/>
        <w:bidi w:val="0"/>
        <w:spacing w:before="0" w:after="0"/>
        <w:ind w:left="0" w:right="0" w:firstLine="360"/>
        <w:jc w:val="left"/>
        <w:rPr/>
      </w:pPr>
      <w:r>
        <w:rPr/>
        <w:t> </w:t>
      </w:r>
    </w:p>
    <w:tbl>
      <w:tblPr>
        <w:tblW w:w="5000" w:type="pct"/>
        <w:jc w:val="left"/>
        <w:tblInd w:w="0" w:type="dxa"/>
        <w:tblLayout w:type="fixed"/>
        <w:tblCellMar>
          <w:top w:w="0" w:type="dxa"/>
          <w:left w:w="0" w:type="dxa"/>
          <w:bottom w:w="0" w:type="dxa"/>
          <w:right w:w="0" w:type="dxa"/>
        </w:tblCellMar>
      </w:tblPr>
      <w:tblGrid>
        <w:gridCol w:w="40"/>
        <w:gridCol w:w="135"/>
        <w:gridCol w:w="10030"/>
      </w:tblGrid>
      <w:tr>
        <w:trPr/>
        <w:tc>
          <w:tcPr>
            <w:tcW w:w="4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Symbol" w:hAnsi="Symbol"/>
              </w:rPr>
            </w:pPr>
            <w:r>
              <w:rPr>
                <w:rFonts w:ascii="Symbol" w:hAnsi="Symbol"/>
              </w:rPr>
              <w:t>·</w:t>
            </w:r>
          </w:p>
        </w:tc>
        <w:tc>
          <w:tcPr>
            <w:tcW w:w="10030" w:type="dxa"/>
            <w:tcBorders/>
            <w:vAlign w:val="center"/>
          </w:tcPr>
          <w:p>
            <w:pPr>
              <w:pStyle w:val="TableContents"/>
              <w:bidi w:val="0"/>
              <w:spacing w:before="0" w:after="283"/>
              <w:jc w:val="left"/>
              <w:rPr/>
            </w:pPr>
            <w:r>
              <w:rPr/>
              <w:t xml:space="preserve">the direction so given by the holder is not in conflict with any law or the applicable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subject to its duties under the Trust Indenture Act, the trustee need not take any action that might involve it in personal liability or might be unduly prejudicial to the holders not involved in the proceeding.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A holder of the debt securities of any series will have the right to institute a proceeding under the indenture or to appoint a receiver or trustee, or to seek other remedies only if: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the holder has given written notice to the trustee of a continuing event of default with respect to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the holders of at least 25% in aggregate principal amount of the outstanding debt securities of that series have made written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such holders have offered to the trustee indemnity satisfactory to it against the costs, expenses and liabilities to be incurred by the trustee in compliance with the request;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the trustee does not institute the proceeding, and does not receive from the holders of a majority in aggregate principal amount of the outstanding debt securities of that series other conflicting directions within 90 days after the notice, request and offer. </w:t>
            </w:r>
          </w:p>
        </w:tc>
      </w:tr>
    </w:tbl>
    <w:p>
      <w:pPr>
        <w:pStyle w:val="TextBody"/>
        <w:bidi w:val="0"/>
        <w:spacing w:before="0" w:after="0"/>
        <w:jc w:val="left"/>
        <w:rPr/>
      </w:pPr>
      <w:r>
        <w:rPr/>
        <w:t> </w:t>
      </w:r>
    </w:p>
    <w:p>
      <w:pPr>
        <w:pStyle w:val="TextBody"/>
        <w:bidi w:val="0"/>
        <w:spacing w:before="0" w:after="0"/>
        <w:ind w:left="0" w:right="0" w:firstLine="360"/>
        <w:jc w:val="left"/>
        <w:rPr>
          <w:sz w:val="20"/>
        </w:rPr>
      </w:pPr>
      <w:r>
        <w:rPr>
          <w:sz w:val="20"/>
        </w:rPr>
        <w:t>These limitations do not apply to a suit instituted by a holder of debt securities if we default in the payment of the principal, premium, if any, or interest on, the debt securities.</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We will periodically file statements with the trustee regarding our compliance with specified covenants in the indenture.</w:t>
      </w:r>
    </w:p>
    <w:p>
      <w:pPr>
        <w:pStyle w:val="TextBody"/>
        <w:bidi w:val="0"/>
        <w:spacing w:before="0" w:after="0"/>
        <w:ind w:left="0" w:right="0" w:firstLine="360"/>
        <w:jc w:val="left"/>
        <w:rPr/>
      </w:pPr>
      <w:r>
        <w:rPr/>
        <w:t> </w:t>
      </w:r>
    </w:p>
    <w:p>
      <w:pPr>
        <w:pStyle w:val="TextBody"/>
        <w:bidi w:val="0"/>
        <w:spacing w:before="0" w:after="0"/>
        <w:ind w:left="0" w:right="0" w:hanging="0"/>
        <w:jc w:val="left"/>
        <w:rPr>
          <w:b/>
          <w:sz w:val="20"/>
        </w:rPr>
      </w:pPr>
      <w:r>
        <w:rPr>
          <w:b/>
          <w:sz w:val="20"/>
        </w:rPr>
        <w:t>Modification of Indenture; Waiver</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We and the trustee may change an indenture without the consent of any holders with respect to specific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
        <w:gridCol w:w="131"/>
        <w:gridCol w:w="10034"/>
      </w:tblGrid>
      <w:tr>
        <w:trPr/>
        <w:tc>
          <w:tcPr>
            <w:tcW w:w="4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Symbol" w:hAnsi="Symbol"/>
              </w:rPr>
            </w:pPr>
            <w:r>
              <w:rPr>
                <w:rFonts w:ascii="Symbol" w:hAnsi="Symbol"/>
              </w:rPr>
              <w:t>·</w:t>
            </w:r>
          </w:p>
        </w:tc>
        <w:tc>
          <w:tcPr>
            <w:tcW w:w="10034" w:type="dxa"/>
            <w:tcBorders/>
            <w:vAlign w:val="center"/>
          </w:tcPr>
          <w:p>
            <w:pPr>
              <w:pStyle w:val="TableContents"/>
              <w:bidi w:val="0"/>
              <w:spacing w:before="0" w:after="283"/>
              <w:jc w:val="left"/>
              <w:rPr/>
            </w:pPr>
            <w:r>
              <w:rPr/>
              <w:t xml:space="preserve">to cure any ambiguity, defect or inconsistency in the indenture or in the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to comply with the provisions described above under “</w:t>
            </w:r>
            <w:r>
              <w:rPr>
                <w:i/>
              </w:rPr>
              <w:t>Description of Debt Securities - Consolidation, Merger or Sale</w:t>
            </w:r>
            <w:r>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
        <w:gridCol w:w="135"/>
        <w:gridCol w:w="10030"/>
      </w:tblGrid>
      <w:tr>
        <w:trPr/>
        <w:tc>
          <w:tcPr>
            <w:tcW w:w="4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Symbol" w:hAnsi="Symbol"/>
              </w:rPr>
            </w:pPr>
            <w:r>
              <w:rPr>
                <w:rFonts w:ascii="Symbol" w:hAnsi="Symbol"/>
              </w:rPr>
              <w:t>·</w:t>
            </w:r>
          </w:p>
        </w:tc>
        <w:tc>
          <w:tcPr>
            <w:tcW w:w="10030" w:type="dxa"/>
            <w:tcBorders/>
            <w:vAlign w:val="center"/>
          </w:tcPr>
          <w:p>
            <w:pPr>
              <w:pStyle w:val="TableContents"/>
              <w:bidi w:val="0"/>
              <w:spacing w:before="0" w:after="283"/>
              <w:jc w:val="left"/>
              <w:rPr/>
            </w:pPr>
            <w:r>
              <w:rPr/>
              <w:t xml:space="preserve">to provide for uncertificated debt securities in addition to or in place of certificated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 </w:t>
            </w:r>
          </w:p>
        </w:tc>
      </w:tr>
    </w:tbl>
    <w:p>
      <w:pPr>
        <w:pStyle w:val="TextBody"/>
        <w:bidi w:val="0"/>
        <w:spacing w:before="0" w:after="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to add to, delete from or revise the conditions, limitations, and restrictions on the authorized amount, terms, or purposes of issue, authentication and delivery of debt securities, as set forth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to make any change that does not adversely affect the interests of any holder of debt securities of any series in any material respect;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to provide for the issuance of and establish the form and terms and conditions of the debt securities of any series as provided above under “Description of Debt Securities - General” to establish the form of any certifications required to be furnished pursuant to the terms of the indenture or any series of debt securities, or to add to the rights of the holders of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 xml:space="preserve">to evidence and provide for the acceptance of appointment under any indenture by a successor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to comply with any requirements of the SEC in connection with the qualification of any indenture under the Trust Indenture Act. </w:t>
            </w:r>
          </w:p>
        </w:tc>
      </w:tr>
    </w:tbl>
    <w:p>
      <w:pPr>
        <w:pStyle w:val="TextBody"/>
        <w:bidi w:val="0"/>
        <w:spacing w:before="0" w:after="0"/>
        <w:jc w:val="left"/>
        <w:rPr/>
      </w:pPr>
      <w:r>
        <w:rPr/>
        <w:t> </w:t>
      </w:r>
    </w:p>
    <w:p>
      <w:pPr>
        <w:pStyle w:val="TextBody"/>
        <w:bidi w:val="0"/>
        <w:spacing w:before="0" w:after="0"/>
        <w:ind w:left="0" w:right="0" w:firstLine="360"/>
        <w:jc w:val="left"/>
        <w:rPr>
          <w:sz w:val="20"/>
        </w:rPr>
      </w:pPr>
      <w:r>
        <w:rPr>
          <w:sz w:val="20"/>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pStyle w:val="TextBody"/>
        <w:bidi w:val="0"/>
        <w:spacing w:before="0" w:after="0"/>
        <w:ind w:left="0" w:right="0" w:firstLine="360"/>
        <w:jc w:val="left"/>
        <w:rPr/>
      </w:pPr>
      <w:r>
        <w:rPr/>
        <w:t> </w:t>
      </w:r>
    </w:p>
    <w:tbl>
      <w:tblPr>
        <w:tblW w:w="5000" w:type="pct"/>
        <w:jc w:val="left"/>
        <w:tblInd w:w="0" w:type="dxa"/>
        <w:tblLayout w:type="fixed"/>
        <w:tblCellMar>
          <w:top w:w="0" w:type="dxa"/>
          <w:left w:w="0" w:type="dxa"/>
          <w:bottom w:w="0" w:type="dxa"/>
          <w:right w:w="0" w:type="dxa"/>
        </w:tblCellMar>
      </w:tblPr>
      <w:tblGrid>
        <w:gridCol w:w="61"/>
        <w:gridCol w:w="203"/>
        <w:gridCol w:w="9941"/>
      </w:tblGrid>
      <w:tr>
        <w:trPr/>
        <w:tc>
          <w:tcPr>
            <w:tcW w:w="6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Symbol" w:hAnsi="Symbol"/>
              </w:rPr>
            </w:pPr>
            <w:r>
              <w:rPr>
                <w:rFonts w:ascii="Symbol" w:hAnsi="Symbol"/>
              </w:rPr>
              <w:t>·</w:t>
            </w:r>
          </w:p>
        </w:tc>
        <w:tc>
          <w:tcPr>
            <w:tcW w:w="9941" w:type="dxa"/>
            <w:tcBorders/>
            <w:vAlign w:val="center"/>
          </w:tcPr>
          <w:p>
            <w:pPr>
              <w:pStyle w:val="TableContents"/>
              <w:bidi w:val="0"/>
              <w:spacing w:before="0" w:after="283"/>
              <w:jc w:val="left"/>
              <w:rPr/>
            </w:pPr>
            <w:r>
              <w:rPr/>
              <w:t xml:space="preserve">extending the fixed maturity of any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reducing the principal amount, reducing the rate of or extending the time of payment of interest, or reducing any premium payable upon the redemption of any series of any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reducing the percentage of debt securities, the holders of which are required to consent to any amendment, supplement, modification or waiver. </w:t>
            </w:r>
          </w:p>
        </w:tc>
      </w:tr>
    </w:tbl>
    <w:p>
      <w:pPr>
        <w:pStyle w:val="TextBody"/>
        <w:bidi w:val="0"/>
        <w:spacing w:before="0" w:after="0"/>
        <w:jc w:val="left"/>
        <w:rPr/>
      </w:pPr>
      <w:r>
        <w:rPr/>
        <w:t> </w:t>
      </w:r>
    </w:p>
    <w:p>
      <w:pPr>
        <w:pStyle w:val="TextBody"/>
        <w:bidi w:val="0"/>
        <w:spacing w:before="0" w:after="0"/>
        <w:ind w:left="0" w:right="0" w:hanging="0"/>
        <w:jc w:val="left"/>
        <w:rPr>
          <w:b/>
          <w:sz w:val="20"/>
        </w:rPr>
      </w:pPr>
      <w:r>
        <w:rPr>
          <w:b/>
          <w:sz w:val="20"/>
        </w:rPr>
        <w:t>Discharge</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Each indenture provides that we can elect to be discharged from our obligations with respect to one or more series of debt securities, except for specified obligations, including obligations to:</w:t>
      </w:r>
    </w:p>
    <w:p>
      <w:pPr>
        <w:pStyle w:val="TextBody"/>
        <w:bidi w:val="0"/>
        <w:spacing w:before="0" w:after="0"/>
        <w:ind w:left="0" w:right="0" w:firstLine="360"/>
        <w:jc w:val="left"/>
        <w:rPr/>
      </w:pPr>
      <w:r>
        <w:rPr/>
        <w:t> </w:t>
      </w:r>
    </w:p>
    <w:tbl>
      <w:tblPr>
        <w:tblW w:w="5000" w:type="pct"/>
        <w:jc w:val="left"/>
        <w:tblInd w:w="0" w:type="dxa"/>
        <w:tblLayout w:type="fixed"/>
        <w:tblCellMar>
          <w:top w:w="0" w:type="dxa"/>
          <w:left w:w="0" w:type="dxa"/>
          <w:bottom w:w="0" w:type="dxa"/>
          <w:right w:w="0" w:type="dxa"/>
        </w:tblCellMar>
      </w:tblPr>
      <w:tblGrid>
        <w:gridCol w:w="173"/>
        <w:gridCol w:w="570"/>
        <w:gridCol w:w="9462"/>
      </w:tblGrid>
      <w:tr>
        <w:trPr/>
        <w:tc>
          <w:tcPr>
            <w:tcW w:w="17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rFonts w:ascii="Symbol" w:hAnsi="Symbol"/>
              </w:rPr>
            </w:pPr>
            <w:r>
              <w:rPr>
                <w:rFonts w:ascii="Symbol" w:hAnsi="Symbol"/>
              </w:rPr>
              <w:t>·</w:t>
            </w:r>
          </w:p>
        </w:tc>
        <w:tc>
          <w:tcPr>
            <w:tcW w:w="9462" w:type="dxa"/>
            <w:tcBorders/>
            <w:vAlign w:val="center"/>
          </w:tcPr>
          <w:p>
            <w:pPr>
              <w:pStyle w:val="TableContents"/>
              <w:bidi w:val="0"/>
              <w:spacing w:before="0" w:after="283"/>
              <w:jc w:val="left"/>
              <w:rPr/>
            </w:pPr>
            <w:r>
              <w:rPr/>
              <w:t xml:space="preserve">provide for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2"/>
        <w:gridCol w:w="207"/>
        <w:gridCol w:w="9936"/>
      </w:tblGrid>
      <w:tr>
        <w:trPr/>
        <w:tc>
          <w:tcPr>
            <w:tcW w:w="6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Symbol" w:hAnsi="Symbol"/>
              </w:rPr>
            </w:pPr>
            <w:r>
              <w:rPr>
                <w:rFonts w:ascii="Symbol" w:hAnsi="Symbol"/>
              </w:rPr>
              <w:t>·</w:t>
            </w:r>
          </w:p>
        </w:tc>
        <w:tc>
          <w:tcPr>
            <w:tcW w:w="9936" w:type="dxa"/>
            <w:tcBorders/>
            <w:vAlign w:val="center"/>
          </w:tcPr>
          <w:p>
            <w:pPr>
              <w:pStyle w:val="TableContents"/>
              <w:bidi w:val="0"/>
              <w:spacing w:before="0" w:after="283"/>
              <w:jc w:val="left"/>
              <w:rPr/>
            </w:pPr>
            <w:r>
              <w:rPr/>
              <w:t xml:space="preserve">register the transfer or exchange of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6"/>
        <w:gridCol w:w="219"/>
        <w:gridCol w:w="9920"/>
      </w:tblGrid>
      <w:tr>
        <w:trPr/>
        <w:tc>
          <w:tcPr>
            <w:tcW w:w="6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Symbol" w:hAnsi="Symbol"/>
              </w:rPr>
            </w:pPr>
            <w:r>
              <w:rPr>
                <w:rFonts w:ascii="Symbol" w:hAnsi="Symbol"/>
              </w:rPr>
              <w:t>·</w:t>
            </w:r>
          </w:p>
        </w:tc>
        <w:tc>
          <w:tcPr>
            <w:tcW w:w="9920" w:type="dxa"/>
            <w:tcBorders/>
            <w:vAlign w:val="center"/>
          </w:tcPr>
          <w:p>
            <w:pPr>
              <w:pStyle w:val="TableContents"/>
              <w:bidi w:val="0"/>
              <w:spacing w:before="0" w:after="283"/>
              <w:jc w:val="left"/>
              <w:rPr/>
            </w:pPr>
            <w:r>
              <w:rPr/>
              <w:t xml:space="preserve">replace stolen, lost or mutilated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
        <w:gridCol w:w="169"/>
        <w:gridCol w:w="9985"/>
      </w:tblGrid>
      <w:tr>
        <w:trPr/>
        <w:tc>
          <w:tcPr>
            <w:tcW w:w="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Symbol" w:hAnsi="Symbol"/>
              </w:rPr>
            </w:pPr>
            <w:r>
              <w:rPr>
                <w:rFonts w:ascii="Symbol" w:hAnsi="Symbol"/>
              </w:rPr>
              <w:t>·</w:t>
            </w:r>
          </w:p>
        </w:tc>
        <w:tc>
          <w:tcPr>
            <w:tcW w:w="9985" w:type="dxa"/>
            <w:tcBorders/>
            <w:vAlign w:val="center"/>
          </w:tcPr>
          <w:p>
            <w:pPr>
              <w:pStyle w:val="TableContents"/>
              <w:bidi w:val="0"/>
              <w:spacing w:before="0" w:after="283"/>
              <w:jc w:val="left"/>
              <w:rPr/>
            </w:pPr>
            <w:r>
              <w:rPr/>
              <w:t xml:space="preserve">pay principal of and premium and interest on any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3"/>
        <w:gridCol w:w="472"/>
        <w:gridCol w:w="9590"/>
      </w:tblGrid>
      <w:tr>
        <w:trPr/>
        <w:tc>
          <w:tcPr>
            <w:tcW w:w="14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rFonts w:ascii="Symbol" w:hAnsi="Symbol"/>
              </w:rPr>
            </w:pPr>
            <w:r>
              <w:rPr>
                <w:rFonts w:ascii="Symbol" w:hAnsi="Symbol"/>
              </w:rPr>
              <w:t>·</w:t>
            </w:r>
          </w:p>
        </w:tc>
        <w:tc>
          <w:tcPr>
            <w:tcW w:w="9590" w:type="dxa"/>
            <w:tcBorders/>
            <w:vAlign w:val="center"/>
          </w:tcPr>
          <w:p>
            <w:pPr>
              <w:pStyle w:val="TableContents"/>
              <w:bidi w:val="0"/>
              <w:spacing w:before="0" w:after="283"/>
              <w:jc w:val="left"/>
              <w:rPr/>
            </w:pPr>
            <w:r>
              <w:rPr/>
              <w:t xml:space="preserve">maintain paying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4"/>
        <w:gridCol w:w="378"/>
        <w:gridCol w:w="9713"/>
      </w:tblGrid>
      <w:tr>
        <w:trPr/>
        <w:tc>
          <w:tcPr>
            <w:tcW w:w="11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rFonts w:ascii="Symbol" w:hAnsi="Symbol"/>
              </w:rPr>
            </w:pPr>
            <w:r>
              <w:rPr>
                <w:rFonts w:ascii="Symbol" w:hAnsi="Symbol"/>
              </w:rPr>
              <w:t>·</w:t>
            </w:r>
          </w:p>
        </w:tc>
        <w:tc>
          <w:tcPr>
            <w:tcW w:w="9713" w:type="dxa"/>
            <w:tcBorders/>
            <w:vAlign w:val="center"/>
          </w:tcPr>
          <w:p>
            <w:pPr>
              <w:pStyle w:val="TableContents"/>
              <w:bidi w:val="0"/>
              <w:spacing w:before="0" w:after="283"/>
              <w:jc w:val="left"/>
              <w:rPr/>
            </w:pPr>
            <w:r>
              <w:rPr/>
              <w:t xml:space="preserve">hold monies for payment in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2"/>
        <w:gridCol w:w="305"/>
        <w:gridCol w:w="9808"/>
      </w:tblGrid>
      <w:tr>
        <w:trPr/>
        <w:tc>
          <w:tcPr>
            <w:tcW w:w="9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Symbol" w:hAnsi="Symbol"/>
              </w:rPr>
            </w:pPr>
            <w:r>
              <w:rPr>
                <w:rFonts w:ascii="Symbol" w:hAnsi="Symbol"/>
              </w:rPr>
              <w:t>·</w:t>
            </w:r>
          </w:p>
        </w:tc>
        <w:tc>
          <w:tcPr>
            <w:tcW w:w="9808" w:type="dxa"/>
            <w:tcBorders/>
            <w:vAlign w:val="center"/>
          </w:tcPr>
          <w:p>
            <w:pPr>
              <w:pStyle w:val="TableContents"/>
              <w:bidi w:val="0"/>
              <w:spacing w:before="0" w:after="283"/>
              <w:jc w:val="left"/>
              <w:rPr/>
            </w:pPr>
            <w:r>
              <w:rPr/>
              <w:t xml:space="preserve">recover excess money held by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0"/>
        <w:gridCol w:w="298"/>
        <w:gridCol w:w="9817"/>
      </w:tblGrid>
      <w:tr>
        <w:trPr/>
        <w:tc>
          <w:tcPr>
            <w:tcW w:w="9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rFonts w:ascii="Symbol" w:hAnsi="Symbol"/>
              </w:rPr>
            </w:pPr>
            <w:r>
              <w:rPr>
                <w:rFonts w:ascii="Symbol" w:hAnsi="Symbol"/>
              </w:rPr>
              <w:t>·</w:t>
            </w:r>
          </w:p>
        </w:tc>
        <w:tc>
          <w:tcPr>
            <w:tcW w:w="9817" w:type="dxa"/>
            <w:tcBorders/>
            <w:vAlign w:val="center"/>
          </w:tcPr>
          <w:p>
            <w:pPr>
              <w:pStyle w:val="TableContents"/>
              <w:bidi w:val="0"/>
              <w:spacing w:before="0" w:after="283"/>
              <w:jc w:val="left"/>
              <w:rPr/>
            </w:pPr>
            <w:r>
              <w:rPr/>
              <w:t xml:space="preserve">compensate and indemnify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6"/>
        <w:gridCol w:w="416"/>
        <w:gridCol w:w="9663"/>
      </w:tblGrid>
      <w:tr>
        <w:trPr/>
        <w:tc>
          <w:tcPr>
            <w:tcW w:w="12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rFonts w:ascii="Symbol" w:hAnsi="Symbol"/>
              </w:rPr>
            </w:pPr>
            <w:r>
              <w:rPr>
                <w:rFonts w:ascii="Symbol" w:hAnsi="Symbol"/>
              </w:rPr>
              <w:t>·</w:t>
            </w:r>
          </w:p>
        </w:tc>
        <w:tc>
          <w:tcPr>
            <w:tcW w:w="9663" w:type="dxa"/>
            <w:tcBorders/>
            <w:vAlign w:val="center"/>
          </w:tcPr>
          <w:p>
            <w:pPr>
              <w:pStyle w:val="TableContents"/>
              <w:bidi w:val="0"/>
              <w:spacing w:before="0" w:after="283"/>
              <w:jc w:val="left"/>
              <w:rPr/>
            </w:pPr>
            <w:r>
              <w:rPr/>
              <w:t xml:space="preserve">appoint any successor trustee. </w:t>
            </w:r>
          </w:p>
        </w:tc>
      </w:tr>
    </w:tbl>
    <w:p>
      <w:pPr>
        <w:pStyle w:val="TextBody"/>
        <w:bidi w:val="0"/>
        <w:spacing w:before="0" w:after="0"/>
        <w:jc w:val="left"/>
        <w:rPr/>
      </w:pPr>
      <w:r>
        <w:rPr/>
        <w:t> </w:t>
      </w:r>
    </w:p>
    <w:p>
      <w:pPr>
        <w:pStyle w:val="TextBody"/>
        <w:bidi w:val="0"/>
        <w:spacing w:before="0" w:after="0"/>
        <w:ind w:left="0" w:right="0" w:firstLine="360"/>
        <w:jc w:val="left"/>
        <w:rPr>
          <w:sz w:val="20"/>
        </w:rPr>
      </w:pPr>
      <w:r>
        <w:rPr>
          <w:sz w:val="20"/>
        </w:rPr>
        <w:t>In order to exercise our rights to be discharged, we must deposit with the trustee money or government obligations sufficient to pay all the principal of, any premium, if any, and interest on, the debt securities of the series on the dates payments are due.</w:t>
      </w:r>
    </w:p>
    <w:p>
      <w:pPr>
        <w:pStyle w:val="TextBody"/>
        <w:bidi w:val="0"/>
        <w:spacing w:before="0" w:after="0"/>
        <w:ind w:left="0" w:right="0" w:firstLine="360"/>
        <w:jc w:val="left"/>
        <w:rPr/>
      </w:pPr>
      <w:r>
        <w:rPr/>
        <w:t> </w:t>
      </w:r>
    </w:p>
    <w:p>
      <w:pPr>
        <w:pStyle w:val="TextBody"/>
        <w:bidi w:val="0"/>
        <w:spacing w:before="0" w:after="0"/>
        <w:ind w:left="0" w:right="0" w:hanging="0"/>
        <w:jc w:val="left"/>
        <w:rPr>
          <w:b/>
          <w:sz w:val="20"/>
        </w:rPr>
      </w:pPr>
      <w:r>
        <w:rPr>
          <w:b/>
          <w:sz w:val="20"/>
        </w:rPr>
        <w:t xml:space="preserve">Form, Exchange and Transfer </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w:t>
      </w:r>
      <w:r>
        <w:rPr>
          <w:b/>
          <w:i/>
          <w:sz w:val="20"/>
        </w:rPr>
        <w:t>DTC</w:t>
      </w:r>
      <w:r>
        <w:rPr>
          <w:sz w:val="20"/>
        </w:rPr>
        <w:t xml:space="preserve">”)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 </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 xml:space="preserve">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 </w:t>
      </w:r>
    </w:p>
    <w:p>
      <w:pPr>
        <w:pStyle w:val="TextBody"/>
        <w:bidi w:val="0"/>
        <w:spacing w:before="0" w:after="0"/>
        <w:ind w:left="0" w:right="0" w:firstLine="36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left"/>
        <w:rPr>
          <w:sz w:val="20"/>
        </w:rPr>
      </w:pPr>
      <w:r>
        <w:rPr>
          <w:sz w:val="20"/>
        </w:rPr>
        <w:t xml:space="preserve">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 </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 xml:space="preserve">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If we elect to redeem the debt securities of any series, we will not be required to:</w:t>
      </w:r>
    </w:p>
    <w:p>
      <w:pPr>
        <w:pStyle w:val="TextBody"/>
        <w:bidi w:val="0"/>
        <w:spacing w:before="0" w:after="0"/>
        <w:ind w:left="0" w:right="0" w:firstLine="36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register the transfer of or exchange any debt securities so selected for redemption, in whole or in part, except the unredeemed portion of any debt securities we are redeeming in part. </w:t>
            </w:r>
          </w:p>
        </w:tc>
      </w:tr>
    </w:tbl>
    <w:p>
      <w:pPr>
        <w:pStyle w:val="TextBody"/>
        <w:bidi w:val="0"/>
        <w:spacing w:before="0" w:after="0"/>
        <w:jc w:val="left"/>
        <w:rPr/>
      </w:pPr>
      <w:r>
        <w:rPr/>
        <w:t> </w:t>
      </w:r>
    </w:p>
    <w:p>
      <w:pPr>
        <w:pStyle w:val="TextBody"/>
        <w:bidi w:val="0"/>
        <w:spacing w:before="0" w:after="0"/>
        <w:ind w:left="0" w:right="0" w:hanging="0"/>
        <w:jc w:val="left"/>
        <w:rPr>
          <w:b/>
          <w:sz w:val="20"/>
        </w:rPr>
      </w:pPr>
      <w:r>
        <w:rPr>
          <w:b/>
          <w:sz w:val="20"/>
        </w:rPr>
        <w:t xml:space="preserve">Information Concerning the Trustee </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pStyle w:val="TextBody"/>
        <w:bidi w:val="0"/>
        <w:spacing w:before="0" w:after="0"/>
        <w:ind w:left="0" w:right="0" w:firstLine="360"/>
        <w:jc w:val="left"/>
        <w:rPr/>
      </w:pPr>
      <w:r>
        <w:rPr/>
        <w:t> </w:t>
      </w:r>
    </w:p>
    <w:p>
      <w:pPr>
        <w:pStyle w:val="TextBody"/>
        <w:bidi w:val="0"/>
        <w:spacing w:before="0" w:after="0"/>
        <w:ind w:left="0" w:right="0" w:hanging="0"/>
        <w:jc w:val="left"/>
        <w:rPr>
          <w:b/>
          <w:sz w:val="20"/>
        </w:rPr>
      </w:pPr>
      <w:r>
        <w:rPr>
          <w:b/>
          <w:sz w:val="20"/>
        </w:rPr>
        <w:t xml:space="preserve">Payment and Paying Agents </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 xml:space="preserve">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 xml:space="preserve">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 </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pStyle w:val="TextBody"/>
        <w:bidi w:val="0"/>
        <w:spacing w:before="0" w:after="0"/>
        <w:ind w:left="0" w:right="0" w:firstLine="360"/>
        <w:jc w:val="left"/>
        <w:rPr/>
      </w:pPr>
      <w:r>
        <w:rPr/>
        <w:t> </w:t>
      </w:r>
    </w:p>
    <w:p>
      <w:pPr>
        <w:pStyle w:val="TextBody"/>
        <w:bidi w:val="0"/>
        <w:spacing w:before="0" w:after="0"/>
        <w:ind w:left="0" w:right="0" w:hanging="0"/>
        <w:jc w:val="left"/>
        <w:rPr>
          <w:b/>
          <w:sz w:val="20"/>
        </w:rPr>
      </w:pPr>
      <w:r>
        <w:rPr>
          <w:b/>
          <w:sz w:val="20"/>
        </w:rPr>
        <w:t xml:space="preserve">Governing Law </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The indenture and the debt securities will be governed by and construed in accordance with the laws of the State of New York, except to the extent that the Trust Indenture Act is applicable.</w:t>
      </w:r>
    </w:p>
    <w:p>
      <w:pPr>
        <w:pStyle w:val="TextBody"/>
        <w:bidi w:val="0"/>
        <w:spacing w:before="0" w:after="0"/>
        <w:ind w:left="0" w:right="0" w:hanging="0"/>
        <w:jc w:val="left"/>
        <w:rPr/>
      </w:pPr>
      <w:r>
        <w:rPr/>
        <w:t> </w:t>
      </w:r>
    </w:p>
    <w:p>
      <w:pPr>
        <w:pStyle w:val="TextBody"/>
        <w:bidi w:val="0"/>
        <w:spacing w:before="0" w:after="0"/>
        <w:ind w:left="0" w:right="0" w:hanging="0"/>
        <w:jc w:val="right"/>
        <w:rPr/>
      </w:pPr>
      <w:r>
        <w:rPr/>
        <w:t> </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23" w:name="a_009"/>
      <w:bookmarkEnd w:id="23"/>
      <w:r>
        <w:rPr>
          <w:b/>
          <w:sz w:val="20"/>
        </w:rPr>
        <w:t>DESCRIPTION OF WARRANTS</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 Following the description of the warrants that we may offer under this prospectus and the related warrant agreements and warrant certificates is a description of our outstanding warrants.</w:t>
      </w:r>
    </w:p>
    <w:p>
      <w:pPr>
        <w:pStyle w:val="TextBody"/>
        <w:bidi w:val="0"/>
        <w:spacing w:before="0" w:after="0"/>
        <w:ind w:left="0" w:right="0" w:firstLine="360"/>
        <w:jc w:val="left"/>
        <w:rPr/>
      </w:pPr>
      <w:r>
        <w:rPr/>
        <w:t> </w:t>
      </w:r>
    </w:p>
    <w:p>
      <w:pPr>
        <w:pStyle w:val="TextBody"/>
        <w:bidi w:val="0"/>
        <w:spacing w:before="0" w:after="0"/>
        <w:ind w:left="0" w:right="0" w:hanging="0"/>
        <w:jc w:val="left"/>
        <w:rPr>
          <w:b/>
          <w:sz w:val="20"/>
        </w:rPr>
      </w:pPr>
      <w:r>
        <w:rPr>
          <w:b/>
          <w:sz w:val="20"/>
        </w:rPr>
        <w:t xml:space="preserve">General </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shd w:fill="FFFFFF" w:val="clear"/>
        </w:rPr>
      </w:pPr>
      <w:r>
        <w:rPr>
          <w:sz w:val="20"/>
          <w:shd w:fill="FFFFFF" w:val="clear"/>
        </w:rPr>
        <w:t>We may issue warrants for the purchase of Ordinary Shares, Preferred Shares and/or debt securities in one or more series. We may issue warrants independently or together with Ordinary Shares, Preferred Shares and/or debt securities, and the warrants may be attached to or separate from these securities.</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We will describe in the applicable prospectus supplement the terms of the series of warrants, including:</w:t>
      </w:r>
    </w:p>
    <w:p>
      <w:pPr>
        <w:pStyle w:val="TextBody"/>
        <w:bidi w:val="0"/>
        <w:spacing w:before="0" w:after="0"/>
        <w:ind w:left="0" w:right="0" w:firstLine="360"/>
        <w:jc w:val="left"/>
        <w:rPr/>
      </w:pPr>
      <w:r>
        <w:rPr/>
        <w:t> </w:t>
      </w:r>
    </w:p>
    <w:tbl>
      <w:tblPr>
        <w:tblW w:w="5883" w:type="dxa"/>
        <w:jc w:val="left"/>
        <w:tblInd w:w="0" w:type="dxa"/>
        <w:tblLayout w:type="fixed"/>
        <w:tblCellMar>
          <w:top w:w="0" w:type="dxa"/>
          <w:left w:w="0" w:type="dxa"/>
          <w:bottom w:w="0" w:type="dxa"/>
          <w:right w:w="0" w:type="dxa"/>
        </w:tblCellMar>
      </w:tblPr>
      <w:tblGrid>
        <w:gridCol w:w="38"/>
        <w:gridCol w:w="110"/>
        <w:gridCol w:w="573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283"/>
              <w:jc w:val="both"/>
              <w:rPr/>
            </w:pPr>
            <w:r>
              <w:rPr/>
              <w:t>the offering price and aggregate number of warrants offered;</w:t>
            </w:r>
          </w:p>
        </w:tc>
      </w:tr>
    </w:tbl>
    <w:tbl>
      <w:tblPr>
        <w:tblW w:w="5373" w:type="dxa"/>
        <w:jc w:val="left"/>
        <w:tblInd w:w="0" w:type="dxa"/>
        <w:tblLayout w:type="fixed"/>
        <w:tblCellMar>
          <w:top w:w="0" w:type="dxa"/>
          <w:left w:w="0" w:type="dxa"/>
          <w:bottom w:w="0" w:type="dxa"/>
          <w:right w:w="0" w:type="dxa"/>
        </w:tblCellMar>
      </w:tblPr>
      <w:tblGrid>
        <w:gridCol w:w="38"/>
        <w:gridCol w:w="110"/>
        <w:gridCol w:w="522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283"/>
              <w:jc w:val="both"/>
              <w:rPr/>
            </w:pPr>
            <w:r>
              <w:rPr/>
              <w:t>the currency for which the warrants may be purchased;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if applicable, the designation and terms of the securities with which the warrants are issued and the number of warrants issued with each such security or each principal amount of such security;</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if applicable, the date on and after which the warrants and the related securities will be separately transferable;</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in the case of warrants to purchase debt securities, the principal amount of debt securities purchasable upon exercise of one warrant and the price at, and currency in which, this principal amount of debt securities may be purchased upon such exercise;</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i</w:t>
            </w:r>
            <w:r>
              <w:rPr>
                <w:shd w:fill="FFFFFF" w:val="clear"/>
              </w:rPr>
              <w:t>n the case of warrants to purchase Ordinary Shares or Preferred Shares, the number of shares of Ordinary Shares or Preferred Shares, as the case may be, purchasable upon the exercise of one warrant and the price at which these shares may be purchased upon such exercise;</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the effect of any merger, consolidation, sale or other disposition of our business on the warrant agreement and the warrants;</w:t>
            </w:r>
          </w:p>
        </w:tc>
      </w:tr>
    </w:tbl>
    <w:tbl>
      <w:tblPr>
        <w:tblW w:w="5193" w:type="dxa"/>
        <w:jc w:val="left"/>
        <w:tblInd w:w="0" w:type="dxa"/>
        <w:tblLayout w:type="fixed"/>
        <w:tblCellMar>
          <w:top w:w="0" w:type="dxa"/>
          <w:left w:w="0" w:type="dxa"/>
          <w:bottom w:w="0" w:type="dxa"/>
          <w:right w:w="0" w:type="dxa"/>
        </w:tblCellMar>
      </w:tblPr>
      <w:tblGrid>
        <w:gridCol w:w="38"/>
        <w:gridCol w:w="110"/>
        <w:gridCol w:w="504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5045" w:type="dxa"/>
            <w:tcBorders/>
            <w:vAlign w:val="center"/>
          </w:tcPr>
          <w:p>
            <w:pPr>
              <w:pStyle w:val="TableContents"/>
              <w:bidi w:val="0"/>
              <w:spacing w:before="0" w:after="283"/>
              <w:jc w:val="both"/>
              <w:rPr/>
            </w:pPr>
            <w:r>
              <w:rPr/>
              <w:t>the terms of any rights to redeem or call the warrants;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any provisions for changes to or adjustments in the exercise price or number of securities issuable upon exercise of the warrants;</w:t>
            </w:r>
          </w:p>
        </w:tc>
      </w:tr>
    </w:tbl>
    <w:tbl>
      <w:tblPr>
        <w:tblW w:w="7308" w:type="dxa"/>
        <w:jc w:val="left"/>
        <w:tblInd w:w="0" w:type="dxa"/>
        <w:tblLayout w:type="fixed"/>
        <w:tblCellMar>
          <w:top w:w="0" w:type="dxa"/>
          <w:left w:w="0" w:type="dxa"/>
          <w:bottom w:w="0" w:type="dxa"/>
          <w:right w:w="0" w:type="dxa"/>
        </w:tblCellMar>
      </w:tblPr>
      <w:tblGrid>
        <w:gridCol w:w="38"/>
        <w:gridCol w:w="110"/>
        <w:gridCol w:w="716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7160" w:type="dxa"/>
            <w:tcBorders/>
            <w:vAlign w:val="center"/>
          </w:tcPr>
          <w:p>
            <w:pPr>
              <w:pStyle w:val="TableContents"/>
              <w:bidi w:val="0"/>
              <w:spacing w:before="0" w:after="283"/>
              <w:jc w:val="both"/>
              <w:rPr/>
            </w:pPr>
            <w:r>
              <w:rPr/>
              <w:t>the periods during which, and places at which, the warrants are exercisable;</w:t>
            </w:r>
          </w:p>
        </w:tc>
      </w:tr>
    </w:tbl>
    <w:tbl>
      <w:tblPr>
        <w:tblW w:w="2373" w:type="dxa"/>
        <w:jc w:val="left"/>
        <w:tblInd w:w="0" w:type="dxa"/>
        <w:tblLayout w:type="fixed"/>
        <w:tblCellMar>
          <w:top w:w="0" w:type="dxa"/>
          <w:left w:w="0" w:type="dxa"/>
          <w:bottom w:w="0" w:type="dxa"/>
          <w:right w:w="0" w:type="dxa"/>
        </w:tblCellMar>
      </w:tblPr>
      <w:tblGrid>
        <w:gridCol w:w="38"/>
        <w:gridCol w:w="110"/>
        <w:gridCol w:w="222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both"/>
              <w:rPr/>
            </w:pPr>
            <w:r>
              <w:rPr/>
              <w:t>the manner of exercise;</w:t>
            </w:r>
          </w:p>
        </w:tc>
      </w:tr>
    </w:tbl>
    <w:tbl>
      <w:tblPr>
        <w:tblW w:w="7683" w:type="dxa"/>
        <w:jc w:val="left"/>
        <w:tblInd w:w="0" w:type="dxa"/>
        <w:tblLayout w:type="fixed"/>
        <w:tblCellMar>
          <w:top w:w="0" w:type="dxa"/>
          <w:left w:w="0" w:type="dxa"/>
          <w:bottom w:w="0" w:type="dxa"/>
          <w:right w:w="0" w:type="dxa"/>
        </w:tblCellMar>
      </w:tblPr>
      <w:tblGrid>
        <w:gridCol w:w="38"/>
        <w:gridCol w:w="110"/>
        <w:gridCol w:w="753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7535" w:type="dxa"/>
            <w:tcBorders/>
            <w:vAlign w:val="center"/>
          </w:tcPr>
          <w:p>
            <w:pPr>
              <w:pStyle w:val="TableContents"/>
              <w:bidi w:val="0"/>
              <w:spacing w:before="0" w:after="283"/>
              <w:jc w:val="both"/>
              <w:rPr/>
            </w:pPr>
            <w:r>
              <w:rPr/>
              <w:t>the dates on which the right to exercise the warrants will commence and expire;</w:t>
            </w:r>
          </w:p>
        </w:tc>
      </w:tr>
    </w:tbl>
    <w:tbl>
      <w:tblPr>
        <w:tblW w:w="7263" w:type="dxa"/>
        <w:jc w:val="left"/>
        <w:tblInd w:w="0" w:type="dxa"/>
        <w:tblLayout w:type="fixed"/>
        <w:tblCellMar>
          <w:top w:w="0" w:type="dxa"/>
          <w:left w:w="0" w:type="dxa"/>
          <w:bottom w:w="0" w:type="dxa"/>
          <w:right w:w="0" w:type="dxa"/>
        </w:tblCellMar>
      </w:tblPr>
      <w:tblGrid>
        <w:gridCol w:w="38"/>
        <w:gridCol w:w="110"/>
        <w:gridCol w:w="711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7115" w:type="dxa"/>
            <w:tcBorders/>
            <w:vAlign w:val="center"/>
          </w:tcPr>
          <w:p>
            <w:pPr>
              <w:pStyle w:val="TableContents"/>
              <w:bidi w:val="0"/>
              <w:spacing w:before="0" w:after="283"/>
              <w:jc w:val="both"/>
              <w:rPr/>
            </w:pPr>
            <w:r>
              <w:rPr/>
              <w:t>the manner in which the warrant agreement and warrants may be modified;</w:t>
            </w:r>
          </w:p>
        </w:tc>
      </w:tr>
    </w:tbl>
    <w:tbl>
      <w:tblPr>
        <w:tblW w:w="9258" w:type="dxa"/>
        <w:jc w:val="left"/>
        <w:tblInd w:w="0" w:type="dxa"/>
        <w:tblLayout w:type="fixed"/>
        <w:tblCellMar>
          <w:top w:w="0" w:type="dxa"/>
          <w:left w:w="0" w:type="dxa"/>
          <w:bottom w:w="0" w:type="dxa"/>
          <w:right w:w="0" w:type="dxa"/>
        </w:tblCellMar>
      </w:tblPr>
      <w:tblGrid>
        <w:gridCol w:w="38"/>
        <w:gridCol w:w="110"/>
        <w:gridCol w:w="911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both"/>
              <w:rPr/>
            </w:pPr>
            <w:r>
              <w:rPr/>
              <w:t xml:space="preserve">applicable material U.S. </w:t>
            </w:r>
            <w:r>
              <w:rPr>
                <w:shd w:fill="FFFFFF" w:val="clear"/>
              </w:rPr>
              <w:t xml:space="preserve">federal income tax consequences of holding or exercising the warrants; </w:t>
            </w:r>
          </w:p>
        </w:tc>
      </w:tr>
    </w:tbl>
    <w:tbl>
      <w:tblPr>
        <w:tblW w:w="6678" w:type="dxa"/>
        <w:jc w:val="left"/>
        <w:tblInd w:w="0" w:type="dxa"/>
        <w:tblLayout w:type="fixed"/>
        <w:tblCellMar>
          <w:top w:w="0" w:type="dxa"/>
          <w:left w:w="0" w:type="dxa"/>
          <w:bottom w:w="0" w:type="dxa"/>
          <w:right w:w="0" w:type="dxa"/>
        </w:tblCellMar>
      </w:tblPr>
      <w:tblGrid>
        <w:gridCol w:w="38"/>
        <w:gridCol w:w="110"/>
        <w:gridCol w:w="653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6530" w:type="dxa"/>
            <w:tcBorders/>
            <w:vAlign w:val="center"/>
          </w:tcPr>
          <w:p>
            <w:pPr>
              <w:pStyle w:val="TableContents"/>
              <w:bidi w:val="0"/>
              <w:spacing w:before="0" w:after="283"/>
              <w:jc w:val="both"/>
              <w:rPr/>
            </w:pPr>
            <w:r>
              <w:rPr/>
              <w:t>the terms of the securities issuable upon exercise of the warrants; and</w:t>
            </w:r>
          </w:p>
        </w:tc>
      </w:tr>
    </w:tbl>
    <w:tbl>
      <w:tblPr>
        <w:tblW w:w="8718" w:type="dxa"/>
        <w:jc w:val="left"/>
        <w:tblInd w:w="0" w:type="dxa"/>
        <w:tblLayout w:type="fixed"/>
        <w:tblCellMar>
          <w:top w:w="0" w:type="dxa"/>
          <w:left w:w="0" w:type="dxa"/>
          <w:bottom w:w="0" w:type="dxa"/>
          <w:right w:w="0" w:type="dxa"/>
        </w:tblCellMar>
      </w:tblPr>
      <w:tblGrid>
        <w:gridCol w:w="38"/>
        <w:gridCol w:w="110"/>
        <w:gridCol w:w="857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8570" w:type="dxa"/>
            <w:tcBorders/>
            <w:vAlign w:val="center"/>
          </w:tcPr>
          <w:p>
            <w:pPr>
              <w:pStyle w:val="TableContents"/>
              <w:bidi w:val="0"/>
              <w:spacing w:before="0" w:after="283"/>
              <w:jc w:val="both"/>
              <w:rPr/>
            </w:pPr>
            <w:r>
              <w:rPr/>
              <w:t>any other specific terms, preferences, rights or limitations of or restrictions on the warrants.</w:t>
            </w:r>
          </w:p>
        </w:tc>
      </w:tr>
    </w:tbl>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Outstanding Warrants</w:t>
      </w:r>
    </w:p>
    <w:p>
      <w:pPr>
        <w:pStyle w:val="TextBody"/>
        <w:bidi w:val="0"/>
        <w:spacing w:before="0" w:after="0"/>
        <w:ind w:left="0" w:right="0" w:firstLine="360"/>
        <w:jc w:val="left"/>
        <w:rPr/>
      </w:pPr>
      <w:r>
        <w:rPr/>
        <w:t> </w:t>
      </w:r>
    </w:p>
    <w:p>
      <w:pPr>
        <w:pStyle w:val="TextBody"/>
        <w:bidi w:val="0"/>
        <w:spacing w:before="0" w:after="0"/>
        <w:ind w:left="0" w:right="0" w:firstLine="360"/>
        <w:jc w:val="left"/>
        <w:rPr>
          <w:i/>
          <w:sz w:val="20"/>
        </w:rPr>
      </w:pPr>
      <w:r>
        <w:rPr>
          <w:i/>
          <w:sz w:val="20"/>
        </w:rPr>
        <w:t xml:space="preserve">Pre-Funded Warrant Private Placement </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On March 10, 2026, the Company and Yorkville entered into a Pre-Funded Warrant Securities Purchase Agreement, dated March 10, 2026 (the “</w:t>
      </w:r>
      <w:r>
        <w:rPr>
          <w:b/>
          <w:i/>
          <w:sz w:val="20"/>
        </w:rPr>
        <w:t>Warrant Purchase Agreement</w:t>
      </w:r>
      <w:r>
        <w:rPr>
          <w:sz w:val="20"/>
        </w:rPr>
        <w:t>”), pursuant to which, at the closing which occurred on March 10, 2026, the Company issued and sold to Yorkville a pre-funded warrant to purchase up to 283,367 Ordinary Shares of the Company (the “</w:t>
      </w:r>
      <w:r>
        <w:rPr>
          <w:b/>
          <w:i/>
          <w:sz w:val="20"/>
        </w:rPr>
        <w:t>Warrant Shares</w:t>
      </w:r>
      <w:r>
        <w:rPr>
          <w:sz w:val="20"/>
        </w:rPr>
        <w:t>”), exercisable in whole or in part at any time after issuance (the “</w:t>
      </w:r>
      <w:r>
        <w:rPr>
          <w:b/>
          <w:i/>
          <w:sz w:val="20"/>
        </w:rPr>
        <w:t>Pre-Funded Warrant</w:t>
      </w:r>
      <w:r>
        <w:rPr>
          <w:sz w:val="20"/>
        </w:rPr>
        <w:t>”). The aggregate subscription amount for the Pre-Funded Warrant was $2,000,004.29. Such amount was paid by Yorkville at the closing of the Warrant Purchase Agreement. The aggregate gross proceeds to the Company from the private placement were approximately $2,000,004.29, before deducting the offering expenses payable by the Company, which expenses consist solely of legal fees. The Company intends to use the net proceeds from the offering for working capital purposes. In addition, the per share exercise price of the Pre-Funded Warrant is €0.01.</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The Pre-Funded Warrant is exercisable for up to 283,367 Ordinary Shares at an exercise price of €0.01 per share (subject to certain adjustments), is exercisable immediately upon issuance, and may be exercised, in whole or in part, at any time until exercised in full. Yorkville (together with its Attribution Parties (as defined in the Pre-Funded Warrant)) may not exercise any Pre-Funded Warrant to the extent that Yorkville would own more than 4.99% of the outstanding Ordinary Shares immediately after giving effect to the issuance of Ordinary Shares issuable upon exercise of such Pre-Funded Warrant, which percentage may be changed at Yorkville’s election to a lower or higher percentage not in excess of 9.99% upon 61 days’ notice to the Company, subject to the terms of the Pre-Funded Warrant. The Pre-Funded Warrant provides for standard anti-dilution adjustments to the exercise price and the number of Warrant Shares issuable upon exercise in connection with stock dividends, splits, combinations, reclassifications and similar events.</w:t>
      </w:r>
    </w:p>
    <w:p>
      <w:pPr>
        <w:pStyle w:val="TextBody"/>
        <w:bidi w:val="0"/>
        <w:spacing w:before="0" w:after="0"/>
        <w:ind w:left="0" w:right="0" w:hanging="0"/>
        <w:jc w:val="left"/>
        <w:rPr/>
      </w:pPr>
      <w:r>
        <w:rPr/>
        <w:t> </w:t>
      </w:r>
    </w:p>
    <w:p>
      <w:pPr>
        <w:pStyle w:val="TextBody"/>
        <w:bidi w:val="0"/>
        <w:spacing w:before="0" w:after="0"/>
        <w:ind w:left="0" w:right="0" w:hanging="0"/>
        <w:jc w:val="righ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24" w:name="a_010"/>
      <w:bookmarkEnd w:id="24"/>
      <w:r>
        <w:rPr>
          <w:b/>
          <w:sz w:val="20"/>
        </w:rPr>
        <w:t>DESCRIPTION OF RIGHTS</w:t>
      </w:r>
    </w:p>
    <w:p>
      <w:pPr>
        <w:pStyle w:val="TextBody"/>
        <w:bidi w:val="0"/>
        <w:spacing w:before="0" w:after="0"/>
        <w:ind w:left="0" w:right="0" w:hanging="0"/>
        <w:jc w:val="center"/>
        <w:rPr/>
      </w:pPr>
      <w:r>
        <w:rPr/>
        <w:t> </w:t>
      </w:r>
    </w:p>
    <w:p>
      <w:pPr>
        <w:pStyle w:val="TextBody"/>
        <w:bidi w:val="0"/>
        <w:spacing w:before="0" w:after="0"/>
        <w:ind w:left="0" w:right="0" w:firstLine="360"/>
        <w:jc w:val="left"/>
        <w:rPr>
          <w:sz w:val="20"/>
          <w:shd w:fill="FFFFFF" w:val="clear"/>
        </w:rPr>
      </w:pPr>
      <w:r>
        <w:rPr>
          <w:sz w:val="20"/>
          <w:shd w:fill="FFFFFF" w:val="clear"/>
        </w:rPr>
        <w:t>We may issue or distribute rights to our shareholders for the purchase of our Ordinary Shares, Preferred Shares or debt securities. We may issue rights independently or together with other securities, and the rights may be attached to or separate from any offered or distributed securities and may or may not be transferable by the shareholder receiving the rights. In connection with any offering of rights, we may enter into a standby underwriting, backstop or other arrangement with one or more underwriters or other persons pursuant to which the underwriters or other persons may agree to purchase any securities remaining unsubscribed for after such rights offering. Each series of rights will be issued under a separate rights agreement to be entered into between us and a bank or trust company, as rights agent, all as set forth in an accompanying prospectus supplement relating to the particular issue of rights. The rights agent will act solely as an agent of the Company in connection with the certificates relating to the rights of such series and will not assume any obligation or relationship of agency or trust for or with any holders of rights certificates or beneficial owners of rights.</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The following summary of material provisions of the rights are subject to, and qualified in their entirety by reference to, all the provisions of the certificates representing rights applicable to a particular series of rights. The terms of any rights offered or distributed under an accompanying prospectus supplement may differ from the terms described below. We urge you to read the accompanying prospectus supplement as well as the complete certificates representing the rights that contain the terms of the rights. The particular terms of any issue of rights will be described in an accompanying prospectus supplement relating to the issue, and may include:</w:t>
      </w:r>
    </w:p>
    <w:p>
      <w:pPr>
        <w:pStyle w:val="TextBody"/>
        <w:bidi w:val="0"/>
        <w:spacing w:before="0" w:after="0"/>
        <w:ind w:left="0" w:right="0" w:firstLine="36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in the case of a distribution of rights to our shareholders, the date for determining the shareholders entitled to the rights distribution;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in the case of a distribution of rights to our shareholders, the number of rights issued or to be issued to each shareholder;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w:t>
            </w:r>
            <w:r>
              <w:rPr>
                <w:shd w:fill="FFFFFF" w:val="clear"/>
              </w:rPr>
              <w:t>he aggregate number of Ordinary Shares, Preferred Shares or debt securities purchasable upon exercise of such rights and the exercise price;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8"/>
        <w:gridCol w:w="292"/>
        <w:gridCol w:w="9825"/>
      </w:tblGrid>
      <w:tr>
        <w:trPr/>
        <w:tc>
          <w:tcPr>
            <w:tcW w:w="8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rFonts w:ascii="Symbol" w:hAnsi="Symbol"/>
              </w:rPr>
            </w:pPr>
            <w:r>
              <w:rPr>
                <w:rFonts w:ascii="Symbol" w:hAnsi="Symbol"/>
              </w:rPr>
              <w:t>·</w:t>
            </w:r>
          </w:p>
        </w:tc>
        <w:tc>
          <w:tcPr>
            <w:tcW w:w="9825" w:type="dxa"/>
            <w:tcBorders/>
            <w:vAlign w:val="center"/>
          </w:tcPr>
          <w:p>
            <w:pPr>
              <w:pStyle w:val="TableContents"/>
              <w:bidi w:val="0"/>
              <w:spacing w:before="0" w:after="283"/>
              <w:jc w:val="left"/>
              <w:rPr/>
            </w:pPr>
            <w:r>
              <w:rPr/>
              <w:t>the aggregate number of rights being issued;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6"/>
        <w:gridCol w:w="284"/>
        <w:gridCol w:w="9835"/>
      </w:tblGrid>
      <w:tr>
        <w:trPr/>
        <w:tc>
          <w:tcPr>
            <w:tcW w:w="8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rFonts w:ascii="Symbol" w:hAnsi="Symbol"/>
              </w:rPr>
            </w:pPr>
            <w:r>
              <w:rPr>
                <w:rFonts w:ascii="Symbol" w:hAnsi="Symbol"/>
              </w:rPr>
              <w:t>·</w:t>
            </w:r>
          </w:p>
        </w:tc>
        <w:tc>
          <w:tcPr>
            <w:tcW w:w="9835" w:type="dxa"/>
            <w:tcBorders/>
            <w:vAlign w:val="center"/>
          </w:tcPr>
          <w:p>
            <w:pPr>
              <w:pStyle w:val="TableContents"/>
              <w:bidi w:val="0"/>
              <w:spacing w:before="0" w:after="283"/>
              <w:jc w:val="left"/>
              <w:rPr/>
            </w:pPr>
            <w:r>
              <w:rPr/>
              <w:t>the extent to which the rights are transferable;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date on which the holder’s ability to exercise such rights shall commence and the date on which such right shall expire;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extent to which the rights may include an over-subscription privilege with respect to unsubscribed securities;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3"/>
        <w:gridCol w:w="178"/>
        <w:gridCol w:w="9974"/>
      </w:tblGrid>
      <w:tr>
        <w:trPr/>
        <w:tc>
          <w:tcPr>
            <w:tcW w:w="5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Symbol" w:hAnsi="Symbol"/>
              </w:rPr>
            </w:pPr>
            <w:r>
              <w:rPr>
                <w:rFonts w:ascii="Symbol" w:hAnsi="Symbol"/>
              </w:rPr>
              <w:t>·</w:t>
            </w:r>
          </w:p>
        </w:tc>
        <w:tc>
          <w:tcPr>
            <w:tcW w:w="9974" w:type="dxa"/>
            <w:tcBorders/>
            <w:vAlign w:val="center"/>
          </w:tcPr>
          <w:p>
            <w:pPr>
              <w:pStyle w:val="TableContents"/>
              <w:bidi w:val="0"/>
              <w:spacing w:before="0" w:after="283"/>
              <w:jc w:val="left"/>
              <w:rPr>
                <w:shd w:fill="FFFFFF" w:val="clear"/>
              </w:rPr>
            </w:pPr>
            <w:r>
              <w:rPr>
                <w:shd w:fill="FFFFFF" w:val="clear"/>
              </w:rPr>
              <w:t>a discussion of applicable material U.S. federal income tax considerations;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any other material terms of such rights, including terms, procedures and limitations relating to the distribution, exchange and exercise of such rights; and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if applicable, the material terms of any standby underwriting, backstop or purchase arrangement which may be entered into by the Company in connection with the offering, issuance or distribution of rights.</w:t>
            </w:r>
          </w:p>
        </w:tc>
      </w:tr>
    </w:tbl>
    <w:p>
      <w:pPr>
        <w:pStyle w:val="TextBody"/>
        <w:bidi w:val="0"/>
        <w:spacing w:before="0" w:after="0"/>
        <w:jc w:val="left"/>
        <w:rPr/>
      </w:pPr>
      <w:r>
        <w:rPr/>
        <w:t> </w:t>
      </w:r>
    </w:p>
    <w:p>
      <w:pPr>
        <w:pStyle w:val="TextBody"/>
        <w:bidi w:val="0"/>
        <w:spacing w:before="0" w:after="0"/>
        <w:ind w:left="0" w:right="0" w:firstLine="360"/>
        <w:jc w:val="left"/>
        <w:rPr>
          <w:sz w:val="20"/>
        </w:rPr>
      </w:pPr>
      <w:r>
        <w:rPr>
          <w:sz w:val="20"/>
        </w:rPr>
        <w:t>Each right will entitle the holder of rights (“</w:t>
      </w:r>
      <w:r>
        <w:rPr>
          <w:b/>
          <w:i/>
          <w:sz w:val="20"/>
        </w:rPr>
        <w:t>Holders</w:t>
      </w:r>
      <w:r>
        <w:rPr>
          <w:sz w:val="20"/>
        </w:rPr>
        <w:t>”) to purchase for cash the number of Ordinary or Preferred Shares or the principal amount of debt securities at the exercise price provided in the accompanying prospectus supplement. Rights may be exercised at any time up to the close of business on the expiration date for the rights provided in the accompanying prospectus supplement. After the close of business on the expiration date, all unexercised rights will be void and of no further force and effect.</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Holders may exercise rights as described in the accompanying prospectus supplement. Upon receipt of payment and the rights certificate properly completed and duly executed at the corporate trust office of the rights agent or any other office indicated in an accompanying prospectus supplement, we will, as soon as practicable, forward the Ordinary Shares or Preferred Shares or principal amount of debt securities purchased upon exercise of the rights. If less than all of the rights issued in any rights offering are exercised, we may offer any unsubscribed Ordinary Shares or Preferred Shares or principal amount of debt securities directly to persons, which may be to or through agents, underwriters or dealers or through a combination of such methods, including pursuant to standby underwriting arrangements, as described in the accompanying prospectus supplement.</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Until any rights to purchase Ordinary Shares or Preferred Shares are exercised, the holders of any rights will not have any rights of holders of the underlying Ordinary Shares or Preferred Shares, including any rights to receive dividends or payments upon any liquidation, dissolution or winding up on the Ordinary Shares or Preferred Shares, if any. Until any rights to purchase debt securities are exercised, the holder of any rights will not have any rights of holders of the debt securities that can be purchased upon exercise, including any rights to receive payments of principal, premium or interest on the underlying debt securities or to enforce covenants in the applicable indenture.</w:t>
      </w:r>
    </w:p>
    <w:p>
      <w:pPr>
        <w:pStyle w:val="TextBody"/>
        <w:bidi w:val="0"/>
        <w:spacing w:before="0" w:after="0"/>
        <w:ind w:left="0" w:right="0" w:firstLine="36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25" w:name="a_011"/>
      <w:bookmarkEnd w:id="25"/>
      <w:r>
        <w:rPr>
          <w:b/>
          <w:sz w:val="20"/>
        </w:rPr>
        <w:t>DESCRIPTION OF UNITS</w:t>
      </w:r>
    </w:p>
    <w:p>
      <w:pPr>
        <w:pStyle w:val="TextBody"/>
        <w:bidi w:val="0"/>
        <w:spacing w:before="0" w:after="0"/>
        <w:ind w:left="0" w:right="0" w:hanging="0"/>
        <w:jc w:val="center"/>
        <w:rPr/>
      </w:pPr>
      <w:r>
        <w:rPr/>
        <w:t> </w:t>
      </w:r>
    </w:p>
    <w:p>
      <w:pPr>
        <w:pStyle w:val="TextBody"/>
        <w:bidi w:val="0"/>
        <w:spacing w:before="0" w:after="0"/>
        <w:ind w:left="0" w:right="0" w:firstLine="360"/>
        <w:jc w:val="left"/>
        <w:rPr>
          <w:sz w:val="20"/>
        </w:rPr>
      </w:pPr>
      <w:r>
        <w:rPr>
          <w:sz w:val="20"/>
        </w:rPr>
        <w:t xml:space="preserve">We may issue units comprised of shares of Ordinary Shares, Preferred Shares,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 </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pStyle w:val="TextBody"/>
        <w:bidi w:val="0"/>
        <w:spacing w:before="0" w:after="0"/>
        <w:ind w:left="0" w:right="0" w:firstLine="36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the designation and terms of the units and of the securities comprising the units, including whether and under what circumstances those securities may be held or transferred separately;</w:t>
            </w:r>
          </w:p>
        </w:tc>
      </w:tr>
    </w:tbl>
    <w:tbl>
      <w:tblPr>
        <w:tblW w:w="4698" w:type="dxa"/>
        <w:jc w:val="left"/>
        <w:tblInd w:w="0" w:type="dxa"/>
        <w:tblLayout w:type="fixed"/>
        <w:tblCellMar>
          <w:top w:w="0" w:type="dxa"/>
          <w:left w:w="0" w:type="dxa"/>
          <w:bottom w:w="0" w:type="dxa"/>
          <w:right w:w="0" w:type="dxa"/>
        </w:tblCellMar>
      </w:tblPr>
      <w:tblGrid>
        <w:gridCol w:w="38"/>
        <w:gridCol w:w="110"/>
        <w:gridCol w:w="455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4550" w:type="dxa"/>
            <w:tcBorders/>
            <w:vAlign w:val="center"/>
          </w:tcPr>
          <w:p>
            <w:pPr>
              <w:pStyle w:val="TableContents"/>
              <w:bidi w:val="0"/>
              <w:spacing w:before="0" w:after="283"/>
              <w:jc w:val="both"/>
              <w:rPr/>
            </w:pPr>
            <w:r>
              <w:rPr/>
              <w:t>any provisions of the governing unit agreement;</w:t>
            </w:r>
          </w:p>
        </w:tc>
      </w:tr>
    </w:tbl>
    <w:tbl>
      <w:tblPr>
        <w:tblW w:w="5148" w:type="dxa"/>
        <w:jc w:val="left"/>
        <w:tblInd w:w="0" w:type="dxa"/>
        <w:tblLayout w:type="fixed"/>
        <w:tblCellMar>
          <w:top w:w="0" w:type="dxa"/>
          <w:left w:w="0" w:type="dxa"/>
          <w:bottom w:w="0" w:type="dxa"/>
          <w:right w:w="0" w:type="dxa"/>
        </w:tblCellMar>
      </w:tblPr>
      <w:tblGrid>
        <w:gridCol w:w="38"/>
        <w:gridCol w:w="110"/>
        <w:gridCol w:w="500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5000" w:type="dxa"/>
            <w:tcBorders/>
            <w:vAlign w:val="center"/>
          </w:tcPr>
          <w:p>
            <w:pPr>
              <w:pStyle w:val="TableContents"/>
              <w:bidi w:val="0"/>
              <w:spacing w:before="0" w:after="283"/>
              <w:jc w:val="both"/>
              <w:rPr/>
            </w:pPr>
            <w:r>
              <w:rPr/>
              <w:t>the price or prices at which such units will be issued;</w:t>
            </w:r>
          </w:p>
        </w:tc>
      </w:tr>
    </w:tbl>
    <w:tbl>
      <w:tblPr>
        <w:tblW w:w="7923" w:type="dxa"/>
        <w:jc w:val="left"/>
        <w:tblInd w:w="0" w:type="dxa"/>
        <w:tblLayout w:type="fixed"/>
        <w:tblCellMar>
          <w:top w:w="0" w:type="dxa"/>
          <w:left w:w="0" w:type="dxa"/>
          <w:bottom w:w="0" w:type="dxa"/>
          <w:right w:w="0" w:type="dxa"/>
        </w:tblCellMar>
      </w:tblPr>
      <w:tblGrid>
        <w:gridCol w:w="38"/>
        <w:gridCol w:w="110"/>
        <w:gridCol w:w="777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7775" w:type="dxa"/>
            <w:tcBorders/>
            <w:vAlign w:val="center"/>
          </w:tcPr>
          <w:p>
            <w:pPr>
              <w:pStyle w:val="TableContents"/>
              <w:bidi w:val="0"/>
              <w:spacing w:before="0" w:after="283"/>
              <w:jc w:val="both"/>
              <w:rPr/>
            </w:pPr>
            <w:r>
              <w:rPr/>
              <w:t>t</w:t>
            </w:r>
            <w:r>
              <w:rPr>
                <w:shd w:fill="FFFFFF" w:val="clear"/>
              </w:rPr>
              <w:t>he applicable material U.S. federal income tax considerations relating to the units;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any provisions for the issuance, payment, settlement, transfer or exchange of the units or of the securities comprising the units; and</w:t>
            </w:r>
          </w:p>
        </w:tc>
      </w:tr>
    </w:tbl>
    <w:tbl>
      <w:tblPr>
        <w:tblW w:w="6708" w:type="dxa"/>
        <w:jc w:val="left"/>
        <w:tblInd w:w="0" w:type="dxa"/>
        <w:tblLayout w:type="fixed"/>
        <w:tblCellMar>
          <w:top w:w="0" w:type="dxa"/>
          <w:left w:w="0" w:type="dxa"/>
          <w:bottom w:w="0" w:type="dxa"/>
          <w:right w:w="0" w:type="dxa"/>
        </w:tblCellMar>
      </w:tblPr>
      <w:tblGrid>
        <w:gridCol w:w="38"/>
        <w:gridCol w:w="110"/>
        <w:gridCol w:w="656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6560" w:type="dxa"/>
            <w:tcBorders/>
            <w:vAlign w:val="center"/>
          </w:tcPr>
          <w:p>
            <w:pPr>
              <w:pStyle w:val="TableContents"/>
              <w:bidi w:val="0"/>
              <w:spacing w:before="0" w:after="283"/>
              <w:jc w:val="both"/>
              <w:rPr/>
            </w:pPr>
            <w:r>
              <w:rPr/>
              <w:t>any other terms of the units and of the securities comprising the units.</w:t>
            </w:r>
          </w:p>
        </w:tc>
      </w:tr>
    </w:tbl>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The provisions described in this section, as well as those described under “</w:t>
      </w:r>
      <w:r>
        <w:rPr>
          <w:i/>
          <w:sz w:val="20"/>
        </w:rPr>
        <w:t>Description of Capital Stock,” “Description of Debt Securities</w:t>
      </w:r>
      <w:r>
        <w:rPr>
          <w:sz w:val="20"/>
        </w:rPr>
        <w:t>” and “</w:t>
      </w:r>
      <w:r>
        <w:rPr>
          <w:i/>
          <w:sz w:val="20"/>
        </w:rPr>
        <w:t>Description of Warrants</w:t>
      </w:r>
      <w:r>
        <w:rPr>
          <w:sz w:val="20"/>
        </w:rPr>
        <w:t>” will apply to the securities included in each unit, to the extent relevant and as may be updated in any prospectus supplements.</w:t>
      </w:r>
    </w:p>
    <w:p>
      <w:pPr>
        <w:pStyle w:val="TextBody"/>
        <w:bidi w:val="0"/>
        <w:spacing w:before="0" w:after="0"/>
        <w:ind w:left="0" w:right="0" w:firstLine="360"/>
        <w:jc w:val="left"/>
        <w:rPr/>
      </w:pPr>
      <w:r>
        <w:rPr/>
        <w:t> </w:t>
      </w:r>
    </w:p>
    <w:p>
      <w:pPr>
        <w:pStyle w:val="TextBody"/>
        <w:bidi w:val="0"/>
        <w:spacing w:before="0" w:after="0"/>
        <w:ind w:left="0" w:right="0" w:hanging="0"/>
        <w:jc w:val="left"/>
        <w:rPr>
          <w:b/>
          <w:sz w:val="20"/>
        </w:rPr>
      </w:pPr>
      <w:r>
        <w:rPr>
          <w:b/>
          <w:sz w:val="20"/>
        </w:rPr>
        <w:t>Issuance in Series</w:t>
      </w:r>
    </w:p>
    <w:p>
      <w:pPr>
        <w:pStyle w:val="TextBody"/>
        <w:bidi w:val="0"/>
        <w:spacing w:before="0" w:after="0"/>
        <w:ind w:left="0" w:right="0" w:hanging="0"/>
        <w:jc w:val="left"/>
        <w:rPr/>
      </w:pPr>
      <w:r>
        <w:rPr/>
        <w:t> </w:t>
      </w:r>
    </w:p>
    <w:p>
      <w:pPr>
        <w:pStyle w:val="TextBody"/>
        <w:bidi w:val="0"/>
        <w:spacing w:before="0" w:after="0"/>
        <w:ind w:left="0" w:right="0" w:firstLine="360"/>
        <w:jc w:val="left"/>
        <w:rPr>
          <w:sz w:val="20"/>
        </w:rPr>
      </w:pPr>
      <w:r>
        <w:rPr>
          <w:sz w:val="20"/>
        </w:rPr>
        <w:t>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w:t>
      </w:r>
    </w:p>
    <w:p>
      <w:pPr>
        <w:pStyle w:val="TextBody"/>
        <w:bidi w:val="0"/>
        <w:spacing w:before="0" w:after="0"/>
        <w:ind w:left="0" w:right="0" w:firstLine="360"/>
        <w:jc w:val="left"/>
        <w:rPr/>
      </w:pPr>
      <w:r>
        <w:rPr/>
        <w:t> </w:t>
      </w:r>
    </w:p>
    <w:p>
      <w:pPr>
        <w:pStyle w:val="TextBody"/>
        <w:bidi w:val="0"/>
        <w:spacing w:before="0" w:after="0"/>
        <w:ind w:left="0" w:right="0" w:hanging="0"/>
        <w:jc w:val="left"/>
        <w:rPr>
          <w:b/>
          <w:sz w:val="20"/>
        </w:rPr>
      </w:pPr>
      <w:r>
        <w:rPr>
          <w:b/>
          <w:sz w:val="20"/>
        </w:rPr>
        <w:t xml:space="preserve">Unit Agreements </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 xml:space="preserve">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 </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The following provisions will generally apply to all unit agreements unless otherwise stated in the applicable prospectus supplement:</w:t>
      </w:r>
    </w:p>
    <w:p>
      <w:pPr>
        <w:pStyle w:val="TextBody"/>
        <w:bidi w:val="0"/>
        <w:spacing w:before="0" w:after="0"/>
        <w:ind w:left="0" w:right="0" w:firstLine="360"/>
        <w:jc w:val="left"/>
        <w:rPr/>
      </w:pPr>
      <w:r>
        <w:rPr/>
        <w:t> </w:t>
      </w:r>
    </w:p>
    <w:p>
      <w:pPr>
        <w:pStyle w:val="TextBody"/>
        <w:bidi w:val="0"/>
        <w:spacing w:before="0" w:after="0"/>
        <w:ind w:left="0" w:right="0" w:hanging="0"/>
        <w:jc w:val="left"/>
        <w:rPr>
          <w:b/>
          <w:sz w:val="20"/>
        </w:rPr>
      </w:pPr>
      <w:r>
        <w:rPr>
          <w:b/>
          <w:sz w:val="20"/>
        </w:rPr>
        <w:t>Modification without Consent</w:t>
      </w:r>
    </w:p>
    <w:p>
      <w:pPr>
        <w:pStyle w:val="TextBody"/>
        <w:bidi w:val="0"/>
        <w:spacing w:before="0" w:after="0"/>
        <w:ind w:left="0" w:right="0" w:hanging="0"/>
        <w:jc w:val="left"/>
        <w:rPr/>
      </w:pPr>
      <w:r>
        <w:rPr/>
        <w:t> </w:t>
      </w:r>
    </w:p>
    <w:p>
      <w:pPr>
        <w:pStyle w:val="TextBody"/>
        <w:bidi w:val="0"/>
        <w:spacing w:before="0" w:after="0"/>
        <w:ind w:left="0" w:right="0" w:firstLine="360"/>
        <w:jc w:val="left"/>
        <w:rPr>
          <w:sz w:val="20"/>
        </w:rPr>
      </w:pPr>
      <w:r>
        <w:rPr>
          <w:sz w:val="20"/>
        </w:rPr>
        <w:t>We and the applicable unit agent may amend any unit or unit agreement without the consent of any holder:</w:t>
      </w:r>
    </w:p>
    <w:p>
      <w:pPr>
        <w:pStyle w:val="TextBody"/>
        <w:bidi w:val="0"/>
        <w:spacing w:before="0" w:after="0"/>
        <w:ind w:left="0" w:right="0" w:firstLine="36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to cure any ambiguity, including modifying any provisions of the governing unit agreement that differ from those described below;</w:t>
            </w:r>
          </w:p>
        </w:tc>
      </w:tr>
    </w:tbl>
    <w:tbl>
      <w:tblPr>
        <w:tblW w:w="6468" w:type="dxa"/>
        <w:jc w:val="left"/>
        <w:tblInd w:w="0" w:type="dxa"/>
        <w:tblLayout w:type="fixed"/>
        <w:tblCellMar>
          <w:top w:w="0" w:type="dxa"/>
          <w:left w:w="0" w:type="dxa"/>
          <w:bottom w:w="0" w:type="dxa"/>
          <w:right w:w="0" w:type="dxa"/>
        </w:tblCellMar>
      </w:tblPr>
      <w:tblGrid>
        <w:gridCol w:w="38"/>
        <w:gridCol w:w="110"/>
        <w:gridCol w:w="632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6320" w:type="dxa"/>
            <w:tcBorders/>
            <w:vAlign w:val="center"/>
          </w:tcPr>
          <w:p>
            <w:pPr>
              <w:pStyle w:val="TableContents"/>
              <w:bidi w:val="0"/>
              <w:spacing w:before="0" w:after="283"/>
              <w:jc w:val="both"/>
              <w:rPr/>
            </w:pPr>
            <w:r>
              <w:rPr/>
              <w:t>to correct or supplement any defective or inconsistent provision; or</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to make any other change that we believe is necessary or desirable and will not adversely affect the interests of the affected holders in any material respect.</w:t>
            </w:r>
          </w:p>
        </w:tc>
      </w:tr>
    </w:tbl>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pStyle w:val="TextBody"/>
        <w:bidi w:val="0"/>
        <w:spacing w:before="0" w:after="0"/>
        <w:ind w:left="0" w:right="0" w:firstLine="360"/>
        <w:jc w:val="left"/>
        <w:rPr/>
      </w:pPr>
      <w:r>
        <w:rPr/>
        <w:t> </w:t>
      </w:r>
    </w:p>
    <w:p>
      <w:pPr>
        <w:pStyle w:val="TextBody"/>
        <w:bidi w:val="0"/>
        <w:spacing w:before="0" w:after="0"/>
        <w:ind w:left="0" w:right="0" w:hanging="0"/>
        <w:jc w:val="left"/>
        <w:rPr>
          <w:b/>
          <w:sz w:val="20"/>
        </w:rPr>
      </w:pPr>
      <w:r>
        <w:rPr>
          <w:b/>
          <w:sz w:val="20"/>
        </w:rPr>
        <w:t xml:space="preserve">Modification with Consent </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We may not amend any particular unit or a unit agreement with respect to any particular unit unless we obtain the consent of the holder of that unit, if the amendment would:</w:t>
      </w:r>
    </w:p>
    <w:p>
      <w:pPr>
        <w:pStyle w:val="TextBody"/>
        <w:bidi w:val="0"/>
        <w:spacing w:before="0" w:after="0"/>
        <w:ind w:left="0" w:right="0" w:firstLine="36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impair any right of the holder to exercise or enforce any right under a security included in the unit if the terms of that security require the consent of the holder to any changes that would impair the exercise or enforcement of that right; or</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reduce the percentage of outstanding units or any series or class the consent of whose holders is required to amend that series or class, or the applicable unit agreement with respect to that series or class, as described below.</w:t>
            </w:r>
          </w:p>
        </w:tc>
      </w:tr>
    </w:tbl>
    <w:p>
      <w:pPr>
        <w:pStyle w:val="TextBody"/>
        <w:bidi w:val="0"/>
        <w:spacing w:before="0" w:after="0"/>
        <w:ind w:left="360" w:right="0" w:hanging="0"/>
        <w:jc w:val="left"/>
        <w:rPr/>
      </w:pPr>
      <w:r>
        <w:rPr/>
        <w:t> </w:t>
      </w:r>
    </w:p>
    <w:p>
      <w:pPr>
        <w:pStyle w:val="TextBody"/>
        <w:bidi w:val="0"/>
        <w:spacing w:before="0" w:after="0"/>
        <w:ind w:left="0" w:right="0" w:firstLine="360"/>
        <w:jc w:val="left"/>
        <w:rPr>
          <w:sz w:val="20"/>
        </w:rPr>
      </w:pPr>
      <w:r>
        <w:rPr>
          <w:sz w:val="20"/>
        </w:rPr>
        <w:t>Any other change to a particular unit agreement and the units issued under that agreement would require the following approval:</w:t>
      </w:r>
    </w:p>
    <w:p>
      <w:pPr>
        <w:pStyle w:val="TextBody"/>
        <w:bidi w:val="0"/>
        <w:spacing w:before="0" w:after="0"/>
        <w:ind w:left="36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If the change affects only the units of a particular series issued under that agreement, the change must be approved by the holders of a majority of the outstanding units of that series; or</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tc>
      </w:tr>
    </w:tbl>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These provisions regarding changes with majority approval also apply to changes affecting any securities issued under a unit agreement, as the governing document.</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In each case, the required approval must be given by written consent.</w:t>
      </w:r>
    </w:p>
    <w:p>
      <w:pPr>
        <w:pStyle w:val="TextBody"/>
        <w:bidi w:val="0"/>
        <w:spacing w:before="0" w:after="0"/>
        <w:ind w:left="0" w:right="0" w:firstLine="360"/>
        <w:jc w:val="left"/>
        <w:rPr/>
      </w:pPr>
      <w:r>
        <w:rPr/>
        <w:t> </w:t>
      </w:r>
    </w:p>
    <w:p>
      <w:pPr>
        <w:pStyle w:val="TextBody"/>
        <w:bidi w:val="0"/>
        <w:spacing w:before="0" w:after="0"/>
        <w:ind w:left="0" w:right="0" w:hanging="0"/>
        <w:jc w:val="left"/>
        <w:rPr>
          <w:b/>
          <w:sz w:val="20"/>
        </w:rPr>
      </w:pPr>
      <w:r>
        <w:rPr>
          <w:b/>
          <w:sz w:val="20"/>
        </w:rPr>
        <w:t xml:space="preserve">Unit Agreements Will Not Be Qualified under Trust Indenture Act </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w:t>
      </w:r>
    </w:p>
    <w:p>
      <w:pPr>
        <w:pStyle w:val="TextBody"/>
        <w:bidi w:val="0"/>
        <w:spacing w:before="0" w:after="0"/>
        <w:ind w:left="0" w:right="0" w:firstLine="360"/>
        <w:jc w:val="left"/>
        <w:rPr/>
      </w:pPr>
      <w:r>
        <w:rPr/>
        <w:t> </w:t>
      </w:r>
    </w:p>
    <w:p>
      <w:pPr>
        <w:pStyle w:val="TextBody"/>
        <w:bidi w:val="0"/>
        <w:spacing w:before="0" w:after="0"/>
        <w:ind w:left="0" w:right="0" w:hanging="0"/>
        <w:jc w:val="left"/>
        <w:rPr>
          <w:b/>
          <w:sz w:val="20"/>
        </w:rPr>
      </w:pPr>
      <w:r>
        <w:rPr>
          <w:b/>
          <w:sz w:val="20"/>
        </w:rPr>
        <w:t xml:space="preserve">Mergers and Similar Transactions Permitted; No Restrictive Covenants or Events of Default </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 xml:space="preserve">The unit agreements will not restrict our ability to merge or consolidate with, or sell our assets to, another corporation or other entity or to engage in any other transactions. If at any time we merge or consolidate with, or sell our assets substantially as an entirety to, another corporation or other entity, the successor entity will succeed to and assume our obligations under the unit agreements. We will then be relieved of any further obligation under these agreements. </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The unit agreements will not include any restrictions on our ability to put liens on our assets, nor will they restrict our ability to sell our assets. The unit agreements also will not provide for any events of default or remedies upon the occurrence of any events of default.</w:t>
      </w:r>
    </w:p>
    <w:p>
      <w:pPr>
        <w:pStyle w:val="TextBody"/>
        <w:bidi w:val="0"/>
        <w:spacing w:before="0" w:after="0"/>
        <w:ind w:left="0" w:right="0" w:firstLine="360"/>
        <w:jc w:val="left"/>
        <w:rPr/>
      </w:pPr>
      <w:r>
        <w:rPr/>
        <w:t> </w:t>
      </w:r>
    </w:p>
    <w:p>
      <w:pPr>
        <w:pStyle w:val="TextBody"/>
        <w:bidi w:val="0"/>
        <w:spacing w:before="0" w:after="0"/>
        <w:ind w:left="0" w:right="0" w:hanging="0"/>
        <w:jc w:val="left"/>
        <w:rPr>
          <w:b/>
          <w:sz w:val="20"/>
        </w:rPr>
      </w:pPr>
      <w:r>
        <w:rPr>
          <w:b/>
          <w:sz w:val="20"/>
        </w:rPr>
        <w:t xml:space="preserve">Governing Law </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The unit agreements and the units will be governed by Dutch law.</w:t>
      </w:r>
    </w:p>
    <w:p>
      <w:pPr>
        <w:pStyle w:val="TextBody"/>
        <w:bidi w:val="0"/>
        <w:spacing w:before="0" w:after="0"/>
        <w:ind w:left="0" w:right="0" w:firstLine="360"/>
        <w:jc w:val="left"/>
        <w:rPr/>
      </w:pPr>
      <w:r>
        <w:rPr/>
        <w:t> </w:t>
      </w:r>
    </w:p>
    <w:p>
      <w:pPr>
        <w:pStyle w:val="TextBody"/>
        <w:bidi w:val="0"/>
        <w:spacing w:before="0" w:after="0"/>
        <w:ind w:left="0" w:right="0" w:hanging="0"/>
        <w:jc w:val="left"/>
        <w:rPr>
          <w:b/>
          <w:sz w:val="20"/>
        </w:rPr>
      </w:pPr>
      <w:r>
        <w:rPr>
          <w:b/>
          <w:sz w:val="20"/>
        </w:rPr>
        <w:t>Form, Exchange and Transfer</w:t>
      </w:r>
    </w:p>
    <w:p>
      <w:pPr>
        <w:pStyle w:val="TextBody"/>
        <w:bidi w:val="0"/>
        <w:spacing w:before="0" w:after="0"/>
        <w:ind w:left="0" w:right="0" w:hanging="0"/>
        <w:jc w:val="left"/>
        <w:rPr/>
      </w:pPr>
      <w:r>
        <w:rPr/>
        <w:t> </w:t>
      </w:r>
    </w:p>
    <w:p>
      <w:pPr>
        <w:pStyle w:val="TextBody"/>
        <w:bidi w:val="0"/>
        <w:spacing w:before="0" w:after="0"/>
        <w:ind w:left="0" w:right="0" w:firstLine="360"/>
        <w:jc w:val="left"/>
        <w:rPr>
          <w:sz w:val="20"/>
        </w:rPr>
      </w:pPr>
      <w:r>
        <w:rPr>
          <w:sz w:val="20"/>
        </w:rPr>
        <w:t xml:space="preserve">We will issue each unit in global  —  i.e., book-entry  —  form only. Units in book-entry form may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 </w:t>
      </w:r>
    </w:p>
    <w:p>
      <w:pPr>
        <w:pStyle w:val="TextBody"/>
        <w:bidi w:val="0"/>
        <w:spacing w:before="0" w:after="0"/>
        <w:ind w:left="0" w:right="0" w:firstLine="36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left"/>
        <w:rPr>
          <w:sz w:val="20"/>
        </w:rPr>
      </w:pPr>
      <w:r>
        <w:rPr>
          <w:sz w:val="20"/>
        </w:rPr>
        <w:t xml:space="preserve">Each unit and all securities comprising the unit will be issued in the same form. </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 xml:space="preserve">If we issue any units in registered, non-global form, the following will apply to them. </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pStyle w:val="TextBody"/>
        <w:bidi w:val="0"/>
        <w:spacing w:before="0" w:after="0"/>
        <w:ind w:left="0" w:right="0" w:firstLine="36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Holders may exchange or transfer their units at the office of the unit agent. Holders may also replace lost, stolen, destroyed or mutilated units at that office. We may appoint another entity to perform these functions or perform them ourselves.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tc>
      </w:tr>
    </w:tbl>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Only the depositary will be entitled to transfer or exchange a unit in global form, since it will be the sole holder of the unit.</w:t>
      </w:r>
    </w:p>
    <w:p>
      <w:pPr>
        <w:pStyle w:val="TextBody"/>
        <w:bidi w:val="0"/>
        <w:spacing w:before="0" w:after="0"/>
        <w:ind w:left="0" w:right="0" w:firstLine="360"/>
        <w:jc w:val="left"/>
        <w:rPr/>
      </w:pPr>
      <w:r>
        <w:rPr/>
        <w:t> </w:t>
      </w:r>
    </w:p>
    <w:p>
      <w:pPr>
        <w:pStyle w:val="TextBody"/>
        <w:bidi w:val="0"/>
        <w:spacing w:before="0" w:after="0"/>
        <w:ind w:left="0" w:right="0" w:hanging="0"/>
        <w:jc w:val="left"/>
        <w:rPr>
          <w:b/>
          <w:sz w:val="20"/>
        </w:rPr>
      </w:pPr>
      <w:r>
        <w:rPr>
          <w:b/>
          <w:sz w:val="20"/>
        </w:rPr>
        <w:t xml:space="preserve">Payments and Notices </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In making payments and giving notices with respect to our units, we will follow the procedures as described in the applicable prospectus supplement.</w:t>
      </w:r>
    </w:p>
    <w:p>
      <w:pPr>
        <w:pStyle w:val="TextBody"/>
        <w:bidi w:val="0"/>
        <w:spacing w:before="0" w:after="0"/>
        <w:ind w:left="0" w:right="0" w:hanging="0"/>
        <w:jc w:val="righ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26" w:name="a_012"/>
      <w:bookmarkEnd w:id="26"/>
      <w:r>
        <w:rPr>
          <w:b/>
          <w:sz w:val="20"/>
        </w:rPr>
        <w:t>MATERIAL U.S. FEDERAL INCOME TAX CONSIDERATIONS</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Certain material U.S. federal income tax considerations relating to the purchase, ownership and disposition of the securities offered by this prospectus will be set forth in the prospectus supplement pertaining to those securities.</w:t>
      </w:r>
    </w:p>
    <w:p>
      <w:pPr>
        <w:pStyle w:val="TextBody"/>
        <w:bidi w:val="0"/>
        <w:spacing w:before="0" w:after="0"/>
        <w:ind w:left="0" w:right="0" w:firstLine="360"/>
        <w:jc w:val="left"/>
        <w:rPr/>
      </w:pPr>
      <w:r>
        <w:rPr/>
        <w:t> </w:t>
      </w:r>
    </w:p>
    <w:p>
      <w:pPr>
        <w:pStyle w:val="TextBody"/>
        <w:bidi w:val="0"/>
        <w:spacing w:before="0" w:after="0"/>
        <w:ind w:left="0" w:right="0" w:firstLine="360"/>
        <w:jc w:val="left"/>
        <w:rPr/>
      </w:pPr>
      <w:r>
        <w:rPr/>
        <w:t> </w:t>
      </w:r>
    </w:p>
    <w:p>
      <w:pPr>
        <w:pStyle w:val="TextBody"/>
        <w:bidi w:val="0"/>
        <w:spacing w:before="0" w:after="0"/>
        <w:ind w:left="0" w:right="0" w:firstLine="360"/>
        <w:jc w:val="left"/>
        <w:rPr/>
      </w:pPr>
      <w:r>
        <w:rPr/>
        <w:t> </w:t>
      </w:r>
    </w:p>
    <w:p>
      <w:pPr>
        <w:pStyle w:val="TextBody"/>
        <w:bidi w:val="0"/>
        <w:spacing w:before="0" w:after="0"/>
        <w:ind w:left="0" w:right="0" w:firstLine="360"/>
        <w:jc w:val="left"/>
        <w:rPr/>
      </w:pPr>
      <w:r>
        <w:rPr/>
        <w:t> </w:t>
      </w:r>
    </w:p>
    <w:p>
      <w:pPr>
        <w:pStyle w:val="TextBody"/>
        <w:bidi w:val="0"/>
        <w:spacing w:before="0" w:after="0"/>
        <w:ind w:left="0" w:right="0" w:firstLine="360"/>
        <w:jc w:val="left"/>
        <w:rPr/>
      </w:pPr>
      <w:r>
        <w:rPr/>
        <w:t> </w:t>
      </w:r>
    </w:p>
    <w:p>
      <w:pPr>
        <w:pStyle w:val="TextBody"/>
        <w:bidi w:val="0"/>
        <w:spacing w:before="0" w:after="0"/>
        <w:ind w:left="0" w:right="0" w:firstLine="360"/>
        <w:jc w:val="left"/>
        <w:rPr/>
      </w:pPr>
      <w:r>
        <w:rPr/>
        <w:t> </w:t>
      </w:r>
    </w:p>
    <w:p>
      <w:pPr>
        <w:pStyle w:val="TextBody"/>
        <w:bidi w:val="0"/>
        <w:spacing w:before="0" w:after="0"/>
        <w:ind w:left="0" w:right="0" w:firstLine="360"/>
        <w:jc w:val="left"/>
        <w:rPr/>
      </w:pPr>
      <w:r>
        <w:rPr/>
        <w:t> </w:t>
      </w:r>
    </w:p>
    <w:p>
      <w:pPr>
        <w:pStyle w:val="TextBody"/>
        <w:bidi w:val="0"/>
        <w:spacing w:before="0" w:after="0"/>
        <w:ind w:left="0" w:right="0" w:firstLine="360"/>
        <w:jc w:val="left"/>
        <w:rPr/>
      </w:pPr>
      <w:r>
        <w:rPr/>
        <w:t> </w:t>
      </w:r>
    </w:p>
    <w:p>
      <w:pPr>
        <w:pStyle w:val="TextBody"/>
        <w:bidi w:val="0"/>
        <w:spacing w:before="0" w:after="0"/>
        <w:ind w:left="0" w:right="0" w:firstLine="360"/>
        <w:jc w:val="left"/>
        <w:rPr/>
      </w:pPr>
      <w:r>
        <w:rPr/>
        <w:t> </w:t>
      </w:r>
    </w:p>
    <w:p>
      <w:pPr>
        <w:pStyle w:val="TextBody"/>
        <w:bidi w:val="0"/>
        <w:spacing w:before="0" w:after="0"/>
        <w:ind w:left="0" w:right="0" w:firstLine="360"/>
        <w:jc w:val="left"/>
        <w:rPr/>
      </w:pPr>
      <w:r>
        <w:rPr/>
        <w:t> </w:t>
      </w:r>
    </w:p>
    <w:p>
      <w:pPr>
        <w:pStyle w:val="TextBody"/>
        <w:bidi w:val="0"/>
        <w:spacing w:before="0" w:after="0"/>
        <w:ind w:left="0" w:right="0" w:firstLine="36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27" w:name="a_013"/>
      <w:bookmarkEnd w:id="27"/>
      <w:r>
        <w:rPr>
          <w:b/>
          <w:sz w:val="20"/>
        </w:rPr>
        <w:t>PLAN OF DISTRIBUTION</w:t>
      </w:r>
    </w:p>
    <w:p>
      <w:pPr>
        <w:pStyle w:val="TextBody"/>
        <w:bidi w:val="0"/>
        <w:spacing w:before="0" w:after="0"/>
        <w:ind w:left="0" w:right="0" w:hanging="0"/>
        <w:jc w:val="center"/>
        <w:rPr/>
      </w:pPr>
      <w:r>
        <w:rPr/>
        <w:t> </w:t>
      </w:r>
    </w:p>
    <w:p>
      <w:pPr>
        <w:pStyle w:val="TextBody"/>
        <w:bidi w:val="0"/>
        <w:spacing w:before="0" w:after="0"/>
        <w:ind w:left="0" w:right="0" w:firstLine="360"/>
        <w:jc w:val="left"/>
        <w:rPr>
          <w:sz w:val="20"/>
        </w:rPr>
      </w:pPr>
      <w:r>
        <w:rPr>
          <w:sz w:val="20"/>
        </w:rPr>
        <w:t>We may sell the securities offered through this prospectus and any accompanying prospectus supplement, if required, in any of the following ways: (i) to or through underwriters or dealers, (ii) directly to purchasers, including our affiliates, (iii) through agents, (iv) in an “at the market offering,” within the meaning of Rule 415(a)(4) of the Securities Act or (v) through a combination of any of these methods or any other method permitted by law. The securities may be distributed at a fixed price or prices, which may be changed, market prices prevailing at the time of sale, prices related to the prevailing market prices, or negotiated prices, either:</w:t>
      </w:r>
    </w:p>
    <w:p>
      <w:pPr>
        <w:pStyle w:val="TextBody"/>
        <w:bidi w:val="0"/>
        <w:spacing w:before="0" w:after="0"/>
        <w:ind w:left="0" w:right="0" w:firstLine="36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on or through the facilities of the Nasdaq-CM or any other securities exchange or quotation or trading service on which such securities may be listed, quoted or traded at the time of sale; and/or</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sz w:val="20"/>
              </w:rPr>
            </w:pPr>
            <w:r>
              <w:rPr>
                <w:sz w:val="20"/>
              </w:rPr>
              <w:t>to or through a market maker otherwise than on the Nasdaq-CM or such other securities exchanges or quotation or trading service.</w:t>
            </w:r>
          </w:p>
        </w:tc>
      </w:tr>
    </w:tbl>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In addition, we may issue the securities as a dividend or distribution or in a subscription rights offering to our existing security holders.</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We may directly solicit offers to purchase securities, or agents may be designated to solicit such offers. In the prospectus supplement relating to such offering, we will name any agent that could be viewed as an underwriter under the Securities Act and describe any commissions that we must pay to any such agent.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Each prospectus supplement will describe the method of distribution of the securities and any applicable restrictions.</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The prospectus supplement with respect to the securities of a particular series will describe the terms of the offering of the securities, including the following:</w:t>
      </w:r>
    </w:p>
    <w:p>
      <w:pPr>
        <w:pStyle w:val="TextBody"/>
        <w:bidi w:val="0"/>
        <w:spacing w:before="0" w:after="0"/>
        <w:ind w:left="0" w:right="0" w:firstLine="360"/>
        <w:jc w:val="left"/>
        <w:rPr/>
      </w:pPr>
      <w:r>
        <w:rPr/>
        <w:t> </w:t>
      </w:r>
    </w:p>
    <w:tbl>
      <w:tblPr>
        <w:tblW w:w="4173" w:type="dxa"/>
        <w:jc w:val="left"/>
        <w:tblInd w:w="0" w:type="dxa"/>
        <w:tblLayout w:type="fixed"/>
        <w:tblCellMar>
          <w:top w:w="0" w:type="dxa"/>
          <w:left w:w="0" w:type="dxa"/>
          <w:bottom w:w="0" w:type="dxa"/>
          <w:right w:w="0" w:type="dxa"/>
        </w:tblCellMar>
      </w:tblPr>
      <w:tblGrid>
        <w:gridCol w:w="38"/>
        <w:gridCol w:w="110"/>
        <w:gridCol w:w="402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283"/>
              <w:jc w:val="both"/>
              <w:rPr/>
            </w:pPr>
            <w:r>
              <w:rPr/>
              <w:t>the name of the agent or any underwriters;</w:t>
            </w:r>
          </w:p>
        </w:tc>
      </w:tr>
    </w:tbl>
    <w:tbl>
      <w:tblPr>
        <w:tblW w:w="3663" w:type="dxa"/>
        <w:jc w:val="left"/>
        <w:tblInd w:w="0" w:type="dxa"/>
        <w:tblLayout w:type="fixed"/>
        <w:tblCellMar>
          <w:top w:w="0" w:type="dxa"/>
          <w:left w:w="0" w:type="dxa"/>
          <w:bottom w:w="0" w:type="dxa"/>
          <w:right w:w="0" w:type="dxa"/>
        </w:tblCellMar>
      </w:tblPr>
      <w:tblGrid>
        <w:gridCol w:w="38"/>
        <w:gridCol w:w="110"/>
        <w:gridCol w:w="351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3515" w:type="dxa"/>
            <w:tcBorders/>
            <w:vAlign w:val="center"/>
          </w:tcPr>
          <w:p>
            <w:pPr>
              <w:pStyle w:val="TableContents"/>
              <w:bidi w:val="0"/>
              <w:spacing w:before="0" w:after="283"/>
              <w:jc w:val="both"/>
              <w:rPr/>
            </w:pPr>
            <w:r>
              <w:rPr/>
              <w:t>the public offering or purchase price;</w:t>
            </w:r>
          </w:p>
        </w:tc>
      </w:tr>
    </w:tbl>
    <w:tbl>
      <w:tblPr>
        <w:tblW w:w="7923" w:type="dxa"/>
        <w:jc w:val="left"/>
        <w:tblInd w:w="0" w:type="dxa"/>
        <w:tblLayout w:type="fixed"/>
        <w:tblCellMar>
          <w:top w:w="0" w:type="dxa"/>
          <w:left w:w="0" w:type="dxa"/>
          <w:bottom w:w="0" w:type="dxa"/>
          <w:right w:w="0" w:type="dxa"/>
        </w:tblCellMar>
      </w:tblPr>
      <w:tblGrid>
        <w:gridCol w:w="38"/>
        <w:gridCol w:w="110"/>
        <w:gridCol w:w="777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7775" w:type="dxa"/>
            <w:tcBorders/>
            <w:vAlign w:val="center"/>
          </w:tcPr>
          <w:p>
            <w:pPr>
              <w:pStyle w:val="TableContents"/>
              <w:bidi w:val="0"/>
              <w:spacing w:before="0" w:after="283"/>
              <w:jc w:val="both"/>
              <w:rPr/>
            </w:pPr>
            <w:r>
              <w:rPr/>
              <w:t>any discounts and commissions to be allowed or paid to the agent or underwriters;</w:t>
            </w:r>
          </w:p>
        </w:tc>
      </w:tr>
    </w:tbl>
    <w:tbl>
      <w:tblPr>
        <w:tblW w:w="5358" w:type="dxa"/>
        <w:jc w:val="left"/>
        <w:tblInd w:w="0" w:type="dxa"/>
        <w:tblLayout w:type="fixed"/>
        <w:tblCellMar>
          <w:top w:w="0" w:type="dxa"/>
          <w:left w:w="0" w:type="dxa"/>
          <w:bottom w:w="0" w:type="dxa"/>
          <w:right w:w="0" w:type="dxa"/>
        </w:tblCellMar>
      </w:tblPr>
      <w:tblGrid>
        <w:gridCol w:w="38"/>
        <w:gridCol w:w="110"/>
        <w:gridCol w:w="521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5210" w:type="dxa"/>
            <w:tcBorders/>
            <w:vAlign w:val="center"/>
          </w:tcPr>
          <w:p>
            <w:pPr>
              <w:pStyle w:val="TableContents"/>
              <w:bidi w:val="0"/>
              <w:spacing w:before="0" w:after="283"/>
              <w:jc w:val="both"/>
              <w:rPr/>
            </w:pPr>
            <w:r>
              <w:rPr/>
              <w:t>all other items constituting underwriting compensation;</w:t>
            </w:r>
          </w:p>
        </w:tc>
      </w:tr>
    </w:tbl>
    <w:tbl>
      <w:tblPr>
        <w:tblW w:w="6633" w:type="dxa"/>
        <w:jc w:val="left"/>
        <w:tblInd w:w="0" w:type="dxa"/>
        <w:tblLayout w:type="fixed"/>
        <w:tblCellMar>
          <w:top w:w="0" w:type="dxa"/>
          <w:left w:w="0" w:type="dxa"/>
          <w:bottom w:w="0" w:type="dxa"/>
          <w:right w:w="0" w:type="dxa"/>
        </w:tblCellMar>
      </w:tblPr>
      <w:tblGrid>
        <w:gridCol w:w="38"/>
        <w:gridCol w:w="110"/>
        <w:gridCol w:w="648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6485" w:type="dxa"/>
            <w:tcBorders/>
            <w:vAlign w:val="center"/>
          </w:tcPr>
          <w:p>
            <w:pPr>
              <w:pStyle w:val="TableContents"/>
              <w:bidi w:val="0"/>
              <w:spacing w:before="0" w:after="283"/>
              <w:jc w:val="both"/>
              <w:rPr/>
            </w:pPr>
            <w:r>
              <w:rPr/>
              <w:t>any discounts and commissions to be allowed or paid to dealers; and</w:t>
            </w:r>
          </w:p>
        </w:tc>
      </w:tr>
    </w:tbl>
    <w:tbl>
      <w:tblPr>
        <w:tblW w:w="5118" w:type="dxa"/>
        <w:jc w:val="left"/>
        <w:tblInd w:w="0" w:type="dxa"/>
        <w:tblLayout w:type="fixed"/>
        <w:tblCellMar>
          <w:top w:w="0" w:type="dxa"/>
          <w:left w:w="0" w:type="dxa"/>
          <w:bottom w:w="0" w:type="dxa"/>
          <w:right w:w="0" w:type="dxa"/>
        </w:tblCellMar>
      </w:tblPr>
      <w:tblGrid>
        <w:gridCol w:w="38"/>
        <w:gridCol w:w="110"/>
        <w:gridCol w:w="497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4970" w:type="dxa"/>
            <w:tcBorders/>
            <w:vAlign w:val="center"/>
          </w:tcPr>
          <w:p>
            <w:pPr>
              <w:pStyle w:val="TableContents"/>
              <w:bidi w:val="0"/>
              <w:spacing w:before="0" w:after="283"/>
              <w:jc w:val="both"/>
              <w:rPr/>
            </w:pPr>
            <w:r>
              <w:rPr/>
              <w:t>any exchanges on which the securities will be listed.</w:t>
            </w:r>
          </w:p>
        </w:tc>
      </w:tr>
    </w:tbl>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If any underwriters or agents are used in the sale of the securities in respect of which this prospectus is delivered, we will enter into an underwriting agreement, sales agreement or other agreement with them at the time of sale to them, and we will set forth in the prospectus supplement relating to such offering the names of the underwriters or agents and the terms of the related agreement with them.</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In connection with the offering of securities, we may grant to the underwriters an option to purchase additional securities with an additional underwriting commission, as may be set forth in the accompanying prospectus supplement. If we grant any such option, the terms of such option will be set forth in the prospectus supplement for such securities.</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If a dealer is used in the sale of the securities in respect of which the prospectus is delivered, we will sell such securities to the dealer, as principal. The dealer, who may be deemed to be an “underwriter” as that term is defined in the Securities Act, may then resell such securities to the public at varying prices to be determined by such dealer at the time of resale.</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pStyle w:val="TextBody"/>
        <w:bidi w:val="0"/>
        <w:spacing w:before="0" w:after="0"/>
        <w:ind w:left="0" w:right="0" w:firstLine="36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left"/>
        <w:rPr>
          <w:sz w:val="20"/>
        </w:rPr>
      </w:pPr>
      <w:r>
        <w:rPr>
          <w:sz w:val="20"/>
        </w:rPr>
        <w:t>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pStyle w:val="TextBody"/>
        <w:bidi w:val="0"/>
        <w:spacing w:before="0" w:after="0"/>
        <w:ind w:left="0" w:right="0" w:firstLine="36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the purchase by an institution of the securities covered under that contract shall not at the time of delivery be prohibited under the laws of the jurisdiction to which that institution is subject; and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tc>
      </w:tr>
    </w:tbl>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Offered securities may also be offered and sold, if so indicated in the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 if any, with us and its compensation will be described in the applicable prospectus supplement. Remarketing firms may be deemed to be underwriters in connection with their remarketing of offered securities.</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 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pStyle w:val="TextBody"/>
        <w:bidi w:val="0"/>
        <w:spacing w:before="0" w:after="0"/>
        <w:ind w:left="0" w:right="0" w:firstLine="36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left"/>
        <w:rPr>
          <w:sz w:val="20"/>
        </w:rPr>
      </w:pPr>
      <w:r>
        <w:rPr>
          <w:sz w:val="20"/>
        </w:rPr>
        <w:t>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on any date prior to the first business day before the original issue date for your securities, you will be required, by virtue of the fact that your securities initially are expected to settle in more than one scheduled business day after the trade date for your securities, to make alternative settlement arrangements to prevent a failed settlement.</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The specific terms of any lock-up provisions in respect of any given offering will be described in the applicable prospectus supplement.</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Any underwriters, dealers and agents may engage in transactions with us, or perform services for us, in the ordinary course of business for which they receive compensation.</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The anticipated date of delivery of offered securities will be set forth in the applicable prospectus supplement relating to each offer.</w:t>
      </w:r>
    </w:p>
    <w:p>
      <w:pPr>
        <w:pStyle w:val="TextBody"/>
        <w:bidi w:val="0"/>
        <w:spacing w:before="0" w:after="0"/>
        <w:ind w:left="0" w:right="0" w:hanging="0"/>
        <w:jc w:val="righ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28" w:name="a_014"/>
      <w:bookmarkEnd w:id="28"/>
      <w:r>
        <w:rPr>
          <w:b/>
          <w:sz w:val="20"/>
        </w:rPr>
        <w:t>LEGAL MATTERS</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shd w:fill="FFFFFF" w:val="clear"/>
        </w:rPr>
      </w:pPr>
      <w:r>
        <w:rPr>
          <w:sz w:val="20"/>
          <w:shd w:fill="FFFFFF" w:val="clear"/>
        </w:rPr>
        <w:t>Unless otherwise indicated in the applicable prospectus supplement, the validity of any Ordinary Shares offered under this prospectus and any supplement hereto will be passed upon for us by DLA Piper LLP (US). Any underwriters will also be advised about the validity of the securities and other legal matters by their own counsel, which will be named in the prospectus supplement.</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bookmarkStart w:id="29" w:name="a_015"/>
      <w:bookmarkEnd w:id="29"/>
      <w:r>
        <w:rPr>
          <w:b/>
          <w:sz w:val="20"/>
        </w:rPr>
        <w:t>EXPERTS</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The consolidated financial statements of Sono N.V. as of December 31, 2025 and 2024 and for each of the two years in the period ended December 31, 2025, and management’s assessment of the effectiveness of Sono N.V.’s internal control over financial reporting as of December 31, 2025, incorporated by reference in this prospectus have been so incorporated in reliance on the report (which contains an explanatory paragraph relating to Sono N.V.’s ability to continue as a going concern as described in Note 3 to the consolidated financial statements) of Grassi &amp; Co., CPAs, P.C., an independent registered public accounting firm, given on the authority of said firm as experts in auditing and accounting.</w:t>
      </w:r>
    </w:p>
    <w:p>
      <w:pPr>
        <w:pStyle w:val="TextBody"/>
        <w:bidi w:val="0"/>
        <w:spacing w:before="0" w:after="0"/>
        <w:ind w:left="0" w:right="0" w:firstLine="360"/>
        <w:jc w:val="left"/>
        <w:rPr/>
      </w:pPr>
      <w:r>
        <w:rPr/>
        <w:t> </w:t>
      </w:r>
    </w:p>
    <w:p>
      <w:pPr>
        <w:pStyle w:val="TextBody"/>
        <w:bidi w:val="0"/>
        <w:spacing w:before="0" w:after="0"/>
        <w:ind w:left="0" w:right="0" w:hanging="0"/>
        <w:jc w:val="center"/>
        <w:rPr>
          <w:b/>
          <w:sz w:val="20"/>
        </w:rPr>
      </w:pPr>
      <w:bookmarkStart w:id="30" w:name="a_016"/>
      <w:bookmarkEnd w:id="30"/>
      <w:r>
        <w:rPr>
          <w:b/>
          <w:sz w:val="20"/>
        </w:rPr>
        <w:t>WHERE YOU CAN FIND MORE INFORMATION</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We have filed with the SEC this registration statement on Form S-3, including exhibits, with respect to the shares of Ordinary Shares offered hereby. This prospectus does not contain all of the information set forth in the registration statement and the exhibits and schedules thereto. For further information with respect to the Company and its Ordinary Shares, reference is made to the registration statement and the exhibits and any schedules filed therewith. Statements contained in this prospectus as to the contents of any contract or other document referred to are not necessarily complete and in each instance, if such contract or document is filed as an exhibit, reference is made to the copy of such contract or other document filed as an exhibit to the registration statement, each statement being qualified in all respects by such reference.</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 xml:space="preserve">We are required to file annual, quarterly and current reports, proxy statements and other information with the SEC as required by the Exchange Act. You can read our SEC filings, including this prospectus, over the Internet at the SEC’s website at </w:t>
      </w:r>
      <w:r>
        <w:rPr>
          <w:i/>
          <w:sz w:val="20"/>
        </w:rPr>
        <w:t>http://www.sec.gov</w:t>
      </w:r>
      <w:r>
        <w:rPr>
          <w:sz w:val="20"/>
        </w:rPr>
        <w:t>.</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Our website address is https://ir.sonomotors.com/. Through our website, we make available, free of charge, the following documents as soon as reasonably practicable after they are electronically filed with, or furnished to, the SEC, including our Annual Reports on Form 10-K (and previously on Form 20-F), our Quarterly Reports on Form 10-Q, and our Current Reports on Form 8-K (and previously on Form 6-K), and amendments to those reports filed or furnished pursuant to Section 13(a) or 15(d) of the Exchange Act. The information contained on, or that may be accessed through, our website is not a part of, and is not incorporated into, this prospectus.</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31" w:name="a_017"/>
      <w:bookmarkEnd w:id="31"/>
      <w:r>
        <w:rPr>
          <w:b/>
          <w:sz w:val="20"/>
        </w:rPr>
        <w:t>INFORMATION INCORPORATED BY REFERENCE</w:t>
      </w:r>
    </w:p>
    <w:p>
      <w:pPr>
        <w:pStyle w:val="TextBody"/>
        <w:bidi w:val="0"/>
        <w:spacing w:before="0" w:after="0"/>
        <w:ind w:left="0" w:right="0" w:firstLine="720"/>
        <w:jc w:val="both"/>
        <w:rPr/>
      </w:pPr>
      <w:r>
        <w:rPr/>
        <w:t> </w:t>
      </w:r>
    </w:p>
    <w:p>
      <w:pPr>
        <w:pStyle w:val="TextBody"/>
        <w:bidi w:val="0"/>
        <w:spacing w:before="0" w:after="0"/>
        <w:ind w:left="0" w:right="0" w:firstLine="360"/>
        <w:jc w:val="left"/>
        <w:rPr>
          <w:sz w:val="20"/>
        </w:rPr>
      </w:pPr>
      <w:r>
        <w:rPr>
          <w:sz w:val="20"/>
        </w:rPr>
        <w:t>The SEC allows us to “incorporate by reference” into this prospectus information we file with the SEC in other documents. This means that we can disclose important information to you by referring to another document we filed with the SEC. The information relating to us contained in this prospectus should be read together with the information in the documents incorporated by reference.</w:t>
      </w:r>
    </w:p>
    <w:p>
      <w:pPr>
        <w:pStyle w:val="TextBody"/>
        <w:bidi w:val="0"/>
        <w:spacing w:before="0" w:after="0"/>
        <w:ind w:left="0" w:right="0" w:firstLine="720"/>
        <w:jc w:val="both"/>
        <w:rPr/>
      </w:pPr>
      <w:r>
        <w:rPr/>
        <w:t> </w:t>
      </w:r>
    </w:p>
    <w:p>
      <w:pPr>
        <w:pStyle w:val="TextBody"/>
        <w:bidi w:val="0"/>
        <w:spacing w:before="0" w:after="0"/>
        <w:ind w:left="0" w:right="0" w:firstLine="360"/>
        <w:jc w:val="both"/>
        <w:rPr>
          <w:sz w:val="20"/>
        </w:rPr>
      </w:pPr>
      <w:r>
        <w:rPr>
          <w:sz w:val="20"/>
        </w:rPr>
        <w:t>We incorporate by reference the documents listed below that Sono N.V. has previously filed with the SEC (other than any document or portion of any document furnished or deemed furnished and not filed in accordance with SEC rules, including Items 2.02 and 7.01 of Form 8-K and Item 9.01 related thereto):</w:t>
      </w:r>
    </w:p>
    <w:p>
      <w:pPr>
        <w:pStyle w:val="TextBody"/>
        <w:bidi w:val="0"/>
        <w:spacing w:before="0" w:after="0"/>
        <w:ind w:left="0" w:right="0" w:firstLine="36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 xml:space="preserve">Annual Report on Form 10-K for the fiscal year ended December 31, 2025, filed with the SEC on </w:t>
            </w:r>
            <w:hyperlink r:id="rId2">
              <w:r>
                <w:rPr>
                  <w:rStyle w:val="InternetLink"/>
                </w:rPr>
                <w:t>April 1, 2026</w:t>
              </w:r>
            </w:hyperlink>
            <w:r>
              <w:rPr/>
              <w:t>;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 xml:space="preserve">Current Reports on Form 8-K, filed with the SEC on </w:t>
            </w:r>
            <w:hyperlink r:id="rId3">
              <w:r>
                <w:rPr>
                  <w:rStyle w:val="InternetLink"/>
                </w:rPr>
                <w:t>January 29, 2026</w:t>
              </w:r>
            </w:hyperlink>
            <w:r>
              <w:rPr/>
              <w:t xml:space="preserve">, </w:t>
            </w:r>
            <w:hyperlink r:id="rId4">
              <w:r>
                <w:rPr>
                  <w:rStyle w:val="InternetLink"/>
                </w:rPr>
                <w:t>February 24, 2026</w:t>
              </w:r>
            </w:hyperlink>
            <w:r>
              <w:rPr/>
              <w:t xml:space="preserve">, </w:t>
            </w:r>
            <w:hyperlink r:id="rId5">
              <w:r>
                <w:rPr>
                  <w:rStyle w:val="InternetLink"/>
                </w:rPr>
                <w:t>March 10, 2026</w:t>
              </w:r>
            </w:hyperlink>
            <w:r>
              <w:rPr/>
              <w:t xml:space="preserve">, </w:t>
            </w:r>
            <w:hyperlink r:id="rId6">
              <w:r>
                <w:rPr>
                  <w:rStyle w:val="InternetLink"/>
                </w:rPr>
                <w:t>March 16, 2026</w:t>
              </w:r>
            </w:hyperlink>
            <w:r>
              <w:rPr/>
              <w:t xml:space="preserve"> and </w:t>
            </w:r>
            <w:hyperlink r:id="rId7">
              <w:r>
                <w:rPr>
                  <w:rStyle w:val="InternetLink"/>
                </w:rPr>
                <w:t>March 19, 2026</w:t>
              </w:r>
            </w:hyperlink>
            <w:r>
              <w:rPr/>
              <w:t xml:space="preserve"> (as amended by the Form 8-K/A filed with the SEC on </w:t>
            </w:r>
            <w:hyperlink r:id="rId8">
              <w:r>
                <w:rPr>
                  <w:rStyle w:val="InternetLink"/>
                </w:rPr>
                <w:t>May 8, 2026</w:t>
              </w:r>
            </w:hyperlink>
            <w:r>
              <w:rPr/>
              <w:t>).</w:t>
            </w:r>
          </w:p>
        </w:tc>
      </w:tr>
    </w:tbl>
    <w:p>
      <w:pPr>
        <w:pStyle w:val="TextBody"/>
        <w:bidi w:val="0"/>
        <w:spacing w:before="0" w:after="0"/>
        <w:ind w:left="0" w:right="0" w:firstLine="360"/>
        <w:jc w:val="both"/>
        <w:rPr/>
      </w:pPr>
      <w:r>
        <w:rPr/>
        <w:t> </w:t>
      </w:r>
    </w:p>
    <w:p>
      <w:pPr>
        <w:pStyle w:val="TextBody"/>
        <w:bidi w:val="0"/>
        <w:spacing w:before="0" w:after="0"/>
        <w:ind w:left="0" w:right="0" w:firstLine="360"/>
        <w:jc w:val="both"/>
        <w:rPr>
          <w:sz w:val="20"/>
        </w:rPr>
      </w:pPr>
      <w:r>
        <w:rPr>
          <w:sz w:val="20"/>
        </w:rPr>
        <w:t>We are also incorporating by reference all documents subsequently filed by the registrant pursuant to Sections 13(a), 13(c), 14 or 15(d) of the Exchange Act, other than any document or portion of any document furnished or deemed furnished and not filed in accordance with SEC rules, including Items 2.02 and 7.01 on Form 8-K and Item 9.01 related thereto.</w:t>
      </w:r>
    </w:p>
    <w:p>
      <w:pPr>
        <w:pStyle w:val="TextBody"/>
        <w:bidi w:val="0"/>
        <w:spacing w:before="0" w:after="0"/>
        <w:ind w:left="0" w:right="0" w:firstLine="360"/>
        <w:jc w:val="both"/>
        <w:rPr/>
      </w:pPr>
      <w:r>
        <w:rPr/>
        <w:t> </w:t>
      </w:r>
    </w:p>
    <w:p>
      <w:pPr>
        <w:pStyle w:val="TextBody"/>
        <w:bidi w:val="0"/>
        <w:spacing w:before="0" w:after="0"/>
        <w:ind w:left="0" w:right="0" w:firstLine="360"/>
        <w:jc w:val="both"/>
        <w:rPr>
          <w:sz w:val="20"/>
        </w:rPr>
      </w:pPr>
      <w:r>
        <w:rPr>
          <w:sz w:val="20"/>
        </w:rPr>
        <w:t>The information incorporated by reference is considered to be part of this prospectus, and information that we file later with the SEC and incorporate by reference in this prospectus will automatically update and supersede this previously filed information, as applicable, including information in previously filed documents or reports that have been incorporated by reference into this prospectus. Any statement so modified or superseded will not be deemed, except as so modified or superseded, to constitute a part of this prospectus.</w:t>
      </w:r>
    </w:p>
    <w:p>
      <w:pPr>
        <w:pStyle w:val="TextBody"/>
        <w:bidi w:val="0"/>
        <w:spacing w:before="0" w:after="0"/>
        <w:ind w:left="0" w:right="0" w:hanging="0"/>
        <w:jc w:val="left"/>
        <w:rPr/>
      </w:pPr>
      <w:r>
        <w:rPr/>
        <w:t> </w:t>
      </w:r>
    </w:p>
    <w:p>
      <w:pPr>
        <w:pStyle w:val="TextBody"/>
        <w:bidi w:val="0"/>
        <w:spacing w:before="0" w:after="0"/>
        <w:ind w:left="0" w:right="0" w:hanging="0"/>
        <w:jc w:val="right"/>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SONO GROUP N.V.</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shd w:fill="FFFFFF" w:val="clear"/>
        </w:rPr>
      </w:pPr>
      <w:r>
        <w:rPr>
          <w:b/>
          <w:sz w:val="20"/>
          <w:shd w:fill="FFFFFF" w:val="clear"/>
        </w:rPr>
        <w:t>$756,945</w:t>
      </w:r>
    </w:p>
    <w:p>
      <w:pPr>
        <w:pStyle w:val="TextBody"/>
        <w:bidi w:val="0"/>
        <w:spacing w:before="0" w:after="0"/>
        <w:ind w:left="0" w:right="0" w:hanging="0"/>
        <w:jc w:val="center"/>
        <w:rPr>
          <w:b/>
          <w:sz w:val="20"/>
        </w:rPr>
      </w:pPr>
      <w:r>
        <w:rPr>
          <w:b/>
          <w:sz w:val="20"/>
        </w:rPr>
        <w:t>Ordinary Shares</w:t>
      </w:r>
    </w:p>
    <w:p>
      <w:pPr>
        <w:pStyle w:val="TextBody"/>
        <w:bidi w:val="0"/>
        <w:spacing w:before="0" w:after="0"/>
        <w:ind w:left="0" w:right="0" w:hanging="0"/>
        <w:jc w:val="center"/>
        <w:rPr/>
      </w:pPr>
      <w:r>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10" w:type="dxa"/>
            <w:gridSpan w:val="3"/>
            <w:tcBorders>
              <w:top w:val="single" w:sz="8" w:space="0" w:color="000000"/>
            </w:tcBorders>
            <w:tcMar>
              <w:top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sz w:val="20"/>
        </w:rPr>
      </w:pPr>
      <w:r>
        <w:rPr>
          <w:sz w:val="20"/>
        </w:rPr>
        <w:t>PROSPECTUS SUPPLEMENT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10" w:type="dxa"/>
            <w:gridSpan w:val="3"/>
            <w:tcBorders>
              <w:top w:val="single" w:sz="8" w:space="0" w:color="000000"/>
            </w:tcBorders>
            <w:tcMar>
              <w:top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b/>
          <w:sz w:val="20"/>
        </w:rPr>
      </w:pPr>
      <w:r>
        <w:rPr>
          <w:b/>
          <w:sz w:val="20"/>
        </w:rPr>
        <w:t>August 31, 2026</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firstLine="360"/>
        <w:jc w:val="left"/>
        <w:rPr/>
      </w:pPr>
      <w:r>
        <w:rPr/>
        <w:t> </w:t>
      </w:r>
    </w:p>
    <w:p>
      <w:pPr>
        <w:pStyle w:val="TextBody"/>
        <w:bidi w:val="0"/>
        <w:spacing w:before="0" w:after="0"/>
        <w:ind w:left="0" w:right="0" w:hanging="0"/>
        <w:jc w:val="left"/>
        <w:rPr/>
      </w:pPr>
      <w:r>
        <w:rPr/>
        <w:t> </w:t>
      </w:r>
    </w:p>
    <w:p>
      <w:pPr>
        <w:pStyle w:val="TextBody"/>
        <w:bidi w:val="0"/>
        <w:spacing w:before="60" w:after="60"/>
        <w:ind w:left="60" w:right="60" w:hanging="0"/>
        <w:jc w:val="left"/>
        <w:rPr>
          <w:bdr w:val="single" w:sz="32" w:space="1" w:color="000000"/>
        </w:rPr>
      </w:pPr>
      <w:r>
        <w:rPr>
          <w:bdr w:val="single" w:sz="3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840416/000117184326002178/sev20251231_10k.htm" TargetMode="External"/><Relationship Id="rId3" Type="http://schemas.openxmlformats.org/officeDocument/2006/relationships/hyperlink" Target="https://www.sec.gov/ix?doc=/Archives/edgar/data/0001840416/000117184326000517/f8k_012926.htm" TargetMode="External"/><Relationship Id="rId4" Type="http://schemas.openxmlformats.org/officeDocument/2006/relationships/hyperlink" Target="https://www.sec.gov/ix?doc=/Archives/edgar/data/0001840416/000117184326001054/f8k_022426.htm" TargetMode="External"/><Relationship Id="rId5" Type="http://schemas.openxmlformats.org/officeDocument/2006/relationships/hyperlink" Target="https://www.sec.gov/ix?doc=/Archives/edgar/data/0001840416/000117184326001464/f8k_031026.htm" TargetMode="External"/><Relationship Id="rId6" Type="http://schemas.openxmlformats.org/officeDocument/2006/relationships/hyperlink" Target="https://www.sec.gov/ix?doc=/Archives/edgar/data/0001840416/000117184326001589/f8k_031626.htm" TargetMode="External"/><Relationship Id="rId7" Type="http://schemas.openxmlformats.org/officeDocument/2006/relationships/hyperlink" Target="https://www.sec.gov/ix?doc=/Archives/edgar/data/0001840416/000117184326001794/f8k_031926.htm" TargetMode="External"/><Relationship Id="rId8" Type="http://schemas.openxmlformats.org/officeDocument/2006/relationships/hyperlink" Target="https://www.sec.gov/ix?doc=/Archives/edgar/data/0001840416/000117184326003196/f8ka_050826.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59</Pages>
  <Words>31249</Words>
  <Characters>165093</Characters>
  <CharactersWithSpaces>196508</CharactersWithSpaces>
  <Paragraphs>1877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