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September 3, 2025</w:t>
      </w:r>
    </w:p>
    <w:p>
      <w:pPr>
        <w:spacing w:after="0" w:line="4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98-1828632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225" w:right="339" w:bottom="1440" w:gutter="0" w:footer="0" w:header="0"/>
          <w:type w:val="continuous"/>
        </w:sectPr>
      </w:pPr>
    </w:p>
    <w:p>
      <w:pPr>
        <w:spacing w:after="0" w:line="30"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820" w:space="720"/>
            <w:col w:w="2700"/>
          </w:cols>
          <w:pgMar w:left="320" w:top="2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25"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198"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Items.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September 3, 2025, Sono Group N.V. (the “Company”) furnished an unaudited pro forma condensed consolidated balance sheet and statement of income as of and for the six months ended June 30, 2025 (the “Pro Forma Financial Information”) as part of the Company’s application for listing on the Nasdaq Capital Market (“Nasdaq”).</w:t>
      </w:r>
    </w:p>
    <w:p>
      <w:pPr>
        <w:spacing w:after="0" w:line="17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Pro Forma Financial Information gives effect to the transactions contemplated by the following previously-disclosed agreements: (i) the securities purchase agreement (the “Securities Purchase Agreement”) entered into between the Company and YA II PN, Ltd. (“Yorkville”) on December 30, 2024, pursuant to which Yorkville committed to provide limited financing to the Company in the amount of $5,000,000 (the “Yorkville Commitment”) in the form of a new convertible debenture (the “Commitment Debenture”), subject to certain conditions and limitations, including the Company’s receipt of notice from Nasdaq that the Company has met all the applicable requirements for listing of the Company’s ordinary shares on Nasdaq, (ii) the exchange agreement (the “Exchange Agreement”) entered into between the Company and Yorkville on December 30, 2024, pursuant to which the Company agreed, subject to the satisfactions of certain conditions precedent, to issue 1,242 shares of preferred stock of the Company, each with a nominal value of €300 (the “Preferred Shares”), to Yorkville solely in exchange for the surrender and cancellation of all of the debentures held by Yorkville, including the Commitment Debenture, if issued, and the Advance Debentures (as defined below), (iii) the omnibus amendment to transaction documents entered into between the Company and Yorkville on February 12, 2025 (the “First Omnibus Amendment”), which provided for, among other things, an immediate advance of $1,000,000 of the Yorkville Commitment in the form of a $1,000,000 secured convertible debenture (the “First Advance Debenture”), (iv) the omnibus amendment to transaction documents entered into between the Company and Yorkville on March 7, 2025 (the “Second Omnibus Amendment”), which, among other things, modified the terms of the Exchange Agreement to amend the floor price provided for in the Exchange Agreement, (v) the omnibus amendment to transaction documents entered into between the Company and Yorkville on March 25, 2025 (the “Third Omnibus Amendment”), which provided for, among other things, a second immediate advance of $1,000,000 of the Yorkville Commitment in the form of a $1,000,000 secured convertible debenture (the “Second Advance Debenture”) and (vi) the omnibus amendment to transaction documents entered into between the Company and Yorkville on April 24, 2025 (the “Fourth Omnibus Amendment”), which provided for, among other things, a third immediate advance of $500,000 of the Yorkville Commitment in the form of a $500,000 secured convertible debenture (the “Third Advance Debenture”), (vii) the omnibus amendment to transaction documents entered into between the Company and Yorkville on May 26, 2025 (the “Fifth Omnibus Amendment” and together with the First Omnibus Amendment, the Second Omnibus Amendment, the Third Omnibus Amendment, and the Fourth Omnibus Amendment, the “Omnibus Amendments”), which provided for, among other things, a fourth immediate advance of $750,000 of the Yorkville Commitment in the form of a $750,000 secured convertible debenture (the “Fourth Advance Debenture” and together with the First Advance Debenture, the Second Advance Debenture and the Third Advance Debenture, the “Advance Debentures”).</w:t>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final adjustment to net equity, Yorkville will add an additional $2,200,000 (€1,850,000) of secured convertible debenture subject to Nasdaq approving the Company’s requested uplisting to Nasdaq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80"/>
          </w:cols>
          <w:pgMar w:left="320" w:top="792" w:right="399" w:bottom="1440" w:gutter="0" w:footer="0" w:header="0"/>
        </w:sectPr>
      </w:pPr>
    </w:p>
    <w:bookmarkStart w:id="2" w:name="page3"/>
    <w:bookmarkEnd w:id="2"/>
    <w:p>
      <w:pPr>
        <w:ind w:right="100"/>
        <w:spacing w:after="0" w:line="258" w:lineRule="auto"/>
        <w:rPr>
          <w:sz w:val="20"/>
          <w:szCs w:val="20"/>
          <w:color w:val="auto"/>
        </w:rPr>
      </w:pPr>
      <w:r>
        <w:rPr>
          <w:rFonts w:ascii="Times New Roman" w:cs="Times New Roman" w:eastAsia="Times New Roman" w:hAnsi="Times New Roman"/>
          <w:sz w:val="18"/>
          <w:szCs w:val="18"/>
          <w:color w:val="auto"/>
        </w:rPr>
        <w:t>Additional information and background on the Securities Purchase Agreement, the Exchange Agreement, the Omnibus Amendments and the other agreements and transactions related thereto may be found in the Company’s Form 6-K filed with the Securities and Exchange Commission (“SEC”) on December 30, 2024 and the Company’s Form 8-Ks filed with the SEC on February 13, 2025, March 7, 2025, March 26, 2025, April 25, 2025 and May 26, 2025. The Company’s listing application has not yet been approved by Nasdaq, and there is no assurance that its listing application will be approved by Nasdaq.</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9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6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Sono Group N.V. pro forma condensed consolidated balance sheet and statement of income as of and for the six months ended June 30,</w:t>
            </w:r>
          </w:p>
        </w:tc>
      </w:tr>
      <w:tr>
        <w:trPr>
          <w:trHeight w:val="196"/>
        </w:trPr>
        <w:tc>
          <w:tcPr>
            <w:tcW w:w="32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2025</w:t>
            </w:r>
          </w:p>
        </w:tc>
        <w:tc>
          <w:tcPr>
            <w:tcW w:w="1260" w:type="dxa"/>
            <w:vAlign w:val="bottom"/>
            <w:tcBorders>
              <w:top w:val="single" w:sz="8" w:color="0000EE"/>
            </w:tcBorders>
          </w:tcPr>
          <w:p>
            <w:pPr>
              <w:spacing w:after="0"/>
              <w:rPr>
                <w:sz w:val="17"/>
                <w:szCs w:val="17"/>
                <w:color w:val="auto"/>
              </w:rPr>
            </w:pPr>
          </w:p>
        </w:tc>
        <w:tc>
          <w:tcPr>
            <w:tcW w:w="81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511"/>
        </w:trPr>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8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Sono Group N.V.</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3, 2025</w:t>
            </w:r>
          </w:p>
        </w:tc>
        <w:tc>
          <w:tcPr>
            <w:tcW w:w="260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O’Leary</w:t>
            </w:r>
          </w:p>
        </w:tc>
      </w:tr>
      <w:tr>
        <w:trPr>
          <w:trHeight w:val="191"/>
        </w:trPr>
        <w:tc>
          <w:tcPr>
            <w:tcW w:w="38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George O’Leary</w:t>
            </w:r>
          </w:p>
        </w:tc>
      </w:tr>
      <w:tr>
        <w:trPr>
          <w:trHeight w:val="234"/>
        </w:trPr>
        <w:tc>
          <w:tcPr>
            <w:tcW w:w="3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Title:  Managing Director</w:t>
            </w: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305435</wp:posOffset>
            </wp:positionV>
            <wp:extent cx="3754755" cy="21342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5475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1440" w:right="2560"/>
        <w:spacing w:after="0" w:line="246" w:lineRule="auto"/>
        <w:rPr>
          <w:sz w:val="20"/>
          <w:szCs w:val="20"/>
          <w:color w:val="auto"/>
        </w:rPr>
      </w:pPr>
      <w:r>
        <w:rPr>
          <w:rFonts w:ascii="Times New Roman" w:cs="Times New Roman" w:eastAsia="Times New Roman" w:hAnsi="Times New Roman"/>
          <w:sz w:val="22"/>
          <w:szCs w:val="22"/>
          <w:b w:val="1"/>
          <w:bCs w:val="1"/>
          <w:color w:val="002B41"/>
        </w:rPr>
        <w:t>Sono Group N.V. pro forma condensed consolidated Balance Sheet and Statement of Income as of and for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1720850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40" w:type="dxa"/>
            <w:vAlign w:val="bottom"/>
          </w:tcPr>
          <w:p>
            <w:pPr>
              <w:spacing w:after="0"/>
              <w:rPr>
                <w:sz w:val="24"/>
                <w:szCs w:val="24"/>
                <w:color w:val="auto"/>
              </w:rPr>
            </w:pPr>
          </w:p>
        </w:tc>
      </w:tr>
      <w:tr>
        <w:trPr>
          <w:trHeight w:val="430"/>
        </w:trPr>
        <w:tc>
          <w:tcPr>
            <w:tcW w:w="8200" w:type="dxa"/>
            <w:vAlign w:val="bottom"/>
          </w:tcPr>
          <w:p>
            <w:pPr>
              <w:ind w:left="180"/>
              <w:spacing w:after="0"/>
              <w:rPr>
                <w:sz w:val="20"/>
                <w:szCs w:val="20"/>
                <w:color w:val="auto"/>
              </w:rPr>
            </w:pPr>
            <w:r>
              <w:rPr>
                <w:rFonts w:ascii="Cambria" w:cs="Cambria" w:eastAsia="Cambria" w:hAnsi="Cambria"/>
                <w:sz w:val="18"/>
                <w:szCs w:val="18"/>
                <w:b w:val="1"/>
                <w:bCs w:val="1"/>
                <w:color w:val="auto"/>
              </w:rPr>
              <w:t>Proforma Condensed Consolidated Statements of Income (Loss)</w:t>
            </w:r>
          </w:p>
        </w:tc>
        <w:tc>
          <w:tcPr>
            <w:tcW w:w="3040" w:type="dxa"/>
            <w:vAlign w:val="bottom"/>
          </w:tcPr>
          <w:p>
            <w:pPr>
              <w:jc w:val="right"/>
              <w:spacing w:after="0"/>
              <w:rPr>
                <w:sz w:val="20"/>
                <w:szCs w:val="20"/>
                <w:color w:val="auto"/>
              </w:rPr>
            </w:pPr>
            <w:r>
              <w:rPr>
                <w:rFonts w:ascii="Cambria" w:cs="Cambria" w:eastAsia="Cambria" w:hAnsi="Cambria"/>
                <w:sz w:val="18"/>
                <w:szCs w:val="18"/>
                <w:b w:val="1"/>
                <w:bCs w:val="1"/>
                <w:color w:val="auto"/>
              </w:rPr>
              <w:t>3</w:t>
            </w:r>
          </w:p>
        </w:tc>
      </w:tr>
      <w:tr>
        <w:trPr>
          <w:trHeight w:val="299"/>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Proforma Preliminary Condensed Consolidated Balance Sheets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New Issuance of $7.2 Million Debenture Adjustment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  Conversion of all existing debt to preferred equity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  Changes to the fair value in Convertible Notes Payable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  Change in Subscribed Capital</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  Net Equity Converted to US Dollars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1512"/>
        </w:trPr>
        <w:tc>
          <w:tcPr>
            <w:tcW w:w="820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68"/>
        </w:trPr>
        <w:tc>
          <w:tcPr>
            <w:tcW w:w="820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540"/>
        </w:trPr>
        <w:tc>
          <w:tcPr>
            <w:tcW w:w="8260" w:type="dxa"/>
            <w:vAlign w:val="bottom"/>
            <w:gridSpan w:val="4"/>
          </w:tcPr>
          <w:p>
            <w:pPr>
              <w:ind w:left="3160"/>
              <w:spacing w:after="0"/>
              <w:rPr>
                <w:sz w:val="20"/>
                <w:szCs w:val="20"/>
                <w:color w:val="auto"/>
              </w:rPr>
            </w:pPr>
            <w:r>
              <w:rPr>
                <w:rFonts w:ascii="Times New Roman" w:cs="Times New Roman" w:eastAsia="Times New Roman" w:hAnsi="Times New Roman"/>
                <w:sz w:val="18"/>
                <w:szCs w:val="18"/>
                <w:b w:val="1"/>
                <w:bCs w:val="1"/>
                <w:color w:val="auto"/>
              </w:rPr>
              <w:t>Proforma Condensed Consolidated Statements of Income (Loss)</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gridSpan w:val="2"/>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00" w:type="dxa"/>
            <w:vAlign w:val="bottom"/>
            <w:shd w:val="clear" w:color="auto" w:fill="A6A6A6"/>
          </w:tcPr>
          <w:p>
            <w:pPr>
              <w:spacing w:after="0"/>
              <w:rPr>
                <w:sz w:val="23"/>
                <w:szCs w:val="23"/>
                <w:color w:val="auto"/>
              </w:rPr>
            </w:pPr>
          </w:p>
        </w:tc>
        <w:tc>
          <w:tcPr>
            <w:tcW w:w="100" w:type="dxa"/>
            <w:vAlign w:val="bottom"/>
            <w:shd w:val="clear" w:color="auto" w:fill="A6A6A6"/>
          </w:tcPr>
          <w:p>
            <w:pPr>
              <w:spacing w:after="0"/>
              <w:rPr>
                <w:sz w:val="23"/>
                <w:szCs w:val="23"/>
                <w:color w:val="auto"/>
              </w:rPr>
            </w:pPr>
          </w:p>
        </w:tc>
        <w:tc>
          <w:tcPr>
            <w:tcW w:w="1480" w:type="dxa"/>
            <w:vAlign w:val="bottom"/>
            <w:shd w:val="clear" w:color="auto" w:fill="A6A6A6"/>
          </w:tcPr>
          <w:p>
            <w:pPr>
              <w:spacing w:after="0"/>
              <w:rPr>
                <w:sz w:val="23"/>
                <w:szCs w:val="23"/>
                <w:color w:val="auto"/>
              </w:rPr>
            </w:pPr>
          </w:p>
        </w:tc>
        <w:tc>
          <w:tcPr>
            <w:tcW w:w="2860" w:type="dxa"/>
            <w:vAlign w:val="bottom"/>
            <w:gridSpan w:val="2"/>
            <w:shd w:val="clear" w:color="auto" w:fill="A6A6A6"/>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Pro Forma Adjustments</w:t>
            </w:r>
          </w:p>
        </w:tc>
        <w:tc>
          <w:tcPr>
            <w:tcW w:w="1600" w:type="dxa"/>
            <w:vAlign w:val="bottom"/>
            <w:shd w:val="clear" w:color="auto" w:fill="A6A6A6"/>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200" w:type="dxa"/>
            <w:vAlign w:val="bottom"/>
            <w:shd w:val="clear" w:color="auto" w:fill="A6A6A6"/>
          </w:tcPr>
          <w:p>
            <w:pPr>
              <w:spacing w:after="0"/>
              <w:rPr>
                <w:sz w:val="21"/>
                <w:szCs w:val="21"/>
                <w:color w:val="auto"/>
              </w:rPr>
            </w:pPr>
          </w:p>
        </w:tc>
        <w:tc>
          <w:tcPr>
            <w:tcW w:w="100" w:type="dxa"/>
            <w:vAlign w:val="bottom"/>
            <w:shd w:val="clear" w:color="auto" w:fill="A6A6A6"/>
          </w:tcPr>
          <w:p>
            <w:pPr>
              <w:spacing w:after="0"/>
              <w:rPr>
                <w:sz w:val="21"/>
                <w:szCs w:val="21"/>
                <w:color w:val="auto"/>
              </w:rPr>
            </w:pPr>
          </w:p>
        </w:tc>
        <w:tc>
          <w:tcPr>
            <w:tcW w:w="1480" w:type="dxa"/>
            <w:vAlign w:val="bottom"/>
            <w:shd w:val="clear" w:color="auto" w:fill="A6A6A6"/>
          </w:tcPr>
          <w:p>
            <w:pPr>
              <w:jc w:val="center"/>
              <w:ind w:right="70"/>
              <w:spacing w:after="0"/>
              <w:rPr>
                <w:sz w:val="20"/>
                <w:szCs w:val="20"/>
                <w:color w:val="auto"/>
              </w:rPr>
            </w:pPr>
            <w:r>
              <w:rPr>
                <w:rFonts w:ascii="Times New Roman" w:cs="Times New Roman" w:eastAsia="Times New Roman" w:hAnsi="Times New Roman"/>
                <w:sz w:val="18"/>
                <w:szCs w:val="18"/>
                <w:b w:val="1"/>
                <w:bCs w:val="1"/>
                <w:color w:val="FFFFFF"/>
                <w:w w:val="98"/>
              </w:rPr>
              <w:t>Six months</w:t>
            </w:r>
          </w:p>
        </w:tc>
        <w:tc>
          <w:tcPr>
            <w:tcW w:w="1480" w:type="dxa"/>
            <w:vAlign w:val="bottom"/>
            <w:shd w:val="clear" w:color="auto" w:fill="A6A6A6"/>
          </w:tcPr>
          <w:p>
            <w:pPr>
              <w:spacing w:after="0"/>
              <w:rPr>
                <w:sz w:val="21"/>
                <w:szCs w:val="21"/>
                <w:color w:val="auto"/>
              </w:rPr>
            </w:pPr>
          </w:p>
        </w:tc>
        <w:tc>
          <w:tcPr>
            <w:tcW w:w="1380" w:type="dxa"/>
            <w:vAlign w:val="bottom"/>
            <w:shd w:val="clear" w:color="auto" w:fill="A6A6A6"/>
          </w:tcPr>
          <w:p>
            <w:pPr>
              <w:spacing w:after="0"/>
              <w:rPr>
                <w:sz w:val="21"/>
                <w:szCs w:val="21"/>
                <w:color w:val="auto"/>
              </w:rPr>
            </w:pPr>
          </w:p>
        </w:tc>
        <w:tc>
          <w:tcPr>
            <w:tcW w:w="1600" w:type="dxa"/>
            <w:vAlign w:val="bottom"/>
            <w:shd w:val="clear" w:color="auto" w:fill="A6A6A6"/>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A6A6A6"/>
          </w:tcPr>
          <w:p>
            <w:pPr>
              <w:spacing w:after="0"/>
              <w:rPr>
                <w:sz w:val="18"/>
                <w:szCs w:val="18"/>
                <w:color w:val="auto"/>
              </w:rPr>
            </w:pPr>
          </w:p>
        </w:tc>
        <w:tc>
          <w:tcPr>
            <w:tcW w:w="100" w:type="dxa"/>
            <w:vAlign w:val="bottom"/>
            <w:shd w:val="clear" w:color="auto" w:fill="A6A6A6"/>
          </w:tcPr>
          <w:p>
            <w:pPr>
              <w:spacing w:after="0"/>
              <w:rPr>
                <w:sz w:val="18"/>
                <w:szCs w:val="18"/>
                <w:color w:val="auto"/>
              </w:rPr>
            </w:pPr>
          </w:p>
        </w:tc>
        <w:tc>
          <w:tcPr>
            <w:tcW w:w="1480" w:type="dxa"/>
            <w:vAlign w:val="bottom"/>
            <w:shd w:val="clear" w:color="auto" w:fill="A6A6A6"/>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rPr>
              <w:t>ended June</w:t>
            </w:r>
          </w:p>
        </w:tc>
        <w:tc>
          <w:tcPr>
            <w:tcW w:w="1480" w:type="dxa"/>
            <w:vAlign w:val="bottom"/>
            <w:shd w:val="clear" w:color="auto" w:fill="A6A6A6"/>
          </w:tcPr>
          <w:p>
            <w:pPr>
              <w:spacing w:after="0"/>
              <w:rPr>
                <w:sz w:val="18"/>
                <w:szCs w:val="18"/>
                <w:color w:val="auto"/>
              </w:rPr>
            </w:pPr>
          </w:p>
        </w:tc>
        <w:tc>
          <w:tcPr>
            <w:tcW w:w="138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Debt to</w:t>
            </w:r>
          </w:p>
        </w:tc>
        <w:tc>
          <w:tcPr>
            <w:tcW w:w="1600" w:type="dxa"/>
            <w:vAlign w:val="bottom"/>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Pro Forma</w:t>
            </w:r>
          </w:p>
        </w:tc>
        <w:tc>
          <w:tcPr>
            <w:tcW w:w="0" w:type="dxa"/>
            <w:vAlign w:val="bottom"/>
          </w:tcPr>
          <w:p>
            <w:pPr>
              <w:spacing w:after="0"/>
              <w:rPr>
                <w:sz w:val="1"/>
                <w:szCs w:val="1"/>
                <w:color w:val="auto"/>
              </w:rPr>
            </w:pPr>
          </w:p>
        </w:tc>
      </w:tr>
      <w:tr>
        <w:trPr>
          <w:trHeight w:val="184"/>
        </w:trPr>
        <w:tc>
          <w:tcPr>
            <w:tcW w:w="5200" w:type="dxa"/>
            <w:vAlign w:val="bottom"/>
            <w:shd w:val="clear" w:color="auto" w:fill="A6A6A6"/>
          </w:tcPr>
          <w:p>
            <w:pPr>
              <w:spacing w:after="0"/>
              <w:rPr>
                <w:sz w:val="16"/>
                <w:szCs w:val="16"/>
                <w:color w:val="auto"/>
              </w:rPr>
            </w:pPr>
          </w:p>
        </w:tc>
        <w:tc>
          <w:tcPr>
            <w:tcW w:w="1580" w:type="dxa"/>
            <w:vAlign w:val="bottom"/>
            <w:gridSpan w:val="2"/>
            <w:shd w:val="clear" w:color="auto" w:fill="A6A6A6"/>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FFFFFF"/>
              </w:rPr>
              <w:t>30,</w:t>
            </w:r>
          </w:p>
        </w:tc>
        <w:tc>
          <w:tcPr>
            <w:tcW w:w="1480" w:type="dxa"/>
            <w:vAlign w:val="bottom"/>
            <w:shd w:val="clear" w:color="auto" w:fill="A6A6A6"/>
          </w:tcPr>
          <w:p>
            <w:pPr>
              <w:spacing w:after="0"/>
              <w:rPr>
                <w:sz w:val="16"/>
                <w:szCs w:val="16"/>
                <w:color w:val="auto"/>
              </w:rPr>
            </w:pPr>
          </w:p>
        </w:tc>
        <w:tc>
          <w:tcPr>
            <w:tcW w:w="1380" w:type="dxa"/>
            <w:vAlign w:val="bottom"/>
            <w:vMerge w:val="continue"/>
            <w:shd w:val="clear" w:color="auto" w:fill="A6A6A6"/>
          </w:tcPr>
          <w:p>
            <w:pPr>
              <w:spacing w:after="0"/>
              <w:rPr>
                <w:sz w:val="16"/>
                <w:szCs w:val="16"/>
                <w:color w:val="auto"/>
              </w:rPr>
            </w:pPr>
          </w:p>
        </w:tc>
        <w:tc>
          <w:tcPr>
            <w:tcW w:w="1600" w:type="dxa"/>
            <w:vAlign w:val="bottom"/>
            <w:vMerge w:val="continue"/>
            <w:shd w:val="clear" w:color="auto" w:fill="A6A6A6"/>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A6A6A6"/>
          </w:tcPr>
          <w:p>
            <w:pPr>
              <w:spacing w:after="0"/>
              <w:rPr>
                <w:sz w:val="18"/>
                <w:szCs w:val="18"/>
                <w:color w:val="auto"/>
              </w:rPr>
            </w:pPr>
          </w:p>
        </w:tc>
        <w:tc>
          <w:tcPr>
            <w:tcW w:w="1580" w:type="dxa"/>
            <w:vAlign w:val="bottom"/>
            <w:gridSpan w:val="2"/>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2025</w:t>
            </w:r>
          </w:p>
        </w:tc>
        <w:tc>
          <w:tcPr>
            <w:tcW w:w="1480" w:type="dxa"/>
            <w:vAlign w:val="bottom"/>
            <w:shd w:val="clear" w:color="auto" w:fill="A6A6A6"/>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w w:val="99"/>
              </w:rPr>
              <w:t>mUSD 5 New</w:t>
            </w: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60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Combined</w:t>
            </w:r>
          </w:p>
        </w:tc>
        <w:tc>
          <w:tcPr>
            <w:tcW w:w="0" w:type="dxa"/>
            <w:vAlign w:val="bottom"/>
          </w:tcPr>
          <w:p>
            <w:pPr>
              <w:spacing w:after="0"/>
              <w:rPr>
                <w:sz w:val="1"/>
                <w:szCs w:val="1"/>
                <w:color w:val="auto"/>
              </w:rPr>
            </w:pPr>
          </w:p>
        </w:tc>
      </w:tr>
      <w:tr>
        <w:trPr>
          <w:trHeight w:val="216"/>
        </w:trPr>
        <w:tc>
          <w:tcPr>
            <w:tcW w:w="5200" w:type="dxa"/>
            <w:vAlign w:val="bottom"/>
            <w:shd w:val="clear" w:color="auto" w:fill="A6A6A6"/>
          </w:tcPr>
          <w:p>
            <w:pPr>
              <w:spacing w:after="0"/>
              <w:rPr>
                <w:sz w:val="18"/>
                <w:szCs w:val="18"/>
                <w:color w:val="auto"/>
              </w:rPr>
            </w:pPr>
          </w:p>
        </w:tc>
        <w:tc>
          <w:tcPr>
            <w:tcW w:w="100" w:type="dxa"/>
            <w:vAlign w:val="bottom"/>
            <w:shd w:val="clear" w:color="auto" w:fill="A6A6A6"/>
          </w:tcPr>
          <w:p>
            <w:pPr>
              <w:spacing w:after="0"/>
              <w:rPr>
                <w:sz w:val="18"/>
                <w:szCs w:val="18"/>
                <w:color w:val="auto"/>
              </w:rPr>
            </w:pPr>
          </w:p>
        </w:tc>
        <w:tc>
          <w:tcPr>
            <w:tcW w:w="1480" w:type="dxa"/>
            <w:vAlign w:val="bottom"/>
            <w:shd w:val="clear" w:color="auto" w:fill="A6A6A6"/>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c>
          <w:tcPr>
            <w:tcW w:w="1480" w:type="dxa"/>
            <w:vAlign w:val="bottom"/>
            <w:shd w:val="clear" w:color="auto" w:fill="A6A6A6"/>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w w:val="98"/>
              </w:rPr>
              <w:t>Convertible</w:t>
            </w: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Conversion</w:t>
            </w:r>
          </w:p>
        </w:tc>
        <w:tc>
          <w:tcPr>
            <w:tcW w:w="160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Following</w:t>
            </w:r>
          </w:p>
        </w:tc>
        <w:tc>
          <w:tcPr>
            <w:tcW w:w="0" w:type="dxa"/>
            <w:vAlign w:val="bottom"/>
          </w:tcPr>
          <w:p>
            <w:pPr>
              <w:spacing w:after="0"/>
              <w:rPr>
                <w:sz w:val="1"/>
                <w:szCs w:val="1"/>
                <w:color w:val="auto"/>
              </w:rPr>
            </w:pPr>
          </w:p>
        </w:tc>
      </w:tr>
      <w:tr>
        <w:trPr>
          <w:trHeight w:val="207"/>
        </w:trPr>
        <w:tc>
          <w:tcPr>
            <w:tcW w:w="5200" w:type="dxa"/>
            <w:vAlign w:val="bottom"/>
            <w:shd w:val="clear" w:color="auto" w:fill="A6A6A6"/>
          </w:tcPr>
          <w:p>
            <w:pPr>
              <w:spacing w:after="0"/>
              <w:rPr>
                <w:sz w:val="18"/>
                <w:szCs w:val="18"/>
                <w:color w:val="auto"/>
              </w:rPr>
            </w:pPr>
          </w:p>
        </w:tc>
        <w:tc>
          <w:tcPr>
            <w:tcW w:w="100" w:type="dxa"/>
            <w:vAlign w:val="bottom"/>
            <w:shd w:val="clear" w:color="auto" w:fill="A6A6A6"/>
          </w:tcPr>
          <w:p>
            <w:pPr>
              <w:spacing w:after="0"/>
              <w:rPr>
                <w:sz w:val="18"/>
                <w:szCs w:val="18"/>
                <w:color w:val="auto"/>
              </w:rPr>
            </w:pPr>
          </w:p>
        </w:tc>
        <w:tc>
          <w:tcPr>
            <w:tcW w:w="1480" w:type="dxa"/>
            <w:vAlign w:val="bottom"/>
            <w:shd w:val="clear" w:color="auto" w:fill="A6A6A6"/>
          </w:tcPr>
          <w:p>
            <w:pPr>
              <w:spacing w:after="0"/>
              <w:rPr>
                <w:sz w:val="18"/>
                <w:szCs w:val="18"/>
                <w:color w:val="auto"/>
              </w:rPr>
            </w:pPr>
          </w:p>
        </w:tc>
        <w:tc>
          <w:tcPr>
            <w:tcW w:w="1480" w:type="dxa"/>
            <w:vAlign w:val="bottom"/>
            <w:shd w:val="clear" w:color="auto" w:fill="A6A6A6"/>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8"/>
              </w:rPr>
              <w:t>Debenture</w:t>
            </w:r>
          </w:p>
        </w:tc>
        <w:tc>
          <w:tcPr>
            <w:tcW w:w="138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Adjustments</w:t>
            </w:r>
          </w:p>
        </w:tc>
        <w:tc>
          <w:tcPr>
            <w:tcW w:w="160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Recapitalization</w:t>
            </w:r>
          </w:p>
        </w:tc>
        <w:tc>
          <w:tcPr>
            <w:tcW w:w="0" w:type="dxa"/>
            <w:vAlign w:val="bottom"/>
          </w:tcPr>
          <w:p>
            <w:pPr>
              <w:spacing w:after="0"/>
              <w:rPr>
                <w:sz w:val="1"/>
                <w:szCs w:val="1"/>
                <w:color w:val="auto"/>
              </w:rPr>
            </w:pPr>
          </w:p>
        </w:tc>
      </w:tr>
      <w:tr>
        <w:trPr>
          <w:trHeight w:val="245"/>
        </w:trPr>
        <w:tc>
          <w:tcPr>
            <w:tcW w:w="5200" w:type="dxa"/>
            <w:vAlign w:val="bottom"/>
            <w:tcBorders>
              <w:bottom w:val="single" w:sz="8" w:color="A6A6A6"/>
            </w:tcBorders>
            <w:shd w:val="clear" w:color="auto" w:fill="A6A6A6"/>
          </w:tcPr>
          <w:p>
            <w:pPr>
              <w:spacing w:after="0"/>
              <w:rPr>
                <w:sz w:val="21"/>
                <w:szCs w:val="21"/>
                <w:color w:val="auto"/>
              </w:rPr>
            </w:pPr>
          </w:p>
        </w:tc>
        <w:tc>
          <w:tcPr>
            <w:tcW w:w="100" w:type="dxa"/>
            <w:vAlign w:val="bottom"/>
            <w:tcBorders>
              <w:bottom w:val="single" w:sz="8" w:color="A6A6A6"/>
            </w:tcBorders>
            <w:shd w:val="clear" w:color="auto" w:fill="A6A6A6"/>
          </w:tcPr>
          <w:p>
            <w:pPr>
              <w:spacing w:after="0"/>
              <w:rPr>
                <w:sz w:val="21"/>
                <w:szCs w:val="21"/>
                <w:color w:val="auto"/>
              </w:rPr>
            </w:pPr>
          </w:p>
        </w:tc>
        <w:tc>
          <w:tcPr>
            <w:tcW w:w="1480" w:type="dxa"/>
            <w:vAlign w:val="bottom"/>
            <w:tcBorders>
              <w:bottom w:val="single" w:sz="8" w:color="A6A6A6"/>
            </w:tcBorders>
            <w:shd w:val="clear" w:color="auto" w:fill="A6A6A6"/>
          </w:tcPr>
          <w:p>
            <w:pPr>
              <w:spacing w:after="0"/>
              <w:rPr>
                <w:sz w:val="21"/>
                <w:szCs w:val="21"/>
                <w:color w:val="auto"/>
              </w:rPr>
            </w:pPr>
          </w:p>
        </w:tc>
        <w:tc>
          <w:tcPr>
            <w:tcW w:w="1480" w:type="dxa"/>
            <w:vAlign w:val="bottom"/>
            <w:tcBorders>
              <w:bottom w:val="single" w:sz="8" w:color="A6A6A6"/>
            </w:tcBorders>
            <w:shd w:val="clear" w:color="auto" w:fill="A6A6A6"/>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rPr>
              <w:t>(A)</w:t>
            </w:r>
          </w:p>
        </w:tc>
        <w:tc>
          <w:tcPr>
            <w:tcW w:w="1380" w:type="dxa"/>
            <w:vAlign w:val="bottom"/>
            <w:tcBorders>
              <w:bottom w:val="single" w:sz="8" w:color="A6A6A6"/>
            </w:tcBorders>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(B)</w:t>
            </w:r>
          </w:p>
        </w:tc>
        <w:tc>
          <w:tcPr>
            <w:tcW w:w="1600" w:type="dxa"/>
            <w:vAlign w:val="bottom"/>
            <w:tcBorders>
              <w:bottom w:val="single" w:sz="8" w:color="A6A6A6"/>
            </w:tcBorders>
            <w:shd w:val="clear" w:color="auto" w:fill="A6A6A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kEUR</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kEUR</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kEUR</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kEUR</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39</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development expenses</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(968 )</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0" w:type="dxa"/>
            <w:vAlign w:val="bottom"/>
          </w:tcPr>
          <w:p>
            <w:pPr>
              <w:spacing w:after="0"/>
              <w:rPr>
                <w:sz w:val="1"/>
                <w:szCs w:val="1"/>
                <w:color w:val="auto"/>
              </w:rPr>
            </w:pPr>
          </w:p>
        </w:tc>
      </w:tr>
      <w:tr>
        <w:trPr>
          <w:trHeight w:val="270"/>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(474 )</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0" w:type="dxa"/>
            <w:vAlign w:val="bottom"/>
          </w:tcPr>
          <w:p>
            <w:pPr>
              <w:spacing w:after="0"/>
              <w:rPr>
                <w:sz w:val="1"/>
                <w:szCs w:val="1"/>
                <w:color w:val="auto"/>
              </w:rPr>
            </w:pPr>
          </w:p>
        </w:tc>
      </w:tr>
      <w:tr>
        <w:trPr>
          <w:trHeight w:val="270"/>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(2,281 )</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(2,281 )</w:t>
            </w:r>
          </w:p>
        </w:tc>
        <w:tc>
          <w:tcPr>
            <w:tcW w:w="0" w:type="dxa"/>
            <w:vAlign w:val="bottom"/>
          </w:tcPr>
          <w:p>
            <w:pPr>
              <w:spacing w:after="0"/>
              <w:rPr>
                <w:sz w:val="1"/>
                <w:szCs w:val="1"/>
                <w:color w:val="auto"/>
              </w:rPr>
            </w:pPr>
          </w:p>
        </w:tc>
      </w:tr>
      <w:tr>
        <w:trPr>
          <w:trHeight w:val="270"/>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deconsolidation/reconsolidation</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income / (exp)</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132</w:t>
            </w:r>
          </w:p>
        </w:tc>
        <w:tc>
          <w:tcPr>
            <w:tcW w:w="14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Income/(Loss)</w:t>
            </w:r>
          </w:p>
        </w:tc>
        <w:tc>
          <w:tcPr>
            <w:tcW w:w="1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(3,579 )</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(3,579 )</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Income/(expense) from changes in fair value of convertible debt</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carried at Fair value</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11,144</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11,144</w:t>
            </w:r>
          </w:p>
        </w:tc>
        <w:tc>
          <w:tcPr>
            <w:tcW w:w="0" w:type="dxa"/>
            <w:vAlign w:val="bottom"/>
          </w:tcPr>
          <w:p>
            <w:pPr>
              <w:spacing w:after="0"/>
              <w:rPr>
                <w:sz w:val="1"/>
                <w:szCs w:val="1"/>
                <w:color w:val="auto"/>
              </w:rPr>
            </w:pPr>
          </w:p>
        </w:tc>
      </w:tr>
      <w:tr>
        <w:trPr>
          <w:trHeight w:val="270"/>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of foreign currency translation</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460</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Income/(Loss) before tax</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8,025</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8,025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on income</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taxes on expense</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Income/(Loss) for the period</w:t>
            </w:r>
          </w:p>
        </w:tc>
        <w:tc>
          <w:tcPr>
            <w:tcW w:w="1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8,025</w:t>
            </w: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8,025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2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-4653915</wp:posOffset>
            </wp:positionV>
            <wp:extent cx="6155055" cy="1157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55055" cy="11576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Preliminary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423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2303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40" w:type="dxa"/>
            <w:vAlign w:val="bottom"/>
            <w:shd w:val="clear" w:color="auto" w:fill="A6A6A6"/>
          </w:tcPr>
          <w:p>
            <w:pPr>
              <w:spacing w:after="0"/>
              <w:rPr>
                <w:sz w:val="19"/>
                <w:szCs w:val="19"/>
                <w:color w:val="auto"/>
              </w:rPr>
            </w:pPr>
          </w:p>
        </w:tc>
        <w:tc>
          <w:tcPr>
            <w:tcW w:w="1200" w:type="dxa"/>
            <w:vAlign w:val="bottom"/>
            <w:shd w:val="clear" w:color="auto" w:fill="A6A6A6"/>
          </w:tcPr>
          <w:p>
            <w:pPr>
              <w:spacing w:after="0"/>
              <w:rPr>
                <w:sz w:val="19"/>
                <w:szCs w:val="19"/>
                <w:color w:val="auto"/>
              </w:rPr>
            </w:pPr>
          </w:p>
        </w:tc>
        <w:tc>
          <w:tcPr>
            <w:tcW w:w="440" w:type="dxa"/>
            <w:vAlign w:val="bottom"/>
            <w:shd w:val="clear" w:color="auto" w:fill="A6A6A6"/>
          </w:tcPr>
          <w:p>
            <w:pPr>
              <w:spacing w:after="0"/>
              <w:rPr>
                <w:sz w:val="19"/>
                <w:szCs w:val="19"/>
                <w:color w:val="auto"/>
              </w:rPr>
            </w:pPr>
          </w:p>
        </w:tc>
        <w:tc>
          <w:tcPr>
            <w:tcW w:w="2220" w:type="dxa"/>
            <w:vAlign w:val="bottom"/>
            <w:shd w:val="clear" w:color="auto" w:fill="A6A6A6"/>
          </w:tcPr>
          <w:p>
            <w:pPr>
              <w:spacing w:after="0"/>
              <w:rPr>
                <w:sz w:val="19"/>
                <w:szCs w:val="19"/>
                <w:color w:val="auto"/>
              </w:rPr>
            </w:pPr>
          </w:p>
        </w:tc>
        <w:tc>
          <w:tcPr>
            <w:tcW w:w="400" w:type="dxa"/>
            <w:vAlign w:val="bottom"/>
            <w:shd w:val="clear" w:color="auto" w:fill="A6A6A6"/>
          </w:tcPr>
          <w:p>
            <w:pPr>
              <w:spacing w:after="0"/>
              <w:rPr>
                <w:sz w:val="19"/>
                <w:szCs w:val="19"/>
                <w:color w:val="auto"/>
              </w:rPr>
            </w:pPr>
          </w:p>
        </w:tc>
        <w:tc>
          <w:tcPr>
            <w:tcW w:w="1180" w:type="dxa"/>
            <w:vAlign w:val="bottom"/>
            <w:shd w:val="clear" w:color="auto" w:fill="A6A6A6"/>
          </w:tcPr>
          <w:p>
            <w:pPr>
              <w:spacing w:after="0"/>
              <w:rPr>
                <w:sz w:val="19"/>
                <w:szCs w:val="19"/>
                <w:color w:val="auto"/>
              </w:rPr>
            </w:pPr>
          </w:p>
        </w:tc>
        <w:tc>
          <w:tcPr>
            <w:tcW w:w="380" w:type="dxa"/>
            <w:vAlign w:val="bottom"/>
            <w:shd w:val="clear" w:color="auto" w:fill="A6A6A6"/>
          </w:tcPr>
          <w:p>
            <w:pPr>
              <w:spacing w:after="0"/>
              <w:rPr>
                <w:sz w:val="19"/>
                <w:szCs w:val="19"/>
                <w:color w:val="auto"/>
              </w:rPr>
            </w:pPr>
          </w:p>
        </w:tc>
        <w:tc>
          <w:tcPr>
            <w:tcW w:w="1420" w:type="dxa"/>
            <w:vAlign w:val="bottom"/>
            <w:shd w:val="clear" w:color="auto" w:fill="A6A6A6"/>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Pro Forma</w:t>
            </w:r>
          </w:p>
        </w:tc>
        <w:tc>
          <w:tcPr>
            <w:tcW w:w="260" w:type="dxa"/>
            <w:vAlign w:val="bottom"/>
            <w:shd w:val="clear" w:color="auto" w:fill="A6A6A6"/>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A6A6A6"/>
          </w:tcPr>
          <w:p>
            <w:pPr>
              <w:spacing w:after="0"/>
              <w:rPr>
                <w:sz w:val="18"/>
                <w:szCs w:val="18"/>
                <w:color w:val="auto"/>
              </w:rPr>
            </w:pPr>
          </w:p>
        </w:tc>
        <w:tc>
          <w:tcPr>
            <w:tcW w:w="1200" w:type="dxa"/>
            <w:vAlign w:val="bottom"/>
            <w:shd w:val="clear" w:color="auto" w:fill="A6A6A6"/>
          </w:tcPr>
          <w:p>
            <w:pPr>
              <w:spacing w:after="0"/>
              <w:rPr>
                <w:sz w:val="18"/>
                <w:szCs w:val="18"/>
                <w:color w:val="auto"/>
              </w:rPr>
            </w:pPr>
          </w:p>
        </w:tc>
        <w:tc>
          <w:tcPr>
            <w:tcW w:w="440" w:type="dxa"/>
            <w:vAlign w:val="bottom"/>
            <w:shd w:val="clear" w:color="auto" w:fill="A6A6A6"/>
          </w:tcPr>
          <w:p>
            <w:pPr>
              <w:spacing w:after="0"/>
              <w:rPr>
                <w:sz w:val="18"/>
                <w:szCs w:val="18"/>
                <w:color w:val="auto"/>
              </w:rPr>
            </w:pPr>
          </w:p>
        </w:tc>
        <w:tc>
          <w:tcPr>
            <w:tcW w:w="3800" w:type="dxa"/>
            <w:vAlign w:val="bottom"/>
            <w:gridSpan w:val="3"/>
            <w:vMerge w:val="restart"/>
            <w:shd w:val="clear" w:color="auto" w:fill="A6A6A6"/>
          </w:tcPr>
          <w:p>
            <w:pPr>
              <w:jc w:val="right"/>
              <w:ind w:right="710"/>
              <w:spacing w:after="0"/>
              <w:rPr>
                <w:sz w:val="20"/>
                <w:szCs w:val="20"/>
                <w:color w:val="auto"/>
              </w:rPr>
            </w:pPr>
            <w:r>
              <w:rPr>
                <w:rFonts w:ascii="Times New Roman" w:cs="Times New Roman" w:eastAsia="Times New Roman" w:hAnsi="Times New Roman"/>
                <w:sz w:val="18"/>
                <w:szCs w:val="18"/>
                <w:b w:val="1"/>
                <w:bCs w:val="1"/>
                <w:color w:val="FFFFFF"/>
              </w:rPr>
              <w:t>Pro Forma Adjustments</w:t>
            </w:r>
          </w:p>
        </w:tc>
        <w:tc>
          <w:tcPr>
            <w:tcW w:w="380" w:type="dxa"/>
            <w:vAlign w:val="bottom"/>
            <w:shd w:val="clear" w:color="auto" w:fill="A6A6A6"/>
          </w:tcPr>
          <w:p>
            <w:pPr>
              <w:spacing w:after="0"/>
              <w:rPr>
                <w:sz w:val="18"/>
                <w:szCs w:val="18"/>
                <w:color w:val="auto"/>
              </w:rPr>
            </w:pPr>
          </w:p>
        </w:tc>
        <w:tc>
          <w:tcPr>
            <w:tcW w:w="1420" w:type="dxa"/>
            <w:vAlign w:val="bottom"/>
            <w:shd w:val="clear" w:color="auto" w:fill="A6A6A6"/>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Combined</w:t>
            </w:r>
          </w:p>
        </w:tc>
        <w:tc>
          <w:tcPr>
            <w:tcW w:w="260" w:type="dxa"/>
            <w:vAlign w:val="bottom"/>
            <w:shd w:val="clear" w:color="auto" w:fill="A6A6A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A6A6A6"/>
          </w:tcPr>
          <w:p>
            <w:pPr>
              <w:spacing w:after="0"/>
              <w:rPr>
                <w:sz w:val="18"/>
                <w:szCs w:val="18"/>
                <w:color w:val="auto"/>
              </w:rPr>
            </w:pPr>
          </w:p>
        </w:tc>
        <w:tc>
          <w:tcPr>
            <w:tcW w:w="1200" w:type="dxa"/>
            <w:vAlign w:val="bottom"/>
            <w:shd w:val="clear" w:color="auto" w:fill="A6A6A6"/>
          </w:tcPr>
          <w:p>
            <w:pPr>
              <w:spacing w:after="0"/>
              <w:rPr>
                <w:sz w:val="18"/>
                <w:szCs w:val="18"/>
                <w:color w:val="auto"/>
              </w:rPr>
            </w:pPr>
          </w:p>
        </w:tc>
        <w:tc>
          <w:tcPr>
            <w:tcW w:w="440" w:type="dxa"/>
            <w:vAlign w:val="bottom"/>
            <w:shd w:val="clear" w:color="auto" w:fill="A6A6A6"/>
          </w:tcPr>
          <w:p>
            <w:pPr>
              <w:spacing w:after="0"/>
              <w:rPr>
                <w:sz w:val="18"/>
                <w:szCs w:val="18"/>
                <w:color w:val="auto"/>
              </w:rPr>
            </w:pPr>
          </w:p>
        </w:tc>
        <w:tc>
          <w:tcPr>
            <w:tcW w:w="3800" w:type="dxa"/>
            <w:vAlign w:val="bottom"/>
            <w:gridSpan w:val="3"/>
            <w:vMerge w:val="continue"/>
            <w:shd w:val="clear" w:color="auto" w:fill="A6A6A6"/>
          </w:tcPr>
          <w:p>
            <w:pPr>
              <w:spacing w:after="0"/>
              <w:rPr>
                <w:sz w:val="18"/>
                <w:szCs w:val="18"/>
                <w:color w:val="auto"/>
              </w:rPr>
            </w:pPr>
          </w:p>
        </w:tc>
        <w:tc>
          <w:tcPr>
            <w:tcW w:w="380" w:type="dxa"/>
            <w:vAlign w:val="bottom"/>
            <w:shd w:val="clear" w:color="auto" w:fill="A6A6A6"/>
          </w:tcPr>
          <w:p>
            <w:pPr>
              <w:spacing w:after="0"/>
              <w:rPr>
                <w:sz w:val="18"/>
                <w:szCs w:val="18"/>
                <w:color w:val="auto"/>
              </w:rPr>
            </w:pPr>
          </w:p>
        </w:tc>
        <w:tc>
          <w:tcPr>
            <w:tcW w:w="1420" w:type="dxa"/>
            <w:vAlign w:val="bottom"/>
            <w:shd w:val="clear" w:color="auto" w:fill="A6A6A6"/>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8"/>
              </w:rPr>
              <w:t>following</w:t>
            </w:r>
          </w:p>
        </w:tc>
        <w:tc>
          <w:tcPr>
            <w:tcW w:w="260" w:type="dxa"/>
            <w:vAlign w:val="bottom"/>
            <w:shd w:val="clear" w:color="auto" w:fill="A6A6A6"/>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740" w:type="dxa"/>
            <w:vAlign w:val="bottom"/>
            <w:shd w:val="clear" w:color="auto" w:fill="A6A6A6"/>
          </w:tcPr>
          <w:p>
            <w:pPr>
              <w:spacing w:after="0"/>
              <w:rPr>
                <w:sz w:val="20"/>
                <w:szCs w:val="20"/>
                <w:color w:val="auto"/>
              </w:rPr>
            </w:pPr>
          </w:p>
        </w:tc>
        <w:tc>
          <w:tcPr>
            <w:tcW w:w="1200" w:type="dxa"/>
            <w:vAlign w:val="bottom"/>
            <w:shd w:val="clear" w:color="auto" w:fill="A6A6A6"/>
          </w:tcPr>
          <w:p>
            <w:pPr>
              <w:spacing w:after="0"/>
              <w:rPr>
                <w:sz w:val="20"/>
                <w:szCs w:val="20"/>
                <w:color w:val="auto"/>
              </w:rPr>
            </w:pPr>
          </w:p>
        </w:tc>
        <w:tc>
          <w:tcPr>
            <w:tcW w:w="440" w:type="dxa"/>
            <w:vAlign w:val="bottom"/>
            <w:shd w:val="clear" w:color="auto" w:fill="A6A6A6"/>
          </w:tcPr>
          <w:p>
            <w:pPr>
              <w:spacing w:after="0"/>
              <w:rPr>
                <w:sz w:val="20"/>
                <w:szCs w:val="20"/>
                <w:color w:val="auto"/>
              </w:rPr>
            </w:pPr>
          </w:p>
        </w:tc>
        <w:tc>
          <w:tcPr>
            <w:tcW w:w="2220" w:type="dxa"/>
            <w:vAlign w:val="bottom"/>
            <w:shd w:val="clear" w:color="auto" w:fill="A6A6A6"/>
          </w:tcPr>
          <w:p>
            <w:pPr>
              <w:spacing w:after="0"/>
              <w:rPr>
                <w:sz w:val="20"/>
                <w:szCs w:val="20"/>
                <w:color w:val="auto"/>
              </w:rPr>
            </w:pPr>
          </w:p>
        </w:tc>
        <w:tc>
          <w:tcPr>
            <w:tcW w:w="400" w:type="dxa"/>
            <w:vAlign w:val="bottom"/>
            <w:shd w:val="clear" w:color="auto" w:fill="A6A6A6"/>
          </w:tcPr>
          <w:p>
            <w:pPr>
              <w:spacing w:after="0"/>
              <w:rPr>
                <w:sz w:val="20"/>
                <w:szCs w:val="20"/>
                <w:color w:val="auto"/>
              </w:rPr>
            </w:pPr>
          </w:p>
        </w:tc>
        <w:tc>
          <w:tcPr>
            <w:tcW w:w="1180" w:type="dxa"/>
            <w:vAlign w:val="bottom"/>
            <w:shd w:val="clear" w:color="auto" w:fill="A6A6A6"/>
          </w:tcPr>
          <w:p>
            <w:pPr>
              <w:spacing w:after="0"/>
              <w:rPr>
                <w:sz w:val="20"/>
                <w:szCs w:val="20"/>
                <w:color w:val="auto"/>
              </w:rPr>
            </w:pPr>
          </w:p>
        </w:tc>
        <w:tc>
          <w:tcPr>
            <w:tcW w:w="380" w:type="dxa"/>
            <w:vAlign w:val="bottom"/>
            <w:shd w:val="clear" w:color="auto" w:fill="A6A6A6"/>
          </w:tcPr>
          <w:p>
            <w:pPr>
              <w:spacing w:after="0"/>
              <w:rPr>
                <w:sz w:val="20"/>
                <w:szCs w:val="20"/>
                <w:color w:val="auto"/>
              </w:rPr>
            </w:pPr>
          </w:p>
        </w:tc>
        <w:tc>
          <w:tcPr>
            <w:tcW w:w="1420" w:type="dxa"/>
            <w:vAlign w:val="bottom"/>
            <w:shd w:val="clear" w:color="auto" w:fill="A6A6A6"/>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Recapitalization</w:t>
            </w:r>
          </w:p>
        </w:tc>
        <w:tc>
          <w:tcPr>
            <w:tcW w:w="260" w:type="dxa"/>
            <w:vAlign w:val="bottom"/>
            <w:shd w:val="clear" w:color="auto" w:fill="A6A6A6"/>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740" w:type="dxa"/>
            <w:vAlign w:val="bottom"/>
            <w:shd w:val="clear" w:color="auto" w:fill="A6A6A6"/>
          </w:tcPr>
          <w:p>
            <w:pPr>
              <w:spacing w:after="0"/>
              <w:rPr>
                <w:sz w:val="24"/>
                <w:szCs w:val="24"/>
                <w:color w:val="auto"/>
              </w:rPr>
            </w:pPr>
          </w:p>
        </w:tc>
        <w:tc>
          <w:tcPr>
            <w:tcW w:w="1200" w:type="dxa"/>
            <w:vAlign w:val="bottom"/>
            <w:shd w:val="clear" w:color="auto" w:fill="A6A6A6"/>
          </w:tcPr>
          <w:p>
            <w:pPr>
              <w:jc w:val="center"/>
              <w:ind w:left="390"/>
              <w:spacing w:after="0"/>
              <w:rPr>
                <w:sz w:val="20"/>
                <w:szCs w:val="20"/>
                <w:color w:val="auto"/>
              </w:rPr>
            </w:pPr>
            <w:r>
              <w:rPr>
                <w:rFonts w:ascii="Times New Roman" w:cs="Times New Roman" w:eastAsia="Times New Roman" w:hAnsi="Times New Roman"/>
                <w:sz w:val="18"/>
                <w:szCs w:val="18"/>
                <w:b w:val="1"/>
                <w:bCs w:val="1"/>
                <w:color w:val="FFFFFF"/>
                <w:w w:val="99"/>
              </w:rPr>
              <w:t>June 30,</w:t>
            </w:r>
          </w:p>
        </w:tc>
        <w:tc>
          <w:tcPr>
            <w:tcW w:w="440" w:type="dxa"/>
            <w:vAlign w:val="bottom"/>
            <w:shd w:val="clear" w:color="auto" w:fill="A6A6A6"/>
          </w:tcPr>
          <w:p>
            <w:pPr>
              <w:spacing w:after="0"/>
              <w:rPr>
                <w:sz w:val="24"/>
                <w:szCs w:val="24"/>
                <w:color w:val="auto"/>
              </w:rPr>
            </w:pPr>
          </w:p>
        </w:tc>
        <w:tc>
          <w:tcPr>
            <w:tcW w:w="2220" w:type="dxa"/>
            <w:vAlign w:val="bottom"/>
            <w:shd w:val="clear" w:color="auto" w:fill="A6A6A6"/>
          </w:tcPr>
          <w:p>
            <w:pPr>
              <w:spacing w:after="0"/>
              <w:rPr>
                <w:sz w:val="24"/>
                <w:szCs w:val="24"/>
                <w:color w:val="auto"/>
              </w:rPr>
            </w:pPr>
          </w:p>
        </w:tc>
        <w:tc>
          <w:tcPr>
            <w:tcW w:w="400" w:type="dxa"/>
            <w:vAlign w:val="bottom"/>
            <w:shd w:val="clear" w:color="auto" w:fill="A6A6A6"/>
          </w:tcPr>
          <w:p>
            <w:pPr>
              <w:spacing w:after="0"/>
              <w:rPr>
                <w:sz w:val="24"/>
                <w:szCs w:val="24"/>
                <w:color w:val="auto"/>
              </w:rPr>
            </w:pPr>
          </w:p>
        </w:tc>
        <w:tc>
          <w:tcPr>
            <w:tcW w:w="1180" w:type="dxa"/>
            <w:vAlign w:val="bottom"/>
            <w:shd w:val="clear" w:color="auto" w:fill="A6A6A6"/>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Debt to</w:t>
            </w:r>
          </w:p>
        </w:tc>
        <w:tc>
          <w:tcPr>
            <w:tcW w:w="380" w:type="dxa"/>
            <w:vAlign w:val="bottom"/>
            <w:shd w:val="clear" w:color="auto" w:fill="A6A6A6"/>
          </w:tcPr>
          <w:p>
            <w:pPr>
              <w:spacing w:after="0"/>
              <w:rPr>
                <w:sz w:val="24"/>
                <w:szCs w:val="24"/>
                <w:color w:val="auto"/>
              </w:rPr>
            </w:pPr>
          </w:p>
        </w:tc>
        <w:tc>
          <w:tcPr>
            <w:tcW w:w="1420" w:type="dxa"/>
            <w:vAlign w:val="bottom"/>
            <w:shd w:val="clear" w:color="auto" w:fill="A6A6A6"/>
          </w:tcPr>
          <w:p>
            <w:pPr>
              <w:spacing w:after="0"/>
              <w:rPr>
                <w:sz w:val="24"/>
                <w:szCs w:val="24"/>
                <w:color w:val="auto"/>
              </w:rPr>
            </w:pPr>
          </w:p>
        </w:tc>
        <w:tc>
          <w:tcPr>
            <w:tcW w:w="260" w:type="dxa"/>
            <w:vAlign w:val="bottom"/>
            <w:shd w:val="clear" w:color="auto" w:fill="A6A6A6"/>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A6A6A6"/>
          </w:tcPr>
          <w:p>
            <w:pPr>
              <w:spacing w:after="0"/>
              <w:rPr>
                <w:sz w:val="18"/>
                <w:szCs w:val="18"/>
                <w:color w:val="auto"/>
              </w:rPr>
            </w:pPr>
          </w:p>
        </w:tc>
        <w:tc>
          <w:tcPr>
            <w:tcW w:w="1200" w:type="dxa"/>
            <w:vAlign w:val="bottom"/>
            <w:shd w:val="clear" w:color="auto" w:fill="A6A6A6"/>
          </w:tcPr>
          <w:p>
            <w:pPr>
              <w:jc w:val="center"/>
              <w:ind w:left="430"/>
              <w:spacing w:after="0"/>
              <w:rPr>
                <w:sz w:val="20"/>
                <w:szCs w:val="20"/>
                <w:color w:val="auto"/>
              </w:rPr>
            </w:pPr>
            <w:r>
              <w:rPr>
                <w:rFonts w:ascii="Times New Roman" w:cs="Times New Roman" w:eastAsia="Times New Roman" w:hAnsi="Times New Roman"/>
                <w:sz w:val="18"/>
                <w:szCs w:val="18"/>
                <w:b w:val="1"/>
                <w:bCs w:val="1"/>
                <w:color w:val="FFFFFF"/>
                <w:w w:val="99"/>
              </w:rPr>
              <w:t>2025</w:t>
            </w:r>
          </w:p>
        </w:tc>
        <w:tc>
          <w:tcPr>
            <w:tcW w:w="440" w:type="dxa"/>
            <w:vAlign w:val="bottom"/>
            <w:shd w:val="clear" w:color="auto" w:fill="A6A6A6"/>
          </w:tcPr>
          <w:p>
            <w:pPr>
              <w:spacing w:after="0"/>
              <w:rPr>
                <w:sz w:val="18"/>
                <w:szCs w:val="18"/>
                <w:color w:val="auto"/>
              </w:rPr>
            </w:pPr>
          </w:p>
        </w:tc>
        <w:tc>
          <w:tcPr>
            <w:tcW w:w="222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mUSD 5 New</w:t>
            </w:r>
          </w:p>
        </w:tc>
        <w:tc>
          <w:tcPr>
            <w:tcW w:w="400" w:type="dxa"/>
            <w:vAlign w:val="bottom"/>
            <w:shd w:val="clear" w:color="auto" w:fill="A6A6A6"/>
          </w:tcPr>
          <w:p>
            <w:pPr>
              <w:spacing w:after="0"/>
              <w:rPr>
                <w:sz w:val="18"/>
                <w:szCs w:val="18"/>
                <w:color w:val="auto"/>
              </w:rPr>
            </w:pPr>
          </w:p>
        </w:tc>
        <w:tc>
          <w:tcPr>
            <w:tcW w:w="1180" w:type="dxa"/>
            <w:vAlign w:val="bottom"/>
            <w:shd w:val="clear" w:color="auto" w:fill="A6A6A6"/>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380" w:type="dxa"/>
            <w:vAlign w:val="bottom"/>
            <w:shd w:val="clear" w:color="auto" w:fill="A6A6A6"/>
          </w:tcPr>
          <w:p>
            <w:pPr>
              <w:spacing w:after="0"/>
              <w:rPr>
                <w:sz w:val="18"/>
                <w:szCs w:val="18"/>
                <w:color w:val="auto"/>
              </w:rPr>
            </w:pPr>
          </w:p>
        </w:tc>
        <w:tc>
          <w:tcPr>
            <w:tcW w:w="1420" w:type="dxa"/>
            <w:vAlign w:val="bottom"/>
            <w:shd w:val="clear" w:color="auto" w:fill="A6A6A6"/>
          </w:tcPr>
          <w:p>
            <w:pPr>
              <w:spacing w:after="0"/>
              <w:rPr>
                <w:sz w:val="18"/>
                <w:szCs w:val="18"/>
                <w:color w:val="auto"/>
              </w:rPr>
            </w:pPr>
          </w:p>
        </w:tc>
        <w:tc>
          <w:tcPr>
            <w:tcW w:w="260" w:type="dxa"/>
            <w:vAlign w:val="bottom"/>
            <w:shd w:val="clear" w:color="auto" w:fill="A6A6A6"/>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A6A6A6"/>
          </w:tcPr>
          <w:p>
            <w:pPr>
              <w:spacing w:after="0"/>
              <w:rPr>
                <w:sz w:val="19"/>
                <w:szCs w:val="19"/>
                <w:color w:val="auto"/>
              </w:rPr>
            </w:pPr>
          </w:p>
        </w:tc>
        <w:tc>
          <w:tcPr>
            <w:tcW w:w="1640" w:type="dxa"/>
            <w:vAlign w:val="bottom"/>
            <w:gridSpan w:val="2"/>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Unaudited</w:t>
            </w:r>
          </w:p>
        </w:tc>
        <w:tc>
          <w:tcPr>
            <w:tcW w:w="222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Convertible</w:t>
            </w:r>
          </w:p>
        </w:tc>
        <w:tc>
          <w:tcPr>
            <w:tcW w:w="400" w:type="dxa"/>
            <w:vAlign w:val="bottom"/>
            <w:shd w:val="clear" w:color="auto" w:fill="A6A6A6"/>
          </w:tcPr>
          <w:p>
            <w:pPr>
              <w:spacing w:after="0"/>
              <w:rPr>
                <w:sz w:val="19"/>
                <w:szCs w:val="19"/>
                <w:color w:val="auto"/>
              </w:rPr>
            </w:pPr>
          </w:p>
        </w:tc>
        <w:tc>
          <w:tcPr>
            <w:tcW w:w="1180" w:type="dxa"/>
            <w:vAlign w:val="bottom"/>
            <w:shd w:val="clear" w:color="auto" w:fill="A6A6A6"/>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Conversion</w:t>
            </w:r>
          </w:p>
        </w:tc>
        <w:tc>
          <w:tcPr>
            <w:tcW w:w="380" w:type="dxa"/>
            <w:vAlign w:val="bottom"/>
            <w:shd w:val="clear" w:color="auto" w:fill="A6A6A6"/>
          </w:tcPr>
          <w:p>
            <w:pPr>
              <w:spacing w:after="0"/>
              <w:rPr>
                <w:sz w:val="19"/>
                <w:szCs w:val="19"/>
                <w:color w:val="auto"/>
              </w:rPr>
            </w:pPr>
          </w:p>
        </w:tc>
        <w:tc>
          <w:tcPr>
            <w:tcW w:w="1420" w:type="dxa"/>
            <w:vAlign w:val="bottom"/>
            <w:shd w:val="clear" w:color="auto" w:fill="A6A6A6"/>
          </w:tcPr>
          <w:p>
            <w:pPr>
              <w:spacing w:after="0"/>
              <w:rPr>
                <w:sz w:val="19"/>
                <w:szCs w:val="19"/>
                <w:color w:val="auto"/>
              </w:rPr>
            </w:pPr>
          </w:p>
        </w:tc>
        <w:tc>
          <w:tcPr>
            <w:tcW w:w="260" w:type="dxa"/>
            <w:vAlign w:val="bottom"/>
            <w:shd w:val="clear" w:color="auto" w:fill="A6A6A6"/>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A6A6A6"/>
          </w:tcPr>
          <w:p>
            <w:pPr>
              <w:spacing w:after="0"/>
              <w:rPr>
                <w:sz w:val="18"/>
                <w:szCs w:val="18"/>
                <w:color w:val="auto"/>
              </w:rPr>
            </w:pPr>
          </w:p>
        </w:tc>
        <w:tc>
          <w:tcPr>
            <w:tcW w:w="1200" w:type="dxa"/>
            <w:vAlign w:val="bottom"/>
            <w:shd w:val="clear" w:color="auto" w:fill="A6A6A6"/>
          </w:tcPr>
          <w:p>
            <w:pPr>
              <w:spacing w:after="0"/>
              <w:rPr>
                <w:sz w:val="18"/>
                <w:szCs w:val="18"/>
                <w:color w:val="auto"/>
              </w:rPr>
            </w:pPr>
          </w:p>
        </w:tc>
        <w:tc>
          <w:tcPr>
            <w:tcW w:w="440" w:type="dxa"/>
            <w:vAlign w:val="bottom"/>
            <w:shd w:val="clear" w:color="auto" w:fill="A6A6A6"/>
          </w:tcPr>
          <w:p>
            <w:pPr>
              <w:spacing w:after="0"/>
              <w:rPr>
                <w:sz w:val="18"/>
                <w:szCs w:val="18"/>
                <w:color w:val="auto"/>
              </w:rPr>
            </w:pPr>
          </w:p>
        </w:tc>
        <w:tc>
          <w:tcPr>
            <w:tcW w:w="2220" w:type="dxa"/>
            <w:vAlign w:val="bottom"/>
            <w:shd w:val="clear" w:color="auto" w:fill="A6A6A6"/>
          </w:tcPr>
          <w:p>
            <w:pPr>
              <w:jc w:val="right"/>
              <w:ind w:right="350"/>
              <w:spacing w:after="0"/>
              <w:rPr>
                <w:sz w:val="20"/>
                <w:szCs w:val="20"/>
                <w:color w:val="auto"/>
              </w:rPr>
            </w:pPr>
            <w:r>
              <w:rPr>
                <w:rFonts w:ascii="Times New Roman" w:cs="Times New Roman" w:eastAsia="Times New Roman" w:hAnsi="Times New Roman"/>
                <w:sz w:val="18"/>
                <w:szCs w:val="18"/>
                <w:b w:val="1"/>
                <w:bCs w:val="1"/>
                <w:color w:val="FFFFFF"/>
              </w:rPr>
              <w:t>Debenture/Other</w:t>
            </w:r>
          </w:p>
        </w:tc>
        <w:tc>
          <w:tcPr>
            <w:tcW w:w="400" w:type="dxa"/>
            <w:vAlign w:val="bottom"/>
            <w:shd w:val="clear" w:color="auto" w:fill="A6A6A6"/>
          </w:tcPr>
          <w:p>
            <w:pPr>
              <w:spacing w:after="0"/>
              <w:rPr>
                <w:sz w:val="18"/>
                <w:szCs w:val="18"/>
                <w:color w:val="auto"/>
              </w:rPr>
            </w:pPr>
          </w:p>
        </w:tc>
        <w:tc>
          <w:tcPr>
            <w:tcW w:w="1180" w:type="dxa"/>
            <w:vAlign w:val="bottom"/>
            <w:shd w:val="clear" w:color="auto" w:fill="A6A6A6"/>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Adjustments</w:t>
            </w:r>
          </w:p>
        </w:tc>
        <w:tc>
          <w:tcPr>
            <w:tcW w:w="380" w:type="dxa"/>
            <w:vAlign w:val="bottom"/>
            <w:shd w:val="clear" w:color="auto" w:fill="A6A6A6"/>
          </w:tcPr>
          <w:p>
            <w:pPr>
              <w:spacing w:after="0"/>
              <w:rPr>
                <w:sz w:val="18"/>
                <w:szCs w:val="18"/>
                <w:color w:val="auto"/>
              </w:rPr>
            </w:pPr>
          </w:p>
        </w:tc>
        <w:tc>
          <w:tcPr>
            <w:tcW w:w="1420" w:type="dxa"/>
            <w:vAlign w:val="bottom"/>
            <w:shd w:val="clear" w:color="auto" w:fill="A6A6A6"/>
          </w:tcPr>
          <w:p>
            <w:pPr>
              <w:spacing w:after="0"/>
              <w:rPr>
                <w:sz w:val="18"/>
                <w:szCs w:val="18"/>
                <w:color w:val="auto"/>
              </w:rPr>
            </w:pPr>
          </w:p>
        </w:tc>
        <w:tc>
          <w:tcPr>
            <w:tcW w:w="260" w:type="dxa"/>
            <w:vAlign w:val="bottom"/>
            <w:shd w:val="clear" w:color="auto" w:fill="A6A6A6"/>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740" w:type="dxa"/>
            <w:vAlign w:val="bottom"/>
            <w:tcBorders>
              <w:bottom w:val="single" w:sz="8" w:color="A6A6A6"/>
            </w:tcBorders>
            <w:shd w:val="clear" w:color="auto" w:fill="A6A6A6"/>
          </w:tcPr>
          <w:p>
            <w:pPr>
              <w:spacing w:after="0"/>
              <w:rPr>
                <w:sz w:val="21"/>
                <w:szCs w:val="21"/>
                <w:color w:val="auto"/>
              </w:rPr>
            </w:pPr>
          </w:p>
        </w:tc>
        <w:tc>
          <w:tcPr>
            <w:tcW w:w="1200" w:type="dxa"/>
            <w:vAlign w:val="bottom"/>
            <w:tcBorders>
              <w:bottom w:val="single" w:sz="8" w:color="A6A6A6"/>
            </w:tcBorders>
            <w:shd w:val="clear" w:color="auto" w:fill="A6A6A6"/>
          </w:tcPr>
          <w:p>
            <w:pPr>
              <w:spacing w:after="0"/>
              <w:rPr>
                <w:sz w:val="21"/>
                <w:szCs w:val="21"/>
                <w:color w:val="auto"/>
              </w:rPr>
            </w:pPr>
          </w:p>
        </w:tc>
        <w:tc>
          <w:tcPr>
            <w:tcW w:w="440" w:type="dxa"/>
            <w:vAlign w:val="bottom"/>
            <w:tcBorders>
              <w:bottom w:val="single" w:sz="8" w:color="A6A6A6"/>
            </w:tcBorders>
            <w:shd w:val="clear" w:color="auto" w:fill="A6A6A6"/>
          </w:tcPr>
          <w:p>
            <w:pPr>
              <w:spacing w:after="0"/>
              <w:rPr>
                <w:sz w:val="21"/>
                <w:szCs w:val="21"/>
                <w:color w:val="auto"/>
              </w:rPr>
            </w:pPr>
          </w:p>
        </w:tc>
        <w:tc>
          <w:tcPr>
            <w:tcW w:w="2220" w:type="dxa"/>
            <w:vAlign w:val="bottom"/>
            <w:tcBorders>
              <w:bottom w:val="single" w:sz="8" w:color="A6A6A6"/>
            </w:tcBorders>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(A)</w:t>
            </w:r>
          </w:p>
        </w:tc>
        <w:tc>
          <w:tcPr>
            <w:tcW w:w="400" w:type="dxa"/>
            <w:vAlign w:val="bottom"/>
            <w:tcBorders>
              <w:bottom w:val="single" w:sz="8" w:color="A6A6A6"/>
            </w:tcBorders>
            <w:shd w:val="clear" w:color="auto" w:fill="A6A6A6"/>
          </w:tcPr>
          <w:p>
            <w:pPr>
              <w:spacing w:after="0"/>
              <w:rPr>
                <w:sz w:val="21"/>
                <w:szCs w:val="21"/>
                <w:color w:val="auto"/>
              </w:rPr>
            </w:pPr>
          </w:p>
        </w:tc>
        <w:tc>
          <w:tcPr>
            <w:tcW w:w="1180" w:type="dxa"/>
            <w:vAlign w:val="bottom"/>
            <w:tcBorders>
              <w:bottom w:val="single" w:sz="8" w:color="A6A6A6"/>
            </w:tcBorders>
            <w:shd w:val="clear" w:color="auto" w:fill="A6A6A6"/>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(B)</w:t>
            </w:r>
          </w:p>
        </w:tc>
        <w:tc>
          <w:tcPr>
            <w:tcW w:w="380" w:type="dxa"/>
            <w:vAlign w:val="bottom"/>
            <w:tcBorders>
              <w:bottom w:val="single" w:sz="8" w:color="A6A6A6"/>
            </w:tcBorders>
            <w:shd w:val="clear" w:color="auto" w:fill="A6A6A6"/>
          </w:tcPr>
          <w:p>
            <w:pPr>
              <w:spacing w:after="0"/>
              <w:rPr>
                <w:sz w:val="21"/>
                <w:szCs w:val="21"/>
                <w:color w:val="auto"/>
              </w:rPr>
            </w:pPr>
          </w:p>
        </w:tc>
        <w:tc>
          <w:tcPr>
            <w:tcW w:w="1420" w:type="dxa"/>
            <w:vAlign w:val="bottom"/>
            <w:tcBorders>
              <w:bottom w:val="single" w:sz="8" w:color="A6A6A6"/>
            </w:tcBorders>
            <w:shd w:val="clear" w:color="auto" w:fill="A6A6A6"/>
          </w:tcPr>
          <w:p>
            <w:pPr>
              <w:spacing w:after="0"/>
              <w:rPr>
                <w:sz w:val="21"/>
                <w:szCs w:val="21"/>
                <w:color w:val="auto"/>
              </w:rPr>
            </w:pPr>
          </w:p>
        </w:tc>
        <w:tc>
          <w:tcPr>
            <w:tcW w:w="260" w:type="dxa"/>
            <w:vAlign w:val="bottom"/>
            <w:tcBorders>
              <w:bottom w:val="single" w:sz="8" w:color="A6A6A6"/>
            </w:tcBorders>
            <w:shd w:val="clear" w:color="auto" w:fill="A6A6A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kEUR</w:t>
            </w:r>
          </w:p>
        </w:tc>
        <w:tc>
          <w:tcPr>
            <w:tcW w:w="4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kEUR</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kEUR</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kEUR</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1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financial assets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4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financial assets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non-financial assets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4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r>
              <w:rPr>
                <w:rFonts w:ascii="Times New Roman" w:cs="Times New Roman" w:eastAsia="Times New Roman" w:hAnsi="Times New Roman"/>
                <w:sz w:val="29"/>
                <w:szCs w:val="29"/>
                <w:color w:val="auto"/>
                <w:vertAlign w:val="superscript"/>
              </w:rPr>
              <w:t>(A)</w:t>
            </w:r>
            <w:r>
              <w:rPr>
                <w:rFonts w:ascii="Times New Roman" w:cs="Times New Roman" w:eastAsia="Times New Roman" w:hAnsi="Times New Roman"/>
                <w:sz w:val="18"/>
                <w:szCs w:val="18"/>
                <w:color w:val="auto"/>
              </w:rPr>
              <w:t>+1,850</w:t>
            </w:r>
            <w:r>
              <w:rPr>
                <w:rFonts w:ascii="Times New Roman" w:cs="Times New Roman" w:eastAsia="Times New Roman" w:hAnsi="Times New Roman"/>
                <w:sz w:val="29"/>
                <w:szCs w:val="29"/>
                <w:color w:val="auto"/>
                <w:vertAlign w:val="superscript"/>
              </w:rPr>
              <w:t>(A)</w:t>
            </w:r>
          </w:p>
        </w:tc>
        <w:tc>
          <w:tcPr>
            <w:tcW w:w="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4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4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AND LIABILITIES</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1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Subscribed capital (ordinary &amp; high voting)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(D)</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and other reserves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298,699</w:t>
            </w:r>
          </w:p>
        </w:tc>
        <w:tc>
          <w:tcPr>
            <w:tcW w:w="4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39,657</w:t>
            </w:r>
          </w:p>
        </w:tc>
        <w:tc>
          <w:tcPr>
            <w:tcW w:w="3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(B)</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338,441</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deficit</w:t>
            </w:r>
          </w:p>
        </w:tc>
        <w:tc>
          <w:tcPr>
            <w:tcW w:w="1640" w:type="dxa"/>
            <w:vAlign w:val="bottom"/>
            <w:gridSpan w:val="2"/>
          </w:tcPr>
          <w:p>
            <w:pPr>
              <w:jc w:val="right"/>
              <w:ind w:right="265"/>
              <w:spacing w:after="0"/>
              <w:rPr>
                <w:sz w:val="20"/>
                <w:szCs w:val="20"/>
                <w:color w:val="auto"/>
              </w:rPr>
            </w:pPr>
            <w:r>
              <w:rPr>
                <w:rFonts w:ascii="Times New Roman" w:cs="Times New Roman" w:eastAsia="Times New Roman" w:hAnsi="Times New Roman"/>
                <w:sz w:val="18"/>
                <w:szCs w:val="18"/>
                <w:color w:val="auto"/>
              </w:rPr>
              <w:t>(313,403 )</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680"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(334,374 )</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Equity</w:t>
            </w:r>
          </w:p>
        </w:tc>
        <w:tc>
          <w:tcPr>
            <w:tcW w:w="1640" w:type="dxa"/>
            <w:vAlign w:val="bottom"/>
            <w:gridSpan w:val="2"/>
          </w:tcPr>
          <w:p>
            <w:pPr>
              <w:jc w:val="right"/>
              <w:ind w:right="265"/>
              <w:spacing w:after="0"/>
              <w:rPr>
                <w:sz w:val="20"/>
                <w:szCs w:val="20"/>
                <w:color w:val="auto"/>
              </w:rPr>
            </w:pPr>
            <w:r>
              <w:rPr>
                <w:rFonts w:ascii="Times New Roman" w:cs="Times New Roman" w:eastAsia="Times New Roman" w:hAnsi="Times New Roman"/>
                <w:sz w:val="18"/>
                <w:szCs w:val="18"/>
                <w:color w:val="auto"/>
              </w:rPr>
              <w:t>(14,656 )</w:t>
            </w:r>
          </w:p>
        </w:tc>
        <w:tc>
          <w:tcPr>
            <w:tcW w:w="2620" w:type="dxa"/>
            <w:vAlign w:val="bottom"/>
            <w:gridSpan w:val="2"/>
          </w:tcPr>
          <w:p>
            <w:pPr>
              <w:jc w:val="right"/>
              <w:ind w:right="245"/>
              <w:spacing w:after="0"/>
              <w:rPr>
                <w:sz w:val="20"/>
                <w:szCs w:val="20"/>
                <w:color w:val="auto"/>
              </w:rPr>
            </w:pPr>
            <w:r>
              <w:rPr>
                <w:rFonts w:ascii="Times New Roman" w:cs="Times New Roman" w:eastAsia="Times New Roman" w:hAnsi="Times New Roman"/>
                <w:sz w:val="18"/>
                <w:szCs w:val="18"/>
                <w:color w:val="auto"/>
              </w:rPr>
              <w:t>(20,886 )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39,657</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(E)</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 Liability (Current 167k LT 435k)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 payable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Subtotal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4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4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r>
              <w:rPr>
                <w:rFonts w:ascii="Times New Roman" w:cs="Times New Roman" w:eastAsia="Times New Roman" w:hAnsi="Times New Roman"/>
                <w:sz w:val="29"/>
                <w:szCs w:val="29"/>
                <w:color w:val="auto"/>
                <w:vertAlign w:val="superscript"/>
              </w:rPr>
              <w:t>(C)</w:t>
            </w:r>
            <w:r>
              <w:rPr>
                <w:rFonts w:ascii="Times New Roman" w:cs="Times New Roman" w:eastAsia="Times New Roman" w:hAnsi="Times New Roman"/>
                <w:sz w:val="18"/>
                <w:szCs w:val="18"/>
                <w:color w:val="auto"/>
              </w:rPr>
              <w:t>+1,495+ 1,850</w:t>
            </w:r>
            <w:r>
              <w:rPr>
                <w:rFonts w:ascii="Times New Roman" w:cs="Times New Roman" w:eastAsia="Times New Roman" w:hAnsi="Times New Roman"/>
                <w:sz w:val="29"/>
                <w:szCs w:val="29"/>
                <w:color w:val="auto"/>
                <w:vertAlign w:val="superscript"/>
              </w:rPr>
              <w:t>(A)</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(39,657)</w:t>
            </w:r>
          </w:p>
        </w:tc>
        <w:tc>
          <w:tcPr>
            <w:tcW w:w="38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(B)</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4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400" w:type="dxa"/>
            <w:vAlign w:val="bottom"/>
          </w:tcPr>
          <w:p>
            <w:pPr>
              <w:spacing w:after="0"/>
              <w:rPr>
                <w:sz w:val="20"/>
                <w:szCs w:val="20"/>
                <w:color w:val="auto"/>
              </w:rPr>
            </w:pPr>
          </w:p>
        </w:tc>
        <w:tc>
          <w:tcPr>
            <w:tcW w:w="1560" w:type="dxa"/>
            <w:vAlign w:val="bottom"/>
            <w:gridSpan w:val="2"/>
          </w:tcPr>
          <w:p>
            <w:pPr>
              <w:jc w:val="right"/>
              <w:ind w:right="205"/>
              <w:spacing w:after="0"/>
              <w:rPr>
                <w:sz w:val="20"/>
                <w:szCs w:val="20"/>
                <w:color w:val="auto"/>
              </w:rPr>
            </w:pPr>
            <w:r>
              <w:rPr>
                <w:rFonts w:ascii="Times New Roman" w:cs="Times New Roman" w:eastAsia="Times New Roman" w:hAnsi="Times New Roman"/>
                <w:sz w:val="18"/>
                <w:szCs w:val="18"/>
                <w:color w:val="auto"/>
              </w:rPr>
              <w:t>(39,657 )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 and liabilities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44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57"/>
        </w:trPr>
        <w:tc>
          <w:tcPr>
            <w:tcW w:w="3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74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22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1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New Issuance of $7.2 Million Debenture Adjustment</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part of its strategic financial restructuring, Sono Group N.V. has entered into a Securities Purchase Agreement with Yorkville to issue a new secured convertible debenture with a principal amount of $5.0 million, subject to Nasdaq approving the Company’s requested uplisting to Nasdaq Capital Markets. Yorkville had advanced $3.25 million (2.7M Euros) of the $5.0 million as of 6/30/25, with $1.75 million (1.495M Euros) still subject to Nasdaq Approval. The cash section reflects 1.495M Euros left as the company has received $3.25M as advances through Q2 2025, which is already reflected in the 6/30/25 balance sheet, plus 85K Euros from private equity sales completed in August for a total cash increase of 1.58M Euros. As a final adjustment to net equity, Yorkville will add an additional $2.2M (1.85M Euros) of secured convertible debenture subject to Nasdaq approving the Company’s requested uplisting to Nasdaq Capital Markets.</w:t>
      </w:r>
    </w:p>
    <w:p>
      <w:pPr>
        <w:spacing w:after="0" w:line="18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Conversion of all existing debt to preferred equity</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Sono Group N.V. signed an Exchange Agreement with Yorkville to convert the newly issued debenture, along with all other existing outstanding convertible debentures, into preferred equity. The total debt being exchanged amounts to approximately €39.66 million, including the €32.7 million of previously issued convertible debentures and the $7.2 million new debentures. Under the agreement, this notes payable will be converted into 1,242 newly issued preferred shares, plus an additional 73 preferred shares for a total of 1,315 preferred shares each with a nominal value of €300. These shares are convertible into 30,000 ordinary shares post-implementation of the reverse stock split.</w:t>
      </w:r>
    </w:p>
    <w:p>
      <w:pPr>
        <w:spacing w:after="0" w:line="17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Changes to the fair value in Convertible Notes Payable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income from changes in fair value of convertible notes payable carried at Fair value of 20.97M Euros is reversed as part of the exchange agreement when the actual value of the total convertible notes payable plus accrued interest is all converted to preferred equity.</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Change in Subscribed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subscribed capital is due to reverse split of 75 to 1 along with change in nominal value of ordinary and high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32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7"/>
          <w:szCs w:val="17"/>
          <w:b w:val="1"/>
          <w:bCs w:val="1"/>
          <w:color w:val="auto"/>
        </w:rPr>
        <w:t>Net Equity Converted to US Dollars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Net Equity of 4.115M Euros is converted to $4.815M at an exchange rate as of 6/30/25 of 1.17 from Euros to US dollars, exceeding the needed $4M required minimum net equity.</w:t>
      </w:r>
    </w:p>
    <w:sectPr>
      <w:pgSz w:w="11900" w:h="16838" w:orient="portrait"/>
      <w:cols w:equalWidth="0" w:num="1">
        <w:col w:w="11200"/>
      </w:cols>
      <w:pgMar w:left="320" w:top="2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2025-09-03T06:01:34Z</dcterms:created>
  <dcterms:modified xsi:type="dcterms:W3CDTF">2025-09-03T06:01:34Z</dcterms:modified>
</cp:coreProperties>
</file>