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Laurin Hahn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Sono Group N.V.</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legal@sonomotors.com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5, 2024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4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Page 2 of 5</w:t>
            </w:r>
          </w:p>
        </w:tc>
      </w:tr>
    </w:tbl>
    <w:p>
      <w:pPr>
        <w:spacing w:after="0" w:line="200" w:lineRule="exact"/>
        <w:rPr>
          <w:sz w:val="20"/>
          <w:szCs w:val="20"/>
          <w:color w:val="auto"/>
        </w:rPr>
      </w:pPr>
    </w:p>
    <w:p>
      <w:pPr>
        <w:spacing w:after="0" w:line="227" w:lineRule="exact"/>
        <w:rPr>
          <w:sz w:val="20"/>
          <w:szCs w:val="20"/>
          <w:color w:val="auto"/>
        </w:rPr>
      </w:pPr>
    </w:p>
    <w:p>
      <w:pPr>
        <w:ind w:left="660" w:right="8500" w:hanging="639"/>
        <w:spacing w:after="0" w:line="3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Laurin Hahn</w:t>
      </w: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51"/>
        <w:spacing w:after="0" w:line="207" w:lineRule="exact"/>
        <w:tabs>
          <w:tab w:leader="none" w:pos="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5460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3,500,000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3,500,000</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(2)</w:t>
      </w:r>
    </w:p>
    <w:p>
      <w:pPr>
        <w:spacing w:after="0" w:line="238"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right="500" w:firstLine="8"/>
        <w:spacing w:after="0" w:line="233"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5. Although they do not share voting power, as a result of entering into a shareholder commitment letter, Laurin Hahn may be deemed to be a member of a “group” with Jona Christians, who also entered into the shareholder commitment letter and is separately reporting beneficial ownership on Schedule 13D.</w:t>
      </w:r>
    </w:p>
    <w:p>
      <w:pPr>
        <w:ind w:right="140" w:firstLine="8"/>
        <w:spacing w:after="0" w:line="239"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class of securities beneficially owned by the Reporting Person is based on a total of 108,711,643 shares (being the sum of 105,711,643 ordinary shares and 3,000,000 high voting shares) of the Issuer outstanding as a single class as of June 10, 2024, assuming conversion of all high voting shares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-2907665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 w:name="page3"/>
    <w:bookmarkEnd w:id="2"/>
    <w:p>
      <w:pPr>
        <w:ind w:left="100"/>
        <w:spacing w:after="0"/>
        <w:tabs>
          <w:tab w:leader="none" w:pos="3900" w:val="left"/>
          <w:tab w:leader="none" w:pos="10160"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Amendment No. 2 to Schedule 13D (this “Amendment No. 2”) amends and supplements the statement on Schedule 13D filed by Laurin Hahn (the “Reporting Person”) on December 19, 2023, as amended by Amendment No. 1 to Schedule 13D filed on March 25, 2024 (the “Schedule 13D”), and relates to the Reporting Person's beneficial ownership of ordinary shares, nominal value €0.06 per share (the “Ordinary Shares”), of Sono Group N.V.,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“Issuer”). Capitalized terms used herein and not otherwise defined shall have the respective meanings ascribed to them in the Schedule 13D. Except as specifically provided herein, this Amendment No. 2 does not modify any of the information previously reported in the Schedule 13D.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add the following:</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transfer of the 7,187,500 Ordinary Shares sold to Bambino 255. V V UG (“Transferee 1”) by the Reporting Person pursuant to the Sale and Transfer Agreement between the Reporting Person, Transferee 1, Transferee 2 and the Issuer was reflected in the Issuer’s share register on June 5, 2024. In addition, the transfer of the 6,118,749 Ordinary Shares sold by Jona Christians to Transferee 1 pursuant to the Sale and Transfer Agreement between Mr. Christians, Transferee 1, Transferee 2 and the Issuer was reflected in the Issuer’s share register on June 5,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Jona Christians, who also entered into the Shareholder Commitment Letter and who is separately reporting beneficial ownership of shares of the Issuer on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 Christians owns 3,500,000 Ordinary Shares of the Issuer, representing 3.2% of the Ordinary Shares of the Issuer.</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Reporting Person and Jona Christians in the aggregate own 7,000,000 Ordinary Shares. This aggregate amount represents 6.4% of the outstanding Ordinary Shares of the Issuer (see footnote (2) to the table above for an explanation of the calculation).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a description of the sale and transfer agreements, pursuant to which the Reporting Person and Jona Christians have each agreed to sell and transfer certain of their respective Ordinary Shares to Transferee 1 and Transferee 2 for the benefit of, respectively, the creditors of the Subsidiary and members of the management board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94" w:right="359" w:bottom="1440" w:gutter="0" w:footer="0" w:header="0"/>
          <w:type w:val="continuous"/>
        </w:sectPr>
      </w:pPr>
    </w:p>
    <w:bookmarkStart w:id="3" w:name="page4"/>
    <w:bookmarkEnd w:id="3"/>
    <w:p>
      <w:pPr>
        <w:ind w:left="92"/>
        <w:spacing w:after="0"/>
        <w:tabs>
          <w:tab w:leader="none" w:pos="3892" w:val="left"/>
          <w:tab w:leader="none" w:pos="10152" w:val="left"/>
        </w:tabs>
        <w:rPr>
          <w:sz w:val="20"/>
          <w:szCs w:val="20"/>
          <w:color w:val="auto"/>
        </w:rPr>
      </w:pPr>
      <w:r>
        <w:rPr>
          <w:rFonts w:ascii="Times New Roman" w:cs="Times New Roman" w:eastAsia="Times New Roman" w:hAnsi="Times New Roman"/>
          <w:sz w:val="18"/>
          <w:szCs w:val="18"/>
          <w:color w:val="auto"/>
        </w:rPr>
        <w:t>CUSIP No. N81409109</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32"/>
          </w:cols>
          <w:pgMar w:left="328" w:top="594" w:right="339" w:bottom="1440" w:gutter="0" w:footer="0" w:header="0"/>
        </w:sectPr>
      </w:pPr>
    </w:p>
    <w:p>
      <w:pPr>
        <w:spacing w:after="0" w:line="239" w:lineRule="exact"/>
        <w:rPr>
          <w:sz w:val="20"/>
          <w:szCs w:val="20"/>
          <w:color w:val="auto"/>
        </w:rPr>
      </w:pPr>
    </w:p>
    <w:p>
      <w:pPr>
        <w:ind w:left="652" w:hanging="652"/>
        <w:spacing w:after="0" w:line="28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Jona Christians,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788670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94" w:right="3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CUSIP No. N81409109</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Page 5 of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640" w:right="3900" w:hanging="6195"/>
        <w:spacing w:after="0" w:line="297" w:lineRule="auto"/>
        <w:tabs>
          <w:tab w:leader="none" w:pos="5620" w:val="left"/>
        </w:tabs>
        <w:rPr>
          <w:sz w:val="20"/>
          <w:szCs w:val="20"/>
          <w:color w:val="auto"/>
        </w:rPr>
      </w:pPr>
      <w:r>
        <w:rPr>
          <w:rFonts w:ascii="Times New Roman" w:cs="Times New Roman" w:eastAsia="Times New Roman" w:hAnsi="Times New Roman"/>
          <w:sz w:val="18"/>
          <w:szCs w:val="18"/>
          <w:color w:val="auto"/>
        </w:rPr>
        <w:t>Date: June 13, 2024</w:t>
      </w:r>
      <w:r>
        <w:rPr>
          <w:sz w:val="20"/>
          <w:szCs w:val="20"/>
          <w:color w:val="auto"/>
        </w:rPr>
        <w:tab/>
      </w:r>
      <w:r>
        <w:rPr>
          <w:rFonts w:ascii="Times New Roman" w:cs="Times New Roman" w:eastAsia="Times New Roman" w:hAnsi="Times New Roman"/>
          <w:sz w:val="18"/>
          <w:szCs w:val="18"/>
          <w:color w:val="auto"/>
        </w:rPr>
        <w:t>By: /s/ Laurin Hahn Laurin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-175895</wp:posOffset>
            </wp:positionV>
            <wp:extent cx="21342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46E87C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2024-06-13T15:49:22Z</dcterms:created>
  <dcterms:modified xsi:type="dcterms:W3CDTF">2024-06-13T15:49:22Z</dcterms:modified>
</cp:coreProperties>
</file>