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05" w:lineRule="exact"/>
        <w:rPr>
          <w:sz w:val="24"/>
          <w:szCs w:val="24"/>
          <w:color w:val="auto"/>
        </w:rPr>
      </w:pPr>
    </w:p>
    <w:p>
      <w:pPr>
        <w:ind w:left="4080" w:right="2780" w:hanging="4079"/>
        <w:spacing w:after="0" w:line="496" w:lineRule="auto"/>
        <w:tabs>
          <w:tab w:leader="none" w:pos="21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ANNUAL REPORT PURSUANT TO SECTION 13 OR 15(d) OF THE SECURITIES EXCHANGE ACT OF 1934 </w:t>
      </w:r>
      <w:r>
        <w:rPr>
          <w:rFonts w:ascii="Times New Roman" w:cs="Times New Roman" w:eastAsia="Times New Roman" w:hAnsi="Times New Roman"/>
          <w:sz w:val="17"/>
          <w:szCs w:val="17"/>
          <w:color w:val="auto"/>
        </w:rPr>
        <w:t>For the fiscal year ended December 31, 2025</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09" w:lineRule="exact"/>
        <w:rPr>
          <w:sz w:val="24"/>
          <w:szCs w:val="24"/>
          <w:color w:val="auto"/>
        </w:rPr>
      </w:pPr>
    </w:p>
    <w:p>
      <w:pPr>
        <w:ind w:left="220" w:hanging="219"/>
        <w:spacing w:after="0"/>
        <w:tabs>
          <w:tab w:leader="none" w:pos="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 the transition period from</w:t>
            </w:r>
          </w:p>
        </w:tc>
        <w:tc>
          <w:tcPr>
            <w:tcW w:w="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w:t>
            </w:r>
          </w:p>
        </w:tc>
        <w:tc>
          <w:tcPr>
            <w:tcW w:w="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405"/>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2"/>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w w:val="99"/>
              </w:rPr>
              <w:t>Commission File Number: 001-41066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89"/>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jc w:val="center"/>
              <w:ind w:left="956"/>
              <w:spacing w:after="0"/>
              <w:rPr>
                <w:sz w:val="20"/>
                <w:szCs w:val="20"/>
                <w:color w:val="auto"/>
              </w:rPr>
            </w:pPr>
            <w:r>
              <w:rPr>
                <w:rFonts w:ascii="Times New Roman" w:cs="Times New Roman" w:eastAsia="Times New Roman" w:hAnsi="Times New Roman"/>
                <w:sz w:val="17"/>
                <w:szCs w:val="17"/>
                <w:b w:val="1"/>
                <w:bCs w:val="1"/>
                <w:color w:val="auto"/>
                <w:w w:val="97"/>
              </w:rPr>
              <w:t>SONO GROUP N.V.</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gridSpan w:val="5"/>
          </w:tcPr>
          <w:p>
            <w:pPr>
              <w:jc w:val="center"/>
              <w:ind w:right="3636"/>
              <w:spacing w:after="0"/>
              <w:rPr>
                <w:sz w:val="20"/>
                <w:szCs w:val="20"/>
                <w:color w:val="auto"/>
              </w:rPr>
            </w:pPr>
            <w:r>
              <w:rPr>
                <w:rFonts w:ascii="Times New Roman" w:cs="Times New Roman" w:eastAsia="Times New Roman" w:hAnsi="Times New Roman"/>
                <w:sz w:val="17"/>
                <w:szCs w:val="17"/>
                <w:color w:val="auto"/>
                <w:w w:val="99"/>
              </w:rPr>
              <w:t>(Exact name of registrant as specified in its charter)</w:t>
            </w:r>
          </w:p>
        </w:tc>
      </w:tr>
      <w:tr>
        <w:trPr>
          <w:trHeight w:val="389"/>
        </w:trPr>
        <w:tc>
          <w:tcPr>
            <w:tcW w:w="3600" w:type="dxa"/>
            <w:vAlign w:val="bottom"/>
          </w:tcPr>
          <w:p>
            <w:pPr>
              <w:jc w:val="center"/>
              <w:ind w:left="1956"/>
              <w:spacing w:after="0"/>
              <w:rPr>
                <w:sz w:val="20"/>
                <w:szCs w:val="20"/>
                <w:color w:val="auto"/>
              </w:rPr>
            </w:pPr>
            <w:r>
              <w:rPr>
                <w:rFonts w:ascii="Times New Roman" w:cs="Times New Roman" w:eastAsia="Times New Roman" w:hAnsi="Times New Roman"/>
                <w:sz w:val="17"/>
                <w:szCs w:val="17"/>
                <w:b w:val="1"/>
                <w:bCs w:val="1"/>
                <w:color w:val="auto"/>
                <w:w w:val="98"/>
              </w:rPr>
              <w:t>The Netherlands</w:t>
            </w: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60" w:type="dxa"/>
            <w:vAlign w:val="bottom"/>
            <w:gridSpan w:val="3"/>
          </w:tcPr>
          <w:p>
            <w:pPr>
              <w:jc w:val="right"/>
              <w:ind w:right="2316"/>
              <w:spacing w:after="0"/>
              <w:rPr>
                <w:sz w:val="20"/>
                <w:szCs w:val="20"/>
                <w:color w:val="auto"/>
              </w:rPr>
            </w:pPr>
            <w:r>
              <w:rPr>
                <w:rFonts w:ascii="Times New Roman" w:cs="Times New Roman" w:eastAsia="Times New Roman" w:hAnsi="Times New Roman"/>
                <w:sz w:val="17"/>
                <w:szCs w:val="17"/>
                <w:b w:val="1"/>
                <w:bCs w:val="1"/>
                <w:color w:val="auto"/>
              </w:rPr>
              <w:t>98-1828632</w:t>
            </w:r>
          </w:p>
        </w:tc>
      </w:tr>
      <w:tr>
        <w:trPr>
          <w:trHeight w:val="198"/>
        </w:trPr>
        <w:tc>
          <w:tcPr>
            <w:tcW w:w="6480" w:type="dxa"/>
            <w:vAlign w:val="bottom"/>
            <w:gridSpan w:val="3"/>
          </w:tcPr>
          <w:p>
            <w:pPr>
              <w:jc w:val="center"/>
              <w:ind w:right="776"/>
              <w:spacing w:after="0"/>
              <w:rPr>
                <w:sz w:val="20"/>
                <w:szCs w:val="20"/>
                <w:color w:val="auto"/>
              </w:rPr>
            </w:pPr>
            <w:r>
              <w:rPr>
                <w:rFonts w:ascii="Times New Roman" w:cs="Times New Roman" w:eastAsia="Times New Roman" w:hAnsi="Times New Roman"/>
                <w:sz w:val="17"/>
                <w:szCs w:val="17"/>
                <w:color w:val="auto"/>
                <w:w w:val="98"/>
              </w:rPr>
              <w:t>(State or other jurisdiction of incorporation or organization)</w:t>
            </w:r>
          </w:p>
        </w:tc>
        <w:tc>
          <w:tcPr>
            <w:tcW w:w="600" w:type="dxa"/>
            <w:vAlign w:val="bottom"/>
          </w:tcPr>
          <w:p>
            <w:pPr>
              <w:spacing w:after="0"/>
              <w:rPr>
                <w:sz w:val="17"/>
                <w:szCs w:val="17"/>
                <w:color w:val="auto"/>
              </w:rPr>
            </w:pPr>
          </w:p>
        </w:tc>
        <w:tc>
          <w:tcPr>
            <w:tcW w:w="4160" w:type="dxa"/>
            <w:vAlign w:val="bottom"/>
            <w:gridSpan w:val="3"/>
          </w:tcPr>
          <w:p>
            <w:pPr>
              <w:jc w:val="center"/>
              <w:ind w:right="1356"/>
              <w:spacing w:after="0"/>
              <w:rPr>
                <w:sz w:val="20"/>
                <w:szCs w:val="20"/>
                <w:color w:val="auto"/>
              </w:rPr>
            </w:pPr>
            <w:r>
              <w:rPr>
                <w:rFonts w:ascii="Times New Roman" w:cs="Times New Roman" w:eastAsia="Times New Roman" w:hAnsi="Times New Roman"/>
                <w:sz w:val="17"/>
                <w:szCs w:val="17"/>
                <w:color w:val="auto"/>
                <w:w w:val="98"/>
              </w:rPr>
              <w:t>(I.R.S. Employer Identification No.)</w:t>
            </w: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ind w:left="976"/>
              <w:spacing w:after="0"/>
              <w:rPr>
                <w:sz w:val="20"/>
                <w:szCs w:val="20"/>
                <w:color w:val="auto"/>
              </w:rPr>
            </w:pPr>
            <w:r>
              <w:rPr>
                <w:rFonts w:ascii="Times New Roman" w:cs="Times New Roman" w:eastAsia="Times New Roman" w:hAnsi="Times New Roman"/>
                <w:sz w:val="17"/>
                <w:szCs w:val="17"/>
                <w:b w:val="1"/>
                <w:bCs w:val="1"/>
                <w:color w:val="auto"/>
                <w:w w:val="97"/>
              </w:rPr>
              <w:t>Sono Group N.V.</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2"/>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w w:val="98"/>
              </w:rPr>
              <w:t>Waldmeisterstra</w:t>
            </w:r>
            <w:r>
              <w:rPr>
                <w:rFonts w:ascii="Times New Roman" w:cs="Times New Roman" w:eastAsia="Times New Roman" w:hAnsi="Times New Roman"/>
                <w:sz w:val="17"/>
                <w:szCs w:val="17"/>
                <w:color w:val="auto"/>
                <w:w w:val="98"/>
              </w:rPr>
              <w:t>ß</w:t>
            </w:r>
            <w:r>
              <w:rPr>
                <w:rFonts w:ascii="Times New Roman" w:cs="Times New Roman" w:eastAsia="Times New Roman" w:hAnsi="Times New Roman"/>
                <w:sz w:val="17"/>
                <w:szCs w:val="17"/>
                <w:b w:val="1"/>
                <w:bCs w:val="1"/>
                <w:color w:val="auto"/>
                <w:w w:val="98"/>
              </w:rPr>
              <w:t>e 93, 80935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6"/>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ind w:left="956"/>
              <w:spacing w:after="0"/>
              <w:rPr>
                <w:sz w:val="20"/>
                <w:szCs w:val="20"/>
                <w:color w:val="auto"/>
              </w:rPr>
            </w:pPr>
            <w:r>
              <w:rPr>
                <w:rFonts w:ascii="Times New Roman" w:cs="Times New Roman" w:eastAsia="Times New Roman" w:hAnsi="Times New Roman"/>
                <w:sz w:val="17"/>
                <w:szCs w:val="17"/>
                <w:b w:val="1"/>
                <w:bCs w:val="1"/>
                <w:color w:val="auto"/>
                <w:w w:val="98"/>
              </w:rPr>
              <w:t>Munich, Germany</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1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jc w:val="center"/>
              <w:ind w:left="356"/>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89"/>
        </w:trPr>
        <w:tc>
          <w:tcPr>
            <w:tcW w:w="3600" w:type="dxa"/>
            <w:vAlign w:val="bottom"/>
          </w:tcPr>
          <w:p>
            <w:pPr>
              <w:spacing w:after="0"/>
              <w:rPr>
                <w:sz w:val="24"/>
                <w:szCs w:val="24"/>
                <w:color w:val="auto"/>
              </w:rPr>
            </w:pPr>
          </w:p>
        </w:tc>
        <w:tc>
          <w:tcPr>
            <w:tcW w:w="2880" w:type="dxa"/>
            <w:vAlign w:val="bottom"/>
            <w:gridSpan w:val="2"/>
          </w:tcPr>
          <w:p>
            <w:pPr>
              <w:jc w:val="center"/>
              <w:ind w:left="1076"/>
              <w:spacing w:after="0"/>
              <w:rPr>
                <w:sz w:val="20"/>
                <w:szCs w:val="20"/>
                <w:color w:val="auto"/>
              </w:rPr>
            </w:pPr>
            <w:r>
              <w:rPr>
                <w:rFonts w:ascii="Times New Roman" w:cs="Times New Roman" w:eastAsia="Times New Roman" w:hAnsi="Times New Roman"/>
                <w:sz w:val="17"/>
                <w:szCs w:val="17"/>
                <w:b w:val="1"/>
                <w:bCs w:val="1"/>
                <w:color w:val="auto"/>
                <w:w w:val="99"/>
              </w:rPr>
              <w:t>+49 (0)89 4520 5818</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gridSpan w:val="5"/>
          </w:tcPr>
          <w:p>
            <w:pPr>
              <w:jc w:val="center"/>
              <w:ind w:right="3636"/>
              <w:spacing w:after="0"/>
              <w:rPr>
                <w:sz w:val="20"/>
                <w:szCs w:val="20"/>
                <w:color w:val="auto"/>
              </w:rPr>
            </w:pPr>
            <w:r>
              <w:rPr>
                <w:rFonts w:ascii="Times New Roman" w:cs="Times New Roman" w:eastAsia="Times New Roman" w:hAnsi="Times New Roman"/>
                <w:sz w:val="17"/>
                <w:szCs w:val="17"/>
                <w:color w:val="auto"/>
                <w:w w:val="98"/>
              </w:rPr>
              <w:t>(Registrant’s telephone number, including area code)</w:t>
            </w:r>
          </w:p>
        </w:tc>
      </w:tr>
      <w:tr>
        <w:trPr>
          <w:trHeight w:val="405"/>
        </w:trPr>
        <w:tc>
          <w:tcPr>
            <w:tcW w:w="3600" w:type="dxa"/>
            <w:vAlign w:val="bottom"/>
          </w:tcPr>
          <w:p>
            <w:pPr>
              <w:spacing w:after="0"/>
              <w:rPr>
                <w:sz w:val="24"/>
                <w:szCs w:val="24"/>
                <w:color w:val="auto"/>
              </w:rPr>
            </w:pPr>
          </w:p>
        </w:tc>
        <w:tc>
          <w:tcPr>
            <w:tcW w:w="7640" w:type="dxa"/>
            <w:vAlign w:val="bottom"/>
            <w:gridSpan w:val="6"/>
          </w:tcPr>
          <w:p>
            <w:pPr>
              <w:jc w:val="center"/>
              <w:ind w:right="3516"/>
              <w:spacing w:after="0"/>
              <w:rPr>
                <w:sz w:val="20"/>
                <w:szCs w:val="20"/>
                <w:color w:val="auto"/>
              </w:rPr>
            </w:pPr>
            <w:r>
              <w:rPr>
                <w:rFonts w:ascii="Times New Roman" w:cs="Times New Roman" w:eastAsia="Times New Roman" w:hAnsi="Times New Roman"/>
                <w:sz w:val="17"/>
                <w:szCs w:val="17"/>
                <w:color w:val="auto"/>
                <w:w w:val="98"/>
              </w:rPr>
              <w:t>Securities registered pursuant to Section 12(b) of the Act:</w:t>
            </w:r>
          </w:p>
        </w:tc>
      </w:tr>
      <w:tr>
        <w:trPr>
          <w:trHeight w:val="389"/>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jc w:val="center"/>
              <w:ind w:left="976"/>
              <w:spacing w:after="0"/>
              <w:rPr>
                <w:sz w:val="20"/>
                <w:szCs w:val="20"/>
                <w:color w:val="auto"/>
              </w:rPr>
            </w:pPr>
            <w:r>
              <w:rPr>
                <w:rFonts w:ascii="Times New Roman" w:cs="Times New Roman" w:eastAsia="Times New Roman" w:hAnsi="Times New Roman"/>
                <w:sz w:val="17"/>
                <w:szCs w:val="17"/>
                <w:color w:val="auto"/>
              </w:rPr>
              <w:t>Trading</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Name of each exchange</w:t>
            </w:r>
          </w:p>
        </w:tc>
      </w:tr>
      <w:tr>
        <w:trPr>
          <w:trHeight w:val="218"/>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120" w:type="dxa"/>
            <w:vAlign w:val="bottom"/>
          </w:tcPr>
          <w:p>
            <w:pPr>
              <w:spacing w:after="0"/>
              <w:rPr>
                <w:sz w:val="18"/>
                <w:szCs w:val="18"/>
                <w:color w:val="auto"/>
              </w:rPr>
            </w:pPr>
          </w:p>
        </w:tc>
        <w:tc>
          <w:tcPr>
            <w:tcW w:w="276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7"/>
                <w:szCs w:val="17"/>
                <w:color w:val="auto"/>
                <w:w w:val="98"/>
              </w:rPr>
              <w:t>Symbol(s)</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on which registered</w:t>
            </w:r>
          </w:p>
        </w:tc>
      </w:tr>
      <w:tr>
        <w:trPr>
          <w:trHeight w:val="211"/>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Ordinary Shares</w:t>
            </w:r>
          </w:p>
        </w:tc>
        <w:tc>
          <w:tcPr>
            <w:tcW w:w="120" w:type="dxa"/>
            <w:vAlign w:val="bottom"/>
          </w:tcPr>
          <w:p>
            <w:pPr>
              <w:spacing w:after="0"/>
              <w:rPr>
                <w:sz w:val="18"/>
                <w:szCs w:val="18"/>
                <w:color w:val="auto"/>
              </w:rPr>
            </w:pPr>
          </w:p>
        </w:tc>
        <w:tc>
          <w:tcPr>
            <w:tcW w:w="2760" w:type="dxa"/>
            <w:vAlign w:val="bottom"/>
          </w:tcPr>
          <w:p>
            <w:pPr>
              <w:jc w:val="center"/>
              <w:ind w:left="976"/>
              <w:spacing w:after="0"/>
              <w:rPr>
                <w:sz w:val="20"/>
                <w:szCs w:val="20"/>
                <w:color w:val="auto"/>
              </w:rPr>
            </w:pPr>
            <w:r>
              <w:rPr>
                <w:rFonts w:ascii="Times New Roman" w:cs="Times New Roman" w:eastAsia="Times New Roman" w:hAnsi="Times New Roman"/>
                <w:sz w:val="17"/>
                <w:szCs w:val="17"/>
                <w:color w:val="auto"/>
                <w:w w:val="99"/>
              </w:rPr>
              <w:t>SSM</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3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8" w:lineRule="exact"/>
        <w:rPr>
          <w:sz w:val="24"/>
          <w:szCs w:val="24"/>
          <w:color w:val="auto"/>
        </w:rPr>
      </w:pPr>
    </w:p>
    <w:p>
      <w:pPr>
        <w:jc w:val="both"/>
        <w:ind w:right="10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321310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6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50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6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50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2"/>
        </w:trPr>
        <w:tc>
          <w:tcPr>
            <w:tcW w:w="2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50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6"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1" w:lineRule="exact"/>
        <w:rPr>
          <w:sz w:val="20"/>
          <w:szCs w:val="20"/>
          <w:color w:val="auto"/>
        </w:rPr>
      </w:pPr>
    </w:p>
    <w:p>
      <w:pPr>
        <w:jc w:val="both"/>
        <w:ind w:right="28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62"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1"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aggregate market value of the ordinary shares of the registrant held by non-affiliates, based on the closing price of the ordinary shares as quoted on the OTCQB on June 30, 2025 (the last business day of the registrant’s most recently completed second fiscal quarter), was approximately $7.2 million.</w:t>
      </w:r>
    </w:p>
    <w:p>
      <w:pPr>
        <w:spacing w:after="0" w:line="158" w:lineRule="exact"/>
        <w:rPr>
          <w:sz w:val="20"/>
          <w:szCs w:val="20"/>
          <w:color w:val="auto"/>
        </w:rPr>
      </w:pPr>
    </w:p>
    <w:p>
      <w:pPr>
        <w:ind w:right="12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1" w:lineRule="exact"/>
        <w:rPr>
          <w:sz w:val="20"/>
          <w:szCs w:val="20"/>
          <w:color w:val="auto"/>
        </w:rPr>
      </w:pPr>
    </w:p>
    <w:p>
      <w:pPr>
        <w:ind w:right="20" w:firstLine="1"/>
        <w:spacing w:after="0" w:line="262" w:lineRule="auto"/>
        <w:tabs>
          <w:tab w:leader="none" w:pos="12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more detail in this Annual Report, the registrant was involved in preliminary self-administration proceedings under German insolvency law before the local court of Munich, Germany from mid-May 2023 through January 31, 2024. Since no insolvency plan providing for the distribution of securities was confirmed by the court, the registrant has not checked either of the boxes above.</w:t>
      </w:r>
    </w:p>
    <w:p>
      <w:pPr>
        <w:spacing w:after="0" w:line="16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As of March 25, 2026, there were 1,424,834 ordinary shares, nominal value €0.01 per share, of the registrant outstanding, 40,000 high voting shares, nominal value €0.25 per share​, of the registrant outstanding and 1,401 preferred shares, nominal value €300.00 per share of the registrant outstanding.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480695</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gridSpan w:val="7"/>
          </w:tcPr>
          <w:p>
            <w:pPr>
              <w:jc w:val="center"/>
              <w:ind w:right="4040"/>
              <w:spacing w:after="0"/>
              <w:rPr>
                <w:sz w:val="20"/>
                <w:szCs w:val="20"/>
                <w:color w:val="auto"/>
              </w:rPr>
            </w:pPr>
            <w:r>
              <w:rPr>
                <w:rFonts w:ascii="Times New Roman" w:cs="Times New Roman" w:eastAsia="Times New Roman" w:hAnsi="Times New Roman"/>
                <w:sz w:val="17"/>
                <w:szCs w:val="17"/>
                <w:b w:val="1"/>
                <w:bCs w:val="1"/>
                <w:color w:val="auto"/>
                <w:w w:val="97"/>
              </w:rPr>
              <w:t>SONO GROUP N.V.</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40" w:type="dxa"/>
            <w:vAlign w:val="bottom"/>
            <w:gridSpan w:val="9"/>
          </w:tcPr>
          <w:p>
            <w:pPr>
              <w:jc w:val="center"/>
              <w:ind w:right="2960"/>
              <w:spacing w:after="0"/>
              <w:rPr>
                <w:sz w:val="20"/>
                <w:szCs w:val="20"/>
                <w:color w:val="auto"/>
              </w:rPr>
            </w:pPr>
            <w:r>
              <w:rPr>
                <w:rFonts w:ascii="Times New Roman" w:cs="Times New Roman" w:eastAsia="Times New Roman" w:hAnsi="Times New Roman"/>
                <w:sz w:val="17"/>
                <w:szCs w:val="17"/>
                <w:b w:val="1"/>
                <w:bCs w:val="1"/>
                <w:color w:val="auto"/>
                <w:w w:val="99"/>
              </w:rPr>
              <w:t>ANNUAL REPORT ON FORM 10-K</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40" w:type="dxa"/>
            <w:vAlign w:val="bottom"/>
            <w:gridSpan w:val="9"/>
          </w:tcPr>
          <w:p>
            <w:pPr>
              <w:jc w:val="center"/>
              <w:ind w:right="2940"/>
              <w:spacing w:after="0"/>
              <w:rPr>
                <w:sz w:val="20"/>
                <w:szCs w:val="20"/>
                <w:color w:val="auto"/>
              </w:rPr>
            </w:pPr>
            <w:r>
              <w:rPr>
                <w:rFonts w:ascii="Times New Roman" w:cs="Times New Roman" w:eastAsia="Times New Roman" w:hAnsi="Times New Roman"/>
                <w:sz w:val="17"/>
                <w:szCs w:val="17"/>
                <w:b w:val="1"/>
                <w:bCs w:val="1"/>
                <w:color w:val="auto"/>
                <w:w w:val="98"/>
              </w:rPr>
              <w:t>For the Year Ended December 31, 2025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gridSpan w:val="7"/>
          </w:tcPr>
          <w:p>
            <w:pPr>
              <w:jc w:val="center"/>
              <w:ind w:right="402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520" w:type="dxa"/>
            <w:vAlign w:val="bottom"/>
            <w:gridSpan w:val="26"/>
            <w:vMerge w:val="restart"/>
          </w:tcPr>
          <w:p>
            <w:pPr>
              <w:spacing w:after="0"/>
              <w:rPr>
                <w:sz w:val="20"/>
                <w:szCs w:val="20"/>
                <w:color w:val="auto"/>
              </w:rPr>
            </w:pPr>
            <w:r>
              <w:rPr>
                <w:rFonts w:ascii="Times New Roman" w:cs="Times New Roman" w:eastAsia="Times New Roman" w:hAnsi="Times New Roman"/>
                <w:sz w:val="17"/>
                <w:szCs w:val="17"/>
                <w:b w:val="1"/>
                <w:bCs w:val="1"/>
                <w:color w:val="0000EE"/>
              </w:rPr>
              <w:t>PART I</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1"/>
              </w:rPr>
              <w:t>Page</w:t>
            </w:r>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520" w:type="dxa"/>
            <w:vAlign w:val="bottom"/>
            <w:gridSpan w:val="26"/>
            <w:vMerge w:val="continue"/>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1. Business.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EE"/>
                <w:w w:val="98"/>
              </w:rPr>
              <w:t>Item lA. Risk Factors.</w:t>
            </w:r>
          </w:p>
        </w:tc>
        <w:tc>
          <w:tcPr>
            <w:tcW w:w="9020" w:type="dxa"/>
            <w:vAlign w:val="bottom"/>
            <w:gridSpan w:val="19"/>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23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gridSpan w:val="14"/>
          </w:tcPr>
          <w:p>
            <w:pPr>
              <w:spacing w:after="0" w:line="182" w:lineRule="exact"/>
              <w:rPr>
                <w:sz w:val="20"/>
                <w:szCs w:val="20"/>
                <w:color w:val="auto"/>
              </w:rPr>
            </w:pPr>
            <w:r>
              <w:rPr>
                <w:rFonts w:ascii="Times New Roman" w:cs="Times New Roman" w:eastAsia="Times New Roman" w:hAnsi="Times New Roman"/>
                <w:sz w:val="17"/>
                <w:szCs w:val="17"/>
                <w:color w:val="0000EE"/>
                <w:w w:val="98"/>
              </w:rPr>
              <w:t>Item 1B. Unresolved Staff Comments.</w:t>
            </w:r>
          </w:p>
        </w:tc>
        <w:tc>
          <w:tcPr>
            <w:tcW w:w="7920" w:type="dxa"/>
            <w:vAlign w:val="bottom"/>
            <w:gridSpan w:val="12"/>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2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7"/>
              </w:rPr>
              <w:t>Item 1C. Cybersecurity.</w:t>
            </w:r>
          </w:p>
        </w:tc>
        <w:tc>
          <w:tcPr>
            <w:tcW w:w="980" w:type="dxa"/>
            <w:vAlign w:val="bottom"/>
            <w:gridSpan w:val="6"/>
          </w:tcPr>
          <w:p>
            <w:pPr>
              <w:spacing w:after="0"/>
              <w:rPr>
                <w:sz w:val="15"/>
                <w:szCs w:val="15"/>
                <w:color w:val="auto"/>
              </w:rPr>
            </w:pPr>
          </w:p>
        </w:tc>
        <w:tc>
          <w:tcPr>
            <w:tcW w:w="7920" w:type="dxa"/>
            <w:vAlign w:val="bottom"/>
            <w:gridSpan w:val="12"/>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2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rPr>
              <w:t>Item 2. Properties.</w:t>
            </w:r>
          </w:p>
        </w:tc>
        <w:tc>
          <w:tcPr>
            <w:tcW w:w="8900" w:type="dxa"/>
            <w:vAlign w:val="bottom"/>
            <w:gridSpan w:val="18"/>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w w:val="98"/>
              </w:rPr>
              <w:t>Item 3. Legal Proceedings.</w:t>
            </w:r>
          </w:p>
        </w:tc>
        <w:tc>
          <w:tcPr>
            <w:tcW w:w="8700" w:type="dxa"/>
            <w:vAlign w:val="bottom"/>
            <w:gridSpan w:val="17"/>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55</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4. Mine Safety Disclosures.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w w:val="94"/>
              </w:rPr>
              <w:t>PART II</w:t>
            </w:r>
          </w:p>
        </w:tc>
        <w:tc>
          <w:tcPr>
            <w:tcW w:w="1600" w:type="dxa"/>
            <w:vAlign w:val="bottom"/>
            <w:gridSpan w:val="10"/>
          </w:tcPr>
          <w:p>
            <w:pPr>
              <w:spacing w:after="0"/>
              <w:rPr>
                <w:sz w:val="24"/>
                <w:szCs w:val="24"/>
                <w:color w:val="auto"/>
              </w:rPr>
            </w:pPr>
          </w:p>
        </w:tc>
        <w:tc>
          <w:tcPr>
            <w:tcW w:w="8300" w:type="dxa"/>
            <w:vAlign w:val="bottom"/>
            <w:gridSpan w:val="14"/>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56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40" w:type="dxa"/>
            <w:vAlign w:val="bottom"/>
            <w:tcBorders>
              <w:bottom w:val="single" w:sz="8" w:color="0000EE"/>
            </w:tcBorders>
            <w:gridSpan w:val="25"/>
          </w:tcPr>
          <w:p>
            <w:pPr>
              <w:spacing w:after="0" w:line="182" w:lineRule="exact"/>
              <w:rPr>
                <w:sz w:val="20"/>
                <w:szCs w:val="20"/>
                <w:color w:val="auto"/>
              </w:rPr>
            </w:pPr>
            <w:r>
              <w:rPr>
                <w:rFonts w:ascii="Times New Roman" w:cs="Times New Roman" w:eastAsia="Times New Roman" w:hAnsi="Times New Roman"/>
                <w:sz w:val="17"/>
                <w:szCs w:val="17"/>
                <w:color w:val="0000EE"/>
                <w:w w:val="98"/>
              </w:rPr>
              <w:t>Item 5. Market for Registrant’s Common Equity, Related Stockholder Matters and Issuer Purchases of Equity Securities.</w:t>
            </w:r>
          </w:p>
        </w:tc>
        <w:tc>
          <w:tcPr>
            <w:tcW w:w="2380" w:type="dxa"/>
            <w:vAlign w:val="bottom"/>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56</w:t>
            </w:r>
          </w:p>
        </w:tc>
        <w:tc>
          <w:tcPr>
            <w:tcW w:w="0" w:type="dxa"/>
            <w:vAlign w:val="bottom"/>
          </w:tcPr>
          <w:p>
            <w:pPr>
              <w:spacing w:after="0"/>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6. [Reserved]</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56</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7. Management’s Discussion and Analysis of Financial Condition and Results of Operations.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56</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20" w:type="dxa"/>
            <w:vAlign w:val="bottom"/>
            <w:gridSpan w:val="22"/>
          </w:tcPr>
          <w:p>
            <w:pPr>
              <w:spacing w:after="0" w:line="182" w:lineRule="exact"/>
              <w:rPr>
                <w:sz w:val="20"/>
                <w:szCs w:val="20"/>
                <w:color w:val="auto"/>
              </w:rPr>
            </w:pPr>
            <w:r>
              <w:rPr>
                <w:rFonts w:ascii="Times New Roman" w:cs="Times New Roman" w:eastAsia="Times New Roman" w:hAnsi="Times New Roman"/>
                <w:sz w:val="17"/>
                <w:szCs w:val="17"/>
                <w:color w:val="0000EE"/>
              </w:rPr>
              <w:t>Item 7A. Quantitative and Qualitative Disclosures About Market Risk.</w:t>
            </w:r>
          </w:p>
        </w:tc>
        <w:tc>
          <w:tcPr>
            <w:tcW w:w="3900" w:type="dxa"/>
            <w:vAlign w:val="bottom"/>
            <w:gridSpan w:val="4"/>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65</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Item 8. Financial Statements and Supplementary Data.</w:t>
            </w:r>
          </w:p>
        </w:tc>
        <w:tc>
          <w:tcPr>
            <w:tcW w:w="5760" w:type="dxa"/>
            <w:vAlign w:val="bottom"/>
            <w:gridSpan w:val="7"/>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9. Changes in and Disagreements With Accountants on Accounting and Financial Disclosure.</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65</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40" w:type="dxa"/>
            <w:vAlign w:val="bottom"/>
            <w:gridSpan w:val="13"/>
          </w:tcPr>
          <w:p>
            <w:pPr>
              <w:spacing w:after="0" w:line="182" w:lineRule="exact"/>
              <w:rPr>
                <w:sz w:val="20"/>
                <w:szCs w:val="20"/>
                <w:color w:val="auto"/>
              </w:rPr>
            </w:pPr>
            <w:r>
              <w:rPr>
                <w:rFonts w:ascii="Times New Roman" w:cs="Times New Roman" w:eastAsia="Times New Roman" w:hAnsi="Times New Roman"/>
                <w:sz w:val="17"/>
                <w:szCs w:val="17"/>
                <w:color w:val="0000EE"/>
                <w:w w:val="97"/>
              </w:rPr>
              <w:t>Item 9A. Controls and Procedures.</w:t>
            </w:r>
          </w:p>
        </w:tc>
        <w:tc>
          <w:tcPr>
            <w:tcW w:w="4320" w:type="dxa"/>
            <w:vAlign w:val="bottom"/>
            <w:gridSpan w:val="10"/>
          </w:tcPr>
          <w:p>
            <w:pPr>
              <w:spacing w:after="0"/>
              <w:rPr>
                <w:sz w:val="15"/>
                <w:szCs w:val="15"/>
                <w:color w:val="auto"/>
              </w:rPr>
            </w:pPr>
          </w:p>
        </w:tc>
        <w:tc>
          <w:tcPr>
            <w:tcW w:w="3860" w:type="dxa"/>
            <w:vAlign w:val="bottom"/>
            <w:gridSpan w:val="3"/>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65</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40" w:type="dxa"/>
            <w:vAlign w:val="bottom"/>
            <w:gridSpan w:val="13"/>
          </w:tcPr>
          <w:p>
            <w:pPr>
              <w:spacing w:after="0" w:line="182" w:lineRule="exact"/>
              <w:rPr>
                <w:sz w:val="20"/>
                <w:szCs w:val="20"/>
                <w:color w:val="auto"/>
              </w:rPr>
            </w:pPr>
            <w:r>
              <w:rPr>
                <w:rFonts w:ascii="Times New Roman" w:cs="Times New Roman" w:eastAsia="Times New Roman" w:hAnsi="Times New Roman"/>
                <w:sz w:val="17"/>
                <w:szCs w:val="17"/>
                <w:color w:val="0000EE"/>
              </w:rPr>
              <w:t>Item 9B. Other Information.</w:t>
            </w:r>
          </w:p>
        </w:tc>
        <w:tc>
          <w:tcPr>
            <w:tcW w:w="8180" w:type="dxa"/>
            <w:vAlign w:val="bottom"/>
            <w:gridSpan w:val="13"/>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67</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9C. Disclosure Regarding Foreign Jurisdictions that Prevent Inspections.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67</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w w:val="90"/>
              </w:rPr>
              <w:t>PART III</w:t>
            </w:r>
          </w:p>
        </w:tc>
        <w:tc>
          <w:tcPr>
            <w:tcW w:w="4580" w:type="dxa"/>
            <w:vAlign w:val="bottom"/>
            <w:gridSpan w:val="17"/>
          </w:tcPr>
          <w:p>
            <w:pPr>
              <w:spacing w:after="0"/>
              <w:rPr>
                <w:sz w:val="24"/>
                <w:szCs w:val="24"/>
                <w:color w:val="auto"/>
              </w:rPr>
            </w:pPr>
          </w:p>
        </w:tc>
        <w:tc>
          <w:tcPr>
            <w:tcW w:w="5260" w:type="dxa"/>
            <w:vAlign w:val="bottom"/>
            <w:gridSpan w:val="6"/>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68</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10. Directors, Executive Officers and Corporate Governance.</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68</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40" w:type="dxa"/>
            <w:vAlign w:val="bottom"/>
            <w:gridSpan w:val="13"/>
          </w:tcPr>
          <w:p>
            <w:pPr>
              <w:spacing w:after="0" w:line="182" w:lineRule="exact"/>
              <w:rPr>
                <w:sz w:val="20"/>
                <w:szCs w:val="20"/>
                <w:color w:val="auto"/>
              </w:rPr>
            </w:pPr>
            <w:r>
              <w:rPr>
                <w:rFonts w:ascii="Times New Roman" w:cs="Times New Roman" w:eastAsia="Times New Roman" w:hAnsi="Times New Roman"/>
                <w:sz w:val="17"/>
                <w:szCs w:val="17"/>
                <w:color w:val="0000EE"/>
                <w:w w:val="97"/>
              </w:rPr>
              <w:t>Item 11. Executive Compensation.</w:t>
            </w:r>
          </w:p>
        </w:tc>
        <w:tc>
          <w:tcPr>
            <w:tcW w:w="2140" w:type="dxa"/>
            <w:vAlign w:val="bottom"/>
            <w:gridSpan w:val="5"/>
          </w:tcPr>
          <w:p>
            <w:pPr>
              <w:spacing w:after="0"/>
              <w:rPr>
                <w:sz w:val="15"/>
                <w:szCs w:val="15"/>
                <w:color w:val="auto"/>
              </w:rPr>
            </w:pPr>
          </w:p>
        </w:tc>
        <w:tc>
          <w:tcPr>
            <w:tcW w:w="6040" w:type="dxa"/>
            <w:vAlign w:val="bottom"/>
            <w:gridSpan w:val="8"/>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72</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12. Security Ownership of Certain Beneficial Owners and Management and Related Stockholder Matters.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77</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4760" w:type="dxa"/>
            <w:vAlign w:val="bottom"/>
            <w:gridSpan w:val="5"/>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60" w:type="dxa"/>
            <w:vAlign w:val="bottom"/>
            <w:gridSpan w:val="21"/>
          </w:tcPr>
          <w:p>
            <w:pPr>
              <w:spacing w:after="0" w:line="182" w:lineRule="exact"/>
              <w:rPr>
                <w:sz w:val="20"/>
                <w:szCs w:val="20"/>
                <w:color w:val="auto"/>
              </w:rPr>
            </w:pPr>
            <w:r>
              <w:rPr>
                <w:rFonts w:ascii="Times New Roman" w:cs="Times New Roman" w:eastAsia="Times New Roman" w:hAnsi="Times New Roman"/>
                <w:sz w:val="17"/>
                <w:szCs w:val="17"/>
                <w:color w:val="0000EE"/>
                <w:w w:val="98"/>
              </w:rPr>
              <w:t>Item 13. Certain Relationships and Related Transactions, and Director Independence.</w:t>
            </w:r>
          </w:p>
        </w:tc>
        <w:tc>
          <w:tcPr>
            <w:tcW w:w="4760" w:type="dxa"/>
            <w:vAlign w:val="bottom"/>
            <w:gridSpan w:val="5"/>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81</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tcBorders>
              <w:left w:val="single" w:sz="8" w:color="0000EE"/>
            </w:tcBorders>
            <w:gridSpan w:val="8"/>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60" w:type="dxa"/>
            <w:vAlign w:val="bottom"/>
            <w:gridSpan w:val="21"/>
          </w:tcPr>
          <w:p>
            <w:pPr>
              <w:spacing w:after="0" w:line="182" w:lineRule="exact"/>
              <w:rPr>
                <w:sz w:val="20"/>
                <w:szCs w:val="20"/>
                <w:color w:val="auto"/>
              </w:rPr>
            </w:pPr>
            <w:r>
              <w:rPr>
                <w:rFonts w:ascii="Times New Roman" w:cs="Times New Roman" w:eastAsia="Times New Roman" w:hAnsi="Times New Roman"/>
                <w:sz w:val="17"/>
                <w:szCs w:val="17"/>
                <w:color w:val="0000EE"/>
              </w:rPr>
              <w:t>Item 14. Principal Accountant Fees and Services.</w:t>
            </w:r>
          </w:p>
        </w:tc>
        <w:tc>
          <w:tcPr>
            <w:tcW w:w="4760" w:type="dxa"/>
            <w:vAlign w:val="bottom"/>
            <w:gridSpan w:val="5"/>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85</w:t>
            </w: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0000EE"/>
                <w:w w:val="92"/>
              </w:rPr>
              <w:t>PART IV</w:t>
            </w:r>
          </w:p>
        </w:tc>
        <w:tc>
          <w:tcPr>
            <w:tcW w:w="2640" w:type="dxa"/>
            <w:vAlign w:val="bottom"/>
            <w:tcBorders>
              <w:top w:val="single" w:sz="8" w:color="0000EE"/>
            </w:tcBorders>
            <w:gridSpan w:val="12"/>
            <w:vMerge w:val="restart"/>
          </w:tcPr>
          <w:p>
            <w:pPr>
              <w:spacing w:after="0" w:line="20" w:lineRule="exact"/>
              <w:rPr>
                <w:sz w:val="1"/>
                <w:szCs w:val="1"/>
                <w:color w:val="auto"/>
              </w:rPr>
            </w:pPr>
          </w:p>
        </w:tc>
        <w:tc>
          <w:tcPr>
            <w:tcW w:w="7200" w:type="dxa"/>
            <w:vAlign w:val="bottom"/>
            <w:gridSpan w:val="11"/>
            <w:vMerge w:val="restart"/>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Borders>
              <w:top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80" w:type="dxa"/>
            <w:vAlign w:val="bottom"/>
            <w:gridSpan w:val="3"/>
            <w:vMerge w:val="continue"/>
          </w:tcPr>
          <w:p>
            <w:pPr>
              <w:spacing w:after="0"/>
              <w:rPr>
                <w:sz w:val="24"/>
                <w:szCs w:val="24"/>
                <w:color w:val="auto"/>
              </w:rPr>
            </w:pPr>
          </w:p>
        </w:tc>
        <w:tc>
          <w:tcPr>
            <w:tcW w:w="2640" w:type="dxa"/>
            <w:vAlign w:val="bottom"/>
            <w:gridSpan w:val="12"/>
            <w:vMerge w:val="continue"/>
          </w:tcPr>
          <w:p>
            <w:pPr>
              <w:spacing w:after="0"/>
              <w:rPr>
                <w:sz w:val="24"/>
                <w:szCs w:val="24"/>
                <w:color w:val="auto"/>
              </w:rPr>
            </w:pPr>
          </w:p>
        </w:tc>
        <w:tc>
          <w:tcPr>
            <w:tcW w:w="7200" w:type="dxa"/>
            <w:vAlign w:val="bottom"/>
            <w:gridSpan w:val="11"/>
            <w:vMerge w:val="continue"/>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rPr>
              <w:t>86</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20" w:type="dxa"/>
            <w:vAlign w:val="bottom"/>
            <w:gridSpan w:val="26"/>
          </w:tcPr>
          <w:p>
            <w:pPr>
              <w:spacing w:after="0" w:line="182" w:lineRule="exact"/>
              <w:rPr>
                <w:sz w:val="20"/>
                <w:szCs w:val="20"/>
                <w:color w:val="auto"/>
              </w:rPr>
            </w:pPr>
            <w:r>
              <w:rPr>
                <w:rFonts w:ascii="Times New Roman" w:cs="Times New Roman" w:eastAsia="Times New Roman" w:hAnsi="Times New Roman"/>
                <w:sz w:val="17"/>
                <w:szCs w:val="17"/>
                <w:color w:val="0000EE"/>
              </w:rPr>
              <w:t>Item 15. Exhibits and Financial Statement Schedules.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86</w:t>
            </w:r>
          </w:p>
        </w:tc>
        <w:tc>
          <w:tcPr>
            <w:tcW w:w="0" w:type="dxa"/>
            <w:vAlign w:val="bottom"/>
          </w:tcPr>
          <w:p>
            <w:pPr>
              <w:spacing w:after="0"/>
              <w:rPr>
                <w:sz w:val="1"/>
                <w:szCs w:val="1"/>
                <w:color w:val="auto"/>
              </w:rPr>
            </w:pPr>
          </w:p>
        </w:tc>
      </w:tr>
      <w:tr>
        <w:trPr>
          <w:trHeight w:val="20"/>
        </w:trPr>
        <w:tc>
          <w:tcPr>
            <w:tcW w:w="2080" w:type="dxa"/>
            <w:vAlign w:val="bottom"/>
            <w:gridSpan w:val="11"/>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Item 16. Form 10-K Summary.</w:t>
            </w:r>
          </w:p>
        </w:tc>
        <w:tc>
          <w:tcPr>
            <w:tcW w:w="6920" w:type="dxa"/>
            <w:vAlign w:val="bottom"/>
            <w:gridSpan w:val="10"/>
          </w:tcPr>
          <w:p>
            <w:pPr>
              <w:spacing w:after="0"/>
              <w:rPr>
                <w:sz w:val="15"/>
                <w:szCs w:val="15"/>
                <w:color w:val="auto"/>
              </w:rPr>
            </w:pP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89</w:t>
            </w:r>
          </w:p>
        </w:tc>
        <w:tc>
          <w:tcPr>
            <w:tcW w:w="0" w:type="dxa"/>
            <w:vAlign w:val="bottom"/>
          </w:tcPr>
          <w:p>
            <w:pPr>
              <w:spacing w:after="0"/>
              <w:rPr>
                <w:sz w:val="1"/>
                <w:szCs w:val="1"/>
                <w:color w:val="auto"/>
              </w:rPr>
            </w:pPr>
          </w:p>
        </w:tc>
      </w:tr>
      <w:tr>
        <w:trPr>
          <w:trHeight w:val="555"/>
        </w:trPr>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This Annual Report on Form 10-K for the fiscal year ended December 31, 2025 (this “Annual Report” or this “Form 10-K”)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some cases, these forward-looking statements can be identified by words or phrases such as “believe,” “may,” “will,” “expect,” “estimate,” “could,” “should,” “anticipate,” “aim,” “estimate,” “intend,” “plan,” “believe,” “potential,” “forecast,” “project,” “target,” “continue,” “is/are likely to,” “will”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Annual Report include, but are not limited to, statements about:</w:t>
      </w:r>
    </w:p>
    <w:p>
      <w:pPr>
        <w:spacing w:after="0" w:line="177" w:lineRule="exact"/>
        <w:rPr>
          <w:sz w:val="20"/>
          <w:szCs w:val="20"/>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relationships with lenders and other third parties;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continuing standards of the Nasdaq Capital Market;</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strategies, plan, objectives and goals;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any additional financing that may be required to continue as a going concern;</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and financial performance, including our ability to turn profitable, scale our operations and build a well-recognized and respected brand cost-effectively;</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customer acceptance of and demand for our products, including by developing and maintaining relationships with key business partners who are crucial for our operations or who directly deal with end users in our target market;</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of our industry, market size and the regulatory and competitive environment in which we operate;</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beliefs regarding accounting and tax matters; and</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political, economic and competitive conditions and specific market conditions.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7"/>
          <w:szCs w:val="17"/>
          <w:color w:val="auto"/>
        </w:rPr>
        <w:t>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risks, uncertainties, and assumptions described under “</w:t>
      </w:r>
      <w:r>
        <w:rPr>
          <w:rFonts w:ascii="Times New Roman" w:cs="Times New Roman" w:eastAsia="Times New Roman" w:hAnsi="Times New Roman"/>
          <w:sz w:val="17"/>
          <w:szCs w:val="17"/>
          <w:i w:val="1"/>
          <w:iCs w:val="1"/>
          <w:color w:val="auto"/>
        </w:rPr>
        <w:t>Summary Risk Factors</w:t>
      </w:r>
      <w:r>
        <w:rPr>
          <w:rFonts w:ascii="Times New Roman" w:cs="Times New Roman" w:eastAsia="Times New Roman" w:hAnsi="Times New Roman"/>
          <w:sz w:val="17"/>
          <w:szCs w:val="17"/>
          <w:color w:val="auto"/>
        </w:rPr>
        <w:t>” below,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Item 1A of Part I,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in Item 7 of Part II and elsewhere in this Annual Report.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forward-looking statements made herein speak only as of the date of this Annual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Annual Report or to conform these statements to actual results or revised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fiscal year ended December 31, 2025, we conducted our business through our subsidiary Sono Motors GmbH, a German limited liability company (</w:t>
      </w:r>
      <w:r>
        <w:rPr>
          <w:rFonts w:ascii="Times New Roman" w:cs="Times New Roman" w:eastAsia="Times New Roman" w:hAnsi="Times New Roman"/>
          <w:sz w:val="17"/>
          <w:szCs w:val="17"/>
          <w:i w:val="1"/>
          <w:iCs w:val="1"/>
          <w:color w:val="auto"/>
        </w:rPr>
        <w:t>Gesellschaft mit beschr</w:t>
      </w:r>
      <w:r>
        <w:rPr>
          <w:rFonts w:ascii="Times New Roman" w:cs="Times New Roman" w:eastAsia="Times New Roman" w:hAnsi="Times New Roman"/>
          <w:sz w:val="17"/>
          <w:szCs w:val="17"/>
          <w:color w:val="auto"/>
        </w:rPr>
        <w:t>ä</w:t>
      </w:r>
      <w:r>
        <w:rPr>
          <w:rFonts w:ascii="Times New Roman" w:cs="Times New Roman" w:eastAsia="Times New Roman" w:hAnsi="Times New Roman"/>
          <w:sz w:val="17"/>
          <w:szCs w:val="17"/>
          <w:i w:val="1"/>
          <w:iCs w:val="1"/>
          <w:color w:val="auto"/>
        </w:rPr>
        <w:t>nkter Haftung</w:t>
      </w:r>
      <w:r>
        <w:rPr>
          <w:rFonts w:ascii="Times New Roman" w:cs="Times New Roman" w:eastAsia="Times New Roman" w:hAnsi="Times New Roman"/>
          <w:sz w:val="17"/>
          <w:szCs w:val="17"/>
          <w:color w:val="auto"/>
        </w:rPr>
        <w:t>) (the “Subsidiary”). Unless otherwise indicated or the context otherwise requires, the terms “Sono Motors,” “Sono,” “the Companies,” “we,” “our,” “ours,” “ourselves,” “us” or similar terms refer to Sono Group N.V. together with the Subsidiary with respect to the fiscal years ended December 31, 2025 and 2024, and refer to Sono Group N.V. with respect to subsequent events as discussed in Item 1 of this Annual Report and elsewhere in this Annual Report, unless the context requires otherwise. The “Company” refers to Sono Group N.V. and the “Subsidiary” refers to Sono Motors GmbH. References to “Form 10-K” and “Annual Report” herein refer to this Annual Report on Form 10-K for the fiscal year ended December 31, 2025.</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Times New Roman" w:cs="Times New Roman" w:eastAsia="Times New Roman" w:hAnsi="Times New Roman"/>
          <w:sz w:val="17"/>
          <w:szCs w:val="17"/>
          <w:i w:val="1"/>
          <w:iCs w:val="1"/>
          <w:color w:val="auto"/>
        </w:rPr>
        <w:t>ingetrokken</w:t>
      </w:r>
      <w:r>
        <w:rPr>
          <w:rFonts w:ascii="Times New Roman" w:cs="Times New Roman" w:eastAsia="Times New Roman" w:hAnsi="Times New Roman"/>
          <w:sz w:val="17"/>
          <w:szCs w:val="17"/>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7"/>
          <w:szCs w:val="17"/>
          <w:i w:val="1"/>
          <w:iCs w:val="1"/>
          <w:color w:val="auto"/>
        </w:rPr>
        <w:t>naamloze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vennootschap</w:t>
      </w:r>
      <w:r>
        <w:rPr>
          <w:rFonts w:ascii="Times New Roman" w:cs="Times New Roman" w:eastAsia="Times New Roman" w:hAnsi="Times New Roman"/>
          <w:sz w:val="17"/>
          <w:szCs w:val="17"/>
          <w:color w:val="auto"/>
        </w:rPr>
        <w:t>), and changed its legal name from Sono Motors Finance B.V. to Sono Group N.V.</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announce material business and financial information to our investors using our investor relations website at https://ir.sonomotors.com. We therefore encourage investors and others interested in the Company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Our business is subject to numerous risks and uncertainties, including those summarized below. This summary does not address all of the risks that we face. Additional discussion of the risks summarized in this risk factor summary, and other risks that we face, can be found below under the headings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in the consolidated financial statements and the related notes. If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the following risks occur, our business, financial condition, results of operations and future growth prospects could be materially and adversely affected. In these circumstances, the market price of our ordinary shares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Ordinary Shares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could decline. The principal risks and uncertainties affecting our business include the following:</w:t>
      </w:r>
    </w:p>
    <w:p>
      <w:pPr>
        <w:spacing w:after="0" w:line="175" w:lineRule="exact"/>
        <w:rPr>
          <w:sz w:val="20"/>
          <w:szCs w:val="20"/>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digital assets and digital asset treasury strategy;</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liquidation and continue as a going concern;</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continuing listing standards of the Nasdaq Capital Market;</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remediate all material weaknesses in our internal control over financial reporting and to report our financial results accurately, prevent fraud or file our periodic reports as a public company in a timely manner;</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and financial performance, including our ability to turn profitable, scale our operations and build a well-recognized and respected brand cost-effectively;</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customer acceptance of and demand for our products, including by developing and maintaining relationships with key business partners who are crucial for our operations or who directly deal with end users in our target market;</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of our industry, market size and the regulatory and competitive environment in which we operate;</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beliefs regarding accounting and tax matters;</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the acceptance of our brand and any adverse impact on our business and results of operations that could result from any negative publicity relating to any of our business partners and their products or services;</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in the event that any past advertisements lead to misperceptions or fail to comply with relevant legal requirements;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posed by interruptions or failures of information technology and communications systems;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various liability risks resulting from past or existing employment relationships and labor laws;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adverse effects that disasters or unpredictable events could have on our operations; and</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political, economic and competitive conditions and specific market conditions.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2025 Overview and Subsequent Developments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year ended December 31, 2025, our business consisted of our legacy solar operations conducted through the Subsidiary. Accordingly, references in this Item 1 to the terms “Sono Motors,” “Sono,” “the Companies,” “we,” “our,” “ours,” “ourselves,” “us” or similar terms, refer to Sono Group N.V. together with the Subsidiary with respect to the fiscal years ended December 31, 2025 and 2024, and refer to Sono Group N.V. with respect to subsequent developments as described below, unless the context requires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Digital Asset Treasury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Subsequent to December 31, 2025, as previously announced by the Company, we established a digital asset treasury strategy and digital asset treasury policy (the “Treasury Strategy”). Under the Treasury Strategy, the principal holding in the Company’s treasury reserve on its balance sheet will be allocated to digital assets, principally Bitcoin, by applying a covered-call yield strategy.</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Treasury Strategy, on March 10, 2026, the Company entered into an International Swaps and Derivatives Association, Inc. (“ISDA”) 2002 ISDA Master Agreement, dated as of March 10, 2026 (the “ISDA Master Agreement”) with Blockchain.com (BVI) II Limited, a business company incorporated under the laws of the British Virgin Islands (“Blockchain.com”), facilitating the Company to enter into derivative and/or hedging transactions (collectively, the “Transactions”) to manage the risk associated with the Treasury Strategy. The derivative and hedging transactions will be governed by the ISDA Master Agreement, including the related Schedule to the ISDA Master Agreement executed by the Company and Blockchain.com on March 10, 2026 (the “Schedule”). The structure of the Transactions may include forwards, swaps, futures, options or other derivatives transactions in respect of digital assets. Certain events of default will apply to the Transactions under the ISDA Master Agreement and Schedule, including, but not limited to, failure to pay or deliver, breach of the agreement, credit support default, cross-defaults and misrepresentation. In addition, in connection with the ISDA Master Agreement, the Company and Blockchain.com entered into a Credit Support Annex to the Schedule to the ISDA Master Agreement, dated as of March 10, 2026 (the “Credit Support Annex”), which sets forth the terms and conditions upon which the Company will be required to deliver additional collateral to Blockchain.com (and Blockchain.com will be required to return collateral to the Company) depending upon the mark to market exposure under the ISDA Master Agreement and the value of the collateral. The ISDA Master Agreement, the Schedule and the Credit Support Annex are governed by the laws of England and Wales.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may use available liquidity, including proceeds from previously disclosed financing arrangements, to purchase Bitcoin and other digital assets, subject to applicable law and public disclosure requirements. The Company intends to solicit the ratification by its shareholders of the engagement by the Company in the Treasury Strategy.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Exit from Legacy Solar Operations through Sono Motors GmbH</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previously announced by the Company, on March 14, 2026, our supervisory board resolved to terminate all current and future funding commitments to the Subsidiary and to exit the legacy solar operations conducted through the Subsidiary, with immediate effect. The Company’s decision was driven by the Subsidiary’s historical lack of profitability, which has resulted in the Company having to continuously provide funding to the Subsidiary, and thus incur losses, and a determination by the supervisory board that there was not a clear path for the Subsidiary to achieve profitability in a reasonably desirable timeframe and thus, avoid future losses by the Company. This decision was made in conjunction with the decision on March 14, 2026 by the Company’s management board, with the approval of the supervisory board, to adopt the Treasury Strategy. The Treasury Strategy is projected to generate cash flow for the Company in the first year of its execution. The Company is also exploring other strategic alternatives to maximize shareholder value.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is currently unable to make a good faith estimate of the total costs and charges, if any, that may be incurred in connection with the cessation of funding to the Subsidiary and the exit from the Company’s legacy solar business. The determination of any such costs is subject to significant uncertainties, including, among other things, the timing, scope and manner of any actions undertaken with respect to the Subsidiary following the cessation of funding, as well as the extent of any obligations of the Company in connection therewith. Potential costs, if any, may include legal, advisory and other professional fees and expenses associated with activities relating to the Subsidiary. Any such costs and expenditures, if incurred, are expected to be reduced by cash flow to the Company from the Treasury Strategy.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Legacy Solar Operations through Sono Motors GmbH</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we are a pioneer in the field of solar-powered mobility applications. We envision a world that no longer relies on the burning of fossil fuels. After terminating our Sion passenger car program (the “Sion”) due to a lack of available funding at the end of February 2023, we pivoted our business model to focus exclusively on retrofitting and integrating our proprietary solar technology onto third party vehicle with an initial focus on our Solar Bus Kit.</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2024, we expanded our product portfolio beyond the Solar Bus Kit to include similar solar integration solutions for additional commercial vehicle categories, including trucks, vans, RVs, refrigerated trailers, coach buses and panel vans. This strategic expansion is intended to align with the growing demand for sustainable energy solutions across multiple transportation sectors, allowing us to address a broader range of manufacturers and fleet operators looking to reduce fuel costs and emissions.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Expanding beyond our low-voltage retrofit solar solutions, in the beginning of 2025, we increased our offerings to also include high-voltage solar solutions, leveraging our proprietary solar charge controller, also known as the MCU. This advanced technology enables seamless solar energy integration into the high voltage system of commercial vehicles with larger energy demands. Additionally, we adjusted our distribution strategy and increased our focus on direct collaborations with original equipment manufacturers (“OEMs”) and certain partners including cooling unit and battery manufacturers. Building on a series of pilot projects, we aimed to collaborate with OEMs and certain partners to integrate our complete solar solutions and standalone solar products into vehicle structures, and work toward collaborations with several OEMs for specific vehicles, which could enable customers to select solar-powered options at the time of vehicle or trailer purchase. This approach was designed to enhance accessibility and scalability while streamlining adoption for commercial fleets.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Solar Technology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developed several innovative technologies for use in the mobility area and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solar technology allows for full solar integration in all kinds of vehicles, and while our initial focus, following the restructuring of our business and the pivot of our business model, was on low-voltage solar retrofit solutions for commercial vehicles, such as our Solar Bus Kit, we expanded our offerings in 2025 to include high-voltage solutions for commercial vehicles with larger energy demands. In addition, we increased our focus on commercializing complete solar solutions as well as standalone solar products and services, and on direct collaborations with OEMs. In the process of developing the Sion, we soon realized that the solar technology that was available at the time was not well-suited for mobility applications. Solar technology has traditionally been developed and used in stationary use cases. Also, automotive use of solar technology differs significantly in terms of functionality and regulatory requirements. For example, fast-changing sunlight conditions while driving and mechanical stress, such as vibrations, are not seen in stationary applications. Additionally, solar solutions for mobility use cases must comply with automotive regulations that drastically differ from regulations applicable to stationary applications. In order to enable the use of solar components on vehicles, Sono Motors developed new technical solutions for our proprietary solar charge controllers and power electronics, innovative integration methods for vehicle applications and thorough qualification methods to qualify solar module suppliers. These technologies and qualification procedures have been tested, evaluated and, in some cases, certified for automotive use. Today our technology enables us to produce high-efficiency solar integration systems for delivering solar energy to vehicles. Our solar technology can reduce running costs significantly and thereby reduce the total cost of ownership, a key point of focus for fleet operators, particularly those in the transport and logistics industries. Manufacturers may also use our technology for new production vehicles.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built a strong and diverse intellectual property portfolio, with 9 granted patents, 3 international Patent Cooperation Treaty (“PCT”) applications, 28 non-PCT patent applications or European patent (“EP”) applications and 3 utility models, collectively forming 26 patent families (i.e., independent inventions). Our patents cover critical innovations across key areas of vehicle-integrated photovoltaics (“ViPV”), solar energy conversion and power management systems. A significant portion of our portfolio (16 patent families) is focused on ViPV components and manufacturing, reflecting our leadership in integrating solar technology directly into commercial vehicles. By continuously refining our proprietary technology, we strengthen our competitive edge, enabling scalable OEM integration and long-term market leadership in solar mobility.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Solar Modules Specifically Designed for ViPV</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Solar modules specifically designed for ViPV are a core part of our solar integration business. This approach utilizes specific solar technology based on polymers, rather than glass, on the large flat surfaces on the top or sides of vehicles, which are especially abundant in commercial vehicles. The solar modules can easily be mounted on vehicles during series production processes or even after they have been fully built. The application of these semi-flexible, light-weight modules on the exterior of vehicles has little influence on the substructure, design or homologation and type approval processes, which eases an integration of the solar technology. In fiscal year 2025 we focused on multiple use cases for our ViPV products and offer a range of solar integration solutions, including our Solar Bus Kit and our solar kits for trucks, vans, RVs, refrigeration trailers and other applications.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7"/>
          <w:szCs w:val="17"/>
          <w:color w:val="auto"/>
        </w:rPr>
        <w:t>A ViPV approach involves the integration of specific types of semi-flexible solar modules into the vehicle. The relevant solution is developed and tested based on the needs of the specific customer, taking into account the expected lifetime of the vehicle, weight and cost specifications, installation times and synergies between solutions for different vehicle types. We have installed ViPV solutions on prototypes for multiple customers, including, among others, VBR Verkehrsbetriebe und Servicegesellschaft mbH, Scania CV AB, Koegel Trailer GmbH, Jean CHEREAU S.A.S, Hofbus GmbH and Stadtwerke Muenchen GmbH. Over time, we have improved our technologies significantly, for example, by reducing system costs, improving installation methods, shortening installation times and eliminating software bugs and telematics issues to increase system uptimes. In addition, we have gained a broad range of experience by working with various customers on ViPV applications for a variety of commercial vehicle types, including trailers, diesel buses, hybrid buses, electric buses and electric vans. Continuous technical and cost improvements are being implemented through our technology and operations departments to enable attractive business cases for customers at high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Solar Charge Controller (MCU)</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integration of solar modules into energy systems for transport-related use cases requires solar charge controllers that fit the vehicle E/E (electrical/electronic) architecture with its powertrain and auxiliary systems. Our solar charge controller, or MCU, is the central piece of our power electronics. Our MCU is a multichannel, dynamic system that is both conversion and tracking efficient. Our power electronics optimize the power output through the use of intelligent algorithms and energy earnings for solar modules mounted on, or integrated into, moving objects by a multichannel approach that considers quickly-changing sun radiation conditions and differently-oriented solar modules. Our MCU and algorithms allow for fast adaptation to changing sun conditions, resulting in high energy yields. Our multi-channel architecture allows for individual tracking of differently-oriented solar panels. We test and certify our technology according to automotive standards and specific use cases. For example, our MCU has achieved ECE R-10 certification and therefore complies with regulatory requirements for electromagnetic compatibility. Our MCU is able to communicate with controlled area networks (CAN), a standard communication protocol in the automotive industry that enables intelligent integrations in the vehicle architectures to perform clever tasks like preconditioning (heating/air-conditioning) a bus when a surplus of solar power is given. In addition, multiple MCUs can be connected to work with systems with higher power, such as eBuses and trailers.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focused on two variants of our MCU:</w:t>
      </w:r>
    </w:p>
    <w:p>
      <w:pPr>
        <w:spacing w:after="0" w:line="209" w:lineRule="exact"/>
        <w:rPr>
          <w:sz w:val="20"/>
          <w:szCs w:val="20"/>
          <w:color w:val="auto"/>
        </w:rPr>
      </w:pPr>
    </w:p>
    <w:p>
      <w:pPr>
        <w:jc w:val="both"/>
        <w:ind w:left="920" w:hanging="463"/>
        <w:spacing w:after="0" w:line="255" w:lineRule="auto"/>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Voltage System: The high voltage system was originally developed and tested in our Sion pre-series vehicles. While the Sion architecture was designed to operate at 400V, the high voltage system has been further developed to also comply with 800V architectures. 400V and 800V architectures currently dominate the electric vehicle (“BEV”) and high voltage battery market. Our high voltage MCU can be used for electric vehicles, including buses, vans, trucks and passenger vehicles, or electrified reefer trailers. Pre-series versions of the high voltage MCU have been and are expected to be installed and tested in vans, reefers and passenger cars of OEMs.</w:t>
      </w:r>
    </w:p>
    <w:p>
      <w:pPr>
        <w:spacing w:after="0" w:line="175" w:lineRule="exact"/>
        <w:rPr>
          <w:rFonts w:ascii="Times New Roman" w:cs="Times New Roman" w:eastAsia="Times New Roman" w:hAnsi="Times New Roman"/>
          <w:sz w:val="17"/>
          <w:szCs w:val="17"/>
          <w:color w:val="auto"/>
        </w:rPr>
      </w:pPr>
    </w:p>
    <w:p>
      <w:pPr>
        <w:jc w:val="both"/>
        <w:ind w:left="920" w:hanging="463"/>
        <w:spacing w:after="0" w:line="255" w:lineRule="auto"/>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 Voltage System: Our low voltage system is designed to be integrated in all architectures operating at 24V-48V, which is the standard for commercial vehicles such as buses and trucks. Generated solar power will be provided directly to the 24V (or 48V) battery and 24V (or 48V) system to power auxiliary units like ventilation and air conditioning. By doing so, energy consumption will be reduced. The MCU is designed with eight input channels to improve efficiency in dynamic shading conditions. In addition, the multi-channel architecture ensures that vehicles stay below 60V DC to comply with low voltage directives allowing, for example, an easy integration in a vehicle’s architecture and retrofitting.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Following the further development of our high voltage MCU to support both 400V and 800V architectures, we recently adjusted our distribution strategy and increased our focus on high voltage solar solutions, in particular for OEM applications, with a goal to make solar integration a factory-installed feature, offering a scalable, high-efficiency solution for refrigerated trailers, electric buses and other use cases.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Principal Products and Services</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product portfolio consists of solar integration solutions for commercial vehicles, leveraging our proprietary solar charge controller technology or MCU. Our offerings are designed to be as standardized as possible yet customizable to meet specific customer needs. We categorize our solutions into four key areas: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Complete Solar Solutions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provide fully integrated solar systems tailored for refrigerated vehicles, buses, electric vans and other commercial vehicles. These solutions include:</w:t>
      </w:r>
    </w:p>
    <w:p>
      <w:pPr>
        <w:spacing w:after="0" w:line="209" w:lineRule="exact"/>
        <w:rPr>
          <w:sz w:val="20"/>
          <w:szCs w:val="20"/>
          <w:color w:val="auto"/>
        </w:rPr>
      </w:pPr>
    </w:p>
    <w:p>
      <w:pPr>
        <w:ind w:left="920" w:hanging="46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Solar Panels: capturing solar energy and converting it into electricity.</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Solar Charge Controllers (MCUs): available in high-voltage and low-voltage variants, optimizing energy conversion and integration into vehicle electrical systems.</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Telematics and Dashboard Services: providing real-time performance insights, including solar yield, system diagnostics and energy consumption data, accessible through an online dashboard or directly integrated into the vehicle’s architecture.</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Electrical Interfaces and Custom Integration Concepts: ensuring seamless plug-and-play integration with commercial vehicle architectures.</w:t>
      </w:r>
    </w:p>
    <w:p>
      <w:pPr>
        <w:spacing w:after="0" w:line="20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While our primary focus is on refrigerated vehicles, buses and electric vans (including campers), our engineering expertise enables us to develop customized solutions for any commercial vehicle type upon request.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Solar Charge Controllers</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portfolio of solar charge controllers is available as a standalone offering, allowing fleet operators and OEMs to integrate solar energy management into existing vehicle platforms. This portfolio includes:</w:t>
      </w:r>
    </w:p>
    <w:p>
      <w:pPr>
        <w:spacing w:after="0" w:line="158" w:lineRule="exact"/>
        <w:rPr>
          <w:sz w:val="20"/>
          <w:szCs w:val="20"/>
          <w:color w:val="auto"/>
        </w:rPr>
      </w:pPr>
    </w:p>
    <w:p>
      <w:pPr>
        <w:ind w:left="920" w:hanging="463"/>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High-voltage MCUs: designed for BEVs, hybrid systems and refrigeration units, supporting 400V and 800V architectures.</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Low-voltage MCUs: optimized for 24V commercial vehicles such as buses, trucks and vans, directly powering auxiliary systems like HVAC and refrigeration.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Solar Modules</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offer our solar modules to our customers as stand-alone products, through third-party purchases and, potentially, through co-marketing partnerships. While complete solar solutions are our primary focus, we recognize that certain fleet operators may seek individual solar module components for their existing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Services and Engineering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Beyond hardware, we provide advanced data solutions and engineering services, enabling seamless OEM adoption of solar technology. These include:</w:t>
      </w:r>
    </w:p>
    <w:p>
      <w:pPr>
        <w:spacing w:after="0" w:line="209" w:lineRule="exact"/>
        <w:rPr>
          <w:sz w:val="20"/>
          <w:szCs w:val="20"/>
          <w:color w:val="auto"/>
        </w:rPr>
      </w:pPr>
    </w:p>
    <w:p>
      <w:pPr>
        <w:ind w:left="920" w:hanging="463"/>
        <w:spacing w:after="0" w:line="276" w:lineRule="auto"/>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Service and Dashboard Integration: our telematics and software solutions help optimize solar performance, monitor energy savings and integrate with fleet management systems.</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Electrical Interface Creation, Testing and Validation: supporting OEMs in system integration, compliance testing and solar-electric interface optimization.</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 Engineering Services: conducting technical feasibility studies, custom MCU and solar panel design and pilot installations for OEM partners.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jc w:val="both"/>
        <w:spacing w:after="0" w:line="276" w:lineRule="auto"/>
        <w:rPr>
          <w:sz w:val="20"/>
          <w:szCs w:val="20"/>
          <w:color w:val="auto"/>
        </w:rPr>
      </w:pPr>
      <w:r>
        <w:rPr>
          <w:rFonts w:ascii="Times New Roman" w:cs="Times New Roman" w:eastAsia="Times New Roman" w:hAnsi="Times New Roman"/>
          <w:sz w:val="17"/>
          <w:szCs w:val="17"/>
          <w:color w:val="auto"/>
        </w:rPr>
        <w:t>By combining our hardware expertise with engineering services, we enable seamless OEM adoption of solar technology, making solar-powered commercial transport a scalable reality.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solar application market, we believe that our solar technology is a solution to making combustion engine vehicles and BEVs more energy efficient. By integrating our solar technology, fleet operators can reduce energy consumption in a variety of commercial vehicles including, among others, buses, trailers, trucks, vans and refrigeration vehicles, and thereby significantly reduce the total cost of ownership.</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sustainability goals continue to drive environmental regulations requiring vehicle manufacturers to meet increasingly stringent regulatory targets. For example, more and more municipalities have announced that they intend to set stringent emission targets for vehicles driving in their municipal area. Further, an increase in the number of BEVs may result in grid overload and destabilization.</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push for fleet electrification has also increased demand for energy-efficient solutions that extend range, improve operational efficiency and reduce reliance on charging infrastructure. Solar integration directly addresses these challenges by providing a supplementary, renewable energy source, reducing grid dependency for commercial vehicles operating in urban and remote areas. In parallel, we anticipate an increase in demand for sustainable energy solutions, driven by elevated energy prices and carbon taxation policies.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Other users, such as building owners, already experience the power and benefits of solar integration in reducing energy consumption and, accordingly, total cost of ownership. As more means of transportation, including ships, trucks, vans and buses, switch over to electric engines in the coming years, the benefit of solar integration will, we believe, become increasingly clear and important to market participants. Additionally, the commercial transport sector is experiencing growing regulatory pressure to meet net-zero emission targets, making solar energy an attractive, scalable complement to traditional vehicles and BEVs. In addition to using our technology for solar retrofitting, we also believe that solar integration will become an increasingly adopted feature in next-generation electric vehicles, particularly in the commercial and fleet sectors.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Solar production prices declined relatively consistently over the last ten years, with some marginal increases since the beginning of 2020 resulting partly from supply chain issues in connection with the global COVID-19 pandemic. The current advancements in solar manufacturing, combined with the increasing energy efficiency of solar cells, enable solar integration to have a meaningful impact on energy consumption, range extension and operational autonomy for electric vehicles. Additionally, the rapid expansion of electric vehicle sales and the comparatively slower increase in charging stations is expected to create a bottleneck for the adoption of electric fleets on a larger scale. We believe that, within the next few years, fleet operators and individual consumers in regions with limited charging infrastructure will be hesitant to adopt BEVs due to uncertainty as to whether they will be able to reliably access charging options.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this context, solar-equipped commercial vehicles serve as a bridge between the traditional diesel-powered fleets of today and what we believe will be the fully electric future of tomorrow. While charging infrastructure continues to lag behind electric vehicle adoption rates, solar technology provides an immediate solution to reduce emissions and diesel consumption. By integrating solar into commercial transport, operators can achieve meaningful fuel savings and emissions reductions today, while preparing for the long-term transition to full electrification. This makes solar an enabler of cleaner mobility even before widespread charging networks become fully operational.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76" w:lineRule="auto"/>
        <w:rPr>
          <w:sz w:val="20"/>
          <w:szCs w:val="20"/>
          <w:color w:val="auto"/>
        </w:rPr>
      </w:pPr>
      <w:r>
        <w:rPr>
          <w:rFonts w:ascii="Times New Roman" w:cs="Times New Roman" w:eastAsia="Times New Roman" w:hAnsi="Times New Roman"/>
          <w:sz w:val="17"/>
          <w:szCs w:val="17"/>
          <w:color w:val="auto"/>
        </w:rPr>
        <w:t>Solar-equipped vehicles thus offer a compelling solution, reducing reliance on public charging infrastructure and enabling extended off-grid operation, particularly for last-mile delivery, logistics and public transportation applications.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development strategy has focused on developing our key technologies and innovations in-house, where we benefit from the expertise of our highly-qualified development team. This has allowed us to ensure that the key technologies and innovations reflect our core values and vision of sustainable and affordable electric mobility. We have cooperated with renowned research institutions to combine our expertise in selected areas. For example, we have continued our participation in public funding projects and collaborations with renowned research institutes like Fraunhofer and Tecnalia.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 Chain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employed a lean and capital-efficient approach to manufacturing, leveraging strategic supplier partnerships while maintaining full control over design, development and intellectual property. This model has been designed to optimize both costs and performance while ensuring scalability to meet increasing market demand.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Solar Module and Component Manufacturing</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semi-flexible solar modules used in our solar kits are supplied by selected vendors and partners that work closely with us throughout the development and production process to meet our technical and durability requirements.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MCU Production and Supply Chain</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MCU is a key component of our energy management system and is produced externally based on our proprietary design and specifications. We work with selected manufacturing partners to ensure quality and scalability while maintaining flexibility in supplier selection and production footprint.</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MCU is designed for a streamlined build-to-print manufacturing process, supporting efficient scaling as demand increases. We retain full ownership of the design and core intellectual property, allowing us to control quality, maintain differentiation and adapt our production setup as needed.</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manufacturing strategy is asset-light and enables responsive scaling without the need for significant upfront capital investment. This flexibility supports our evolving OEM collaborations and allows us to align production with market developments while maintaining cost efficiency and quality at the core.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Landscape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the market for solar technology solutions for all kinds of stationary applications is highly competitive, the competitive landscape for vehicle-integrated solar solutions remains relatively niche. Based on a survey conducted by our business intelligence team, we have identified a few competitors particularly relevant to us, including KRSolar B.V. (d/b/a wattlab), Im Efficiency B.V., Green Energy Solutions, OPES and TRAILAR, with regards to retrofit solutions like our solar kits, and SolarEdge E-Mobility and Victron Energy B.V., with regards to our solar power electronics, or MCU.</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the following factors differentiate us and our products from these competitors:</w:t>
      </w:r>
    </w:p>
    <w:p>
      <w:pPr>
        <w:spacing w:after="0" w:line="209" w:lineRule="exact"/>
        <w:rPr>
          <w:sz w:val="20"/>
          <w:szCs w:val="20"/>
          <w:color w:val="auto"/>
        </w:rPr>
      </w:pPr>
    </w:p>
    <w:p>
      <w:pPr>
        <w:jc w:val="both"/>
        <w:ind w:left="960" w:hanging="478"/>
        <w:spacing w:after="0" w:line="26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 efficiency of our solar integration products, which results from our in-house developed solar charge converter, or MCU and our reliance on advanced cell technology that provides high energy density at a competitive cost, allowing our systems to maximize solar yield relative to installed power;</w:t>
      </w:r>
    </w:p>
    <w:p>
      <w:pPr>
        <w:spacing w:after="0" w:line="169" w:lineRule="exact"/>
        <w:rPr>
          <w:rFonts w:ascii="Times New Roman" w:cs="Times New Roman" w:eastAsia="Times New Roman" w:hAnsi="Times New Roman"/>
          <w:sz w:val="17"/>
          <w:szCs w:val="17"/>
          <w:color w:val="auto"/>
        </w:rPr>
      </w:pPr>
    </w:p>
    <w:p>
      <w:pPr>
        <w:jc w:val="both"/>
        <w:ind w:left="960" w:hanging="478"/>
        <w:spacing w:after="0" w:line="26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flexibility of our product portfolio, which spans both high-voltage and low-voltage applications, making our technology adaptable for OEM integration. Unlike many competitors focused solely on low-voltage or aftermarket solutions, we offer scalable solar integration for a broader range of commercial vehicles;</w:t>
      </w:r>
    </w:p>
    <w:p>
      <w:pPr>
        <w:spacing w:after="0" w:line="169" w:lineRule="exact"/>
        <w:rPr>
          <w:rFonts w:ascii="Times New Roman" w:cs="Times New Roman" w:eastAsia="Times New Roman" w:hAnsi="Times New Roman"/>
          <w:sz w:val="17"/>
          <w:szCs w:val="17"/>
          <w:color w:val="auto"/>
        </w:rPr>
      </w:pPr>
    </w:p>
    <w:p>
      <w:pPr>
        <w:ind w:left="960" w:hanging="478"/>
        <w:spacing w:after="0" w:line="276"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safety of our solar integration product, which result from a standardized, low-effort regulatory approval process and a modular and scalable system design, which can be efficiently rolled out to every workshop or production facilities with our installation training support; and</w:t>
      </w:r>
    </w:p>
    <w:p>
      <w:pPr>
        <w:spacing w:after="0" w:line="157" w:lineRule="exact"/>
        <w:rPr>
          <w:rFonts w:ascii="Times New Roman" w:cs="Times New Roman" w:eastAsia="Times New Roman" w:hAnsi="Times New Roman"/>
          <w:sz w:val="17"/>
          <w:szCs w:val="17"/>
          <w:color w:val="auto"/>
        </w:rPr>
      </w:pPr>
    </w:p>
    <w:p>
      <w:pPr>
        <w:ind w:left="960" w:hanging="478"/>
        <w:spacing w:after="0" w:line="276"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strategic focus on OEM collaborations further differentiates us, as we work directly with vehicle manufacturers to integrate solar technology into their production lines, rather than solely relying on aftermarket installations.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Environment for Our Legacy Solar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industry and business operations are subject to various laws, rules and regulations at international, national, state and municipal levels, which may affect, directly or indirectly, our operations or our industry. Also taking into account the fact that our customers have primarily been fleet operators and automotive suppliers or manufacturers,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on the overall adoption rate of electric mobility within the EU.</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 overview of the laws, rules and regulations that are or are expected to be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Vehicle Approval/Road Safety</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Depending on the exact use of our products and solutions by customers, our solar modules and other solar technology solutions may be covered by compliance requirements applicable to these customer groups such as fleet operators and automotive suppliers and/or manufacturers under product-related regulatory frameworks and approval by the relevant government authorities. Vehicles and vehicle components are required to comply with substantial licensing, certification, approval, permit and other homologation requirements in all relevant markets in which they operate, as well as numerous and continually increasing technical product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Product Safety Liability</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solar modules and other solar technology solutions will also have to comply with product-specific or general, non-specific product safety and product liability legislation and associated regulations.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EU has passed a directive on general product safety that applies in the absence of specific provisions among the EU regulations governing the safety of the products concerned or if legislation applicable to the sector is insufficient. Under this directive, manufacturers and distributors may only market products that comply with a general requirement of consumer safety. Taking into account certain points specified in the directive, a product is considered to be safe if, under normal or reasonably foreseeable conditions of use,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information necessary to assess a product’s inherent risks and take the measures necessary to avoid such threats (for example, withdraw products from the market, inform consumers and recall products). Strict liability applies for defective products throughout the EU in addition to any consumer protections at the national level.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345"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7"/>
          <w:szCs w:val="17"/>
          <w:color w:val="auto"/>
        </w:rPr>
        <w:t>In Germany, the EU requirements have been implemented via the Product Safety Act (</w:t>
      </w:r>
      <w:r>
        <w:rPr>
          <w:rFonts w:ascii="Times New Roman" w:cs="Times New Roman" w:eastAsia="Times New Roman" w:hAnsi="Times New Roman"/>
          <w:sz w:val="17"/>
          <w:szCs w:val="17"/>
          <w:i w:val="1"/>
          <w:iCs w:val="1"/>
          <w:color w:val="auto"/>
        </w:rPr>
        <w:t>Produktsicherheitsgesetz</w:t>
      </w:r>
      <w:r>
        <w:rPr>
          <w:rFonts w:ascii="Times New Roman" w:cs="Times New Roman" w:eastAsia="Times New Roman" w:hAnsi="Times New Roman"/>
          <w:sz w:val="17"/>
          <w:szCs w:val="17"/>
          <w:color w:val="auto"/>
        </w:rPr>
        <w:t>) and the Product Liability Act (</w:t>
      </w:r>
      <w:r>
        <w:rPr>
          <w:rFonts w:ascii="Times New Roman" w:cs="Times New Roman" w:eastAsia="Times New Roman" w:hAnsi="Times New Roman"/>
          <w:sz w:val="17"/>
          <w:szCs w:val="17"/>
          <w:i w:val="1"/>
          <w:iCs w:val="1"/>
          <w:color w:val="auto"/>
        </w:rPr>
        <w:t>Produkthaftungsgesetz</w:t>
      </w:r>
      <w:r>
        <w:rPr>
          <w:rFonts w:ascii="Times New Roman" w:cs="Times New Roman" w:eastAsia="Times New Roman" w:hAnsi="Times New Roman"/>
          <w:sz w:val="17"/>
          <w:szCs w:val="17"/>
          <w:color w:val="auto"/>
        </w:rPr>
        <w:t>), which are accompanied by more general provisions under tort laws codified in the German Civil Code § 823 (</w:t>
      </w:r>
      <w:r>
        <w:rPr>
          <w:rFonts w:ascii="Times New Roman" w:cs="Times New Roman" w:eastAsia="Times New Roman" w:hAnsi="Times New Roman"/>
          <w:sz w:val="17"/>
          <w:szCs w:val="17"/>
          <w:i w:val="1"/>
          <w:iCs w:val="1"/>
          <w:color w:val="auto"/>
        </w:rPr>
        <w:t>B</w:t>
      </w:r>
      <w:r>
        <w:rPr>
          <w:rFonts w:ascii="Times New Roman" w:cs="Times New Roman" w:eastAsia="Times New Roman" w:hAnsi="Times New Roman"/>
          <w:sz w:val="17"/>
          <w:szCs w:val="17"/>
          <w:color w:val="auto"/>
        </w:rPr>
        <w:t>ü</w:t>
      </w:r>
      <w:r>
        <w:rPr>
          <w:rFonts w:ascii="Times New Roman" w:cs="Times New Roman" w:eastAsia="Times New Roman" w:hAnsi="Times New Roman"/>
          <w:sz w:val="17"/>
          <w:szCs w:val="17"/>
          <w:i w:val="1"/>
          <w:iCs w:val="1"/>
          <w:color w:val="auto"/>
        </w:rPr>
        <w:t>rgerliches Gesetzbuch</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Vehicle Emissions and Regulatory Incentives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protection of air quality and reduction of greenhouse gas emissions is a priority in the EU, and vehicle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dioxide emissions, thereby deliberately driving increasing demand for electric vehicles.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Furthermore, the EU has implemented mandatory CO2 emissions targets. At present, all car manufacturers must meet a fleet-wide average emission target of 95g CO2/km for their new passenger vehicles that are registered in the EU. Light commercial vehicles are subject to an EU fleet-wide target of 147g CO2/KM for average emissions. Car manufacturers are given additional incentives to produce zero- or low-emission cars emitting less than 50g CO2/km through a fleet-wide credits system. The regulation also provides for fleet-wide average CO2/km emissions targets for the years 2025, 2030 and 2035, which are defined as a percentage reduction from the current applicable values: cars are subject to fleet-wide CO2 reductions of 15% in 2025, 55% in 2030 and 100% in 2035, while vans are subject to fleet-wide reductions of 15% in 2025, 50% in 2030 and 100% in 2035. The regulation also allows for pooling arrangements among several manufacturers of passenger cars or vans, based on which these manufacturers will be treated as a single “pool” and their compliance with emission limits will be assessed on an aggregated basis at the pool level. Car manufacturers are subject to penalty payments if a car manufacturer’s fleet-wide average emission of CO2/km exceeds the defined target values in a given year. The monetary penalty is calculated based on a predetermined euro amount (currently €95) for each gram of CO2/km that exceeds the relevant target value multiplied by the number of vehicles produced by the car manufacturer.</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adoption of electric mobility is further promoted on the national level within the EU. The vast majority of member states of the EU provide purchase grants, tax benefits or other incentive schemes to buyers of electric vehicles.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Renewable Energy Requirements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laws and regulations within the EU and various other jurisdictions impose energy source requirements for the transportation sector, which also aim to reduce the emission of greenhouse gases and promote the adoption of alternative fuel or electric vehicles. A directive adopted in 2018, and amended in 2023, establishes a common system for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42.5%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29% renewables in the final energy consumption mix by 2030 or a greenhouse gas intensity reduction of at least 14.5%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Industrial Environmental Control</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All member states of the EU control the manufacture, use and disposal of pollutants by means of regulations on air pollutants, chemicals, heavy metals, persistent organic pollutants, soil contamination and biocides. The operations of manufacturers, particularly production, logistics and transport processes, as well as end products, must comply with these regulations.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Companies need to register substances placed on the market in the EU in quantities of one tonne or more a year, and the type of information required for registration will depend on the amount manufactured or imported in the EU. There are information sharing obligations for different actors in the supply chain to ensure proper application and use of such substances. In addition, substances which are considered hazardous could be subject to authorization or restrictions in the future, any of which may delay or increase the costs of operations if there is a need to obtain authorization or find an alternative substance. CLP complements REACH by requiring suppliers of substances and mixtures, including manufacturers, downstream users and distributors, to apply harmonized criteria to their classification and labeling.</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 REACH and may, therefore, not be used for the production of legacy parts without a corresponding authorization. REACH does not include general exemptions with regard to legacy parts (so-called “repair as produced” clauses).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Emissions from Production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Emissions from production, such as air pollutants, noise, odors, vibrations and greenhouse gasses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 A new EU Carbon Border Adjustment Mechanism (“CBAM”) is being introduced gradually for imports of certain goods such as steel, iron, electricity and fertilizers seen as at most significant risk of carbon leakage. CBAM will ensure the carbon price of imports is equivalent to the carbon price of domestic production to avoid any undermining of the EU’s climate objectives. Importers of in-scope goods are required, during this transitional period, to submit reports on direct and indirect greenhouse gas emissions; however, overtime the obligations will increase and require “CBAM certificates” to be purchased. It is intended that CBAM will extend to other sectors from 2026. The gradual introduction of CBAM is aligned with the phase-out of the allocation of free allowances under the EU Emissions Trading System (ETS) to support the decarbonization of EU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Reuse, Recycling and Recovery</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Manufacturers may also be obligated to assist customers with the disposal, recovery and recycling of certain underlying components of their products once they have reached their end- of-life/disposal stage.</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new EU regulation on batteries (the “Batteries Regulation”) repealed and replaced the Batteries Directive on August 18, 2025. The Batteries Regulation aims to ensure that batteries have a low carbon footprint, use minimal harmful substances, need less raw materials from non-EU countries, and are collected, reused and recycled to a high degree in Europe. Targets for recycling efficiency, material recovery and recycled content will be introduced gradually from 2025 onwards. All collected waste batteries will have to be recycled and high levels of recovery will have to be achieved, in particular of critical raw materials such as cobalt, lithium and nickel. In addition, under the new law’s due diligence obligations, companies must identify, prevent and address social and environmental risks linked to the sourcing, processing and trading of raw materials such as lithium, cobalt, nickel and natural graphite contained in their batteries.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Furthermore, an EU directive on end-of-life vehicles (the “ELV Directive”) and an EU directive on waste from electrical and electronic equipment (the “WEEE Directive”) each govern the recovery of motor vehicles and electrical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and the Batteries Regulation, limit manufacturing options because they also contain prohibitions on the use of certain identified substances and materials. The Batteries Regulation also introduces performance classes and maximum limits on the carbon footprint of electric vehicles.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Cross-border Import and Export of Products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our products and solutions have been subject to trade policy measures, such as tariffs.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Within our primary target market, the EU’s internal market, the principle of free movement of goods applies. When importing goods from, and exporting goods to, non-EU countries, we have had to comply with national and European foreign trade and customs regulations.</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Various countries impose tariffs on products and/or materials imported from other jurisdictions. Any tariffs imposed in markets where we market and sell our solar solutions affect the prices of our products and negatively impact our sales and ability to compete in those markets.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Protection and Privacy</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GDPR applies to the processing of personal data in the context of activities of establishments in the European Economic Area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(Telemediengesetz),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both"/>
        <w:spacing w:after="0" w:line="251" w:lineRule="auto"/>
        <w:rPr>
          <w:sz w:val="20"/>
          <w:szCs w:val="20"/>
          <w:color w:val="auto"/>
        </w:rPr>
      </w:pPr>
      <w:r>
        <w:rPr>
          <w:rFonts w:ascii="Times New Roman" w:cs="Times New Roman" w:eastAsia="Times New Roman" w:hAnsi="Times New Roman"/>
          <w:sz w:val="17"/>
          <w:szCs w:val="17"/>
          <w:color w:val="auto"/>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the Netherlands by the Dutch Telecommunications Act (Telecommunicatiewet) and in Germany by the German Telecommunications Act (Telekommunikationsgesetz). On January 10, 2017, the European Commission released a proposal for a regulation of the European Parliament and of the Council of the EU concerning the respect for private life and the protection of personal data in electronic communications (the e-Privacy Regulation), which would repeal the e-Privacy Directive. The proposal is still subject to legislative procedure and debate.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March 2021, the United Nations announced UN R155 – a regulation on cybersecurity and cybersecurity management systems. The regulation requires that, from July 2022, all new vehicle types and, from July 2024, all registered vehicles must prove that their product development is based on a systematic approach to risks associated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Antitrust Law</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Actions to Enforce Regulations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(Musterfeststellungsklage)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7"/>
          <w:szCs w:val="17"/>
          <w:color w:val="auto"/>
        </w:rPr>
        <w:t>In the Netherlands, in the event a third party is liable to a Dutch company, as a general principle only the company itself can bring a civil action against that party. The individual shareholders do not have a general right to bring an action on behalf of the company. However, in the event that the cause for the liability of a third party to the company also constitutes a tortious act directly against a shareholder, that shareholder may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Environment for Our Digital Asset Treasury Strategy</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Subsequent to December 31, 2025, we adopted the Treasury Strategy. Under the Treasury Strategy, we intend to use the net proceeds from our recent financings to purchase or otherwise acquire Bitcoin (BTC) and other digital assets and to establish digital asset treasury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regulatory regime for digital assets in the U.S. and elsewhere is uncertain. There is ongoing scrutiny and limited formal guidance from regulatory agencies, including Nasdaq and the SEC, with respect to the treatment of public company cryptocurrency strategies. If regulatory changes or interpretations require us to register as a money services business with The Financial Crimes Enforcement Network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If we decide to cease certain operations in response to new regulatory obligations, such actions could occur at a time that is unfavorable to investors.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U.S. federal government, states, regulatory agencies, and foreign countries may also enact new laws and regulations, or pursue regulatory, legislative, enforcement or judicial actions, that could materially impact the price of BTC or the ability of individuals or institutions such as us to own or transfer BTC and utilize blockchain-based applications on networks such as Bitcoin. For example, the U.S. executive branch, the SEC, the European Union’s Markets in Crypto Assets Regulation, among others, have been active in recent years, and in the United Kingdom, the Financial Services and Markets Act 2023 became law. Additionally, legislative and regulatory priorities may change depending on changes in leadership, as evidenced by recent and proposed initiatives such as the Genius Act of 2025, the anticipated Digital Asset Market Clarity Act, and updates to the Commission’s Regulatory Flexibility Agenda.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BTC specifically.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Landscape for Our Digital Asset Treasury Strategy</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 result of our Bitcoin-focused strategy, we expect our assets to be concentrated in BTC holdings. There are numerous alternative digital assets and many entities, including consortiums and financial institutions, are researching and investing resources into private or permissioned blockchain platforms. In addition, digital assets other than BTC, including those with significant private or public sector backing, including by governments, consortiums or financial institutions, may emerge or grow in popularity. If the mechanisms or network effects on alternative blockchain platforms are perceived as superior to the Bitcoin network, those digital assets could gain market share relative to Bitcoin. The intended concentration of our BTC holdings limits the risk mitigation that we could achieve if we were to purchase a more diversified portfolio of treasury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section herein entitled “Risk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intellectual property, including trade secrets, patents, trademarks and copyrights, is important to our business. We hold several patents in different jurisdictions relating to our solar module technology, ventilation system and energy management system for vehicles, and have filed several patent applications, including relating to our solar technology. We have registered trademarks in the EU or other relevant jurisdictions for “Sono Motors”. Our intellectual property portfolio includes domain names for websites that we use in our business.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control access to, use of and distribution of our intellectual property through confidentiality procedures, non-disclosure agreements with third parties and our employment and contractor agreements. Under the German Employee Invention Act (</w:t>
      </w:r>
      <w:r>
        <w:rPr>
          <w:rFonts w:ascii="Times New Roman" w:cs="Times New Roman" w:eastAsia="Times New Roman" w:hAnsi="Times New Roman"/>
          <w:sz w:val="17"/>
          <w:szCs w:val="17"/>
          <w:i w:val="1"/>
          <w:iCs w:val="1"/>
          <w:color w:val="auto"/>
        </w:rPr>
        <w:t>Arbeitnehmererfindungsgesetz</w:t>
      </w:r>
      <w:r>
        <w:rPr>
          <w:rFonts w:ascii="Times New Roman" w:cs="Times New Roman" w:eastAsia="Times New Roman" w:hAnsi="Times New Roman"/>
          <w:sz w:val="17"/>
          <w:szCs w:val="17"/>
          <w:color w:val="auto"/>
        </w:rPr>
        <w:t>), we generally have a claim on work-related inventions by our employees. In addition,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The following graphic provides an overview of our granted patents and filed patent applications as of 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00265" cy="2249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224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hanging="232"/>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Cooperation Treaty – the international patent system</w:t>
      </w:r>
    </w:p>
    <w:p>
      <w:pPr>
        <w:spacing w:after="0" w:line="209" w:lineRule="exact"/>
        <w:rPr>
          <w:rFonts w:ascii="Times New Roman" w:cs="Times New Roman" w:eastAsia="Times New Roman" w:hAnsi="Times New Roman"/>
          <w:sz w:val="17"/>
          <w:szCs w:val="17"/>
          <w:color w:val="auto"/>
        </w:rPr>
      </w:pPr>
    </w:p>
    <w:p>
      <w:pPr>
        <w:ind w:left="520" w:hanging="232"/>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 integrated photovoltaic</w:t>
      </w:r>
    </w:p>
    <w:p>
      <w:pPr>
        <w:spacing w:after="0" w:line="209" w:lineRule="exact"/>
        <w:rPr>
          <w:rFonts w:ascii="Times New Roman" w:cs="Times New Roman" w:eastAsia="Times New Roman" w:hAnsi="Times New Roman"/>
          <w:sz w:val="17"/>
          <w:szCs w:val="17"/>
          <w:color w:val="auto"/>
        </w:rPr>
      </w:pPr>
    </w:p>
    <w:p>
      <w:pPr>
        <w:ind w:left="520" w:hanging="232"/>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Solar electric vehicle systems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patent portfolio, held at the Subsidiary level, currently comprises 26 patent families (i.e., independent inventions), which include 9 granted patents, 3 PCT applications, 28 non-PCT national or EP applications and 3 utility models.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content of the patent families can be categorized by vehicle integrated photovoltaic components or manufacturing processes, solar electric vehicle systems, solar charge converters and Sion-related non-PV inventions, which are reflected in the above graphic as ViPV, SEV, MCU and Sion-only, respectively. As presented above, most of the applications are related to ViPV and SEV.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March 25, 2026, the Subsidiary employs 23 individuals, of which 15 are full-time employees across engineering, product development, business operations and corporate functions. In addition, although the Company currently has no employees, we do have consulting arrangements with our two executive officers. In line with our streamlined operational approach and strategic focus on key partnerships, the Subsidiary has over the last year implemented a reduction in workforce. There may be further reductions in its workforce as a result of the termination by the Company of all current and future funding commitments to the Subsidiary and the decision to exit the legacy solar operations conducted through the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Corporation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History</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historically conducted our business through the Subsidiary, which became a wholly-owned subsidiary of the Company after a corporate reorganization described as follows: We were incorporated pursuant to the laws of the Netherlands as Sono Motors Finance B.V. on October 23, 2020 as a wholly-owned subsidiary of the Subsidiary. As part of the corporate reorganization that was completed on November 27, 2020, the Subsidiary’s then-existing shareholders contributed all of their shares in the Subsidiary to Sono Motors Finance B.V. in exchange for newly issued ordinary shares of Sono Motors Finance B.V. In addition, the sole issued and outstanding common share in Sono Motors Finance B.V. at that time, which was held by the Subsidiary, was canceled (</w:t>
      </w:r>
      <w:r>
        <w:rPr>
          <w:rFonts w:ascii="Times New Roman" w:cs="Times New Roman" w:eastAsia="Times New Roman" w:hAnsi="Times New Roman"/>
          <w:sz w:val="17"/>
          <w:szCs w:val="17"/>
          <w:i w:val="1"/>
          <w:iCs w:val="1"/>
          <w:color w:val="auto"/>
        </w:rPr>
        <w:t>ingetrokken</w:t>
      </w:r>
      <w:r>
        <w:rPr>
          <w:rFonts w:ascii="Times New Roman" w:cs="Times New Roman" w:eastAsia="Times New Roman" w:hAnsi="Times New Roman"/>
          <w:sz w:val="17"/>
          <w:szCs w:val="17"/>
          <w:color w:val="auto"/>
        </w:rPr>
        <w:t>). As a result, the Subsidiary became a wholly-owned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7"/>
          <w:szCs w:val="17"/>
          <w:i w:val="1"/>
          <w:iCs w:val="1"/>
          <w:color w:val="auto"/>
        </w:rPr>
        <w:t>naamloze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vennootschap</w:t>
      </w:r>
      <w:r>
        <w:rPr>
          <w:rFonts w:ascii="Times New Roman" w:cs="Times New Roman" w:eastAsia="Times New Roman" w:hAnsi="Times New Roman"/>
          <w:sz w:val="17"/>
          <w:szCs w:val="17"/>
          <w:color w:val="auto"/>
        </w:rPr>
        <w:t>), and changed its legal name from Sono Motors Finance B.V. to Sono Group N.V. The Company is incorporated in the Netherlands and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address is Waldmeisterstraße 93, 80935 Munich, Germany.</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On September 4, 2025, the Company received notice from the Nasdaq Stock Market LLC (“Nasdaq”) that our Ordinary Shares have been approved for listing on Nasdaq. The Ordinary Shares commenced trading on Nasdaq Capital Market on September 5, 2025 under the ticker symbol “SSM”.</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Following our initial public offering (our “IPO”) in November 2021, our Ordinary Shares were traded on the Nasdaq Global Market under the symbol “SEV”. On July 12, 2023 and August 28, 2023, we received notices from Nasdaq stating that the staff of the Listing Qualifications Department (the “Staff”) had determined that our Ordinary Shares will be delisted from the Nasdaq Global Market in accordance with Nasdaq’s Listing Rules and notifying us of the suspension in trading of our Ordinary Shares as of the opening of business on July 21, 2023. Following our appeal of the Staff’s determination, we received a decision of the Nasdaq Hearings Panel (the “Panel”) on December 11, 2023, advising us that the Panel had determined to delist our Ordinary Shares from Nasdaq. On February 15, 2024, Nasdaq filed a Form 25 Notification of Delisting with the SEC to complete the delisting. As a result, on July 2, 2024, our Ordinary Shares commenced quoting on the OTCQB under the ticker symbol “SEVCF.” Following the Reverse Share Split (as defined below), we successfully pursued the uplisting of our Ordinary Shares to the Nasdaq Capital Market as described above. There is no assurance, however, that we will be able to satisfy the continued listing requirements of the Nasdaq Capital Market.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Following the listing of our Ordinary Shares on the Nasdaq Capital Market in September 2025, we may not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able to meet the continuing listing requirements of the Nasdaq Capital Market and therefore may not be able to have our Ordinary Shares traded on Nasdaq or other national stock exchange in the future</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December 23, 2024, the Company amended its articles of association to implement a reverse share split (the “Reverse Share Split”) of our Ordinary Shares and high voting shares (the “High Voting Shares”) at a ratio of 1-for-75. The Reverse Share Split was previously approved by the Company’s shareholders at the extraordinary general meeting of the Company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Former Self-Administration Proceedings, the Yorkville Restructuring Investment and the Yorkville Commitment</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15, 2023, based on management’s conclusion that the Company was over-indebted and faced impending illiquidity (</w:t>
      </w:r>
      <w:r>
        <w:rPr>
          <w:rFonts w:ascii="Times New Roman" w:cs="Times New Roman" w:eastAsia="Times New Roman" w:hAnsi="Times New Roman"/>
          <w:sz w:val="17"/>
          <w:szCs w:val="17"/>
          <w:i w:val="1"/>
          <w:iCs w:val="1"/>
          <w:color w:val="auto"/>
        </w:rPr>
        <w:t>drohende Zahlungsunf</w:t>
      </w:r>
      <w:r>
        <w:rPr>
          <w:rFonts w:ascii="Times New Roman" w:cs="Times New Roman" w:eastAsia="Times New Roman" w:hAnsi="Times New Roman"/>
          <w:sz w:val="17"/>
          <w:szCs w:val="17"/>
          <w:color w:val="auto"/>
        </w:rPr>
        <w:t>ä</w:t>
      </w:r>
      <w:r>
        <w:rPr>
          <w:rFonts w:ascii="Times New Roman" w:cs="Times New Roman" w:eastAsia="Times New Roman" w:hAnsi="Times New Roman"/>
          <w:sz w:val="17"/>
          <w:szCs w:val="17"/>
          <w:i w:val="1"/>
          <w:iCs w:val="1"/>
          <w:color w:val="auto"/>
        </w:rPr>
        <w:t>higkeit</w:t>
      </w:r>
      <w:r>
        <w:rPr>
          <w:rFonts w:ascii="Times New Roman" w:cs="Times New Roman" w:eastAsia="Times New Roman" w:hAnsi="Times New Roman"/>
          <w:sz w:val="17"/>
          <w:szCs w:val="17"/>
          <w:color w:val="auto"/>
        </w:rPr>
        <w:t>), the Company applied to the insolvency court of the local court of Munich, Germany (the “Court”), to permit the opening of a self-administration proceeding (</w:t>
      </w:r>
      <w:r>
        <w:rPr>
          <w:rFonts w:ascii="Times New Roman" w:cs="Times New Roman" w:eastAsia="Times New Roman" w:hAnsi="Times New Roman"/>
          <w:sz w:val="17"/>
          <w:szCs w:val="17"/>
          <w:i w:val="1"/>
          <w:iCs w:val="1"/>
          <w:color w:val="auto"/>
        </w:rPr>
        <w:t>Eigenverwaltung</w:t>
      </w:r>
      <w:r>
        <w:rPr>
          <w:rFonts w:ascii="Times New Roman" w:cs="Times New Roman" w:eastAsia="Times New Roman" w:hAnsi="Times New Roman"/>
          <w:sz w:val="17"/>
          <w:szCs w:val="17"/>
          <w:color w:val="auto"/>
        </w:rPr>
        <w:t>) with respect to the Company pursuant to Section 270 (b) of the German Insolvency Code (</w:t>
      </w:r>
      <w:r>
        <w:rPr>
          <w:rFonts w:ascii="Times New Roman" w:cs="Times New Roman" w:eastAsia="Times New Roman" w:hAnsi="Times New Roman"/>
          <w:sz w:val="17"/>
          <w:szCs w:val="17"/>
          <w:i w:val="1"/>
          <w:iCs w:val="1"/>
          <w:color w:val="auto"/>
        </w:rPr>
        <w:t>Insolvenzordnung</w:t>
      </w:r>
      <w:r>
        <w:rPr>
          <w:rFonts w:ascii="Times New Roman" w:cs="Times New Roman" w:eastAsia="Times New Roman" w:hAnsi="Times New Roman"/>
          <w:sz w:val="17"/>
          <w:szCs w:val="17"/>
          <w:color w:val="auto"/>
        </w:rPr>
        <w:t>). On the same day and for the same reason, the Subsidiary applied to the Court to permit the opening of a self-administration proceeding in the form of a protective shield proceeding (</w:t>
      </w:r>
      <w:r>
        <w:rPr>
          <w:rFonts w:ascii="Times New Roman" w:cs="Times New Roman" w:eastAsia="Times New Roman" w:hAnsi="Times New Roman"/>
          <w:sz w:val="17"/>
          <w:szCs w:val="17"/>
          <w:i w:val="1"/>
          <w:iCs w:val="1"/>
          <w:color w:val="auto"/>
        </w:rPr>
        <w:t>Schutzschirmverfahren</w:t>
      </w:r>
      <w:r>
        <w:rPr>
          <w:rFonts w:ascii="Times New Roman" w:cs="Times New Roman" w:eastAsia="Times New Roman" w:hAnsi="Times New Roman"/>
          <w:sz w:val="17"/>
          <w:szCs w:val="17"/>
          <w:color w:val="auto"/>
        </w:rPr>
        <w:t>) with respect to the Subsidiary pursuant Section 270 (d) of the German Insolvency Code (collectively, the “Self-Administration Proceedings”). On May 17, 2023 and May 19, 2023, the Court admitted the opening of Self-Administration Proceedings on a preliminary basis (the “Preliminary Self-Administration Proceedings”) with respect to the Company and the Subsidiary, respectively. On September 1, 2023, the Court opened the Self-Administration Proceedings with respect to the Subsidiary (the “Subsidiary Self-Administration Proceedings”). On January 31, 2024, the Subsidiary withdrew its application for Preliminary Self-Administration Proceedings. The Subsidiary exited its Self-Administration Proceedings on February 29, 2024 via its plan under the German Insolvency Code (the “Plan”), which set out how the Subsidiary intended to restructure its debt and procure the inflow of new cash, including pursuant to a funding commitment from Yorkville in the form of the Yorkville Restructuring Investment (as defined herein).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jc w:val="both"/>
        <w:spacing w:after="0" w:line="251" w:lineRule="auto"/>
        <w:rPr>
          <w:sz w:val="20"/>
          <w:szCs w:val="20"/>
          <w:color w:val="auto"/>
        </w:rPr>
      </w:pPr>
      <w:r>
        <w:rPr>
          <w:rFonts w:ascii="Times New Roman" w:cs="Times New Roman" w:eastAsia="Times New Roman" w:hAnsi="Times New Roman"/>
          <w:sz w:val="17"/>
          <w:szCs w:val="17"/>
          <w:color w:val="auto"/>
        </w:rPr>
        <w:t>In mid-November 2023, in the context of the former Self-Administration Proceedings, the Company and Yorkville entered into certain investment-related agreements that became effective on November 20, 2023 (such agreements collectively, the “Yorkville Investment Agreements”), pursuant to which Yorkville committed to provide financing to the Company, subject to the Companies’ continued compliance with the terms of the Yorkville Investment Agreements. Among other Yorkville Investment Agreements, the Company and Yorkville entered into a restructuring agreement (as amended from time to time, the “Restructuring Agreement”) and a funding commitment letter (as amended from time to time, the “Funding Commitment Letter”), pursuant to which Yorkville committed to provide limited financing to the Company (the “First Commitment”). On April 30, 2024, the Company and Yorkville entered into an amendment to the Funding Commitment Letter, pursuant to which Yorkville committed additional financing to the Company (the “Second Commitment” and together with the First Commitment, the “Yorkville Restructuring Investment”). The funding of the first tranche of the Yorkville Restructuring Investment (the “First Tranche”) occurred on February 6, 2024 for approximately $4.3 million and the funding of the second tranche of the Yorkville Restructuring Investment (the “Second Tranche”) took place on August 30, 2024 for approximately $3.3 million. For more information on the Yorkville Restructuring Investment and the transactions contemplated and entered into in connection therewith, see “</w:t>
      </w:r>
      <w:r>
        <w:rPr>
          <w:rFonts w:ascii="Times New Roman" w:cs="Times New Roman" w:eastAsia="Times New Roman" w:hAnsi="Times New Roman"/>
          <w:sz w:val="17"/>
          <w:szCs w:val="17"/>
          <w:i w:val="1"/>
          <w:iCs w:val="1"/>
          <w:color w:val="auto"/>
        </w:rPr>
        <w:t>Item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Financing Arrangements with Yorkville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Yorkville Restructuring Investment</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December 30, 2024, the Company and Yorkville committed to a new financing arrangement and entered into the Securities Purchase Agreement, pursuant to which Yorkville committed to provide limited financing to the Company in the amount of $5 million (the “Yorkville Commitment”), subject to certain conditions and limitations, including the Company’s receipt of notice from Nasdaq that the Company has met all the applicable requirements for listing of the Ordinary Shares on the Nasdaq Capital Market. On February 12, 2025, the Company and Yorkville amended the Securities Purchase Agreement by way of the First Omnibus Amendment (as defined herein), which provided for, among other things, an immediate advance of $1,000,000 of the Yorkville Commitment in the form of the First Debenture (as defined herein). The commitments made by Yorkville in the Securities Purchase Agreement and the First Omnibus Amendment effectively satisfy any and all obligations of the Investor to provide additional funding to the Company under the Funding Commitment Letter. Subsequently, on March 25, 2025, pursuant to the Third Omnibus Amendment (as defined herein), Yorkville provided a second immediate advance of $1,000,000 in the form of the Second Debenture (as defined herein). On April 24, 2025, pursuant to the Fourth Omnibus Amendment (as defined herein), Yorkville provided a third immediate advance of $500,000 in the form of the Third Debenture (as defined herein). On May 26, 2025, pursuant to the Fifth Omnibus Amendment (as defined herein), Yorkville provided a fourth immediate advance of $750,000 in the form of the Fourth Debenture (as defined herein). On August 6, 2025, pursuant to the Eighth Omnibus Amendment (as defined herein), Yorkville provided a fifth immediate advance of $190,000 in the form of the Fifth Debenture (as defined herein). On August 15, 2025, pursuant to the Ninth Omnibus Amendment (as defined herein), Yorkville provided a sixth immediate advance of $350,540 in the form of the Sixth Debenture (as defined herein). On September 5, 2025, pursuant to the Tenth Omnibus Amendment (as defined herein), the Company and Yorkville agreed to, among other things, to (1) increase the aggregate principal amount of the New Convertible Debenture (as defined herein) by an additional $2,200,000 for a total of $7,200,000, (2) provide for an immediate advance by Yorkville to the Company of $3,409,460 in the form of the Seventh Debenture (as defined herein). On September 5, 2025, pursuant to an Exchange Agreement, as amended, and as a result of the receipt of notice from Nasdaq that the Company has met all the applicable requirements for listing of the Ordinary Shares on the Nasdaq Capital Market on September 4, 2025, the Company issued 1,401 Preferred Shares to Yorkville solely in exchange for the surrender and cancellation of all of the debentures held by Yorkville, including the 2022 Debentures (as defined herein), the new convertible debentures issued to Yorkville on February 5, 2024 and August 30, 2024 (the “2024 Debentures”), the Seventh Debenture and all of the other Advance Debentures (as defined herein). The Preferred Shares are convertible into Ordinary Shares at 85% of the lowest daily volume weighted average price of the Ordinary Shares during the 10 consecutive trading days immediately preceding the conversion date. As part of the commitment, Yorkville has agreed to a conversion price floor of $4.00 for six months and $1.00 thereafter. For more information on the Yorkville Commitment, see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Financing Arrangements with Yorkville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Yorkville Commitment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Arrangements with Yorkville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Yorkville Restructuring Investment</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mid-November 2023, in the context of the former Self-Administration Proceedings and in connection with the First Commitment, the Companies and Yorkville entered into the Yorkville Investment Agreements. In addition to the Restructuring Agreement between the Company and Yorkville, which was amended on February 2, 2024 and February 5, 2024, the agreements included (i) an agreement between the Company and the Subsidiary pursuant to which a settlement amount was agreed for intercompany claims (the “Settlement Agreement”), (ii) an agreement between the Company and the Subsidiary relating to the satisfaction of intercompany claims, the further financing of the Subsidiary by the Company and key aspects of the Subsidiary Self-Administration Proceedings and the Plan (the “Continuation Agreement”), (iii) the Funding Commitment Letter, as subsequently amended, between the Company and Yorkville pursuant to which Yorkville committed to provide the Company with sufficient financial resources to fund the business operations of the Companies pursuant to an agreed upon budget, (iv) an agreement between the Company and Yorkville to postpone the repayment date of the convertible debentures with an aggregate principal amount of $31.1 million issued by the Company to Yorkville in December 2022 (the “2022 Debentures”) to July 1, 2025, with the possibility of further extensions at Yorkville’s discretion (the “Prolongation Agreement”), (v) an agreement between the Sono Group founders, Laurin Hahn and Jona Christians (the “Founders”), the Company and the Subsidiary pursuant to which the Companies were entitled to request that each of the Founders enters into a share sale and transfer agreement (the “Sale and Transfer Agreements”) under the terms of which the respective Founder would sell and transfer, if so requested, a portion of their Ordinary Shares to a trustee to be appointed for the benefit of the Subsidiary’s creditors and a portion of their Ordinary Shares and all of their High Voting Shares to the new members of the management board to be appointed for the Company (the “Shareholders Commitment Letter”), (vi) Sale and Transfer Agreements executed by each of the Founders to carry out the transfers contemplated in the Shareholders Commitment Letter, and (vii) a back-to-back letter of comfort from the Company to the Subsidiary, which was subsequently amended on May 8, 2024, to provide funding for the Subsidiary’s business operations, with an initial focus on the Solar Bus Kit and similar retrofit solar products (as amended from time to time, the “Back-to-Back Letter of Comfort”). The funds provided under the Back-to-Back Letter of Comfort were provided by way of intercompany loans.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Yorkville Investment Agreements and following the satisfaction of certain conditions precedent, Yorkville funded the First Tranche of €4.0 million, or approximately USD 4.3 million, on February 6, 2024. On August 30, 2024, Yorkville funded the Second Tranche of €3.0 million, or approximately USD 3.3 million. Under the terms of the Funding Commitment Letter, Yorkville had committed to secure the financing of the Companies’ expected operational costs through the end of the second quarter of 2025, with financings being provided by way of new interest-bearing convertible debentures. The Company issued the 2024 Debentures to Yorkville on February 5, 2024 and August 30, 2024, with maturity dates of July 1, 2025 and August 20, 2025, respectively, in connection with the fundings of the First Tranche and Second Tranche. On December 30, 2024, the Company and Yorkville committed to a new financing arrangement in the form of the Yorkville Commitment that replaces, and satisfies, Yorkville’s remaining obligations under the Funding Commitment Letter. The advance fundings from Yorkville in 2025 in the form of the Advance Debentures were provided in full in connection with the new funding arrangement, as amended. For more information on the Yorkville Commitment, see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Financing Arrangements with Yorkville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Yorkville Commitment</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accordance with the Settlement Agreement, the Company transferred or will transfer funds to the Trustee (as defined herein) in settlement of the intercompany claims owed by the Company to the Subsidiary. In turn, the Subsidiary waived all claims that the Subsidiary had or may have against the Company arising from intercompany claims or from either of two hard comfort letters issued by the Company for the benefit of the Subsidiary. Payment of the settlement amount, as well as payments of funds that belong to the Company’s creditors are ultimately processed by Bambino 255. V V UG, an entity established to serve as a trustee for the benefit of the Subsidiary’s creditors (the “Trustee”).</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Under the Yorkville Investment Agreements, starting December 1, 2023, the Subsidiary became obligated to finance its business operations in accordance with the budget agreed with Yorkville. Following the satisfaction of the closing conditions set forth in the Yorkville Investment Agreements (the “Closing”), (i) Yorkville became obligated to pay the First Tranche to the Company at the Closing, (ii) the Company became obligated to reimburse the Subsidiary’s insolvency estate for the continuation costs incurred for the period from December 1, 2023 to the date of Closing and (iii) the Company became obligated to finance the business operations of the Subsidiary until the end of the fiscal year 2024, both in accordance with the budget agreed with Yorkville. Pursuant to the terms of the Back-to-Back Letter of Comfort, the Company became obligated to provide funds to the Subsidiary (subject to the availability of such funds at the Company level) of up to approximately €7.2 million by way of intercompany loan(s). The first funding under the Back-to-Back Letter of Comfort occurred immediately after Closing and amounted to €3.0 million. Subsequent funding under the Back-to-Back Letter of Comfort amounting to €1.0 million, €2.2 million, €300,000 and €420,000 were made on May 23, 2024, September 2, 2024, February 12, 2025 and March 25, 2025, respectively. These intercompany loans became secured loans to the Subsidiary during 2024 as the Subsidiary entered into a cross guarantee with Yorkville, pursuant to which Yorkville became the beneficiary of the amounts loaned to the Subsidiary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Yorkville Restructuring Investment, the Founders entered into respective Sale and Transfer Agreements, pursuant to which they agreed to cumulatively transfer 177,417 Ordinary Shares to the Trustee. The transfer of the Ordinary Shares to the Trustee was reflected in the Company’s share register on June 5, 2024. Following expiration of a lock-up agreement, the Trustee is now entitled to sell its shares, subject to certain volume restrictions agreed with Yorkville, and the proceeds from any such sales will be used to satisfy claims of the Subsidiary’s creditors. Whether and to what extent such sale proceeds can be realized will depend on a number of factors, including, among others, the performance of the Company's share price. Currently, it is not possible to reliably forecast whether and to what extent such sale proceeds can be expected. In addition, under the terms of their respective Sale and Transfer Agreements, the Founders agreed to cumulatively transfer 230,751 Ordinary Shares and all of their cumulative 40,000 High Voting Shares to SVSE LLC, a Delaware limited liability company (“SVSE”), whose sole member is George O’Leary, the Company’s Chief Executive Officer and sole Managing Director. The transfers of the High Voting Shares and the Ordinary Shares to SVSE were reflected in the Company’s share register on February 1, 2024 and March 25, 2024, respectively.</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the terms of the Yorkville Investment Agreements, cash available to the Subsidiary and the proceeds from any sale of the Subsidiary’s assets that do not belong to the Subsidiary’s third-party vehicle solar integration business, including any proceeds from a future sale of the Sion program, may be used to cover the costs of the Subsidiary Self-Administration Proceedings and to satisfy claims of the Subsidiary’s creditors.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accordance with the Yorkville Investment Agreements, the Company convened its annual general meeting on December 29, 2023 (the “2023 AGM”), as well as the January 2024 EGM, to submit certain agenda items for shareholder votes. Pursuant to the terms of the Shareholders Commitment Letter, each Founder in his respective capacity as a shareholder of the Company, either in person or represented by proxy, exercised the voting rights on all the shares in the capital of the Company held by such Founder in favor of all proposed resolutions at both the 2023 AGM and the January 2024 EGM. The following agenda items, among others, were proposed and approved at the January 2024 EGM: (1) a proposal to effect a reverse share split of the Ordinary Shares and the High Voting Shares at an exchange ratio to be determined and established by the Company’s management board; (2) a proposal to reduce the nominal value per Ordinary Share to €0.01 per Ordinary Share (after giving full effect to the aforementioned reverse share split) without repayment or any other payment by the Company to the shareholders; (3) a proposal to reduce the nominal value per High Voting Share to €0.25 per High Voting Share (after giving full effect to the aforementioned reverse share split) without repayment or any other payment by the Company to shareholders; and (4) a proposal to authorize one or more amendments to the Company’s articles of association, in such a manner that, with each amendment, the authorized capital of the Company is amended to facilitate the issue shares under the 2022 Debentures and the subsequent convertible debentures issued to Yorkville. The measures identified in clauses (1) - (3) of the preceding sentence were implemented in December 2024 in connection with the Reverse Share Split, except that the nominal value our Ordinary Shares was reduced to €0.02 per Ordinary Share and the nominal value of our High Voting Shares was reduced to €0.50 per High Voting Share, which was necessary for the Company to remain compliant with Dutch mandatory corporate law provisions in respect of minimum capital requirements. Following the satisfaction of the conditions precedent to the Debt Conversion and in connection with the creation and issuance of the Preferred Shares (as defined herein), and in accordance with the approved amendments to the Company’s articles of association the nominal value of each Ordinary Share was lowered from €0.02 per Ordinary Share to €0.01 per Ordinary Share and the nominal value of each High Voting Share was lowered from €0.50 per High Voting Share to €0.25 per High Voting Share and therewith to fully implement and perfect the items (2) and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Yorkville Commitment</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late December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 with a maturity date of one year following the issuance of the New Commitment Debenture. The issuance of the New Commitment Debenture was subject to certain conditions and limitations, including the condition precedent that the Company shall have received notice from Nasdaq that the Company has met all the applicable requirements for listing of the Ordinary Shares on the Nasdaq Capital Market, which occurred on September 4,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7"/>
          <w:szCs w:val="17"/>
          <w:color w:val="auto"/>
        </w:rPr>
        <w:t>On December 30, 2024, the Company and Yorkville also entered into an exchange agreement (the “Exchange Agreement”), pursuant to which the Company agreed, subject to the satisfactions of certain conditions precedent, to issue 1,242 shares of preferred stock of the Company (the “Preferred Shares”), each with a nominal value of €300, to Yorkville solely in exchange for the surrender and cancellation of all of the debentures held by Yorkville, which at that time included the 2022 Debentures, the new convertible debentures issued to Yorkville on February 5, 2024 and August 30. 2024 (the “2024 Debentures”), and the New Commitment Debenture (if issued) (the “Debt Conversion”). The closing of the Debt Conversion contemplated by the Exchange Agreement was subject to certain conditions precedent, including the Company’s receipt of notice from Nasdaq that the Company has met all the applicable requirements for listing of the Ordinary Shares on the Nasdaq Capital Market.</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12, 2025, the Company and Yorkville entered into an Omnibus Amendment to Transaction Documents (the “First Omnibus Amendment”), pursuant to which the Company and Yorkville agreed to modify the terms of the Securities Purchase Agreement to, among other things, (i) provide for an immediate advance of $1,000,000 of the Yorkville Commitment in the form of a $1,000,000 secured convertible debenture, with a maturity date of February 12, 2026 that may be extended at the option of Yorkville (the “First Debenture”), and (ii) extend the termination date with respect to the obligations of Yorkville under the Securities Purchase Agreement from January 15, 2025 to February 28, 2025. In addition, the Company and Yorkville agreed in the First Omnibus Amendment that any and all obligations of Yorkville to provide additional funding to the Company, including in connection with the Yorkville Restructuring Investment, shall be considered to be satisfied by the commitments made pursuant to the Securities Purchase Agreement and the First Omnibus Amendment. Net proceeds to the Company from the First Debenture were $1,000,000. Under the terms of the First Omnibus Amendment, the Company and Yorkville also amended the Exchange Agreement to include the First Debenture and the remaining New Commitment Debenture within the scope of the Exchange Agreement and therefore within the scope of the Debt Conversion, subject to the satisfaction of the conditions precedent thereto.</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7, 2025, the Company and Yorkville entered into a second Omnibus Amendment to Transaction Documents (the “Second Omnibus Amendment”), pursuant to which the Company and Yorkville agreed to modify the terms of the Exchange Agreement to (i) amend the floor price provided for in the Exchange Agreement to be a price per Ordinary Share equal to $4.00, from the closing date of the transactions contemplated by the Exchange Agreement until the end of the day that is 6 months from the date of relisting of our Ordinary Shares on the Nasdaq Capital Market, and $1.00 thereafter, and (ii) to extend the termination date with respect to the obligations of Yorkville under the Exchange Agreement from January 15, 2025 to April 15, 2025. In addition, the Company and Yorkville agreed in the Second Omnibus Amendment to extend the termination date with respect to the obligations of Yorkville under the Securities Purchase Agreement from February 28, 2025 to April 15, 2025.</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March 25, 2025, the Company and Yorkville entered into a third Omnibus Amendment to Transaction Documents (the “Third Omnibus Amendment”), pursuant to which the Company and Yorkville agreed to modify the terms of the Securities Purchase Agreement to, among other things, provide for an immediate advance of $1,000,000 of the Yorkville Commitment in the form of a second $1,000,000 secured convertible debenture, with a maturity date of March 24, 2026 that may be extended at the option of Yorkville (the “Second Debenture”). Net proceeds to the Company from the Second Debenture were $1,000,000. As a result of the issuance of the First Debenture and the Second Debenture, and pursuant to the Third Omnibus Amendment, the aggregate principal amount of the New Commitment Debenture that was to be issued to Yorkville upon the satisfaction of all of the conditions set forth in the Securities Purchase Agreement was $3,000,000. Under the terms of the Third Omnibus Amendment, the Company and Yorkville also amended the Exchange Agreement to include each of the First Debenture, the Second Debenture and the remaining New Commitment Debenture within the scope of the Exchange Agreement and therefore within the scope of the Debt Conversion, subject to the satisfaction of the conditions precedent thereto.</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24, 2025, the Company and Yorkville entered into a fourth Omnibus Amendment to Transaction Documents (the “Fourth Omnibus Amendment”), pursuant to which the Company and Yorkville agreed to modify the terms of the Securities Purchase Agreement to, among other things, provide for an immediate advance by Yorkville to the Company of $500,000 in the form of a secured convertible debenture in the aggregate principal amount of $500,000, with a maturity date of April 24, 2026 that may be extended at the option of Yorkville (the “Third Debenture”). Net proceeds to the Company from the Third Debenture were $500,000. As a result of the issuance of the Third Debenture, and pursuant to the Fourth Omnibus Amendment, the aggregate principal amount of the New Commitment Debenture that was to be issued to Yorkville upon the satisfaction of all of the conditions set forth in the Securities Purchase Agreement was $2,500,000. Under the terms of the Fourth Omnibus Amendment, the Company and Yorkville also amended the Exchange Agreement to include each of the First Debenture, the Second Debenture, the Third Debenture and the remaining New Commitment Debenture within the scope of the Exchange Agreement and therefore within the scope of the Debt Conversion, subject to the satisfaction of the conditions precedent thereto.</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26, 2025, the Company and Yorkville entered into a fifth Omnibus Amendment to Transaction Documents (the “Fifth Omnibus Amendment”), pursuant to which the Company and Yorkville agreed to modify the terms of the Securities Purchase Agreement to, among other things, provide for an immediate advance by Yorkville to the Company of $750,000 in the form of a secured convertible debenture in the aggregate principal amount of $750,000, with a maturity date of May 27, 2026 that may be extended at the option of Yorkville (the “Fourth Debenture”). Net proceeds to the Company from the Fourth Debenture were $750,000. As a result of the issuance of the Fourth Debenture, and pursuant to the Fifth Omnibus Amendment, the aggregate principal amount of the New Commitment Debenture that was to be issued to Yorkville upon the satisfaction of all of the conditions set forth in the Securities Purchase Agreement was $1,750,000. Under the terms of the Fifth Omnibus Amendment, the Company and Yorkville also amended the Exchange Agreement to include each of the First Debenture, the Second Debenture, the Third Debenture, the Fourth Debenture and the remaining New Commitment Debenture within the scope of the Exchange Agreement and therefore within the scope of the Debt Conversion, subject to the satisfaction of the conditions precedent thereto.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7"/>
          <w:szCs w:val="17"/>
          <w:color w:val="auto"/>
        </w:rPr>
        <w:t>On July 6, 2025, the Company and Yorkville entered into a sixth Omnibus Amendment to Transaction Documents, effective as of June 30, 2025 (the “Sixth Omnibus Amendment”), pursuant to which the Company and Yorkville agreed to modify the terms of the Securities Purchase Agreement, the Exchange Agreement and the Maturing Debentures previously issued by the Company. Pursuant to the Sixth Omnibus Amendment, the Company and Yorkville agreed to extend the maturity date from July 1, 2025 to August 1, 2025 for the Maturing Debentures, and to extend the termination dates of the Securities Purchase Agreement and the Exchange Agreement to August 1, 2025.</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August 6, 2025, the Company and Yorkville entered into a seventh Omnibus Amendment to Transaction Documents (the “Seventh Omnibus Amendment”) and an eighth Omnibus Amendment to Transaction Documents (the “Eighth Omnibus Amendment”), pursuant to which the Company and Yorkville agreed to modify the terms of the Securities Purchase Agreement, the Exchange Agreement and certain convertible debentures previously issued by the Company. Pursuant to the Seventh Omnibus Amendment, the Company and Yorkville agreed to extend the maturity date for the Maturing Debentures from August 1, 2025 to September 1, 2025, and to extend the termination dates of the Securities Purchase Agreement and the Exchange Agreement to September 1, 2025. In addition, pursuant to the Eighth Omnibus Amendment, the Company and Yorkville agreed to modify the terms of the Securities Purchase Agreement to, among other things, provide for an immediate advance by Yorkville to the Company of $190,000 in the form of a secured convertible debenture in the aggregate principal amount of $190,000, with a maturity date of August 6, 2026 that may be extended at the option of Yorkville (the “Fifth Debenture”). Net proceeds to the Company from the Fifth Debenture were $190,000. As a result of the issuance of the Fifth Debenture, and pursuant to the Eighth Omnibus Amendment, the aggregate principal amount of the New Commitment Debenture that was to be issued to Yorkville upon the satisfaction of all of the conditions set forth in the Securities Purchase Agreement was $1,560,000. Under the terms of the Eighth Omnibus Amendment, the Company and Yorkville also amended the Exchange Agreement to include each of the First Debenture, the Second Debenture, the Third Debenture, the Fourth Debenture, the Fifth Debenture and the remaining New Commitment Debenture within the scope of the Exchange Agreement and therefore within the scope of the Debt Conversion, subject to the satisfaction of the conditions precedent thereto.</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15, 2025, the Company and Yorkville entered into a ninth Omnibus Amendment to Transaction Documents (the “Ninth Omnibus Amendment”), pursuant to which the Company and Yorkville agreed to modify the terms of the Securities Purchase Agreement, the Exchange Agreement and the Maturing Debentures previously issued by the Company. Pursuant to the Ninth Omnibus Amendment, the Company and Yorkville agreed to modify the terms of the Securities Purchase Agreement to, among other things, provide for an immediate advance by Yorkville to the Company of EUR300,000 ($350,540 at conversion rate of 1.1685) in the form of a secured convertible debenture in the aggregate principal amount of $350,540, with a maturity date of August 15, 2026 that may be extended at the option of Yorkville (the “Sixth Debenture”). Net proceeds to the Company from the Sixth Debenture were $350,540. As a result of the issuance of the Sixth Debenture, and pursuant to the Ninth Omnibus Amendment, the aggregate principal amount of the New Commitment Debenture that was to be issued to Yorkville upon the satisfaction of all of the conditions set forth in the Securities Purchase Agreement was $1,209,460. Under the terms of the Ninth Omnibus Amendment, the Company and Yorkville also amended the Exchange Agreement to include each of the First Debenture, the Second Debenture, the Third Debenture, the Fourth Debenture, the Fifth Debenture, the Sixth Debenture and the remaining New Commitment Debenture within the scope of the Exchange Agreement and therefore within the scope of the Debt Conversion, subject to the satisfaction of the conditions precedent thereto.</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Following the Company’s receipt on September 4, 2025 of notice from Nasdaq that the Company has met all the applicable requirements for listing of the Ordinary Shares on the Nasdaq Capital Market, on September 5, 2025, the Company and Yorkville entered into a tenth Omnibus Amendment to Transaction Documents (the “Tenth Omnibus Amendment”), pursuant to which the Company and Yorkville agreed to modify the terms of the Securities Purchase Agreement, the Exchange Agreement and certain convertible debentures previously issued by the Company. Pursuant to the Tenth Omnibus Amendment, the Company and Yorkville agreed to modify the terms of the Securities Purchase Agreement to, among other things, (1) increase the aggregate principal amount of the New Convertible Debenture by an additional $2,200,000 for a total of $7,200,000, and (2) provide for an immediate advance by Yorkville to the Company of $3,409,460, which comprises the remaining $1,209,460 of the original $5,000,000 commitment and the entirety of the additional $2,200,000 commitment, in the form of a secured convertible debenture in the aggregate principal amount of $3,409,460, with a maturity date of September 5, 2026 that may be extended at the option of Yorkville (the “Seventh Debenture”, and collectively with the First Debenture, the Second Debenture, the Third Debenture, the Fourth Debenture, the Fifth Debenture and the Sixth Debenture, the “Advance Debentures”). Net proceeds to the Company from the Seventh Debenture were $3,409,460. As a result of the issuance of the Seventh Debenture, and pursuant to the Tenth Omnibus Amendment, the aggregate principal amount of the New Commitment Debenture that was to be issued to Yorkville upon the satisfaction of all of the conditions set forth in the Securities Purchase Agreement was $7,200,000, consisting of the amounts advanced to the Company under the Seventh Debenture and each of the other Advance Debentures. Under the terms of the Tenth Omnibus Amendment, the Company and Yorkville also amended the Exchange Agreement to include all of the Advance Debentures within the scope of the Exchange Agreement and therefore within the scope of the Debt Conversion, subject to the satisfaction of the conditions precedent thereto. In connection with the Seventh Debenture, the management board resolved to issue an additional 159 Preferred Shares to Yorkville upon the satisfaction of the terms and conditions of the Exchange Agreement (in addition to the 1,242 Preferred Shares to be issued as forth in the Exchange Agreement) in exchange for the surrender and cancellation of the additional indebtedness incurred to Yorkville.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September 5, 2025, pursuant to an Exchange Agreement, as amended, and as a result of the receipt of notice from Nasdaq that the Company has met all the applicable requirements for listing of the Ordinary Shares on the Nasdaq Capital Market on September 4, 2025, the Company issued 1,401 Preferred Shares to Yorkville solely in exchange for the surrender and cancellation of all of the debentures held by Yorkville, including the 2022 Debentures, the 2024 Debentures, and all of the Advance Debentures. The Preferred Shares are convertible into Ordinary Shares at a price per Ordinary Share equal to the Variable Conversion Price. As part of the commitment, Yorkville has agreed to a conversion price floor of $4.00 for six months and $1.00 thereafter.</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See “Note 16 – Subsequent Events” in Part II, Item 8 of this Annual Report for information regarding our financing arrangements with Yorkville subsequent to the fiscal year ended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January 1, 2025, the Company began reporting with the SEC as a domestic issuer instead of a foreign private issuer. As a result, the Company is subject to the same reporting and disclosure requirements applicable to domestic U.S. companies, and is required to file periodic reports and financial statements with the SEC on Form 10-K and Form 10-Q, as applicable, as well as filing current reports on Form 8-K. Prior to January 1, 2025, the Company was a foreign private issuer and, in compliance with SEC regulations, the Company filed or furnished periodic and current reports with the SEC on the reporting forms available to foreign private issuers, namely Form 20-F and Form 6-K.</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make available on or through our website (https://ir.sonomotors.com/) certain reports and amendments to those reports that we file with or furnish to the SEC in accordance with the Exchange Act. These include our annual reports on Form 10-K (and previously on Form 20-F), our quarterly reports on Form 10-Q, and our current reports on Form 8-K (and previously on Form 6-K),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maintains a website at www.sec.gov that contains reports, proxy and information statements and other information regarding us that we filed electronically with the SEC. The information in or accessible through the SEC are not incorporated into, and are not considered part of, this Annual report unless specified. Further, the information contained on, or that can be accessed through, our website is not incorporated by reference into this Annual Report, and you should not consider any information contained on, or that can be accessed through, our website to be part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lA. Risk Factors.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Our business involves significant risks, some of which are described below. You should carefully consider the risks and uncertainties described below, together with all of the other information in this Annual Report. The realization of any of these risks and uncertainties could have a material adverse effect on our reputation, business, financial condition, results of operations, growth and future prospects as well as our ability to accomplish our strategic objectives. Additional risks and uncertainties of which we are not presently aware or that we currently deem immaterial could also materially affect our business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former Self-Administration Proceedings</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Despite our emergence from our former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will attempt to minimize the potential adverse effect of our former Self-Administration Proceedings on our relationships with creditors, customers, suppliers, service providers, employees and counterparties. Nonetheless, these relationships may be adversely impacted and our operations could be materially and adversely affected.</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instance, negative publicity associated with the Self-Administration Proceedings may adversely affect our commercial relationships and our ability to negotiate favorable terms with important stakeholders and counterparties. Public perception of our continued viability may also adversely affect our relationships with customers and their loyalty to us, as well as our ability to pursue new customer arrangements and projects. Strains in any of these relationships could materially and adversely affect us.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management has been required to spend a significant amount of time and effort focusing on the former proceedings instead of focusing exclusively on our business operations and will be required to continue to do so in the context of the Subsidiary’s compliance with any remaining obligations under the Plan. This diversion of attention may have a material adverse effect on the conduct of our business and, as a result, our financial condition and results of operations.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our employees faced considerable distraction and uncertainty during the pendency of the proceedings, which may lead to increased levels of employee attrition. Apart from negatively affecting our ability to retain existing high performing employees, executives and supervisory board members, the former proceedings may also prevent us from attracting new employees, executives and supervisory board members. Failure to retrain, motivate or attract key personnel or a material erosion of employee morale could impair our ability to execute our strategy and implement operational initiatives, thereby adversely affecting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Risks Related to the Company</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intend to use the net proceeds from our recent financings to purchase digital assets, including Bitcoin, the price of which has been, and will likely continue to be, highly volatile. Our operating results and share price may significantly fluctuate, including due to the highly volatile nature of the price of such digital assets and erratic market movements.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intend to use the net proceeds from our recent financings to purchase or otherwise acquire BTC and for the establishment of our digital asset treasury operations. Digital assets, such as BTC, generally are highly volatile assets, including as a result of shifts in market sentiment, speculative trading, macroeconomic trends, technology-related disruptions and regulatory announcements. In addition, digital assets do not pay interest or other returns, unless utilized in staking or financial applications, and so the ability to generate a return on investment from the net proceeds of any capital raisings will principally depend on whether there is appreciation in the value of digital assets following our purchases of digital assets with the net proceeds from such capital raisings. Future fluctuations in digital asset trading prices may result in our converting digital assets into cash with a value substantially below what we paid for such digital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adopted a digital asset treasury strategy with a focus on BTC, and we may be unable to successfully implement this new strategy.</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adopted a digital asset treasury primarily dedicated to BTC and potential acquisitions BTC, including through staking and other decentralized finance activities. There is no assurance that we will be able to successfully implement this new strategy or operate BTC or other digital asset-related activities at the scale or profitability currently anticipated. This strategic shift requires specialized employee skillsets and operational, technical and compliance infrastructure to support BTC and related staking activities. This also requires that we implement different security protocols and treasury management practices. Further, there is ongoing scrutiny and limited formal guidance from regulatory agencies, including Nasdaq and the SEC, with respect to the treatment of public company cryptocurrency strategies. There is no assurance that we will be able to execute this Treasury Strategy by building out the needed infrastructure within the timeframe that we currently anticipate. Errors by key management could result in significant loss of funds and reduced rewards. As a result, our shift towards BTC could have a material adverse effect on our business and financial condition.</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as previously disclosed, we intend to solicit the ratification by our shareholders of the engagement by the Company in the Treasury Strategy. Under Dutch law, the ratification by our shareholders of our engagement in the Treasury Strategy is required to successfully implement the Treasury Strategy.</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may trade at a discount to our net asset value, and investors could experience losses unrelated to the performance of our underlying digital asset holdings.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market price of our Ordinary Shares may not reflect, and at times may trade materially below, our net asset value (“NAV”) per share. A variety of factors may cause the trading price of our Ordinary Shares to deviate from our NAV, including overall market conditions, investor sentiment toward digital assets or our business model, the liquidity and volatility of the specific digital assets we hold, the availability and cost of capital to market participants, the level of short interest in our Ordinary Shares, actual or perceived governance or operational risks, and the absence of any redemption or exchange feature that would allow shareholders to realize NAV directly. As a result, the market price of our Ordinary Shares may be influenced by factors other than the value of our underlying assets alone and there can be no assurance that our Ordinary Shares will trade at or near NAV.</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our Ordinary Shares trade at a discount to NAV, investors who sell shares may receive less than the value of our underlying assets per share, and the discount could impair our ability to raise capital on favorable terms. We may from time to time consider capital markets transactions, financing arrangements or other corporate actions intended to address any discount, but we are under no obligation to take such actions and any such actions, if implemented, may be limited in scope or effectiveness.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shift towards a BTC-focused strategy requires substantial changes in our day-to-day operations and exposes us to significant operational risks.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shift towards a BTC treasury-focused strategy, including staking and other decentralized finance activities, exposes us to significant operational risks. The Bitcoin ecosystem rapidly evolves, with frequent upgrades and protocol changes that may require significant adjustments to our operational setup. The upgrades and protocol changes may require that we incur unanticipated costs and could cause temporary service disruptions to the Bitcoin network. We may also need to employ third-party service providers in our operations, which may introduce risks outside of our control, including significant cybersecurity risks. Any of these operational risks could materially and adversely affect our ability to execute the Treasury Strategy and may prevent us from realizing positive returns and could severely hurt our financial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The concentration of our BTC holdings enhances the risks inherent in our Bitcoin-focused strategy.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and intend to purchase BTC and increase our overall holdings of BTC in the future. The intended concentration of our BTC holdings limits the risk mitigation that we could achieve if we were to purchase a more diversified portfolio of treasury assets, and the absence of diversification enhances the risks inherent in our Bitcoin-focused strategy.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Bitcoin network is disrupted or encounters any unanticipated difficulties, the value of BTC could be negatively impacted.</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the Bitcoin network is disrupted or encounters any unanticipated difficulties, then the processing of transactions on the Bitcoin network may be disrupted, which in turn may prevent us from depositing or withdrawing BTC from our accounts with our custodian or otherwise affecting BTC transactions. Such disruptions could include, for example: the insolvency, business failure, interruption, default, failure to perform, security breach, or other problems of participants, custodians, or others; the closing of BTC trading platforms due to fraud, failures, security breaches or otherwise; or network outages or congestion, power outages, or other problems or disruptions affecting the Bitcoin network. Any disruption of the Bitcoin network could result in the inability of the Company to transfer or sell BTC, and the price of BTC.</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BTC and other digital assets are novel assets, and are subject to significant legal, commercial, regulatory and technical uncertainty, which could materially adversely affect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financial position, operations and prospects.</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BTC and other digital assets, as well as applications on blockchain networks such as Bitcoin, are relatively novel and are subject to significant uncertainty, which could adversely impact their price. The application of state and federal securities laws and other laws and regulations to digital assets and blockchain-based applications is unclear in certain respects, and it is possible that regulators in the United States or foreign countries may interpret or apply existing laws and regulations in a manner that adversely affects the price of BTC or other digital assets, or the ability of blockchain-based applications to operate.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U.S. federal government, states, regulatory agencies, and foreign countries may also enact new laws and regulations, or pursue regulatory, legislative, enforcement or judicial actions, that could materially impact the price of BTC or the ability of individuals or institutions such as us to own or transfer BTC and utilize blockchain-based applications on networks such as Bitcoin. For example, the U.S. executive branch, the SEC, the European Union’s Markets in Crypto Assets Regulation, among others, have been active in recent years, and in the United Kingdom, the Financial Services and Markets Act 2023 became law. Additionally, legislative and regulatory priorities may change depending on changes in leadership, as evidenced by recent and proposed initiatives such as the Genius Act of 2025, the anticipated Digital Asset Market Clarity Act, and updates to the Commission’s Regulatory Flexibility Agenda.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BTC specifically. The consequences of increased regulation of digital assets and digital asset activities could adversely affect the market price of BTC and in turn adversely affect the market price of our Ordinary Shares.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growth of the digital assets industry in general, and the use and acceptance of BTC in particular, may also impact the price of BTC and is subject to a high degree of uncertainty. The pace of worldwide growth in the adoption and use of the Bitcoin network and BTC may depend, for instance, on public familiarity with digital assets, ease of buying, accessing or gaining exposure to BTC, institutional demand for BTC as an investment asset, the participation of traditional financial institutions in the digital assets industry, consumer demand for BTC as a means of payment, and the availability and popularity of alternatives to BTC. Even if growth in BTC adoption occurs in the near or medium term, there is no assurance that BTC and the Bitcoin network usage will continue to grow over the long term.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variety of technical factors related to the Bitcoin blockchain could also impact the price of BTC. The liquidity of BTC may also be reduced and damage to the public perception of Bitcoin may occur, if financial institutions were to deny or limit banking services to businesses that hold BTC, provide Bitcoin-related services or accept BTC as payment, which could also decrease the price of BTC.</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liquidity of BTC may also be impacted to the extent that changes in applicable laws and regulatory requirements negatively impact the ability of exchanges and trading venues to provide services for BTC and other digital assets.</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Changes in regulatory interpretations could require us to register as a money services business or money transmitter, leading to increased compliance costs or operational shutdowns.</w:t>
      </w:r>
    </w:p>
    <w:p>
      <w:pPr>
        <w:spacing w:after="0" w:line="15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regulatory regime for digital assets in the U.S. and elsewhere is uncertain. The Company may be unable to effectively react to proposed legislation and regulation of digital assets, which could adversely affect its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7"/>
          <w:szCs w:val="17"/>
          <w:color w:val="auto"/>
        </w:rPr>
        <w:t>If regulatory changes or interpretations require us to register as a money services business with The Financial Crimes Enforcement Network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If we decide to cease certain operations in response to new regulatory obligations, such actions could occur at a time that is unfavorable to investors.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Multiple states have implemented or proposed regulatory frameworks for digital asset businesses. Compliance with such state-specific regulations may increase costs or impact our business operations. Further, if we or our service providers are unable to comply with evolving federal or state regulations, we may be forced to dissolve or liquidate certain operations, which could materially impact our investors.</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If any of the digital assets that we hold are classified as a security, we may be subject to extensive regulation, which could result in significant costs or force us to cease operations.</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Regulatory changes or interpretations that classify digital assets that we hold as a security under the Securities Act of 1933, as amended, or the Investment Company Act, could require us to register and comply with additional regulations. Compliance with these requirements could impose extraordinary, non-recurring expenses on our business. If the costs and regulatory burdens become too great, we may be forced to modify or cease certain operations, which could be detrimental to our investors.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the SEC or other regulators determine that digital assets that we may hold qualify as securities, we may be required to change our operations, wind down our operations, or register as an investment company under the Investment Company Act. This classification would subject us to additional periodic reporting, disclosure requirements, and regulatory compliance obligations, significantly increasing our operational costs. Compliance with the requirements of the Investment Company Act applicable to registered investment companies may make it difficult for us to continue our current operations, and this would materially and adversely affect our business, financial condition and results of operations. In addition, if BTC or another digital asset we hold were determined to constitute a security for purposes of the federal securities laws, we would likely take steps to reduce the percentage of BTC or such other digital assets that constitute investment assets under the Investment Company Act. These steps may include, among others, selling BTC that we might otherwise hold for the long term and deploying our cash in non-investment assets, and we may be forced to sell our BTC or other digital assets at unattractive prices, or cease our operations.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state regulators may conclude that the digital assets we hold are securities under state laws, requiring us to comply with state-specific securities regulations.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States like California have stricter definitions of “investment contracts” than the SEC, increasing the risk of additional regulatory scrutiny.</w:t>
      </w:r>
    </w:p>
    <w:p>
      <w:pPr>
        <w:spacing w:after="0" w:line="1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classification of digital assets that we hold as a commodity could subject us to additional CFTC regulation, resulting in significant compliance costs or the cessation of certain operations.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current interpretations, BTC could be classified as a commodity under the Commodity Exchange Act and could be subject to regulation by the CFTC. If our activities require CFTC registration, we may be required to comply with extensive regulatory obligations, which could result in significant costs and operational disruptions. Additionally, current and future legislative or regulatory developments, including new CFTC interpretations, could further impact how BTC is classified and traded.</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BTC are regulated as a commodity, we may be required to register as a commodity pool operator and register the Company as a commodity pool with the CFTC through the National Futures Association. Compliance with these additional regulatory requirements could result in substantial, non-recurring expenses, adversely affecting an investment in our securities. If we determine not to comply with such regulations, we may be forced to cease certain operations, which could negatively impact our investors.</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Mutual funds, exchange-traded funds (ETFs) and their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our changes to our digital asset strategy, our use of leverage, our ability to engage in transactions with affiliated parties and our operating and investment activities generally are not subject to the extensive legal and regulatory requirements and prohibitions that apply to investment companies and investment advisers.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Due to the unregulated nature and lack of transparency surrounding the operations of many digital asset trading venues, digital asset trading venues experience greater risk of fraud, market manipulation and other deceptive marketing practices, as well as security failures or regulatory or operational problems than trading venues for more established asset classes, which may result in a loss of confidence in digital asset trading venues and adversely affect the value of digital assets, and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financial position, operations and prospects.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Digital asset trading venues are relatively new and, in many cases, unregulated. Furthermore, there are many digital asset trading venues that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such trading and/or are subject to regulatory oversight, in the event one or more digital asset trading venues cease or pause for a prolonged period the trading of digital assets, or experience fraud, significant volumes of withdrawal, security failures or operational problems.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Negative perception, a lack of stability in the broader digital asset markets and the closure, temporary shutdown or operational disruption of digital asset trading venues, lending institutions, institutional investors, institutional miners, custodians, or other major participants in the digital asset ecosystem, due to fraud, business failure, cybersecurity events, government-mandated regulation, bankruptcy, or for any other reason, may result in a decline in confidence in digital assets and the broader digital asset ecosystem and greater volatility in the price of digital assets. The price of our listed securities may be affected by the value of our future digital asset holdings, and the failure of a major participant in the ecosystem could have a material adverse effect on the market price of our listed securities.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Our historical financial statements do not reflect the potential variability in earnings that we may experience in the future relating to our proposed holdings of digital assets. Accordingly, it may be difficult to evaluate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business and future prospects, and the Company may not be able to achieve or maintain profitability in any given period.</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historical financial statements do not reflect the potential variability in earnings that we may experience in the future from holding or selling digital assets. The price of digital assets generally has historically been subject to dramatic price fluctuations and is highly volatile. We will need to perform an analysis each quarter to identify whether events or changes in circumstances indicate that our digital assets are impaired. As a result, volatility in our earnings may be significantly more than what we experienced in prior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lack of legal recourse and insurance for digital assets increases the risk of total loss in the event of theft or destruction.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shareholders could face significant financial losses.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The Company will face risks relating to the custody of its digital assets. If we or our third-party service providers experience a security breach or cyberattack and unauthorized parties obtain access to our private keys, or if our private keys are lost or destroyed, or other similar circumstances or events occur, we may lose some or all of our digital assets and our financial condition and results of operations could be materially adversely affected.</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expect our primary counterparty risk with respect to our BTC will be custodian performance obligations under the custody arrangements we enter into. A series of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SEC enforcement actions against other providers, or placement into receivership or civil fraud lawsuit against digital asset industry participants have highlighted the perceived and actual counterparty risk applicable to digital asset ownership and trading. Legal precedent created in these bankruptcies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 assurance can be provided that our custodially held BTC will not become part of the custodian’s insolvency estate if one or more of our custodians enters bankruptcy, receivership or similar insolvency proceedings. Additionally, if we pursue any strategies to create income streams or otherwise generate funds using our BTC holdings, we would become subject to additional counterparty risks. We will need to carefully evaluate market conditions, including price volatility as well as service provider terms and market reputations and performance, among others, prior to implementing any such strategy, all of which could affect our ability to successfully implement and execute on any such future strategy. These risks, along with any significant non-performance by counterparties, including in particular the custodian or custodians with which we will custody substantially all of our BTC, could have a material adverse effect on our business, prospects, financial condition, and operating results.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The irreversibility of digital asset transactions exposes us to risks of theft, loss and human error, which could negatively impact our business.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Although we plan to regularly transfer digital assets to or from vendors, consultants and services providers, it is possible that, through computer or human error, or through theft or criminal action, such assets could be transferred in incorrect amounts or to unauthorized third parties.</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The emergence or growth of other digital assets, including those with significant private or public sector backing, including by governments, consortiums or financial institutions, could have a negative impact on the price of BTC and adversely affect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securities.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Following the launch of the Company’s proposed digital asset treasury strategy, as a result of our Bitcoin-focused strategy, we expect our assets to be concentrated in BTC holdings. Accordingly, the emergence or growth of digital assets other than BTC, including those with significant private or public sector backing, including by governments, consortiums or financial institutions, may have a material adverse effect on our financial condition. There are numerous alternative digital assets and many entities, including consortiums and financial institutions, are researching and investing resources into private or permissioned blockchain platforms. If the mechanisms or network effects on alternative blockchain platforms are perceived as superior to the Bitcoin network, those digital assets could gain market share relative to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have a history of significant operating losses since inception and our ability to continue as a going concern is subject to significant uncertainty, and there can be no assurance that our Treasury Strategy will be successfully implemented or that additional financing will not be required.</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we recorded a profit of €4.0 million, mainly due to the recorded gain from change in the fair value of convertible debentures carried at fair value. For the same period we recorded an operating loss of €7.7 million, while our net cash used in operations amounted to €7.3 million. We have incurred net losses since our inception in March 2016 up until 2024, resulting in an accumulated deficit of €317.4 million as of December 31, 2025 compared to an accumulated deficit of €321.4 million as of December 31, 2024.</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Subsequent to December 31, 2025, we implemented a series of actions intended to improve liquidity and reduce ongoing cash requirements. These actions, which are more fully described in “Item 17 – Subsequent Events” of Part II, Item 8 of this Annual Report, included: (i) raising gross proceeds of approximately $5.0 million in March 2026, consisting of a $3.0 million convertible debenture and a pre-funded warrant issued for aggregate proceeds of approximately $2.0 million; (ii) adopting our Treasury Strategy and entering into an institutional framework with Blockchain.com (BVI) II Limited in the form of the ISDA Master Agreement and the related Schedule and Credit Support Annex, to facilitate related derivative and hedging transactions in connection with our digital asset holdings; and (iii) terminating current and future funding commitments to the Subsidiary (Sono Motors GmbH) and initiating our exit from the legacy solar operations conducted through the Subsidiary, which is expected to materially reduce our ongoing cash outflows. Management believes that these actions, taken together, may provide sufficient resources to fund our streamlined operating plan under the Treasury Strategy, consisting principally of holding company overhead and public company compliance costs, for at least twelve months from the date the financial statements are issued. Our independent registered public accounting firm has included a going concern explanatory paragraph in its report on our financial statements for the year ended December 31, 2025, indicating that substantial doubt about the Company's ability to continue as a going concern exists.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However, our ability to maintain adequate liquidity remains subject to significant uncertainties, including, among other things, the price volatility and liquidity characteristics of digital assets, the terms and potential collateral requirements of transactions entered into in connection with the Treasury Strategy, the timing and costs associated with exiting the legacy solar operations (which we are currently unable to estimate), and that our outstanding convertible debenture issued to Yorkville in the first quarter of fiscal 2026 will reach maturity in March 2027, which may require us to negotiate a refinancing or conversion of the debenture prior to or at maturity. There can be no assurance that the Treasury Strategy will generate the anticipated returns, that the exit from our legacy solar operations will be completed without material unforeseen costs, or that additional financing will not be required beyond the next twelve months. If we are unable to generate sufficient cash flows from the Treasury Strategy or to secure additional financing as required, we may need to curtail our operations, which could adversely affect our business, financial condition, results of operations and cash flows, and may ultimately lead to insolvency or liquidation.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as a result of the opening of self-administration proceedings in 2023, the Company lost control of Sono Motors GmbH on May 19, 2023 and regained control upon the Subsidiary's exit from those proceedings on February 29, 2024. In the first quarter of 2026, the Company determined to cease funding to Sono Motors GmbH and exit its legacy solar business to focus exclusively on the Treasury Strategy, as described above. As a result, our financial information going forward may in many respects not be comparable to our historical financial information.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multiple material weaknesses in our internal control over financial reporting and, as a result, management has concluded that our internal control over financial reporting and our disclosure controls and procedures were not effective as of December 31, 2025. Even though we plan on remediating these material weaknesses, if we are unable to do so, or if other control deficiencies are identified as a result of ongoing or future processes, we may not be able to report our financial results accurately, prevent fraud or file our periodic reports as a public company in a timely manner.</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audits of our consolidated financial statements for the years ended December 31, 2024, 2023 and 2022, and management’s assessment of the effectiveness of our internal controls and procedures for the year ended December 31, 2025,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Due to the multiple material weaknesses identified, which had not been remediated as of December 31, 2025, our management concluded that our internal control over financial reporting and our disclosure controls and procedures were not effective as of December 31, 2025.</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light of the Companies’ successful emergence from their respective Self-Administration Proceedings and the restructuring and recapitalization of our businesses, we are currently planning measures to remedy such material weaknesses. Beginning January 1, 2025, the planned remedial measures began with the hiring of additional accounting staff and the appointment of a new chief financial officer who possess the requisite skills to address technical accounting and reporting issues and implement processes that include taking steps to improve our controls and procedures. We continue to devote attention to remediating these deficiencies and specifically plan to incorporate automated and software-based accounting tools, engage third parties to support our internal resources related to accounting and internal controls, implement ongoing internal trainings for our accounting and finance teams and continue to invest in our finance IT systems. While we are continuing to work on remediating the weaknesses identified, and plan to remediate these weaknesses in 2026, based on our limited financial and operational resources, we cannot at this time guarantee that we will have remediated these material weaknesses this year. The remediation measures are time-consuming and costly and place significant demands on our financial and operational resources.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course of documenting and testing our internal control procedures in the future, we, or an outside advisor,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Further we are non-compliant with the Dutch financial reporting requirements with regard to the timely filing of our audited 2023, 2022, 2021 and 2020 Dutch statutory financial statements with the Dutch trade register and, following the corporate measures implemented in connection with the restructuring of our business and resulting personnel and other limitations, it is likely that we will not be timely with the filing of our audited 2024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 liability under the standards of Dutch corporate law, which may negatively affect our reputation.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155"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the Subsidiary is non-compliant with German financial reporting requirements with regard to the timely filing of its 2024 statutory financial statements with the German trade register and the German Federal Gazette, which has in the past led, and - until compliance is established - may in the future lead, to the imposition of penalties and fines. German financial reporting rules under the Securities Trading Act (</w:t>
      </w:r>
      <w:r>
        <w:rPr>
          <w:rFonts w:ascii="Times New Roman" w:cs="Times New Roman" w:eastAsia="Times New Roman" w:hAnsi="Times New Roman"/>
          <w:sz w:val="17"/>
          <w:szCs w:val="17"/>
          <w:i w:val="1"/>
          <w:iCs w:val="1"/>
          <w:color w:val="auto"/>
        </w:rPr>
        <w:t>Verm</w:t>
      </w:r>
      <w:r>
        <w:rPr>
          <w:rFonts w:ascii="Times New Roman" w:cs="Times New Roman" w:eastAsia="Times New Roman" w:hAnsi="Times New Roman"/>
          <w:sz w:val="17"/>
          <w:szCs w:val="17"/>
          <w:color w:val="auto"/>
        </w:rPr>
        <w:t>ö</w:t>
      </w:r>
      <w:r>
        <w:rPr>
          <w:rFonts w:ascii="Times New Roman" w:cs="Times New Roman" w:eastAsia="Times New Roman" w:hAnsi="Times New Roman"/>
          <w:sz w:val="17"/>
          <w:szCs w:val="17"/>
          <w:i w:val="1"/>
          <w:iCs w:val="1"/>
          <w:color w:val="auto"/>
        </w:rPr>
        <w:t>gensanlagegesetz</w:t>
      </w:r>
      <w:r>
        <w:rPr>
          <w:rFonts w:ascii="Times New Roman" w:cs="Times New Roman" w:eastAsia="Times New Roman" w:hAnsi="Times New Roman"/>
          <w:sz w:val="17"/>
          <w:szCs w:val="17"/>
          <w:color w:val="auto"/>
        </w:rPr>
        <w:t>) require the timely filing of the Subsidiary’s audited German statutory financial statements by June 30 of the year following the applicable financial period. Non-compliance with these filing requirements exposes us to penalties and fines.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Any failure on our part to discover and/or remediate existing material weaknesses, to discover and address any other control deficiencies and to achieve and maintain an effective internal control environment, could result in inaccuracies in our consolidated financial statements, could impair our ability to comply with applicable financial reporting requirements and make related regulatory filings on a timely basis and could cause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or misuse of corporate assets and subject us to potential regulatory investigations and civil or criminal sanctions. We cannot assure you that all of our existing material weaknesses have been identified, that we will not identify additional material weaknesses in the future or that we will be able to achieve and maintain an effective internal control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Our advertisements may not have complied in the past with all relevant legal requirements and may be subject to misperception.</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Interruptions or failures of information technology and communications systems could disrupt our business and affect our ability to effectively provide our services.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product offering, marketing channels and overall presence. Our data of any kind stored on the cloud services and on individual devices could be lost due to improper handling, insufficient commissioning of third parties to create backup copies damage or accidental or intentional deletion by our employees. Our data could also fall into the hands of third parties, whether through espionage, hacking or incorrect operation of the systems. Any unauthorized access to our data or any asset could result in its leakage, loss, manipulation or fraud or materially impair our business operations.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Despite the implementation of security measures by us or our service partners, our or our service partners’ systems, as well as those of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various liability risks resulting from past or existing employment relationships and labor laws.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light of our decision to terminate the Sion program in February 2023 and our financial situation, we terminated the vast majority of our employees. Thereafter, in connection with the corporate structure and business model envisioned in the Yorkville Investment Agreements, including the streamlined initial business focus on the Solar Bus Kit, we terminated the contracts of 40 employees, including the contracts of the four managing directors of the Subsidiary, in September 2023. In addition, in line with our streamlined operational approach and strategic focus on key partnerships, the Subsidiary has over the last year implemented a reduction in workforce. There may be further reductions in its workforce as a result of the termination by the Company of all current and future funding commitments to the Subsidiary and the decision to exit the legacy solar operations conducted through the Subsidiary.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Times New Roman" w:cs="Times New Roman" w:eastAsia="Times New Roman" w:hAnsi="Times New Roman"/>
          <w:sz w:val="17"/>
          <w:szCs w:val="17"/>
          <w:i w:val="1"/>
          <w:iCs w:val="1"/>
          <w:color w:val="auto"/>
        </w:rPr>
        <w:t>Arbeitszeitgesetz</w:t>
      </w:r>
      <w:r>
        <w:rPr>
          <w:rFonts w:ascii="Times New Roman" w:cs="Times New Roman" w:eastAsia="Times New Roman" w:hAnsi="Times New Roman"/>
          <w:sz w:val="17"/>
          <w:szCs w:val="17"/>
          <w:color w:val="auto"/>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and stakeholder expectations relating to environmental, social and governance matters may impose additional costs and expose us to new risks.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continue to closely monitor developments relating to environmental, social and governance (“ESG”) regulations. At the federal level in the United States, the SEC has proposed new rules requiring public companies to disclose extensive climate-related information in their registration statements and periodic reports. Such proposed rules have been stayed pending the completion of the judicial review of several petitions consolidated in the U.S. Court of Appeals for the Eight Circuit and are currently being reconsidered by the SEC under the new U.S. administration. The countries in which we operate are following different approaches to the regulation of climate change and other sustainability matters, which increases the complexity of, and potential costs related to complying with, such regulations.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Simultaneously, there are efforts by some stakeholders to reduce companies’ efforts on certain ESG, including human capital management-related matters, and anti-ESG or anti-diversity, equity and inclusion (“DEI”) sentiment is gaining momentum across the United States, with several states having enacted or proposed anti-ESG or anti-DEI policies or legislation and several state and federal governmental authorities filing suit alleging that ESG or DEI measures or initiatives violate law.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Further,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If we were sued under any of these claims, our financial condition, reputation or business could be adversely impacted. Increasingly, different stakeholder groups have divergent views on ESG matters, which increases the risk that any action or lack thereof with respect to ESG matters will be perceived negatively by at least some stakeholders and adversely impact our reputation and business. If we do not successfully manage expectations across varied stakeholder interests, it could erode stakeholder trust, impact our reputation and constrain our business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17"/>
          <w:szCs w:val="17"/>
          <w:color w:val="auto"/>
        </w:rPr>
        <w:t>As ESG best practices and regulations continue to evolve, we expect to incur increasing costs relating to ESG monitoring, reporting and compliance, and these efforts will require substantial time and attention of management. This could have a material adverse effect on our business, results of operations, value chain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Legal and Tax Risks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various environmental laws and regulations that could impose substantial costs upon us.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operations have been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(Bundes-Bodenschutzgesetz), and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the EU Corporate Sustainability Due Diligence Directive or the Act on Corporate Due Diligence Obligations in Supply Chains (Lieferkettensorgfaltspflichtengesetz) including as a result of recent legislative or regulatory initiatives. Environmental and health and safety laws and regulations can be complex.</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legal proceedings based on the alleged violation of intellectual property rights either by us or third parties, such as patent or trademark infringement claims, which may be time-consuming and cause us to incur substantial costs.</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Technological innovation will be a crucial aspect of our potential success. We have been granted several patents for our technologies. As the number of competitors in our market increases, and as the number of patents issued in the area of 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our proprietary rights and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would infringe. Also, because the claims of published patent applications can change between publication and patent grant, there may be published patent applications that may ultimately issue with claims that we infringe.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17"/>
          <w:szCs w:val="17"/>
          <w:color w:val="auto"/>
        </w:rPr>
        <w:t>The scope of patent claims is subject to construction based on interpretation of the law, the written disclosure in a patent and the patent’s prosecution history. Our interpretation of the relevance or the scope of a patent or a pending application may be incorrect. Established vehicle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vehicle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we may not be able to build name recognition in our markets of interest, which may adversely affect our business.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trademark registrations and applications are valuable assets and may be challenged, infringed, circumvented or declared generic or determined to infringe a third party’s trademarks. There is a risk that we may not be able to protect our rights to these or other trademark registrations or applications.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Successful third-party challenges to the use of any of our trademarks may require us to rebrand our business or certain products or services associated therewith.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7"/>
          <w:szCs w:val="17"/>
          <w:color w:val="auto"/>
        </w:rPr>
        <w:t>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Our efforts in enforcing or protecting our trademarks may be ineffective and could result in substantial costs and diversion of resources and adversely affect our business.</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example:</w:t>
      </w:r>
    </w:p>
    <w:p>
      <w:pPr>
        <w:spacing w:after="0" w:line="209" w:lineRule="exact"/>
        <w:rPr>
          <w:sz w:val="20"/>
          <w:szCs w:val="20"/>
          <w:color w:val="auto"/>
        </w:rPr>
      </w:pPr>
    </w:p>
    <w:p>
      <w:pPr>
        <w:ind w:left="920" w:hanging="463"/>
        <w:spacing w:after="0" w:line="276" w:lineRule="auto"/>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or processes that are identical or similar to any product or process we have developed and commercialized or utilize similar intellectual property or technologies that we now or may in the future own or have in-licensed;</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make the inventions covered by the patents or pending patent applications that we own or have in- licensed;</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file patent applications covering certain of our or their inventions;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intellectual property or technologies or duplicate any of our intellectual property or technologies without infringing our owned or in-licensed intellectual property rights;</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lead to issuance of patents;</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that we own or have in-licensed may be held invalid or unenforceable, including as a result of legal challenges by our or our licensors’ competitors;</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trade secrets or proprietary know-how that is patentable;</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and/or our technology may infringe existing third party patents, leading to either loss of freedom to operate or the need to pay license fees;</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proprietary know-how, and a third party may subsequently file a patent covering such trade secrets or proprietary know-how; and</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 party may infringe our patents resulting in the need for legal action, including potential litigation, to protect our patents, and there can be no guarantees that we would be successful in such legal actions in all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they could have a material adverse effect on our business, financial condition, results of operations and reputation.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various privacy laws, the violation of which could result in substantial fines and other negative consequences.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collect, store and process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data and information we collect and manage in conducting our business may subject us to legislative and regulatory burdens and requirements in the EEA and the United States of America that could require notification of data breaches, restrict our use of such information and hinder our ability to acquire new customers or market to existing customers. We have not yet implemented a comprehensive set 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7"/>
          <w:szCs w:val="17"/>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the risk of litigation or other legal proceedings that could cause us to spend substantial resources and disrupt our business.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light of our decision to terminate the Sion passenger car program in February 2023, as of the end of March 2023, we terminated the vast majority of our employees. Thereafter, in connection with the new corporate structure and business model envisioned in the then-current negotiations surrounding the Yorkville Investment Agreements, we terminated the contracts of 40 employees, including the contracts of the four managing directors of the Subsidiary, in September 2023. In addition, in line with our streamlined operational approach and strategic focus on key partnerships, the Subsidiary has over the last year implemented a reduction in workforce. There may be further reductions in its workforce as a result of the termination by the Company of all current and future funding commitments to the Subsidiary and the decision to exit the legacy solar operations conducted through the Subsidiary.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We also terminated and settled relationships with several former business partners that became obsolete. Former business partners may assert substantial payment claims or sue us for damages.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7"/>
          <w:szCs w:val="17"/>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or remedial measures and legal expenses, and cause considerable damage to our reputation, thereby negatively affecting our business, results of operations, financial condition and future business opportunities.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additional Dutch and German taxes, in particular, due to the statutory seat of the Company in the Netherlands.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There is a risk that the German tax authorities classify the Company as Dutch tax resident. If the German tax authorities conclude that the Company is not, has ceased to be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pay dividends, we may need to withhold tax on such dividends payable to holders of our Ordinary Shares in both Germany and the Netherlands.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currently do not intend to pay any dividends to holders of our Ordinary Shares. However, if we do pay dividends, we may need to withhold tax on such dividends in both Germany and the Netherlands.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continue to be a tax resident of Germany and our place of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(or deemed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Furthermore, the withholding tax restriction referred to above is based on the current choices and reservation made by Germany under the Multilateral Convention to Implement Tax Treaty Related Measures to Prevent Base Erosion and Profit Shifting (“MLI”). If Germany changes its MLI choices and reservation, we may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taxable in a jurisdiction other than Germany and this may increase the aggregate tax burden on us.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Since our incorporation we have had, on a continuous basis, our place of “effective management” in Germany (albeit that such management connection with Germany has been diluted). The German tax authorities may still deem the remaining management connection or other local presence sufficiently strong to assert taxing rights under German domestic law. As an entity incorporated under Dutch law, however, we also qualify as a tax resident of the Netherlands on the basis of Dutch domestic law. Yet, based on our current management structure and the current tax laws of the United States, Germany and the Netherlands, as well as applicable income tax treaties, and current interpretations thereof, if the German tax authorities would seek to assert taxing rights due to effective management from Germany,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choices and reservation, seeing that management ties with the Netherlands are entirely absent. Our sole tax residency in Germany for purposes of the above-mentioned tax treaty is subject to the application of the provisions on tax residency as stipulated in such treaty as amended from time to time. The MLI, Germany and the Netherlands entered into, among other countries, should not, as of this date, affect such tax treaty’s rules regarding tax residency.</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test of “effective management” is largely a question of fact and degree based on all the circumstances, rather than a question of law. Nevertheless, the relevant case law and OECD guidance suggest that our Company is unlikely to be regarded as a Dutch tax resident in a tax treaty context if, as our Company intends, (i) no management board meetings will be held in the Netherlands and management board members attending through video conferencing will not be present in the Netherlands for those meetings; (ii) at those meetings there are full discussions of, and decisions are made regarding, the key strategic issues affecting our Company and its subsidiaries; (iii) those meetings are properly minuted; (iv) none of our management board members, together with supporting staff, are based in the Netherlands; and (v) our Company does not have permanent staffed office premises in the Netherlands. We may, however, become subject to income tax liability in other countries with regard to the income generated in the respective other country, for example, due to the existence of a permanent establishment or a permanent representative in such other country.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applicable tax laws, tax treaties or interpretations thereof may change, including the MLI choices and reservation. Furthermore, whether we have our place of effective management in Germany and are as such solely tax resident in Germany is largely a question of fact and degree based on all the circumstances, rather than a question of law, which facts and degree may also change. Changes to applicable tax laws or interpretations thereof, changes to applicable facts and circumstances (for example, a change of directors or the place where board meetings take place), or changes to applicable tax treaties, including a change to the application of the MLI, may result in a taxable presence in (an)other jurisdiction(s). See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Regulatory, Legal and Tax Risks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If we do pay dividends, we may need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withhold tax on such dividends payable to holders of our Ordinary Shares in both Germany and the Netherlands</w:t>
      </w:r>
      <w:r>
        <w:rPr>
          <w:rFonts w:ascii="Times New Roman" w:cs="Times New Roman" w:eastAsia="Times New Roman" w:hAnsi="Times New Roman"/>
          <w:sz w:val="17"/>
          <w:szCs w:val="17"/>
          <w:color w:val="auto"/>
        </w:rPr>
        <w:t>.” As a consequence, our overall effective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and income tax expense could materially increase, which could have a material adverse effect on our business, results of operations, financial condition and prospects, which could cause our share price and trading volume to decline.</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may be or become a passive foreign investment company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PFIC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which could result in adverse United States federal income tax consequences to United States investors.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Based on the composition of our income and valuation of our assets we believe that we were not a PFIC in our taxable year ended December 31, 2025.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PFIC status is a factual determination that is made annually and thus may be subject to change. It is therefore possible that we could become a PFIC in our taxable year ending December 31, 2026, or in a future taxable year.</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If we are or were to become a PFIC, such characterization could result in adverse United States federal income tax consequences and burdensome reporting requirements to a holder of Ordinary Shares if such holder is a United States investor.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investment in our securities carries a high degree of risk and should be considered as a speculative investment.</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 investment in our securities carries a high degree of risk and should be considered as a speculative investment. We have a limited history of earnings, a limited operating history, have not paid dividends, and are unlikely to pay dividends in the immediate or near future. The likelihood of our success must be considered in light of the problems, expenses, difficulties, complications and delays frequently encountered in connection with the establishment of any business. An investment in our securities may result in the loss of an investor’s entire investment. Only potential investors who are experienced in high risk investments and who can afford to lose their entire investment should consider an investment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may be highly volatile, and you could lose all or part of your investment.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trading price of our Ordinary Shares is likely to be volatile.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stock price could be subject to wide fluctuations in response to a variety of other factors, which include:</w:t>
      </w:r>
    </w:p>
    <w:p>
      <w:pPr>
        <w:spacing w:after="0" w:line="209" w:lineRule="exact"/>
        <w:rPr>
          <w:sz w:val="20"/>
          <w:szCs w:val="20"/>
          <w:color w:val="auto"/>
        </w:rPr>
      </w:pPr>
    </w:p>
    <w:p>
      <w:pPr>
        <w:ind w:left="460" w:hanging="231"/>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achieve our anticipated corporate objectives;</w:t>
      </w:r>
    </w:p>
    <w:p>
      <w:pPr>
        <w:spacing w:after="0" w:line="209" w:lineRule="exact"/>
        <w:rPr>
          <w:rFonts w:ascii="Times New Roman" w:cs="Times New Roman" w:eastAsia="Times New Roman" w:hAnsi="Times New Roman"/>
          <w:sz w:val="17"/>
          <w:szCs w:val="17"/>
          <w:color w:val="auto"/>
        </w:rPr>
      </w:pPr>
    </w:p>
    <w:p>
      <w:pPr>
        <w:ind w:left="460" w:hanging="231"/>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or operational estimates or projections;</w:t>
      </w:r>
    </w:p>
    <w:p>
      <w:pPr>
        <w:spacing w:after="0" w:line="209" w:lineRule="exact"/>
        <w:rPr>
          <w:rFonts w:ascii="Times New Roman" w:cs="Times New Roman" w:eastAsia="Times New Roman" w:hAnsi="Times New Roman"/>
          <w:sz w:val="17"/>
          <w:szCs w:val="17"/>
          <w:color w:val="auto"/>
        </w:rPr>
      </w:pPr>
    </w:p>
    <w:p>
      <w:pPr>
        <w:ind w:left="460" w:hanging="231"/>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restrictions on the ability of our stockholders to sell their shares; and</w:t>
      </w:r>
    </w:p>
    <w:p>
      <w:pPr>
        <w:spacing w:after="0" w:line="209" w:lineRule="exact"/>
        <w:rPr>
          <w:rFonts w:ascii="Times New Roman" w:cs="Times New Roman" w:eastAsia="Times New Roman" w:hAnsi="Times New Roman"/>
          <w:sz w:val="17"/>
          <w:szCs w:val="17"/>
          <w:color w:val="auto"/>
        </w:rPr>
      </w:pPr>
    </w:p>
    <w:p>
      <w:pPr>
        <w:ind w:left="460" w:hanging="231"/>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or political conditions in the United States or elsewhere.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the stock market in general has recently experienced extreme price and volume fluctuations that have often been unrelated or disproportionate to the operating performance of these companies. Such rapid and substantial price volatility, including any stock run-up, may be unrelated to our actual or expected operating performance and financial condition or prospects, making it difficult for prospective investors to assess the rapidly changing value of our Ordinary Shares. This volatility may prevent you from being able to sell your Ordinary Shares at or above the price you paid for them. If the market price of our Ordinary Shares after this offering does not exceed the offering price, you may not realize any return on your investment in us and may lose some or all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in the future, issue additional Ordinary Shares or other securities, which would reduce investors’ percent of ownership and dilute our share value.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Future sales or issuances of equity securities could decrease the value of the Ordinary Shares, dilute shareholders’ voting power and reduce future potential earnings per Ordinary Share. We may sell additional equity securities in subsequent offerings (including through the sale of securities convertible into Ordinary Shares) and may issue additional equity securities to finance our operations, acquisitions or other business projects. We cannot predict the size of future sales and issuances of equity securities or the effect, if any, that future sales and issuances of equity securities will have on the market price of the Ordinary Shares. Sales or issuances of a substantial number of equity securities, or the perception that such sales could occur, may adversely affect prevailing market prices for the Ordinary Shares. With any additional sale or issuance of equity securities, investors will suffer dilution of their voting power and may experience dilution in our earnings per Ordinary Share.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Subject to the terms of our articles of incorporation and applicable securities laws, we are not restricted from issuing additional Ordinary Shares or securities similar to the Ordinary Shares, including any securities that are convertible into or exchangeable for, or that represent the right to receive, Ordinary Shares. The market price of the Ordinary Shares could decline as a result of sales of Ordinary Shares, sales of other securities made after this offering, or as a result of the perception that such sales could occur. Because our decision to issue securities in any future offering will depend on market conditions and other factors beyond our control, we cannot predict or estimate the amount, timing or nature of any future offerings. Thus, holders of the Ordinary Shares bear the risk of our future offerings reducing the market price of the Ordinary Shares and diluting their holdings in the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equity issuances and digital-asset-linked financings may dilute existing shareholders and affect the market price of our Ordinary Shares.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has entered into, and may in the future enter into, additional financing arrangements that could result in the issuance of a substantial number of Ordinary Shares. During fiscal 2025, the Company completed the transactions contemplated by the Yorkville Restructuring Investment and the Yorkville Commitment, in connection with which the Company issued Preferred Shares to Yorkville that are convertible into Ordinary Shares, provided, that under the Exchange Agreement, Yorkville may not convert Preferred Shares if, after giving effect to such conversion, Yorkville and any of its affiliates would beneficially own more than 4.99% of the number or voting power of the Ordinary Shares outstanding immediately after giving effect to such conversion, which limitations may be waived by Yorkville upon not less than 65 days’ prior notice to the Company. In addition, subsequent to year-end, the Company issued the Pre-Funded Warrant to Yorkville. The Pre-Funded Warrant is exercisable for up to 283,367 Ordinary Shares at an exercise price of €0.01 per share (subject to certain adjustments), is exercisable immediately upon issuance, and may be exercised, in whole or in part, at any time until exercised in full. Yorkville (together with its Attribution Parties (as defined in the Pre-Funded Warrant)) may not exercise any Pre-Funded Warrant to the extent that Yorkville would own more than 4.99% of the outstanding Ordinary Shares immediately after giving effect to the issuance of Ordinary Shares issuable upon exercise of such Pre-Funded Warrant, which percentage may be changed at Yorkville’s election to a lower or higher percentage not in excess of 9.99% upon 61 days’ notice to the Company, subject to the terms of the Pre-Funded Warrant. If such limitations are waived and all of such securities are converted or exercised, the number of outstanding Ordinary Shares could increase materially, resulting in dilution of existing shareholders’ voting and economic interests.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jc w:val="both"/>
        <w:spacing w:after="0" w:line="262" w:lineRule="auto"/>
        <w:rPr>
          <w:sz w:val="20"/>
          <w:szCs w:val="20"/>
          <w:color w:val="auto"/>
        </w:rPr>
      </w:pPr>
      <w:r>
        <w:rPr>
          <w:rFonts w:ascii="Times New Roman" w:cs="Times New Roman" w:eastAsia="Times New Roman" w:hAnsi="Times New Roman"/>
          <w:sz w:val="17"/>
          <w:szCs w:val="17"/>
          <w:color w:val="auto"/>
        </w:rPr>
        <w:t>While these arrangements strengthen liquidity and support the Company’s growth initiatives, they also expose shareholders to potential future dilution and share-price volatility. The market price of the Company’s Ordinary Shares may fluctuate based on expectations regarding the timing, scale, or pricing of any future equity issuances under these or similar facilities.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Digital-asset treasury and market-value volatility could adversely affect our financial position and liquidity.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part of its long-term capital strategy, the Company established a digital asset treasury (DAT) Strategy that includes holdings of BTC acquired in connection with the Treasury Strategy. While these assets are intended to generate on-chain yield and support future digital-finance initiatives, they expose the Company to risks not typically associated with traditional financial instruments.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market for digital assets such as BTC is highly volatile and subject to rapid and material fluctuations in value due to regulatory changes, technology vulnerabilities, network-level disruptions, and shifts in market sentiment. A significant decline in BTC token prices could reduce the carrying value of the Company’s digital-asset holdings and collateral base, potentially resulting in impairment charges or the need to post additional collateral under certain custodial or trading arrangements.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Treasury Strategy, the Company transfers Bitcoin to Blockchain.com (BVI) II Limited as collateral pursuant to the Credit Support Annex to the ISDA Master Agreement, in amounts determined by reference to the mark-to-market exposure under the outstanding derivative and hedging transactions. While such collateral is posted, the Company's ability to recover the transferred Bitcoin is contractually limited to Blockchain.com's performance of its return obligations under the Credit Support Annex. As a result, the Company bears counterparty credit exposure to Blockchain.com for the value of Bitcoin transferred as collateral. Any default, insolvency or operational failure by Blockchain.com could adversely affect the Company's ability to recover such assets, which could materially impair the Company's liquidity position and its ability to fund its ongoing operating expenses and obligations.</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Although management has implemented procedures to monitor counterparty, custody, and market-price risk, there can be no assurance that such measures will prevent losses or liquidity constraints arising from future market volatility or regulatory developments affecting digital-asset markets.</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At the January 2024 EGM, shareholders approved a reverse share split of the Ordinary Shares and the High Voting Shares. On December 23, 2024, the Company amended its articles of association to implement the Reverse Share Split at a ratio of 1-for-75 (the “Reverse Split Ratio”), resulting in every 75 Ordinary Shares issued and outstanding immediately prior to the Reverse Share Split being converted into one Ordinary Shares and every 75 High Voting Shares issued and outstanding immediately prior to the Reverse Share Split being converted into one High Voting Share. In connection therewith, our authorized share capital was reduced from 320,000,000 Ordinary Shares, with a nominal value of €0.06 each, to 4,300,000 Ordinary Shares, with a nominal value of €0.02 each, and from 4,000,000 High Voting Shares, with a nominal value of €1.50 each, to 53,400 High Voting Shares, with a nominal value of €0.50 each. In accordance with resolutions adopted and approved amendments to the Company’s articles of association at the January 2024 EGM our authorized capital was further changed to 120,000,000 Ordinary Shares, with a nominal value of €0.01 each, 40,000 High Voting Shares, with a nominal value of €0.25 each, and 1,401 Preferred Shares, with a nominal value of €300 each. Following clearance from FINRA, the Reverse Share Split took market effect on January 6, 2025. At the Company’s extraordinary meeting of shareholders on November 7, 2024 (the “November 2024 EGM”), the shareholders approved a proposal to increase (in one or a series of amendments) our authorized share capital in order to cover the increase of our authorized share capital under an authority of the management board to issue Ordinary Shares or grant rights to subscribe for Ordinary Shares. Further, pursuant to the approved and completed Debt Conversion, Yorkville received 1,401 Preferred Shares that are convertible into Ordinary Shares. The conversion of such Preferred Shares as well as the issuance of any additional Ordinary Shares will cause substantial dilution to our then existing shareholders. We cannot predict the size of future issuances of our Ordinary Shares, or the effect, if any, that future issuances and sales of shares would have on the market price of our Ordinary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Following the listing of our Ordinary Shares on the Nasdaq Capital Market in September 2025, we may not be able to meet the continuing listing requirements of the Nasdaq Capital Market and therefore may not be able to have our Ordinary Shares traded on Nasdaq or other national stock exchange in the future.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Ordinary Shares have been listed on the Nasdaq Capital Market since September 2025. To maintain this listing, we must continue to satisfy Nasdaq’s ongoing listing standards, including requirements relating to, among other things, minimum bid price, market value of publicly held shares, market value of listed securities, shareholders’ equity, corporate governance, and timely filing of periodic reports with the SEC, as well as other qualitative and quantitative criteria. Our ability to meet these continued listing requirements may be adversely affected by factors outside of our control, including declines in our share price, volatility in the trading market for our Ordinary Shares, reduced investor demand, adverse developments in our business, financial condition, results of operations, liquidity, or prospects, and broader market conditions. In addition, actions we may take to preserve liquidity, pursue financings or strategic alternatives, or restructure operations could negatively affect our ability to satisfy one or more Nasdaq continued listing standards.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Ordinary Shares were delisted from the Nasdaq Global Market effective February 25, 2024, which has had, and may continue to have, a material adverse effect on our business and the trading and price of our Ordinary Shares. Any future failure to meet Nasdaq’s continued listing requirements could again materially and adversely affect the liquidity, trading volume, and market price of our Ordinary Shares and could impair our ability to access the capital markets.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fail to satisfy Nasdaq’s continued listing requirements, Nasdaq may issue a deficiency notice and we may be afforded a period of time to regain compliance. We may not be able to regain compliance within any applicable cure period or at all. While we may consider available compliance measures, including seeking stockholder approval for corporate actions such as a reverse share split, there can be no assurance that any such measures would be successful, would be implemented in time, or would enable us to maintain our listing on the Nasdaq Capital Market.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our ordinary shares are delisted from Nasdaq, our securities could be traded on an over-the-counter market (if at all), which would likely result in reduced liquidity, increased price volatility, and a decline in the market price of our ordinary shares. A delisting could also adversely affect our ability to raise additional financing on acceptable terms or at all, increase our cost of capital, limit our ability to use equity as consideration for strategic transactions or compensation, and increase transaction costs and administrative burdens. Further, a delisting could adversely affect investor confidence, the market perception of our Company, and the value of an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could fluctuate significantly, which could result in substantial losses for purchasers of our Ordinary Shares.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stock market in general and the market for smaller technology companies in particular have experienced extreme volatility that has often been unrelated to the operating performance of particular companies. As a result of this volatility, you may lose some or all of your investment. The market price of our Ordinary Shares is affected by the supply and demand for our Ordinary Shares, which may be influenced by numerous factors, many of which are beyond our control, including:</w:t>
      </w:r>
    </w:p>
    <w:p>
      <w:pPr>
        <w:spacing w:after="0" w:line="169" w:lineRule="exact"/>
        <w:rPr>
          <w:sz w:val="20"/>
          <w:szCs w:val="20"/>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 in actual or projected results of operations;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projected earnings or failure to meet securities analysts’ earnings expectations;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analyst coverage;</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analyst recommendations;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trading volumes in our Ordinary Shares (including by the sale of shares granted to our employees under employee participation programs);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large-volume or targeted transactions by short-sellers;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shareholder and/or share structure;</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conversions by Yorkville of its convertible debentures or its Preferred Shares;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macroeconomic conditions;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activities of competitors and sellers;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comparable companies;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refine our solar technology and business and reach market readiness;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management or other key employees;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patent, shareholder or customer litigation;</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investor and analyst perception with respect to our business or the solar technology and automotive industries in general; and</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statutory framework applicable to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share price may be subject to substantial fluctuation.</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general market conditions and fluctuation of share prices and trading volumes could lead to pressure on the market price of our Ordinary Shares, even if there may not be a reason for this based on our business performance or earnings outlook. Prices for companies with a limited operating history, particularly in industries with barriers such as the solar technology and mobility industries, may be more volatile compared to share prices for established companies or companies from other industries. The price of our Ordinary Shares has been volatile since our IPO.</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If the market price of our Ordinary Shares declines as a result of the realization of any of these risks, investors could lose part or all of their investment in our Ordinary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jc w:val="both"/>
        <w:spacing w:after="0" w:line="262" w:lineRule="auto"/>
        <w:rPr>
          <w:sz w:val="20"/>
          <w:szCs w:val="20"/>
          <w:color w:val="auto"/>
        </w:rPr>
      </w:pPr>
      <w:r>
        <w:rPr>
          <w:rFonts w:ascii="Times New Roman" w:cs="Times New Roman" w:eastAsia="Times New Roman" w:hAnsi="Times New Roman"/>
          <w:sz w:val="17"/>
          <w:szCs w:val="17"/>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Our multiple-class share structure with different voting rights will limit your ability as a holder of Ordinary Shares to influence corporate matters and could discourage others from pursuing any change of control transactions that holders of Ordinary Shares may view as beneficial.</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currently have a multiple-class share structure, as our share capital consists of Ordinary Shares, High Voting Shares and Preferred Shares. In respect of matters requiring the votes of shareholders, holders of Ordinary Shares are entitled to one vote per share, while holders of High Voting Shares are entitled to 25 votes per share. Each High Voting Share is convertible into one Ordinary Share at any time by the holder thereof, while Ordinary Shares are not convertible into High Voting Shares under any circumstances. A holder of Preferred Shares is entitled to 30,000 votes per Preferred Share; provided, however, that if a holder holds shares with an aggregate nominal value exceeding €20,000, such holder can only vote a number of shares equal to 9.99% of the votes attached to all issued and outstanding shares of the Company under our amended articles of association (subject to any contractually agreed voting blocker). This limitation may be lifted by a resolution of the Company’s supervisory board. Further, each Preferred Share is convertible into 30,000 Ordinary Shares at the Effective Conversion Price (as defined below). Ordinary Shares are convertible into Preferred Shares under any circumstances.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the date of this Annual Report, all of the issued and outstanding High Voting Shares are held by SVSE. The sole member of SVSE is George O’Leary, the Company’s former Chief Executive Officer and former Managing Director. The current concentration of ownership, if so maintained, may discourage, delay or prevent a change in control of our Company, which could deprive our other shareholders of an opportunity to receive a premium for their Ordinary Shares as part of a sale of our Company and might ultimately affect the market price of our Ordinary Shares. Such concentrated control will limit your ability to influence corporate matters that holders of Ordinary Shares may view as beneficial. In addition, certain index providers, such as S&amp;P Dow Jones or FTSE Russell, view multi-class shares critically and have amended their rules so that companies with multi-class shares will no longer be added to their indexes.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Debt Conversion, shareholders at the November 2024 EGM approved the creation of a new class of Preferred Shares in the capital of the Company. As a result of a successful closing of the Debt Conversion, the Company issued 1,401 Preferred Shares to Yorkville and adopted an amendment to its articles of association (the “Articles Amendment”). A Preferred Share is pro rata its nominal value entitled to dividend rights and will have a preferred entitlement upon liquidation of the Company.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Under the terms of the Exchange Agreement, as amended, the Company issued 1,401 Preferred Shares to Yorkville solely in exchange for the surrender and cancellation of all of the debentures held by Yorkville, including the 2022 Debentures, the 2024 Debentures, the New Commitment Debenture and the Advance Debentures. In connection with the conversion of each Preferred Share, the effective conversion price (the “Effective Conversion Price”) per share will be equal to 85% of the lowest daily volume weighted average price of the Ordinary Shares during the 10 trading days immediately preceding the date of the notice of conversion, subject to a floor price equal to (i) $4.00 from the closing date until the end of the day that is six months from the date the Ordinary Shares are listed on the Nasdaq Capital Market, and (ii) $1.00 thereafter. Upon the conversion of each Preferred Share, Yorkville will be required to surrender the Preferred Share being converted, and Yorkville will automatically sell and transfer to the Company for no consideration (the “Repurchase”) additional Preferred Shares such that the total number of Preferred Shares surrendered and subject to the Repurchase will be equal to (a) the total number of Ordinary Shares issuable upon such conversion, multiplied by (b) the Effective Conversion Price, divided by (c) 30,000. Under Dutch corporate law, the Company may not acquire more than half of its nominal share capital. If, as a result of a Repurchase and/or the conversion of High Voting Shares into Ordinary Shares, the Company holds more than half of its nominal share capital, the Company must first take appropriate measures to lower its pro rata percentage of treasury shares. Under the terms of the Exchange Agreement, Yorkville may not convert Preferred Shares if, after giving effect to such conversion, Yorkville and any of its affiliates would beneficially own more than 4.99% of the number or voting power of the Ordinary Shares outstanding immediately after giving effect to such conversion. Such ownership limitations may be waived by Yorkville upon not less than 65 days’ prior notice to the Company. The issuance of Ordinary Shares in connection with conversions of Preferred Shares by Yorkville could cause existing shareholders to experience substantial dilution of their interest in us. </w:t>
      </w:r>
      <w:r>
        <w:rPr>
          <w:rFonts w:ascii="Times New Roman" w:cs="Times New Roman" w:eastAsia="Times New Roman" w:hAnsi="Times New Roman"/>
          <w:sz w:val="17"/>
          <w:szCs w:val="17"/>
          <w:i w:val="1"/>
          <w:iCs w:val="1"/>
          <w:color w:val="auto"/>
        </w:rPr>
        <w:t>See also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Future offerings of debt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securities by us could adversely affect the market price of our Ordinary Shares, and future issuances of equity securities could lead to a substantial dilution of our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6"/>
          <w:szCs w:val="16"/>
          <w:color w:val="auto"/>
        </w:rPr>
        <w:t>As a result of the Debt Conversion and issuance of the Preferred Shares, Yorkville has acquired a large ownership stake in the Company. Furthermore, if Yorkville and SVSE enter into the Call Option Agreement (as defined herein), as currently intended, the Call Option (as defined herein) granted by SVSE to Yorkville would enable Yorkville to acquire an even larger ownership stake in the Company. Under the Call Option Agreement, if executed, Yorkville would have the ability, at its discretion, to purchase all of the Ordinary Shares and High Voting Shares held by SVSE in one or more transactions prior to the Expiration Time (as defined herein), provided that Yorkville may not exercise the Call Option if, after giving effect to such exercise, Yorkville and any of its affiliates would beneficially own more than 4.99% of</w:t>
      </w:r>
    </w:p>
    <w:p>
      <w:pPr>
        <w:spacing w:after="0" w:line="1" w:lineRule="exact"/>
        <w:rPr>
          <w:sz w:val="20"/>
          <w:szCs w:val="20"/>
          <w:color w:val="auto"/>
        </w:rPr>
      </w:pPr>
    </w:p>
    <w:p>
      <w:pPr>
        <w:jc w:val="both"/>
        <w:ind w:firstLine="1"/>
        <w:spacing w:after="0" w:line="251" w:lineRule="auto"/>
        <w:tabs>
          <w:tab w:leader="none" w:pos="22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High Voting Shares outstanding, (ii) the number of Ordinary Shares outstanding, or (iii) the voting power of the total capital of the Company (including due to the voting rights of the High Voting Shares). Such ownership limitations may be waived by Yorkville upon not less than 65 days’ prior notice to the Company. Any increase in Yorkville’s ownership stake in the Company, whether through the issuance of the Preferred Shares and/or any exercise(s) of the Call Option, would further reduce the ability of holders of our Ordinary Shares to influence corporate matters.</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Future offerings of debt or equity securities by us could adversely affect the market price of our Ordinary Shares, and future issuances of equity securities could lead to a substantial dilution of our shareholders.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will require significant additional capital in the future to finance our business operations and growth. For example, we will require additional funding to expand our commercial operations, and we may seek to offer new equity and/or debt in the future for such funding. The Company may seek to raise such capital through the issuance of additional equity or debt securities with conversion rights (e.g., convertible bonds and option rights) or preferred equity (e.g., preference finance shares). An issuance of additional equity, including the issuance of Ordinary Shares in connection with conversions of our Preferred Shares by Yorkville, or debt securities with conversion rights could potentially reduce the market price of our Ordinary Shares, and the Company currently cannot predict the amounts and terms of such future offerings. We expect such funding to be in the form of, or at least include, additional equity and/or debt fundraising, which will dilute existing shareholders.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Our supervisory board has been authorized for a period of 18 months following the date of our 2025 annual general meeting which took place on August 13, 2025, or until the next annual general meeting of shareholders (whichever comes first) to issue 105,711,643 shares of our Ordinary Shares and/or grant rights to subscribe for 105,711,643 shares of our Ordinary Shares and to limit or exclude preemptive rights in connection therewith and to issue additional High Voting Shares and/or grant rights to subscribe for such additional High Voting Shares for any legal purpose up to a maximum of 13,400 High Voting Shares and to limit or exclude preemptive rights in connection therewith. All of the foregoing could cause existing shareholders to experience substantial dilution of their interest in 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dilution may also arise from (i) the acquisition or investments in companies in exchange, fully or in part, for newly issued Ordinary Shares or High Voting Shares, (ii) conversions by Yorkville of the Preferred Shares and the 2026 Convertible Debentures and the exercise, from time to time, by Yorkville of the Pre-Funded Warrant, (iii) stock options or conversion rights granted to our business partners or our customers as well as from the exercise of stock options or conversion rights granted to our employees in the context of existing or future stock option programs or (iv) the issuance of Ordinary Shares to employees in the context of existing or future employee participation programs.</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Any future issuance of Ordinary Shares, High Voting Shares or Preferred Shares could reduce the market price of our Ordinary Shares and dilute the holdings of existing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by major shareholders could materially adversely affect the market price of our Ordinary Shares.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various reasons, shareholders may sell all or some of our Ordinary Shares, including in order to diversify their investments. Sales of a substantial number of our Ordinary Shares in the public market, or the perception that such sales might occur, could depress the market price of our Ordinary Shares and could impair our ability to raise capital through the sale of additional equity securities.</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the market price for our Ordinary Shares and trading volume could decline.</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The trading market for our Ordinary Shares depends in part on the research and reports that securities or industry analysts publish about us or our business. If securities or industry analyst coverage results in downgrades of our Ordinary Shares or publishes inaccurate or unfavorable research about our business, our share price will likely decline. If one or more of these analysts cease coverage of us or fail to publish reports on us regularly, we could lose visibility in the financial markets and demand for our Ordinary Shares could decrease, which, in turn, could cause the market price or trading volume for our Ordinary Shares to decline significantly.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may not be able to exercise preemptive rights and, as a result, may experience substantial dilution upon future issuances of Ordinary Shares.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the event of an issuance of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Supervisory Board has been authorized for a period of 18 months following the date of our 2025 annual meeting or until the next annual general meeting of shareholders (whichever comes first) to issue 105,711,643 shares or grant rights to subscribe for 105,711,643 Ordinary Shares and to limit or exclude preemptive rights in connection therewith and to issue additional High Voting Shares and/or grant rights to subscribe for such additional High Voting Shares for any legal purpose up to a maximum of 13,400 High Voting Shares and to limit or exclude preemptive rights in connection therewith. All of the foregoing could cause existing shareholders to experience substantial dilution of their interest in us.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dilution may also arise from, among other things, (i) the acquisition or investments in companies in exchange, fully or in part, for newly issued Ordinary Shares or High Voting Shares, if issued, (ii) stock options or conversion rights granted to our business partners or our customers as well as from the exercise of stock options or conversion rights granted to our employees in the context of existing or future stock option programs or (iii) the issuance of Ordinary Shares to employees in the context of existing or future employee participation programs.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Furthermore, future conversions of the Preferred Shares to Ordinary Shares could result in substantial dilution to existing shareholders. For more information about the Preferred Shares and the terms of, and limitations on, their conversion,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Our multiple-class share structure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different voting rights will limit your ability as a holder of Ordinary Shares to influence corporate matters and could discourage others from pursuing any change of control transactions that holders of Ordinary Shares may view as beneficial.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For additional risks related to dilution,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Future offerings of debt or equity securities by us could adversely affect the market price of our Ordinary Shares, and future issuances of equity securities could lead to a substantial dilution of our shareholders.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any dividends in the foreseeable future.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currently intend to retain our future earnings, if any, for the foreseeable future, to fund our operations as well as the growth of our business. Accordingly, we currently do not intend to pay any dividends to holders of our shares. As a result, capital appreciation in the price of our Ordinary Shares, if any, will be your only source of gain on an investment in our Ordinary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Status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We have and will continue to incur increased costs as a result of operating as a public company, and our management has and will continue to be required to devote substantial time to new compliance initiatives and corporate governance practices.</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a public company we have and will continue to incur significant legal, accounting and other expenses that we did not incur as a private company, including, but not limited to, costs and expenses for supervisory board members’ fees, increased directors and officers insurance, investor relations and various other costs of a public company. The Sarbanes-Oxley Act, the Dodd-Frank Wall Street Reform and Consumer Protection Act and other applicable securities rules and regulations impose various requirements on public companies, including establishment and maintenance of effective disclosure and financial controls and corporate governance practices. In addition, during 2024, we determined that the Company no longer qualifies as a foreign private issuer, as defined under the Exchange Act. As a result, effective as of January 1, 2025, the Company is no longer eligible to use the rules designed for foreign private issuers and is instead considered a U.S. domestic issuer. As such, the Company is required to comply with, among other things, U.S. proxy requirements and Regulation FD and its officers, directors and principal shareholders are subject to the beneficial ownership reporting and short-swing profit recovery requirements under Section 16 of the Exchange Act. The Company is also no longer eligible to rely upon exemptions from corporate governance requirements that are available to foreign private issuers or to benefit from other accommodations for foreign private issuers under the rules of the SEC. Further, we are now required to file periodic reports and financial statements prepared in accordance with U.S. GAAP with the SEC on Form 10-K and Form 10-Q, as applicable, as well as current reports on Form 8-K, which are more detailed and extensive than the forms available to a foreign private issuer.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In addition, we expect to incur additional incremental ongoing costs in connection with becoming a U.S. domestic issuer. The actual amount of the incremental expenses we will incur may be higher, perhaps significantly, from our current estimates for a number of reasons, and there may be additional costs we may incur that we have not currently anticipated.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required to comply with Sections 302 and 906 of the Sarbanes-Oxley Act. In addition, pursuant to Section 404(a) of the Sarbanes-Oxley Act, we are required to furnish a report by our management on our internal control over financial reporting annually. While we remain an emerging growth company, we are not required to include an attestation report on internal control over financial reporting issued by our independent registered public accounting firm pursuant to Section 404(b). We expect that we will cease to be an emerging growth company on December 31, 2026 (the last day of the fiscal year in which the fifth anniversary of the completion of our IPO occurs), at which time we will become subject to additional requirements applicable to non-emerging growth company issuers; however, so long as we continue to qualify as a non-accelerated filer and a smaller reporting company, we will remain exempt from the auditor attestation requirement under Section 404(b). Loss of emerging growth company status, if it were to occur, would increase some of our compliance obligations and costs, but would not, by itself, subject us to Section 404(b) so long as we remain a non-accelerated filer and smaller reporting company.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7"/>
          <w:szCs w:val="17"/>
          <w:color w:val="auto"/>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Ordinary Shares due to a loss of investor confidence in the reliability of our reporting processes.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consequences of being a public company could have a material adverse effect on our business, financial condition, results of operations and prospects.</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Investors may have difficulty enforcing civil liabilities against us or the members of our management and supervisory board or our other officers (functionarissen).</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organized and exist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7"/>
          <w:szCs w:val="17"/>
          <w:i w:val="1"/>
          <w:iCs w:val="1"/>
          <w:color w:val="auto"/>
        </w:rPr>
        <w:t>functionarissen</w:t>
      </w:r>
      <w:r>
        <w:rPr>
          <w:rFonts w:ascii="Times New Roman" w:cs="Times New Roman" w:eastAsia="Times New Roman" w:hAnsi="Times New Roman"/>
          <w:sz w:val="17"/>
          <w:szCs w:val="17"/>
          <w:color w:val="auto"/>
        </w:rPr>
        <w:t>) (including our management board members, supervisory board members and executive officers) are governed in certain respects by the laws of the Netherlands.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not a resident of the United States and our officers of Sono Motors GmbH are not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Also, service of process against non-residents of the United States can in principle (absent, for example, a valid choice of domicile) not be effected in the United States. Furthermore, substantially all of our assets are located outside the United States.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7"/>
          <w:szCs w:val="17"/>
          <w:i w:val="1"/>
          <w:iCs w:val="1"/>
          <w:color w:val="auto"/>
        </w:rPr>
        <w:t>behoorlijke rechtspleging</w:t>
      </w:r>
      <w:r>
        <w:rPr>
          <w:rFonts w:ascii="Times New Roman" w:cs="Times New Roman" w:eastAsia="Times New Roman" w:hAnsi="Times New Roman"/>
          <w:sz w:val="17"/>
          <w:szCs w:val="17"/>
          <w:color w:val="auto"/>
        </w:rPr>
        <w:t>), (iii) binding effect of such United States judgment is not contrary to Dutch public order (</w:t>
      </w:r>
      <w:r>
        <w:rPr>
          <w:rFonts w:ascii="Times New Roman" w:cs="Times New Roman" w:eastAsia="Times New Roman" w:hAnsi="Times New Roman"/>
          <w:sz w:val="17"/>
          <w:szCs w:val="17"/>
          <w:i w:val="1"/>
          <w:iCs w:val="1"/>
          <w:color w:val="auto"/>
        </w:rPr>
        <w:t>openbare orde</w:t>
      </w:r>
      <w:r>
        <w:rPr>
          <w:rFonts w:ascii="Times New Roman" w:cs="Times New Roman" w:eastAsia="Times New Roman" w:hAnsi="Times New Roman"/>
          <w:sz w:val="17"/>
          <w:szCs w:val="17"/>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foreign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jc w:val="both"/>
        <w:spacing w:after="0" w:line="262" w:lineRule="auto"/>
        <w:rPr>
          <w:sz w:val="20"/>
          <w:szCs w:val="20"/>
          <w:color w:val="auto"/>
        </w:rPr>
      </w:pPr>
      <w:r>
        <w:rPr>
          <w:rFonts w:ascii="Times New Roman" w:cs="Times New Roman" w:eastAsia="Times New Roman" w:hAnsi="Times New Roman"/>
          <w:sz w:val="17"/>
          <w:szCs w:val="17"/>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for actual losses or damages.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Annual Report.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on the foregoing, there can be no assurance that U.S. investors will be able to enforce against us or management board members, supervisory board members, executive officers, our other officers (</w:t>
      </w:r>
      <w:r>
        <w:rPr>
          <w:rFonts w:ascii="Times New Roman" w:cs="Times New Roman" w:eastAsia="Times New Roman" w:hAnsi="Times New Roman"/>
          <w:sz w:val="17"/>
          <w:szCs w:val="17"/>
          <w:i w:val="1"/>
          <w:iCs w:val="1"/>
          <w:color w:val="auto"/>
        </w:rPr>
        <w:t>functionarissen</w:t>
      </w:r>
      <w:r>
        <w:rPr>
          <w:rFonts w:ascii="Times New Roman" w:cs="Times New Roman" w:eastAsia="Times New Roman" w:hAnsi="Times New Roman"/>
          <w:sz w:val="17"/>
          <w:szCs w:val="17"/>
          <w:color w:val="auto"/>
        </w:rPr>
        <w:t>)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Dutch public company. The rights of our shareholders may be different from the rights of shareholders in companies governed by the laws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jurisdictions and may not protect investors in a similar fashion afforded by incorporation in a U.S. jurisdiction.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a public company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Our articles of association contain exclusive forum provisions for certain claims, which could limit our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ability to obtain a favorable judicial forum for disputes with us or the members of our management or supervisory board.</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169" w:lineRule="exact"/>
        <w:rPr>
          <w:sz w:val="20"/>
          <w:szCs w:val="20"/>
          <w:color w:val="auto"/>
        </w:rPr>
      </w:pPr>
    </w:p>
    <w:p>
      <w:pPr>
        <w:jc w:val="both"/>
        <w:ind w:left="920" w:hanging="463"/>
        <w:spacing w:after="0" w:line="262"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multi-class share structure which consists of Ordinary Shares and High Voting Shares and, upon execution of the Articles Amendment, Preferred Shares, with Ordinary Shares carrying one vote per share, High Voting Shares carrying 25 votes per share and Preferred Shares carrying 30,000 votes per share;</w:t>
      </w:r>
    </w:p>
    <w:p>
      <w:pPr>
        <w:spacing w:after="0" w:line="16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 Voting Shares and the Preferred Shares, are not listed;</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p>
      <w:pPr>
        <w:spacing w:after="0" w:line="157" w:lineRule="exact"/>
        <w:rPr>
          <w:rFonts w:ascii="Times New Roman" w:cs="Times New Roman" w:eastAsia="Times New Roman" w:hAnsi="Times New Roman"/>
          <w:sz w:val="17"/>
          <w:szCs w:val="17"/>
          <w:color w:val="auto"/>
        </w:rPr>
      </w:pPr>
    </w:p>
    <w:p>
      <w:pPr>
        <w:jc w:val="both"/>
        <w:ind w:left="920" w:hanging="463"/>
        <w:spacing w:after="0" w:line="262"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69" w:lineRule="exact"/>
        <w:rPr>
          <w:rFonts w:ascii="Times New Roman" w:cs="Times New Roman" w:eastAsia="Times New Roman" w:hAnsi="Times New Roman"/>
          <w:sz w:val="17"/>
          <w:szCs w:val="17"/>
          <w:color w:val="auto"/>
        </w:rPr>
      </w:pPr>
    </w:p>
    <w:p>
      <w:pPr>
        <w:jc w:val="both"/>
        <w:ind w:left="920" w:hanging="463"/>
        <w:spacing w:after="0" w:line="262"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6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management board, with the approval of our supervisory board, can - in accordance with Dutch law -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submit a request to the Enterprise Chamber of the Amsterdam Court of Appeal (the “Enterprise Chamber”) (</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for early termination of the cooling-off period. The Enterprise Chamber must rule in favor of the request if the shareholders can demonstrate that:</w:t>
      </w:r>
    </w:p>
    <w:p>
      <w:pPr>
        <w:spacing w:after="0" w:line="184" w:lineRule="exact"/>
        <w:rPr>
          <w:sz w:val="20"/>
          <w:szCs w:val="20"/>
          <w:color w:val="auto"/>
        </w:rPr>
      </w:pPr>
    </w:p>
    <w:p>
      <w:pPr>
        <w:ind w:left="920" w:hanging="463"/>
        <w:spacing w:after="0" w:line="276" w:lineRule="auto"/>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board cannot reasonably believe that a continuation of the cooling-off period would contribute to careful policy-making; or</w:t>
      </w:r>
    </w:p>
    <w:p>
      <w:pPr>
        <w:spacing w:after="0" w:line="209"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comply with all the best practice provisions of the Dutch Corporate Governance Code.</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subject to the Dutch Corporate Governance Code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securities exchange requirement), the company is required to give the reasons for such noncompliance. The DCGC applies to Dutch companies listed on a government-recognized stock exchange, whether in the Netherlands or elsewhere. We do not comply with all the best practice provisions of the DCGC and we are not reporting or accounting the best practice provisions that we do comply with. This may affect your rights as a shareholder and you may not have the same level of protection as a shareholder in a Dutch company that fully complies with the DCGC.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an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and 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and we cannot be certain if the reduced disclosure requirements applicable to emerging growth companies and smaller reporting companies will make our Ordinary Shares less attractive to investors.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For so long as we continue to be an emerging growth company,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exemptions from the requirements of holding a nonbinding advisory vote on executive compensation and reduced executive compensation disclosure. As a result, our shareholders may not have access to certain information that they may deem important. We expect that we will cease to be an emerging growth company on December 31, 2026 (the last day of the fiscal year in which the fifth anniversary of the completion of our IPO occurs),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also a “smaller reporting company,” as defined in the Exchange Act. 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404(b) of the Sarbanes-Oxley Act and reduced disclosure obligations regarding executive compensation in our periodic reports and proxy statements. We cannot predict if investors will find our Ordinary Shares less attractive because we may rely on these exemptions and reduced disclosure requirements. If some investors find our Ordinary Shares less attractive, as a result, there may be a less active trading market for our Ordinary Shares and the price of our Ordinary Shares may be more volatile.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other tax attributes may be limited.</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ability to utilize our net operating loss carryforwards is currently limited, and may be limited further, under Section 8c of the German Corporation Income Tax Act (</w:t>
      </w:r>
      <w:r>
        <w:rPr>
          <w:rFonts w:ascii="Times New Roman" w:cs="Times New Roman" w:eastAsia="Times New Roman" w:hAnsi="Times New Roman"/>
          <w:sz w:val="17"/>
          <w:szCs w:val="17"/>
          <w:i w:val="1"/>
          <w:iCs w:val="1"/>
          <w:color w:val="auto"/>
        </w:rPr>
        <w:t>K</w:t>
      </w:r>
      <w:r>
        <w:rPr>
          <w:rFonts w:ascii="Times New Roman" w:cs="Times New Roman" w:eastAsia="Times New Roman" w:hAnsi="Times New Roman"/>
          <w:sz w:val="17"/>
          <w:szCs w:val="17"/>
          <w:color w:val="auto"/>
        </w:rPr>
        <w:t>ö</w:t>
      </w:r>
      <w:r>
        <w:rPr>
          <w:rFonts w:ascii="Times New Roman" w:cs="Times New Roman" w:eastAsia="Times New Roman" w:hAnsi="Times New Roman"/>
          <w:sz w:val="17"/>
          <w:szCs w:val="17"/>
          <w:i w:val="1"/>
          <w:iCs w:val="1"/>
          <w:color w:val="auto"/>
        </w:rPr>
        <w:t>rperschaftsteuergesetz</w:t>
      </w:r>
      <w:r>
        <w:rPr>
          <w:rFonts w:ascii="Times New Roman" w:cs="Times New Roman" w:eastAsia="Times New Roman" w:hAnsi="Times New Roman"/>
          <w:sz w:val="17"/>
          <w:szCs w:val="17"/>
          <w:color w:val="auto"/>
        </w:rPr>
        <w:t>) (the “KStG”) and Section 10a of the German Trade Tax Act (</w:t>
      </w:r>
      <w:r>
        <w:rPr>
          <w:rFonts w:ascii="Times New Roman" w:cs="Times New Roman" w:eastAsia="Times New Roman" w:hAnsi="Times New Roman"/>
          <w:sz w:val="17"/>
          <w:szCs w:val="17"/>
          <w:i w:val="1"/>
          <w:iCs w:val="1"/>
          <w:color w:val="auto"/>
        </w:rPr>
        <w:t>Gewerbesteuergesetz</w:t>
      </w:r>
      <w:r>
        <w:rPr>
          <w:rFonts w:ascii="Times New Roman" w:cs="Times New Roman" w:eastAsia="Times New Roman" w:hAnsi="Times New Roman"/>
          <w:sz w:val="17"/>
          <w:szCs w:val="17"/>
          <w:color w:val="auto"/>
        </w:rPr>
        <w:t>) (the “GewStG”). These limitations apply if a qualified ownership change, as defined by Section 8c of the KStG, occurs and no exemption is applicable.</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case of such a qualified ownership change tax loss carryforwards expire in full. To the extent that the tax loss carryforwards do not exceed the built-in gains (</w:t>
      </w:r>
      <w:r>
        <w:rPr>
          <w:rFonts w:ascii="Times New Roman" w:cs="Times New Roman" w:eastAsia="Times New Roman" w:hAnsi="Times New Roman"/>
          <w:sz w:val="17"/>
          <w:szCs w:val="17"/>
          <w:i w:val="1"/>
          <w:iCs w:val="1"/>
          <w:color w:val="auto"/>
        </w:rPr>
        <w:t>stille Reserven</w:t>
      </w:r>
      <w:r>
        <w:rPr>
          <w:rFonts w:ascii="Times New Roman" w:cs="Times New Roman" w:eastAsia="Times New Roman" w:hAnsi="Times New Roman"/>
          <w:sz w:val="17"/>
          <w:szCs w:val="17"/>
          <w:color w:val="auto"/>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w:t>
      </w:r>
      <w:r>
        <w:rPr>
          <w:rFonts w:ascii="Times New Roman" w:cs="Times New Roman" w:eastAsia="Times New Roman" w:hAnsi="Times New Roman"/>
          <w:sz w:val="17"/>
          <w:szCs w:val="17"/>
          <w:i w:val="1"/>
          <w:iCs w:val="1"/>
          <w:color w:val="auto"/>
        </w:rPr>
        <w:t>fortf</w:t>
      </w:r>
      <w:r>
        <w:rPr>
          <w:rFonts w:ascii="Times New Roman" w:cs="Times New Roman" w:eastAsia="Times New Roman" w:hAnsi="Times New Roman"/>
          <w:sz w:val="17"/>
          <w:szCs w:val="17"/>
          <w:color w:val="auto"/>
        </w:rPr>
        <w:t>ü</w:t>
      </w:r>
      <w:r>
        <w:rPr>
          <w:rFonts w:ascii="Times New Roman" w:cs="Times New Roman" w:eastAsia="Times New Roman" w:hAnsi="Times New Roman"/>
          <w:sz w:val="17"/>
          <w:szCs w:val="17"/>
          <w:i w:val="1"/>
          <w:iCs w:val="1"/>
          <w:color w:val="auto"/>
        </w:rPr>
        <w:t>hrungsgebundener Verlustvortrag</w:t>
      </w:r>
      <w:r>
        <w:rPr>
          <w:rFonts w:ascii="Times New Roman" w:cs="Times New Roman" w:eastAsia="Times New Roman" w:hAnsi="Times New Roman"/>
          <w:sz w:val="17"/>
          <w:szCs w:val="17"/>
          <w:color w:val="auto"/>
        </w:rPr>
        <w:t>”) if the business operations have not been changed and will not be changed within the meaning of Section 8d of the KStG.</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According to an appeal filed by the fiscal court of Hamburg dated August 29, 2017, Section 8c, paragraph 1, sentence 1 of the KStG is not in line with the German constitution. The appeal is still pending. It is unclear when the Federal Constitutional Court will decide this case.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December 31, 2025, there were net operating loss carryforwards of the Subsidiary for German corporate tax purposes of €39.0 million and for German trade tax purposes of €38.0 million available. The contribution of 100% of the Subsidiary’s shares into the Company was qualified as an ownership change within the meaning of Section 8c of the KStG and Section 10a of the GewStG. Furthermore, the termination of the Sion passenger car program in February 2023 was considered a harmful event within the meaning of Section 8d, paragraph 2 of the KStG. As a result, the available tax loss carryforwards of the Subsidiary would generally expire in full. However, the net operating loss carryforwards would not be forfeited to the extent that the Subsidiary has built-in gains in its assets that are fully taxable in Germany. The built-in gains are determined by comparing the fair market value of the respective entity with the entity’s tax book equity. The built-in gains as of December 31, 2025 have not yet been determined. Therefore, it is currently unclear whether all tax losses can still be carried forward.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17"/>
          <w:szCs w:val="17"/>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recognize the importance of assessing, identifying and managing material risks associated with cybersecurity threats, which as such term is defined in Item 106 of Regulation S-K refers to any potential unauthorized occurrence on or conducted through our information systems that may result in adverse effects on the confidentiality, integrity, or availability of our information systems or any information residing therein. Following the pivot of our business model, we intend to take appropriate and reasonable steps to implement cybersecurity risk management processes and integrate such processes into our overall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response to the evolving cyber threat landscape, we have developed a cybersecurity risk management initiative. This program aims to protect our critical systems and sensitive information and is designed to maintain the confidentiality, integrity and accessibility of our systems and data. As part of our cybersecurity risk management initiative, we employ security tools and methods to proactively identify cybersecurity threats and to prevent, detect, investigate, contain, escalate and remediate risks, identified vulnerabilities and security breaches. By utilizing shared methodologies and reporting channels, we promote consistency and alignment across different risk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components of our cybersecurity risk management program include:</w:t>
      </w:r>
    </w:p>
    <w:p>
      <w:pPr>
        <w:spacing w:after="0" w:line="209" w:lineRule="exact"/>
        <w:rPr>
          <w:sz w:val="20"/>
          <w:szCs w:val="20"/>
          <w:color w:val="auto"/>
        </w:rPr>
      </w:pPr>
    </w:p>
    <w:p>
      <w:pPr>
        <w:ind w:left="920" w:hanging="463"/>
        <w:spacing w:after="0" w:line="276" w:lineRule="auto"/>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IT policy that outlines our IT security practices and procedures, which focus on information security, access to data, breach of policy and bolstering the security of our data assets.</w:t>
      </w:r>
    </w:p>
    <w:p>
      <w:pPr>
        <w:spacing w:after="0" w:line="157" w:lineRule="exact"/>
        <w:rPr>
          <w:rFonts w:ascii="Times New Roman" w:cs="Times New Roman" w:eastAsia="Times New Roman" w:hAnsi="Times New Roman"/>
          <w:sz w:val="17"/>
          <w:szCs w:val="17"/>
          <w:color w:val="auto"/>
        </w:rPr>
      </w:pPr>
    </w:p>
    <w:p>
      <w:pPr>
        <w:ind w:left="920" w:hanging="463"/>
        <w:spacing w:after="0" w:line="276" w:lineRule="auto"/>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designated responsibility for executing internal and external mandates and implementing relevant technical and organizational measures to uphold information security standards and compliance.</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Additionally, on the product and vehicle level, we constantly evaluate during the development process whether our products and the integration of our products on to customers’ vehicles are relevant to cybersecurity threats, standards and/or regulations (e.g., automotive standards/regulations ISO/SAE 21434 and UNECE R 155).</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audit committee of our supervisory board is charged with monitoring the Companies’ application of information and communication technology, including risks relating to cybersecurity. The audit committee receives updates from management on our cybersecurity and data protection programs, including an annual update consisting of potential risks and an overview of the administration and control system of the Companies, including the state of the Companies’ cybersecurity and data protection programs, key issues, priorities and challenges.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both"/>
        <w:spacing w:after="0" w:line="276" w:lineRule="auto"/>
        <w:rPr>
          <w:sz w:val="20"/>
          <w:szCs w:val="20"/>
          <w:color w:val="auto"/>
        </w:rPr>
      </w:pPr>
      <w:r>
        <w:rPr>
          <w:rFonts w:ascii="Times New Roman" w:cs="Times New Roman" w:eastAsia="Times New Roman" w:hAnsi="Times New Roman"/>
          <w:sz w:val="17"/>
          <w:szCs w:val="17"/>
          <w:color w:val="auto"/>
        </w:rPr>
        <w:t>In addition to any reports from the audit committee to the full supervisory board regarding cybersecurity, management informs and updates the full supervisory board about any significant cybersecurity incidents and any pressing risk or compliance matters.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management team is responsible for assessing and managing material risks from cybersecurity threats and has the primary responsibility for our overall cybersecurity risk management program. Our management team supervises efforts to prevent, detect, mitigate and remediate cybersecurity threats and incidents through various means, which may include briefings from relevant employees, threat intelligence and other information obtained from governmental, public or private sources and alerts and reports produced by security tools deployed in the IT environment.</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the date of this Annual Report, the Company is not aware of any active cybersecurity threats that have materially affected or are reasonably likely to materially affect the Company, including its business strategy, results of operations or financial condition. For additional information concerning risks related to cybersecurity, see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Risks Related to our Business and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Interruptions or failures of information technology and communications systems could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disrupt our business and affect our ability to effectively provide our services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headquarters are located at Waldmeisterstraße 93, 80935 Munich, Germany. We have leased this 1,455-square meter property for use as an office, workshop, electronics lab and warehouse space for a fixed term until April 30, 2026. Following the expiration, we have the option to extend the term by five years.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in February 2024 we signed a lease for a 900-square foot property at 10101 Lantana Rd., Suite N, Lake Worth, Florida 33449 for use as an office space. The lease was for a fixed term of one year until February 28, 2025 and it automatically renewed for one year. Pursuant to the terms of the agreement, the Company gave 90 days’ notice in September 2025 and the agreement terminated on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From time to time, we have been and may again become involved in various claims and legal proceedings that arise in the ordinary course of our business. We are currently not a party to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the outcome, litigation can have an adverse effect on us because of defense and settlement costs, diversion of management resources and other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Ordinary Shares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Ordinary Shares are listed on the Nasdaq Stock Market LLC, and commenced trading on the Nasdaq Capital Market under the symbol “SSM” on September 5, 2025. From November 17, 2021 through February 25, 2024, our Ordinary Shares were listed on the Nasdaq Global Market under the symbol “SEV.” On July 21, 2023, trading of our Ordinary Shares on the Nasdaq Global Market was suspended. On December 11, 2023, we received a decision of the Panel advising us that the Panel had determined to delist the Ordinary Shares from the Nasdaq Global Market. Nasdaq filed a Form 25 Notification of Delisting with the SEC on February 15, 2023 to complete the delisting. On July 2, 2024 our Ordinary Shares commenced quoting on OTCQB under the ticker symbol “SEVCF” and continued to be quoted on OTCQB until September 5, 2025 when our Ordinary Shares commenced trading on the Nasdaq Capital Market as described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Holders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March 25, 2026, there were 15 holders of record of our Ordinary Shares, one of which was Cede &amp; Co., a nominee for Depository Trust Company (“DTC”), one holder of record of our High Voting Shares and one holder of record of our Preferred Shares. Ordinary Shares that are held by financial institutions as nominees for beneficial owners or in “street name” are deposited into participant accounts at DTC and are considered to be held of record by Cede &amp; Co. as one shareholder.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To date, we have not paid any dividends on our shares, and we do not anticipate paying any cash dividends on our shares in the foreseeable future. We intend to retain all available funds and any future earnings to fund the development and expansion of our business. As a Dutch entity and under Dutch law, we may only pay dividends to the extent our shareholders’ equity (eigen vermogen)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or other distributions from our reserves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See Item 12, </w:t>
      </w:r>
      <w:r>
        <w:rPr>
          <w:rFonts w:ascii="Times New Roman" w:cs="Times New Roman" w:eastAsia="Times New Roman" w:hAnsi="Times New Roman"/>
          <w:sz w:val="17"/>
          <w:szCs w:val="17"/>
          <w:i w:val="1"/>
          <w:iCs w:val="1"/>
          <w:color w:val="auto"/>
        </w:rPr>
        <w:t>Security Ownership of Certain Beneficial Owners and Management and Related Stockholder Matters</w:t>
      </w:r>
      <w:r>
        <w:rPr>
          <w:rFonts w:ascii="Times New Roman" w:cs="Times New Roman" w:eastAsia="Times New Roman" w:hAnsi="Times New Roman"/>
          <w:sz w:val="17"/>
          <w:szCs w:val="17"/>
          <w:color w:val="auto"/>
        </w:rPr>
        <w:t>, of Part III of this Annual Report for information relating to securities authorized for issuance under our equity compensation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Please refer to our Quarterly Reports on Form 10-Q and Current Reports on Form 8-K filed with the SEC for information regarding our sales of unregistered securities during the fiscal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did not repurchase any of our equity securities during the fourth quarter of the fiscal year ended December 31, 2025, and no repurchases were made on our behalf by any affiliated purchaser.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You should read the following discussion and analysis of our financial condition and results of operations together with our audited consolidated financial statements and related notes included elsewhere in this Annual Report. This discussion contains forward-looking statements based upon current plans, expectations and beliefs involving risks and uncertainties, as well as assumptions, that if they never materialize or prove incorrect, could cause our results to differ materially from those expressed or implied by such forward-looking statements. Our actual results may differ materially from those anticipated in these forward-looking statements as a result of various factors, including those set forth under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in other parts of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we were a technology company focused on the development and commercialization of solar integration solutions for commercial vehicles. Our proprietary solar charge controller (MCU) technology enabled the seamless integration of solar energy into high- and low-voltage vehicle architectures, reducing fuel consumption and emissions for diesel-powered vehicles and extending battery life for electric vehicles. Subsequent to December 31, 2025, the Company adopted the Treasury Strategy and initiated an exit from its legacy solar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jc w:val="both"/>
        <w:spacing w:after="0" w:line="262" w:lineRule="auto"/>
        <w:rPr>
          <w:sz w:val="20"/>
          <w:szCs w:val="20"/>
          <w:color w:val="auto"/>
        </w:rPr>
      </w:pPr>
      <w:r>
        <w:rPr>
          <w:rFonts w:ascii="Times New Roman" w:cs="Times New Roman" w:eastAsia="Times New Roman" w:hAnsi="Times New Roman"/>
          <w:sz w:val="17"/>
          <w:szCs w:val="17"/>
          <w:color w:val="auto"/>
        </w:rPr>
        <w:t>Our product portfolio includes complete solar solutions for refrigerated trailers, electric buses, commercial vans and trucks, as well as standalone components, such as solar charge controllers (MCUs) and solar modules. We also provide engineering services to assist OEMs and fleet operators in integrating solar technology into their vehicle production processes.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Since our pivot to solar-only solutions in early 2023, we have continued to refine and expand our offerings, with an increased focus on OEM partnerships to drive adoption of factory-installed solar solutions. While we have generated limited revenue to date, we believe that our technology has large market potential in addressing the growing demand for cost-saving and emission-reducing energy solutions for commercial fleets.</w:t>
      </w:r>
    </w:p>
    <w:p>
      <w:pPr>
        <w:spacing w:after="0" w:line="1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Historically, we have incurred operating losses since our inception; however, in 2024, we recorded an operating profit due to the impact of revaluation gains following the reconsolidation of Sono Motors GmbH after the termination of the Self-Administration Proceedings in early 2024. This one-time accounting impact significantly influenced our reported net income for the year ended December 31, 2024. In 2025, we recorded an operating loss of €7.7 million, although our net income for the same period was positive and amounted to €4.0 million, primarily due to recorded gains in the fair value of convertible debentures carried at fair value.</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Subsequent to December 31, 2025, we implemented a series of actions that we believe fundamentally alter our cost structure and liquidity profile on a going-forward basis. In March 2026, we raised gross proceeds of approximately $5.0 million, consisting of a $3.0 million convertible debenture and a pre-funded warrant issued in a private placement for aggregate proceeds of approximately $2.0 million, adopted our Treasury Strategy and entered into an institutional framework with Blockchain.com (BVI) II Limited in the form of the ISDA Master Agreement and the related Schedule and Credit Support Annex, to facilitate related derivative and hedging transactions in connection with our digital asset holdings, and terminated current and future funding commitments to the Subsidiary (Sono Motors GmbH) and initiated our exit from the legacy solar operations conducted through the Subsidiary, which is expected to materially reduce the Company’s ongoing cash outflows. Management believes these actions, taken together, may provide sufficient resources to fund our streamlined operating plan for at least twelve months from the date the financial statements are issued. However, our ability to maintain adequate liquidity remains subject to significant uncertainties, including the price volatility and liquidity characteristics of digital assets, the potential collateral requirements under our Treasury Strategy, the timing and costs associated with exiting our legacy solar operations, which we are currently unable to estimate, and the maturity of our outstanding convertible debenture in March 2027. See “</w:t>
      </w:r>
      <w:r>
        <w:rPr>
          <w:rFonts w:ascii="Times New Roman" w:cs="Times New Roman" w:eastAsia="Times New Roman" w:hAnsi="Times New Roman"/>
          <w:sz w:val="17"/>
          <w:szCs w:val="17"/>
          <w:i w:val="1"/>
          <w:iCs w:val="1"/>
          <w:color w:val="auto"/>
        </w:rPr>
        <w:t>Liquidity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Outlook and Ability to Continue as a Going Concern</w:t>
      </w:r>
      <w:r>
        <w:rPr>
          <w:rFonts w:ascii="Times New Roman" w:cs="Times New Roman" w:eastAsia="Times New Roman" w:hAnsi="Times New Roman"/>
          <w:sz w:val="17"/>
          <w:szCs w:val="17"/>
          <w:color w:val="auto"/>
        </w:rPr>
        <w:t>” below.</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December 31, 2025, we operated as a single business segment, managing our financing, research and development and product commercialization on a consolidated basis. Our financial results reflect a transition from pre-revenue technology development to commercial-scale implementation, and we expect continued volatility as we scale operations.</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Subsequent to December 31, 2025, we determined in the first quarter of fiscal 2026 to adopt the Treasury Strategy and exit our legacy solar business, as described above. See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below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Historically, our revenue has been derived primarily from prototype sales and pilot installations of our solar retrofit solutions, including the Solar Bus Kit, across commercial vehicle categories such as buses, trucks, refrigerated trailers and electric vans. We have not generated material revenue from our solar technology solutions to date, and revenue for the year ended December 31, 2025 remained limited, reflecting the early-stage nature of our commercial deployments.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Subsequent to December 31, 2025, following our adoption of the Treasury Strategy and the initiation of our exit from legacy solar operations, we do not expect to generate revenue from solar technology activities in future periods. Going forward, the Company's financial performance will depend principally on the cash flows generated through the Treasury Strategy rather than product or service revenues.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we incurred limited cost of sales, reflecting the limited initial revenue generation from prototype projects and early-stage product deployments. Our cost of sales consisted mostly of material costs and personnel expenses. Subsequent to December 31, 2025, following our adoption of the Treasury Strategy and the initiation of our exit from legacy solar operations, we do not expect to incur any cost of sales in future periods.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did not record research expenses in prior years, as we did not engage in fundamental research activities. Our development expenses primarily consist of (i) personnel expenses for our development team, including salaries, bonuses and related share-based compensation, (ii) costs associated with prototype development and solar integration, (iii) professional services and (iv) other expenses. Development costs are expensed as incurred, as the recognition criteria for capitalization have not been met. In 2025, research and development expenses increased, reflecting our technology optimization efforts as well as efforts directed on establishing long-term partnerships and collaborations with OEMs. Subsequent to December 31, 2025, following our adoption of the Treasury Strategy and the initiation of our exit from legacy solar operations, we do not expect to incur any research and development expenses in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Distribution Expenses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recognize selling and distribution expenses on an accrual basis when incurred. These expenses primarily include personnel expenses associated with our sales and business development functions, advertising and marketing costs incurred in connection with promoting our solar technology solutions and establishing new commercial partnerships, and other selling-related costs. Subsequent to December 31, 2025, following our adoption of the Treasury Strategy and the initiation of our exit from legacy solar operations, we anticipate selling and distribution expenses to decrease significantly in future periods as commercial activities associated with our solar technology business are wound down.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recognize general and administrative expenses on an accrual basis when incurred. These expenses primarily include professional fees (comprising consultant, legal, audit and compliance costs), personnel costs, insurance, software fees and subscriptions, and other general overhead costs. As a public company listed on the Nasdaq Capital Market, we also incur ongoing costs related to regulatory compliance, financial reporting, investor relations and corporate governance. We anticipate general and administrative expenses to continue to reflect the costs associated with maintaining our public company infrastructure and supporting our broader operational and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Income/Expenses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Other operating income primarily includes government grants and any non-recurring income. Other operating expenses mainly consist of foreign exchange losses from currency conversions and other non-operating costs. These items may vary from period to period depending on external factors such as exchange rate fluctuations and grant allocations.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from Reconsolidation of Subsidiary</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On February 29, 2024, the Subsidiary exited its Self-Administration Proceedings via the Plan. As a result, all outstanding debts between the Company and the Subsidiary were extinguished, and the Subsidiary was reconsolidated into our consolidated financial statements effective March 1, 2024.</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reconsolidation resulted in a net gain of approximately €62.6 million, reflecting the revaluation of the Subsidiary’s net assets and the extinguishment of parental guarantees and related liabilities. This gain is recorded in our 2024 operating results and represents the financial impact of regaining control over the Subsidiary.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While this gain had a significant positive effect on our reported 2024 operating results, it does not reflect ongoing business operations or recurring profitability. We expect that our future financial performance will depend principally on the cash flows generated through the Treasury Strategy. In line with these expectations there was no gain from reconsolidation recorded for the fiscal year ended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Similar Expenses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Interest expenses primarily consist of costs associated with interest-bearing liabilities, including convertible debentures and other financing instruments used to support our operations. These expenses reflect the cost of capital required to fund our business activities and ongoing development efforts.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05"/>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consolidated results of operations for the periods indicated:</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5"/>
        </w:trPr>
        <w:tc>
          <w:tcPr>
            <w:tcW w:w="6300" w:type="dxa"/>
            <w:vAlign w:val="bottom"/>
          </w:tcPr>
          <w:p>
            <w:pPr>
              <w:spacing w:after="0"/>
              <w:rPr>
                <w:sz w:val="24"/>
                <w:szCs w:val="24"/>
                <w:color w:val="auto"/>
              </w:rPr>
            </w:pPr>
          </w:p>
        </w:tc>
        <w:tc>
          <w:tcPr>
            <w:tcW w:w="2640" w:type="dxa"/>
            <w:vAlign w:val="bottom"/>
            <w:gridSpan w:val="2"/>
          </w:tcPr>
          <w:p>
            <w:pPr>
              <w:jc w:val="center"/>
              <w:ind w:left="436"/>
              <w:spacing w:after="0"/>
              <w:rPr>
                <w:sz w:val="20"/>
                <w:szCs w:val="20"/>
                <w:color w:val="auto"/>
              </w:rPr>
            </w:pPr>
            <w:r>
              <w:rPr>
                <w:rFonts w:ascii="Times New Roman" w:cs="Times New Roman" w:eastAsia="Times New Roman" w:hAnsi="Times New Roman"/>
                <w:sz w:val="17"/>
                <w:szCs w:val="17"/>
                <w:b w:val="1"/>
                <w:bCs w:val="1"/>
                <w:color w:val="auto"/>
                <w:w w:val="98"/>
              </w:rPr>
              <w:t>For the year ended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2"/>
        </w:trPr>
        <w:tc>
          <w:tcPr>
            <w:tcW w:w="63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96"/>
        </w:trPr>
        <w:tc>
          <w:tcPr>
            <w:tcW w:w="63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195"/>
        </w:trPr>
        <w:tc>
          <w:tcPr>
            <w:tcW w:w="6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w w:val="99"/>
              </w:rPr>
              <w:t>(in € thousands)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6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b w:val="1"/>
                <w:bCs w:val="1"/>
                <w:color w:val="auto"/>
              </w:rPr>
              <w:t>149</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149</w:t>
            </w:r>
          </w:p>
        </w:tc>
      </w:tr>
      <w:tr>
        <w:trPr>
          <w:trHeight w:val="20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Cost of sales</w:t>
            </w:r>
          </w:p>
        </w:tc>
        <w:tc>
          <w:tcPr>
            <w:tcW w:w="168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rPr>
              <w:t>(92)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margin</w:t>
            </w:r>
          </w:p>
        </w:tc>
        <w:tc>
          <w:tcPr>
            <w:tcW w:w="16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b w:val="1"/>
                <w:bCs w:val="1"/>
                <w:color w:val="auto"/>
              </w:rPr>
              <w:t>57</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57</w:t>
            </w:r>
          </w:p>
        </w:tc>
      </w:tr>
      <w:tr>
        <w:trPr>
          <w:trHeight w:val="20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and distribution expenses</w:t>
            </w:r>
          </w:p>
        </w:tc>
        <w:tc>
          <w:tcPr>
            <w:tcW w:w="16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rPr>
              <w:t>(877)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0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8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rPr>
              <w:t>(5,073)</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(4,648)</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0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rPr>
              <w:t>(1,817)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02"/>
        </w:trPr>
        <w:tc>
          <w:tcPr>
            <w:tcW w:w="7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Gain on reconsolidation</w:t>
            </w:r>
          </w:p>
        </w:tc>
        <w:tc>
          <w:tcPr>
            <w:tcW w:w="1680" w:type="dxa"/>
            <w:vAlign w:val="bottom"/>
          </w:tcPr>
          <w:p>
            <w:pPr>
              <w:jc w:val="right"/>
              <w:ind w:right="10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62,554</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(62,554)</w:t>
            </w:r>
          </w:p>
        </w:tc>
      </w:tr>
      <w:tr>
        <w:trPr>
          <w:trHeight w:val="202"/>
        </w:trPr>
        <w:tc>
          <w:tcPr>
            <w:tcW w:w="7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operating income</w:t>
            </w:r>
          </w:p>
        </w:tc>
        <w:tc>
          <w:tcPr>
            <w:tcW w:w="16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rPr>
              <w:t>13</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02"/>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(loss) / income</w:t>
            </w:r>
          </w:p>
        </w:tc>
        <w:tc>
          <w:tcPr>
            <w:tcW w:w="168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rPr>
              <w:t>(7,697)</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56,508</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(64,205)</w:t>
            </w:r>
          </w:p>
        </w:tc>
      </w:tr>
      <w:tr>
        <w:trPr>
          <w:trHeight w:val="20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 (expense)</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6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changes in fair value of convertible debt carried at fair value</w:t>
            </w:r>
          </w:p>
        </w:tc>
        <w:tc>
          <w:tcPr>
            <w:tcW w:w="16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rPr>
              <w:t>11,108</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8,923</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2,185</w:t>
            </w:r>
          </w:p>
        </w:tc>
      </w:tr>
      <w:tr>
        <w:trPr>
          <w:trHeight w:val="202"/>
        </w:trPr>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 (loss) on foreign currency translation</w:t>
            </w:r>
          </w:p>
        </w:tc>
        <w:tc>
          <w:tcPr>
            <w:tcW w:w="1680" w:type="dxa"/>
            <w:vAlign w:val="bottom"/>
          </w:tcPr>
          <w:p>
            <w:pPr>
              <w:jc w:val="right"/>
              <w:ind w:right="1096"/>
              <w:spacing w:after="0"/>
              <w:rPr>
                <w:sz w:val="20"/>
                <w:szCs w:val="20"/>
                <w:color w:val="auto"/>
              </w:rPr>
            </w:pPr>
            <w:r>
              <w:rPr>
                <w:rFonts w:ascii="Times New Roman" w:cs="Times New Roman" w:eastAsia="Times New Roman" w:hAnsi="Times New Roman"/>
                <w:sz w:val="17"/>
                <w:szCs w:val="17"/>
                <w:color w:val="auto"/>
              </w:rPr>
              <w:t>604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1,009</w:t>
            </w:r>
          </w:p>
        </w:tc>
      </w:tr>
      <w:tr>
        <w:trPr>
          <w:trHeight w:val="202"/>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6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b w:val="1"/>
                <w:bCs w:val="1"/>
                <w:color w:val="auto"/>
              </w:rPr>
              <w:t>4,015</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65,026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(61,011)</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we recorded €149 thousand of revenue, while for the year ended December 31, 2024, we recorded no revenue. Our focus during these periods was on refining our solar technology, obtaining regulatory approvals and securing strategic partnerships. While we have successfully developed and tested our ViPV solutions and solar charge controllers, commercial-scale adoption and revenue generation are expected to develop and evolve in future periods as we transition from pilot projects to broader market deployment.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2025, we recorded cost of sales in the amount of €92 thousand. For the year ended December 31, 2024, we recorded no cost of sales, as we did not generate revenue during this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cost of development expenses increased to approximately €1,817 thousand from €1,118 thousand for the year ended December 31, 2024, representing a growth of 63%. The increase primarily reflects our technology optimization efforts, efforts directed on establishing long-term partnerships and collaborations with OEMs, as well as specific improvements and refinements to our solar technology.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Distribution Expenses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Selling and Distribution expenses amounted to €877 thousand, compared to €678 thousand for the year ended December 31, 2024, representing a growth of 29%. The increase is primarily attributable to higher personnel expenses of €128 thousand, reflecting the expansion of our commercialization efforts, as well as an increase in advertising and marketing costs of €53 thousand driven by our expanded efforts to establish new partnerships and pursue new project opportunities.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 (G&amp;A)</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2025, G&amp;A expenses totaled approximately €5,073 thousand, compared to €4,648 thousand for the year ended December 31, 2024, representing an increase of 9%. The increase was primarily driven by a growth in professional fees and software fees and subscriptions.</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largest components of G&amp;A expenses in 2025 were payroll and social contributions, and legal, audit and other advisory services, similar to our 2024 G&amp;A expenses structure.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Income/Expenses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other operating income and other operating expenses resulted in a net balance of approximately €13 thousand. For the year ended December 31, 2024, other operating income and expenses resulted in a net balance of approximately €398 thousand. The decrease of approximately €385 thousand, or 97%, was primarily attributable to a significant reduction in government grants recognized during 2025 compared to 2024, which had been a principal contributor to other operating income in the prior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reconsolidation</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2025, there was no gain or loss recorded in connection with the reconsolidation of the Subsidiary, since the reconsolidation was finalized in 2024.</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2024, we recognized a gain of approximately €62.6 million in connection with the reconsolidation of the Subsidiary following its exit from its Self-Administration Proceedings. This gain primarily reflected the extinguishment of certain liabilities and the re-recognition of net assets upon regaining control of the Subsidiary.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from changes in fair value of convertible notes payable carried at fair value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we recorded a gain of approximately €11,108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2024, we recognized a gain of approximately €8,923 thousand from the fair value measurement of financial liabilities. This gain primarily relates to the revaluation of convertible debentures issued in connection with our financing arrangements, which are accounted for at fair value through profit or loss under U.S. GAAP.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Foreign Currency Translation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we recorded a foreign currency translation gain of approximately €604 thousand, primarily resulting from favorable exchange rate movements impacting Euro-denominated balances. We recognized a foreign currency translation loss of approximately €405 thousand for the year ended December 31,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2025, we reported net income of €4,015 thousand, marking a significant decrease from the net income of €65,026 thousand recorded for the year ended December 31, 2024. While net income for the year ended December 31, 2024 was driven by the gain from the consolidation of the Subsidiary as well as by the income from changes in fair value of convertible debt carried at fair value, in the year ended December 31, 2025 we recorded no gains on reconsolidation and the net income for this period is attributed mostly to the income from changes in fair value of convertible debt carried at fair value.</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2025, we reported an operating loss of €7,697 thousand, reflecting the early-stage nature of our business and investments in technology development, commercialization and operational scaling.</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Looking ahead, subsequent to December 31, 2025, the Company adopted the Treasury Strategy and initiated an exit from its legacy solar operations. As a result, we anticipate that future operating losses will be materially reduced compared to historical periods, as the primary source of our historical cash consumption has been eliminated. Our long-term financial performance will depend on the successful implementation of the Treasury Strategy, the cash flows generated through our digital asset holdings, and efficient management of our streamlined holding company cost structure. There can be no assurance that the Treasury Strategy will generate the anticipated returns or that additional financing will not be required. See "Liquidity Outlook and Ability to Continue as a Going Concern" below and “Note 16 Subsequent Events”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our cash was €206 thousand, compared to €1,354 thousand as of December 31, 2024. Cash consists of cash in bank accounts.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not generated material revenue from operations and we continue to incur operating expenses related to our holding company overhead and public company compliance costs. Following the adoption of the Treasury Strategy and the cessation of funding to the Subsidiary (Sono Motors GmbH) in the first quarter of 2026, our liquidity position is principally dependent on the performance of our digital asset holdings and the cash flows generated through the Treasury Strategy, supplemented as necessary by external financing, including equity and equity-linked financings and debt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Historically, we have financed our operations through:</w:t>
      </w:r>
    </w:p>
    <w:p>
      <w:pPr>
        <w:spacing w:after="0" w:line="209" w:lineRule="exact"/>
        <w:rPr>
          <w:sz w:val="20"/>
          <w:szCs w:val="20"/>
          <w:color w:val="auto"/>
        </w:rPr>
      </w:pPr>
    </w:p>
    <w:p>
      <w:pPr>
        <w:ind w:left="920" w:hanging="463"/>
        <w:spacing w:after="0" w:line="276"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and equity-linked financings, including our IPO in November 2021, a follow-on offering in May 2022 and a committed equity facility entered into in June 2022.</w:t>
      </w:r>
    </w:p>
    <w:p>
      <w:pPr>
        <w:spacing w:after="0" w:line="157" w:lineRule="exact"/>
        <w:rPr>
          <w:rFonts w:ascii="Times New Roman" w:cs="Times New Roman" w:eastAsia="Times New Roman" w:hAnsi="Times New Roman"/>
          <w:sz w:val="17"/>
          <w:szCs w:val="17"/>
          <w:color w:val="auto"/>
        </w:rPr>
      </w:pPr>
    </w:p>
    <w:p>
      <w:pPr>
        <w:jc w:val="both"/>
        <w:ind w:left="1780" w:hanging="451"/>
        <w:spacing w:after="0" w:line="262" w:lineRule="auto"/>
        <w:tabs>
          <w:tab w:leader="none" w:pos="17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17, 2021, the Company consummated its IPO of 10,000,000 Ordinary Shares at a price of $15.00 per share. In addition, the underwriters in our IPO exercised their greenshoe option to purchase an additional 1,500,000 Ordinary Shares at a price of $13.95 per share. In total, the Company raised $160 million (€142 million) through the IPO, after deducting underwriting discounts and commissions.</w:t>
      </w:r>
    </w:p>
    <w:p>
      <w:pPr>
        <w:spacing w:after="0" w:line="169" w:lineRule="exact"/>
        <w:rPr>
          <w:rFonts w:ascii="Times New Roman" w:cs="Times New Roman" w:eastAsia="Times New Roman" w:hAnsi="Times New Roman"/>
          <w:sz w:val="17"/>
          <w:szCs w:val="17"/>
          <w:color w:val="auto"/>
        </w:rPr>
      </w:pPr>
    </w:p>
    <w:p>
      <w:pPr>
        <w:jc w:val="both"/>
        <w:ind w:left="1780" w:hanging="451"/>
        <w:spacing w:after="0" w:line="262" w:lineRule="auto"/>
        <w:tabs>
          <w:tab w:leader="none" w:pos="17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p>
      <w:pPr>
        <w:spacing w:after="0" w:line="169" w:lineRule="exact"/>
        <w:rPr>
          <w:rFonts w:ascii="Times New Roman" w:cs="Times New Roman" w:eastAsia="Times New Roman" w:hAnsi="Times New Roman"/>
          <w:sz w:val="17"/>
          <w:szCs w:val="17"/>
          <w:color w:val="auto"/>
        </w:rPr>
      </w:pPr>
    </w:p>
    <w:p>
      <w:pPr>
        <w:jc w:val="both"/>
        <w:ind w:left="1780" w:hanging="451"/>
        <w:spacing w:after="0" w:line="255" w:lineRule="auto"/>
        <w:tabs>
          <w:tab w:leader="none" w:pos="17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ind w:left="463" w:hanging="463"/>
        <w:spacing w:after="0"/>
        <w:tabs>
          <w:tab w:leader="none" w:pos="46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2022 Debentures issued to Yorkville pursuant to the securities purchase agreement in December 2022 and subsequent issuances in 2024 and 2025.</w:t>
      </w:r>
    </w:p>
    <w:p>
      <w:pPr>
        <w:spacing w:after="0" w:line="209" w:lineRule="exact"/>
        <w:rPr>
          <w:rFonts w:ascii="Times New Roman" w:cs="Times New Roman" w:eastAsia="Times New Roman" w:hAnsi="Times New Roman"/>
          <w:sz w:val="17"/>
          <w:szCs w:val="17"/>
          <w:color w:val="auto"/>
        </w:rPr>
      </w:pPr>
    </w:p>
    <w:p>
      <w:pPr>
        <w:ind w:left="1323" w:hanging="451"/>
        <w:spacing w:after="0" w:line="276"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7, 2022, the Company entered into a securities purchase agreement with Yorkville under which the Company agreed to sell and issue to Yorkville the 2022 Debentures in a gross aggregate principal amount of up to $31.1 million (€29.4 million).</w:t>
      </w:r>
    </w:p>
    <w:p>
      <w:pPr>
        <w:spacing w:after="0" w:line="157"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context of the former Self-Administration Proceedings and in connection with the First Commitment, the Companies entered into the Yorkville Investment Agreements with Yorkville in mid-November 2023, and on April 30, 2024, the Company and Yorkville entered into an amendment to the Funding Commitment Letter in connection with the Second Commitment.</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69" w:lineRule="exact"/>
        <w:rPr>
          <w:rFonts w:ascii="Times New Roman" w:cs="Times New Roman" w:eastAsia="Times New Roman" w:hAnsi="Times New Roman"/>
          <w:sz w:val="17"/>
          <w:szCs w:val="17"/>
          <w:color w:val="auto"/>
        </w:rPr>
      </w:pPr>
    </w:p>
    <w:p>
      <w:pPr>
        <w:ind w:left="1323" w:hanging="451"/>
        <w:spacing w:after="0" w:line="276"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30, 2024, the Company and Yorkville entered into the Securities Purchase Agreement, pursuant to which the Company agreed to sell and issue to Yorkville the New Commitment Debenture in the aggregate principal amount of $5 million.</w:t>
      </w:r>
    </w:p>
    <w:p>
      <w:pPr>
        <w:spacing w:after="0" w:line="157" w:lineRule="exact"/>
        <w:rPr>
          <w:rFonts w:ascii="Times New Roman" w:cs="Times New Roman" w:eastAsia="Times New Roman" w:hAnsi="Times New Roman"/>
          <w:sz w:val="17"/>
          <w:szCs w:val="17"/>
          <w:color w:val="auto"/>
        </w:rPr>
      </w:pPr>
    </w:p>
    <w:p>
      <w:pPr>
        <w:jc w:val="both"/>
        <w:ind w:left="1323" w:hanging="451"/>
        <w:spacing w:after="0" w:line="257"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30, 2024, the Company and Yorkville also entered into the Exchange Agreement, pursuant to which the Company agreed to issue, subject to the satisfaction of certain closing conditions, 1,242 Preferred Shares to Yorkville solely in exchange for the surrender and cancellation of all of the debentures held by Yorkville, which at that time included the 2022 Debentures, the 2024 Debentures and the New Commitment Debenture (if issued).</w:t>
      </w:r>
    </w:p>
    <w:p>
      <w:pPr>
        <w:spacing w:after="0" w:line="174"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12, 2025, the Company and Yorkville entered into the First Omnibus Amendment, pursuant to which the parties agreed to modify the terms of the Securities Purchase Agreement to, among other things, provide for an immediate advance of $1,000,000 of the Yorkville Commitment in the form of the First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25, 2025, the Company and Yorkville entered into the Third Omnibus Amendment, pursuant to which the parties agreed to modify the terms of the Securities Purchase Agreement to, among other things, provide for an immediate advance of $1 million of the Yorkville Commitment in the form of the Second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24, 2025, the Company and Yorkville entered into the Fourth Omnibus Amendment to Transaction Documents, pursuant to which the parties agreed to modify the terms of the Securities Purchase Agreement to, among other things, provide for an immediate advance by Yorkville to the Company of $500,000 in the form of the Third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26, 2025, the Company and Yorkville entered into the Fifth Omnibus Amendment to Transaction Documents, pursuant to which the parties agreed to modify the terms of the Securities Purchase Agreement to, among other things, provide for an immediate advance by Yorkville to the Company of $750,000 in the form of the Fourth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6, 2025, the Company and Yorkville entered into the Eighth Omnibus Amendment to Transaction Documents, pursuant to which the parties agreed to modify the terms of the Securities Purchase Agreement to, among other things, provide for an immediate advance by Yorkville to the Company of $190,000 in the form of the Fifth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62"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15, 2025, the Company and Yorkville entered into the Ninth Omnibus Amendment to Transaction Documents, pursuant to which the parties agreed to modify the terms of the Securities Purchase Agreement to, among other things, provide for an immediate advance by Yorkville to the Company of EUR300,000 ($350,540 at conversion rate of 1.1685) in the form of the Sixth Debenture.</w:t>
      </w:r>
    </w:p>
    <w:p>
      <w:pPr>
        <w:spacing w:after="0" w:line="169" w:lineRule="exact"/>
        <w:rPr>
          <w:rFonts w:ascii="Times New Roman" w:cs="Times New Roman" w:eastAsia="Times New Roman" w:hAnsi="Times New Roman"/>
          <w:sz w:val="17"/>
          <w:szCs w:val="17"/>
          <w:color w:val="auto"/>
        </w:rPr>
      </w:pPr>
    </w:p>
    <w:p>
      <w:pPr>
        <w:jc w:val="both"/>
        <w:ind w:left="1323" w:hanging="451"/>
        <w:spacing w:after="0" w:line="255" w:lineRule="auto"/>
        <w:tabs>
          <w:tab w:leader="none" w:pos="132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5, 2025, the Company and Yorkville entered into the Tenth Omnibus Amendment to Transaction Documents, pursuant to which the parties agreed to modify the terms of the Securities Purchase Agreement to, among other things, (1) increase the aggregate principal amount of the Debenture by an additional $2,200,000 for a total of $7,200,000, and (2) provide for an immediate advance by Yorkville to the Company of $3,409,460, which comprises of the remaining $1,209,460 of the original $5,000,000 commitment and the entirety of the additional $2,200,000 commitment, in the form of the Seventh Debenture.</w:t>
      </w:r>
    </w:p>
    <w:p>
      <w:pPr>
        <w:spacing w:after="0" w:line="176"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79375</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783"/>
          </w:cols>
          <w:pgMar w:left="777" w:top="55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Subsequent to the fiscal year ended December 31, 2025:</w:t>
      </w:r>
    </w:p>
    <w:p>
      <w:pPr>
        <w:spacing w:after="0" w:line="209" w:lineRule="exact"/>
        <w:rPr>
          <w:sz w:val="20"/>
          <w:szCs w:val="20"/>
          <w:color w:val="auto"/>
        </w:rPr>
      </w:pPr>
    </w:p>
    <w:p>
      <w:pPr>
        <w:ind w:left="1780" w:hanging="451"/>
        <w:spacing w:after="0"/>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26, 2026, the Company issued the Debenture SEV-8 to Yorkville in the aggregate principal amount of $600,000.</w:t>
      </w:r>
    </w:p>
    <w:p>
      <w:pPr>
        <w:spacing w:after="0" w:line="209" w:lineRule="exact"/>
        <w:rPr>
          <w:rFonts w:ascii="Times New Roman" w:cs="Times New Roman" w:eastAsia="Times New Roman" w:hAnsi="Times New Roman"/>
          <w:sz w:val="17"/>
          <w:szCs w:val="17"/>
          <w:color w:val="auto"/>
        </w:rPr>
      </w:pPr>
    </w:p>
    <w:p>
      <w:pPr>
        <w:ind w:left="1780" w:hanging="451"/>
        <w:spacing w:after="0"/>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19, 2026, the Company issued the Debenture SEV-9 to Yorkville in the aggregate principal amount of $750,000.</w:t>
      </w:r>
    </w:p>
    <w:p>
      <w:pPr>
        <w:spacing w:after="0" w:line="209" w:lineRule="exact"/>
        <w:rPr>
          <w:rFonts w:ascii="Times New Roman" w:cs="Times New Roman" w:eastAsia="Times New Roman" w:hAnsi="Times New Roman"/>
          <w:sz w:val="17"/>
          <w:szCs w:val="17"/>
          <w:color w:val="auto"/>
        </w:rPr>
      </w:pPr>
    </w:p>
    <w:p>
      <w:pPr>
        <w:ind w:left="1780" w:right="120" w:hanging="451"/>
        <w:spacing w:after="0" w:line="276"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10, 2026, the Company issued a pre-funded warrant to Yorkville to purchase up to 283,367 Ordinary Shares at an exercise price of €0.01 per share, for aggregate gross proceeds of approximately $2,000,004.29.</w:t>
      </w:r>
    </w:p>
    <w:p>
      <w:pPr>
        <w:spacing w:after="0" w:line="157" w:lineRule="exact"/>
        <w:rPr>
          <w:rFonts w:ascii="Times New Roman" w:cs="Times New Roman" w:eastAsia="Times New Roman" w:hAnsi="Times New Roman"/>
          <w:sz w:val="17"/>
          <w:szCs w:val="17"/>
          <w:color w:val="auto"/>
        </w:rPr>
      </w:pPr>
    </w:p>
    <w:p>
      <w:pPr>
        <w:ind w:left="1780" w:right="20" w:hanging="451"/>
        <w:spacing w:after="0" w:line="276"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10, 2026, the Company issued a convertible debenture to Yorkville in the aggregate principal amount of $3,000,000, maturing on March 10, 2027 (“Debenture SEV-10”).</w:t>
      </w:r>
    </w:p>
    <w:p>
      <w:pPr>
        <w:spacing w:after="0" w:line="157"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grant funding from government and public research institutions, supporting the development of our proprietary solar technology.</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revenues from sale of prototypes, our solar products and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cash outflows have primarily been driven by:</w:t>
      </w:r>
    </w:p>
    <w:p>
      <w:pPr>
        <w:spacing w:after="0" w:line="209" w:lineRule="exact"/>
        <w:rPr>
          <w:sz w:val="20"/>
          <w:szCs w:val="20"/>
          <w:color w:val="auto"/>
        </w:rPr>
      </w:pPr>
    </w:p>
    <w:p>
      <w:pPr>
        <w:ind w:left="920" w:hanging="46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expenditures, including product testing, solar module validation and MCU development.</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costs, such as payroll, legal and advisory services and public company compliance costs.</w:t>
      </w:r>
    </w:p>
    <w:p>
      <w:pPr>
        <w:spacing w:after="0" w:line="209" w:lineRule="exact"/>
        <w:rPr>
          <w:rFonts w:ascii="Times New Roman" w:cs="Times New Roman" w:eastAsia="Times New Roman" w:hAnsi="Times New Roman"/>
          <w:sz w:val="17"/>
          <w:szCs w:val="17"/>
          <w:color w:val="auto"/>
        </w:rPr>
      </w:pPr>
    </w:p>
    <w:p>
      <w:pPr>
        <w:ind w:left="920" w:hanging="46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in commercialization efforts, including OEM partnerships and vehicle integration projects.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Outlook and Ability to Continue as a Going Concern</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has incurred recurring operating losses and negative cash flows from operations since inception, primarily attributable to the operations of its solar technology subsidiary, Sono Motors GmbH. For the year ended December 31, 2025, the Company recorded a net operating loss of €7.7 million and negative operating cash flows of €7.3 million, and as of December 31, 2025 had an accumulated deficit of €317.4 million. These conditions raise substantial doubt about the Company’s ability to continue as a going concern.</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Subsequent to December 31, 2025, the Company has implemented a series of actions intended to improve liquidity and reduce ongoing cash requirements. These actions, which are more fully described in “</w:t>
      </w:r>
      <w:r>
        <w:rPr>
          <w:rFonts w:ascii="Times New Roman" w:cs="Times New Roman" w:eastAsia="Times New Roman" w:hAnsi="Times New Roman"/>
          <w:sz w:val="16"/>
          <w:szCs w:val="16"/>
          <w:i w:val="1"/>
          <w:iCs w:val="1"/>
          <w:color w:val="auto"/>
        </w:rPr>
        <w:t>Item 17</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of Part II, Item 8 of this Annual Report, included: (i) raising gross proceeds of approximately $5.0 million in March 2026, consisting of a $3.0 million convertible debenture and a pre-funded warrant issued in a private placement for aggregate proceeds of approximately $2.0 million; (ii) adopting the Treasury Strategy, and entering into an institutional framework with Blockchain.com (BVI) II Limited in the form of the ISDA Master Agreement and the related Schedule and Credit Support Annex, to facilitate related derivative and hedging transactions in connection with the Company’s digital asset holdings; and (iii) terminating current and future funding commitments to the Subsidiary (Sono Motors GmbH) and initiating our exit from the legacy solar operations conducted through the Subsidiary, which is expected to materially reduce the Company’s ongoing cash outflows. Management believes that these actions, taken together, may provide sufficient resources to fund the Company’s streamlined operating plan under the Treasury Strategy, consisting principally of holding company overhead and public company compliance costs, for at least twelve months from the date the financial statements are issued.</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However, the Company’s ability to maintain adequate liquidity remains subject to significant uncertainties, including, among other things, the price volatility and liquidity characteristics of digital assets, the terms and potential collateral requirements of transactions entered into in connection with the Treasury Strategy, the timing and costs associated with exiting the legacy solar operations (which the Company is currently unable to estimate), and that the Company’s outstanding convertible debenture issued to Yorkville in the first quarter of fiscal 2026 will reach maturity in March 2027, which may require us to negotiate a refinancing or conversion of the debenture prior to or at maturity.</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Note 16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in Part II, Item 8 of this Annual Report for information regarding our financing arrangements with Yorkville subsequent to the fiscal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our cash flows provided by / (used in) operating, investing and financing activities for the years ended December 31, 2025 and 2024.</w:t>
      </w:r>
    </w:p>
    <w:p>
      <w:pPr>
        <w:spacing w:after="0" w:line="20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5"/>
        </w:trPr>
        <w:tc>
          <w:tcPr>
            <w:tcW w:w="8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 € thousands)</w:t>
            </w:r>
          </w:p>
        </w:tc>
        <w:tc>
          <w:tcPr>
            <w:tcW w:w="1040" w:type="dxa"/>
            <w:vAlign w:val="bottom"/>
          </w:tcPr>
          <w:p>
            <w:pPr>
              <w:spacing w:after="0"/>
              <w:rPr>
                <w:sz w:val="16"/>
                <w:szCs w:val="16"/>
                <w:color w:val="auto"/>
              </w:rPr>
            </w:pPr>
          </w:p>
        </w:tc>
      </w:tr>
      <w:tr>
        <w:trPr>
          <w:trHeight w:val="20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provided by / (used in):</w:t>
            </w: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2"/>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(7,254)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(14,330)</w:t>
            </w:r>
          </w:p>
        </w:tc>
      </w:tr>
      <w:tr>
        <w:trPr>
          <w:trHeight w:val="202"/>
        </w:trPr>
        <w:tc>
          <w:tcPr>
            <w:tcW w:w="8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Investing activities</w:t>
            </w:r>
          </w:p>
        </w:tc>
        <w:tc>
          <w:tcPr>
            <w:tcW w:w="12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1,225</w:t>
            </w:r>
          </w:p>
        </w:tc>
      </w:tr>
      <w:tr>
        <w:trPr>
          <w:trHeight w:val="202"/>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Financing activities</w:t>
            </w:r>
          </w:p>
        </w:tc>
        <w:tc>
          <w:tcPr>
            <w:tcW w:w="126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6,078</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7,000</w:t>
            </w:r>
          </w:p>
        </w:tc>
      </w:tr>
      <w:tr>
        <w:trPr>
          <w:trHeight w:val="20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Effects of currency translation on cash and cash equivalents</w:t>
            </w:r>
          </w:p>
        </w:tc>
        <w:tc>
          <w:tcPr>
            <w:tcW w:w="12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28</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w:t>
            </w:r>
          </w:p>
        </w:tc>
      </w:tr>
      <w:tr>
        <w:trPr>
          <w:trHeight w:val="202"/>
        </w:trPr>
        <w:tc>
          <w:tcPr>
            <w:tcW w:w="8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(1,148)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(6,105)</w:t>
            </w:r>
          </w:p>
        </w:tc>
      </w:tr>
      <w:tr>
        <w:trPr>
          <w:trHeight w:val="202"/>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tc>
        <w:tc>
          <w:tcPr>
            <w:tcW w:w="12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1,354</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7,412</w:t>
            </w:r>
          </w:p>
        </w:tc>
      </w:tr>
      <w:tr>
        <w:trPr>
          <w:trHeight w:val="222"/>
        </w:trPr>
        <w:tc>
          <w:tcPr>
            <w:tcW w:w="8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at end of the period</w:t>
            </w:r>
          </w:p>
        </w:tc>
        <w:tc>
          <w:tcPr>
            <w:tcW w:w="1260" w:type="dxa"/>
            <w:vAlign w:val="bottom"/>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206</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1,354</w:t>
            </w:r>
          </w:p>
        </w:tc>
      </w:tr>
      <w:tr>
        <w:trPr>
          <w:trHeight w:val="384"/>
        </w:trPr>
        <w:tc>
          <w:tcPr>
            <w:tcW w:w="800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63</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7"/>
        </w:trPr>
        <w:tc>
          <w:tcPr>
            <w:tcW w:w="8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Net cash used in operating activities decreased from €14,284 thousand in the year ended December 31, 2024 to €7,254 thousand in the year ended December 31, 2025. The decrease was primarily driven by lower cash outflows related to changes in working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had no investing activities during the year ended December 31, 2025. Net cash provided by investing activities was €1,226 thousand in the year December 31, 2024, primarily attributable to the reconsolidation of the Subsidiary cash balance.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(used in) financing activities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Net cash provided by financing activities was €6,078 thousand in the year ended December 31, 2025, resulting primarily from proceeds received in connection with the issuance of convertible notes. For the year ended December 31, 2024, net cash provided by financing activities was €7,000 thousand, resulting from proceeds received in connection with the issuance of convertible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U.S. GAAP.</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U.S. GAAP requires management to make estimates and assumptions that affect the reported amounts of assets and liabilities at the date of the consolidated financial statements and the reported amounts of revenue and expenses during the reporting period. We base our estimates on historical experience, known trends and other market-specific or relevant factors that we believe to be reasonable under the circumstances. On an ongoing basis, management evaluates its estimates when there are changes in circumstances, facts and experience. Changes in estimates are recorded in the period in which they become known. If actual results differ from our estimates, or to the extent these estimates are adjusted in future periods, our results of operations could either benefit from or be adversely affected by any such change in estimate.</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most critical accounting estimate is our fair value assessments of financial instruments. Changes in these estimates and assumptions could materially affect our reported results. For instance, a change in the estimated fair value of financial instruments could result in significant variations in net income.</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See Note 2 to our consolidated financial statements included in Part II, Item 8 of this Annual Report for a summary of significant accounting policies and the effect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Asset Treasury Strategy</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the first quarter of fiscal 2026, we adopted and approved a digital asset treasury strategy and digital asset treasury policy and the purchase by the Company of Bitcoin and other digital assets in connection therewith (the “Treasury Strategy”). Under the Treasury Strategy, the principal holding in the Company’s treasury reserve on its balance sheet will be allocated to digital assets, principally Bitcoin, by applying a covered-call yield strategy. The Company may use available liquidity, including proceeds from previously disclosed financing arrangements, to purchase Bitcoin and other digital assets, subject to applicable law and public disclosure requirements. The Company intends to solicit the ratification by its shareholders of the engagement by the Company in the Treasury Strategy, as previously disclosed.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Exit from Sono Motors GmbH</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14, 2026, our supervisory board resolved to terminate all current and future funding commitments to the Subsidiary and to exit the legacy solar operations conducted through the Subsidiary, with immediate effect. The Company’s decision was driven by the Subsidiary’s historical lack of profitability, which has resulted in the Company having to continuously provide funding to the Subsidiary, and thus incur losses, and a determination by the supervisory board that there was not a clear path for the Subsidiary to achieve profitability in a reasonably desirable timeframe and thus, avoid future losses by the Company. This decision was made in conjunction with the decision on March 14, 2026 by our management board, with the approval of the supervisory board, to adopt the Treasury Strategy, as previously announced. The Treasury Strategy is projected to generate cash flow for the Company in the first year of its execution. The Company is also exploring other strategic alternatives to maximize shareholder value.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is currently unable to make a good faith estimate of the total costs and charges, if any, that may be incurred in connection with the cessation of funding to the Subsidiary and the exit from the Company’s legacy solar business. The determination of any such costs is subject to significant uncertainties, including, among other things, the timing, scope and manner of any actions undertaken with respect to the Subsidiary following the cessation of funding, as well as the extent of any obligations of the Company in connection therewith. Potential costs, if any, may include legal, advisory and other professional fees and expenses associated with activities relating to the Subsidiary. Any such costs and expenditures, if incurred, are expected to be reduced by cash flow to the Company from the Treasury Strategy.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to be filed pursuant to this Item 8 are appended to this Annual Report. An index of those financial statements is found in Item 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the end of the period covered by this Annual Report, our management team, with the participation of our principal executive officer and principal financial officer, carried out an evaluation of the effectiveness of our disclosure controls and procedures (as defined in Rules 13a-15(e) and 15d-15(e) under the Exchange Act). Based on this evaluation, our principal executive officer and principal financial officer concluded that, due to the unremediated material weakness in our internal control over financial reporting as described below, our disclosure controls and procedures were not effective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Annual Report on Internal Control over Financial Reporting</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 13a-15(f) and 15d-15(f) under the Exchange Act. Internal control over financial reporting is a process designed to provide reasonable assurance regarding the reliability of financial reporting. Because of its inherent limitations, internal control over financial reporting may not prevent or detect misstatements. Our management assessed the effectiveness of our internal control over financial reporting based on the criteria set forth in “Internal Control - Integrated Framework (2013)” issued by the Committee of Sponsoring Organizations of the Treadway Commission.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jc w:val="both"/>
        <w:spacing w:after="0" w:line="257" w:lineRule="auto"/>
        <w:rPr>
          <w:sz w:val="20"/>
          <w:szCs w:val="20"/>
          <w:color w:val="auto"/>
        </w:rPr>
      </w:pPr>
      <w:r>
        <w:rPr>
          <w:rFonts w:ascii="Times New Roman" w:cs="Times New Roman" w:eastAsia="Times New Roman" w:hAnsi="Times New Roman"/>
          <w:sz w:val="17"/>
          <w:szCs w:val="17"/>
          <w:color w:val="auto"/>
        </w:rPr>
        <w:t>In previous years' audits, the material weaknesses that were identified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light of the Companies’ successful emergence from their respective Self-Administration Proceedings and the restructuring/recapitalization of our businesses, we are currently planning measures to remedy such material weaknesses. Beginning January 1, 2025, the planned remedial measures began with the hiring of additional accounting staff and the appointment of a new chief financial offer who possess the requisite skills to address technical accounting and reporting issues and implement processes that include taking steps to improve our controls and procedures. We continue to devote attention to remediating the aforementioned deficiencies and specifically have incorporated automated and software-based accounting tools, engage third parties to support our internal resources related to accounting and internal controls, implement ongoing internal training for our accounting and finance teams and continue to invest in our finance IT systems. However, as of December 31, 2025, we are still in the process of remediating the previously identified material weaknesses.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upon the above evaluation, management, including our Chief Executive Officer and Chief Financial Officer, concluded that our internal control over financial reporting was not effective as of December 31, 2025, due to the presence of multiple material weaknesses as described above. Notwithstanding these material weaknesses, our management, based on the substantial work performed, concluded that our consolidated financial statements for the periods covered by and included in this Annual Report are fairly stated in all material respects in accordance with U.S. GAAP.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registered public accounting firm because, as an “emerging growth company”, we are exempt from Section 404(b)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quarter ended December 31, 2025 that has materially affected or is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Disclosure Controls and Procedures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During the quarter ended December 31, 2025, none of our directors or officers (as defined in Section 16 of the Exchange Act) adopted or terminated a “Rule 10b5-1 trading arrangement” or a “non-Rule 10b5-1 trading arrangement” (each as defined in Items 408(a) and (c) of Regulation S-K).</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two-tier board structure consisting of a management board (bestuur) and a supervisory board (raad van commissarissen).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Supervisory Board</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supervisory board is currently composed of three members. Our supervisory board may adjust the number of supervisory board members from time to time. Our supervisory board members do not have a retirement age requirement under our articles of association.</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Set forth below are the names and certain information about each of the members of our supervisory board as of the date of this Annual Report. Biographical information for each supervisory board member is included below the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6"/>
              </w:rPr>
              <w:t>Year in which</w:t>
            </w:r>
          </w:p>
        </w:tc>
        <w:tc>
          <w:tcPr>
            <w:tcW w:w="2060" w:type="dxa"/>
            <w:vAlign w:val="bottom"/>
          </w:tcPr>
          <w:p>
            <w:pPr>
              <w:spacing w:after="0"/>
              <w:rPr>
                <w:sz w:val="17"/>
                <w:szCs w:val="17"/>
                <w:color w:val="auto"/>
              </w:rPr>
            </w:pPr>
          </w:p>
        </w:tc>
      </w:tr>
      <w:tr>
        <w:trPr>
          <w:trHeight w:val="223"/>
        </w:trPr>
        <w:tc>
          <w:tcPr>
            <w:tcW w:w="19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Positions and Offices Held</w:t>
            </w:r>
          </w:p>
        </w:tc>
        <w:tc>
          <w:tcPr>
            <w:tcW w:w="2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6"/>
              </w:rPr>
              <w:t>Term Served</w:t>
            </w:r>
          </w:p>
        </w:tc>
        <w:tc>
          <w:tcPr>
            <w:tcW w:w="24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7"/>
              </w:rPr>
              <w:t>Term Expires</w:t>
            </w:r>
          </w:p>
        </w:tc>
        <w:tc>
          <w:tcPr>
            <w:tcW w:w="2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8"/>
              </w:rPr>
              <w:t>Age</w:t>
            </w:r>
          </w:p>
        </w:tc>
      </w:tr>
      <w:tr>
        <w:trPr>
          <w:trHeight w:val="195"/>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Dodge</w:t>
            </w:r>
          </w:p>
        </w:tc>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Supervisory Board Member</w:t>
            </w:r>
          </w:p>
        </w:tc>
        <w:tc>
          <w:tcPr>
            <w:tcW w:w="202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w w:val="97"/>
              </w:rPr>
              <w:t>2024 - Present</w:t>
            </w:r>
          </w:p>
        </w:tc>
        <w:tc>
          <w:tcPr>
            <w:tcW w:w="244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w w:val="99"/>
              </w:rPr>
              <w:t>2026</w:t>
            </w:r>
          </w:p>
        </w:tc>
        <w:tc>
          <w:tcPr>
            <w:tcW w:w="206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w w:val="93"/>
              </w:rPr>
              <w:t>51</w:t>
            </w:r>
          </w:p>
        </w:tc>
      </w:tr>
      <w:tr>
        <w:trPr>
          <w:trHeight w:val="202"/>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Christopher Schreiber</w:t>
            </w:r>
          </w:p>
        </w:tc>
        <w:tc>
          <w:tcPr>
            <w:tcW w:w="2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Supervisory Board Member</w:t>
            </w:r>
          </w:p>
        </w:tc>
        <w:tc>
          <w:tcPr>
            <w:tcW w:w="202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7"/>
              </w:rPr>
              <w:t>2024 - Present</w:t>
            </w:r>
          </w:p>
        </w:tc>
        <w:tc>
          <w:tcPr>
            <w:tcW w:w="244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9"/>
              </w:rPr>
              <w:t>2026</w:t>
            </w:r>
          </w:p>
        </w:tc>
        <w:tc>
          <w:tcPr>
            <w:tcW w:w="206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3"/>
              </w:rPr>
              <w:t>61</w:t>
            </w:r>
          </w:p>
        </w:tc>
      </w:tr>
      <w:tr>
        <w:trPr>
          <w:trHeight w:val="20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Owen May</w:t>
            </w:r>
          </w:p>
        </w:tc>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Supervisory Board Member</w:t>
            </w:r>
          </w:p>
        </w:tc>
        <w:tc>
          <w:tcPr>
            <w:tcW w:w="202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w w:val="97"/>
              </w:rPr>
              <w:t>2024 - Present</w:t>
            </w:r>
          </w:p>
        </w:tc>
        <w:tc>
          <w:tcPr>
            <w:tcW w:w="244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w w:val="99"/>
              </w:rPr>
              <w:t>2026</w:t>
            </w:r>
          </w:p>
        </w:tc>
        <w:tc>
          <w:tcPr>
            <w:tcW w:w="206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w w:val="93"/>
              </w:rPr>
              <w:t>67</w:t>
            </w:r>
          </w:p>
        </w:tc>
      </w:tr>
    </w:tbl>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A. Dodge </w:t>
      </w:r>
      <w:r>
        <w:rPr>
          <w:rFonts w:ascii="Times New Roman" w:cs="Times New Roman" w:eastAsia="Times New Roman" w:hAnsi="Times New Roman"/>
          <w:sz w:val="17"/>
          <w:szCs w:val="17"/>
          <w:color w:val="auto"/>
        </w:rPr>
        <w:t>was appointed as an independent member of our supervisory board on January 31, 2024. Mr. Dodge is an independent financial consultant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corporate finance, accounting and SEC compliance services to public and private companies around the globe. Since 2007, Mr. Dodge has acted as a chief financial officer and provided financial accounting, reporting and compliance services for multiple public and private companies in the U.S., Canada, England and China. Mr. Dodge also supervised and authored dozens of forensic due diligence investigative reports on Chinese companies in a variety of industries. He has also provided expert witness and expert consultant services in nearly 40 separate litigation proceedings on a variety of financial topics, including due diligence standard of care for underwriters (in transactions including IPOs, equity follow-on offerings and debt offerings), mergers &amp; acquisitions and private equity and venture capital investments; customary practices in the investment banking industry; and customary practices in the private equity and venture capital businesses. Mr. Dodge previously served as Chief Financial Officer of NeoMedia Technologies, Inc. from 2002 through 2007, and held various finance-related positions with NeoMedia from 1999 to 2002. Before NeoMedia, he was an auditor with Ernst &amp; Young LLP from 1997 to 1999. Mr. Dodge holds a B.A. in Economics from Yale University and an M.S. in Professional Accounting from the University of Hartford (CT).</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Schreiber </w:t>
      </w:r>
      <w:r>
        <w:rPr>
          <w:rFonts w:ascii="Times New Roman" w:cs="Times New Roman" w:eastAsia="Times New Roman" w:hAnsi="Times New Roman"/>
          <w:sz w:val="17"/>
          <w:szCs w:val="17"/>
          <w:color w:val="auto"/>
        </w:rPr>
        <w:t>was appointed as an independent member of our supervisory board on January 31, 2024. Mr. Schreiber has over three decades of experience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securities industry. His expertise is demonstrated by his previous executive roles, notably as Executive Chair of the board of directors at Akers Bio and as a Board Member at MyMD Pharmaceuticals, Inc. (NASDAQ: MYMD). His role as Managing Director of Capital Markets at Taglich Brothers, Inc. highlights his extensive experience in capital markets, deal structuring and syndication. Prior to his engagement at Taglich Brothers, Mr. Schreiber served on the board of directors of Paulson Investment Company, an investment banking firm. In addition to his financial career, Mr. Schreiber contributes to athletic and youth development as a director and partner at Long Island Express North, an elite lacrosse training organization, and as a volunteer board member for Fox Lane Youth Lacrosse. He is a graduate of Johns Hopkins University with a Bachelor’s Degree in political science.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Owen May </w:t>
      </w:r>
      <w:r>
        <w:rPr>
          <w:rFonts w:ascii="Times New Roman" w:cs="Times New Roman" w:eastAsia="Times New Roman" w:hAnsi="Times New Roman"/>
          <w:sz w:val="17"/>
          <w:szCs w:val="17"/>
          <w:color w:val="auto"/>
        </w:rPr>
        <w:t>was appointed as an independent member of our supervisory board on November 7, 2024. Mr. May is a dynamic and results-driven executive with 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decades of experience in financial advisory, mergers &amp; acquisitions and strategic business development. As the Chief Executive Officer and founder of MD Global Partners, Mr. May has consistently delivered growth through innovative financial strategies and capital market expertise. Under his leadership, the firm has become a leading financial services company, specializing in capital raising, corporate restructuring and M&amp;A advisory. Since founding MD Global Partners in 2005, Mr. May has spearheaded the company’s expansion into new markets and overseen significant revenue growth. In addition to his role at MD Global Partners, Mr. May serves as a Board Director for organizations such as Syredix Bio, Curzon Energy PLC and the New York Society for the Prevention of Cruelty to Children (NYSPCC). He is also an Emeritus member of the Board of Visitors at the Fuqua School of Business, Duke University and a member of the President's Council at the University of Miami. Mr. May holds a Bachelor’s Degree in biology from the University of Miami and a Master’s of Business Administration from Duke University’s Fuqua School of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Executive Officers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Set forth below are the names and certain information about each of our executive officers as of the date of this Annual Report. Biographical information for each executive officer is included below the table.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40" w:type="dxa"/>
            <w:vAlign w:val="bottom"/>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6"/>
              </w:rPr>
              <w:t>Year in which</w:t>
            </w:r>
          </w:p>
        </w:tc>
        <w:tc>
          <w:tcPr>
            <w:tcW w:w="2060" w:type="dxa"/>
            <w:vAlign w:val="bottom"/>
          </w:tcPr>
          <w:p>
            <w:pPr>
              <w:spacing w:after="0"/>
              <w:rPr>
                <w:sz w:val="17"/>
                <w:szCs w:val="17"/>
                <w:color w:val="auto"/>
              </w:rPr>
            </w:pPr>
          </w:p>
        </w:tc>
      </w:tr>
      <w:tr>
        <w:trPr>
          <w:trHeight w:val="223"/>
        </w:trPr>
        <w:tc>
          <w:tcPr>
            <w:tcW w:w="1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Positions and Offices Held</w:t>
            </w:r>
          </w:p>
        </w:tc>
        <w:tc>
          <w:tcPr>
            <w:tcW w:w="2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6"/>
              </w:rPr>
              <w:t>Term Served</w:t>
            </w:r>
          </w:p>
        </w:tc>
        <w:tc>
          <w:tcPr>
            <w:tcW w:w="24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7"/>
              </w:rPr>
              <w:t>Term Expires</w:t>
            </w:r>
          </w:p>
        </w:tc>
        <w:tc>
          <w:tcPr>
            <w:tcW w:w="2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b w:val="1"/>
                <w:bCs w:val="1"/>
                <w:color w:val="auto"/>
                <w:w w:val="98"/>
              </w:rPr>
              <w:t>Age</w:t>
            </w:r>
          </w:p>
        </w:tc>
      </w:tr>
      <w:tr>
        <w:trPr>
          <w:trHeight w:val="19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J. McGurn (1)</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Chief Executive Officer</w:t>
            </w:r>
          </w:p>
        </w:tc>
        <w:tc>
          <w:tcPr>
            <w:tcW w:w="202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w w:val="97"/>
              </w:rPr>
              <w:t>2025 - Present</w:t>
            </w:r>
          </w:p>
        </w:tc>
        <w:tc>
          <w:tcPr>
            <w:tcW w:w="244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rPr>
              <w:t>N/A</w:t>
            </w:r>
          </w:p>
        </w:tc>
        <w:tc>
          <w:tcPr>
            <w:tcW w:w="206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7"/>
                <w:szCs w:val="17"/>
                <w:color w:val="auto"/>
                <w:w w:val="93"/>
              </w:rPr>
              <w:t>53</w:t>
            </w:r>
          </w:p>
        </w:tc>
      </w:tr>
      <w:tr>
        <w:trPr>
          <w:trHeight w:val="218"/>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Martin Scott Calhoun</w:t>
            </w:r>
          </w:p>
        </w:tc>
        <w:tc>
          <w:tcPr>
            <w:tcW w:w="2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202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7"/>
              </w:rPr>
              <w:t>2024 - Present</w:t>
            </w:r>
          </w:p>
        </w:tc>
        <w:tc>
          <w:tcPr>
            <w:tcW w:w="244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N/A(2)</w:t>
            </w:r>
          </w:p>
        </w:tc>
        <w:tc>
          <w:tcPr>
            <w:tcW w:w="206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3"/>
              </w:rPr>
              <w:t>61</w:t>
            </w:r>
          </w:p>
        </w:tc>
      </w:tr>
    </w:tbl>
    <w:p>
      <w:pPr>
        <w:spacing w:after="0" w:line="170" w:lineRule="exact"/>
        <w:rPr>
          <w:sz w:val="20"/>
          <w:szCs w:val="20"/>
          <w:color w:val="auto"/>
        </w:rPr>
      </w:pPr>
    </w:p>
    <w:p>
      <w:pPr>
        <w:jc w:val="both"/>
        <w:ind w:left="460" w:hanging="459"/>
        <w:spacing w:after="0" w:line="254" w:lineRule="auto"/>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McGurn was nominated by the Company’s supervisory board to serve as Chief Executive Officer, effective September 9, 2025, after our previous CEO, George G. O’Leary, voluntarily provided his notice of resignation as Chief Executive Officer, effective September 9, 2025. Mr. O’Leary remained the Company’s sole statutory managing director (sole member of the management board) through December 31, 2025. Accordingly, following Mr. O’Leary’s resignation as statutory managing director effective December 31, 2025, and pursuant to Article 17.4 of the Company’s articles of association, the supervisory board temporarily designated Mr. McGurn to be charged with the management of the Company until a general meeting of shareholders can formally appoint him as a managing director.</w:t>
      </w:r>
    </w:p>
    <w:p>
      <w:pPr>
        <w:spacing w:after="0" w:line="175"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30, 2024, Mr. Calhoun was appointed the Chief Financial Officer of the Company on a preliminary basis, subject to termination by either party upon 30 days’ prior notice.</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Kevin John McGurn </w:t>
      </w:r>
      <w:r>
        <w:rPr>
          <w:rFonts w:ascii="Times New Roman" w:cs="Times New Roman" w:eastAsia="Times New Roman" w:hAnsi="Times New Roman"/>
          <w:sz w:val="17"/>
          <w:szCs w:val="17"/>
          <w:color w:val="auto"/>
        </w:rPr>
        <w:t>has served as the Chief Executive Officer of the Company on a full-time basis since September 9, 2025. He has over 25 years of leadership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across media, streaming, advertising technology and revenue operations. Prior to joining the Company, Mr. McGurn founded McGurn Advisors, LLC in November 2024, where he has served as an executive advisor and consultant to media and technology companies on revenue strategy, business optimization and M&amp;A-related initiatives. From October 2023 to November 2024, Mr. McGurn served as Vice President, Head of Sales, Marketing &amp; Distribution at T-Mobile USA, where he led advertising solutions revenue initiatives and supported diligence on acquisitions in the programmatic advertising space. From 2017 to 2023, Mr. McGurn served as President, Sales &amp; Distribution (Chief Sales Officer) of Vevo, LLC, where he led the company’s sales, distribution and commercial transformation across multiple geographies. Previously, he held senior revenue leadership roles including Head of Sales at Fullscreen &amp; Otter Media (2015–2017), Global Chief Revenue Officer at Shazam (2013–2014), and Senior Vice President, Advertising Sales at Hulu (2007–2013), where he was part of the early team that built Hulu’s advertising business. Earlier in his career, Mr. McGurn also held advertising sales leadership roles at NBC Universal and other digital advertising companies. Mr. McGurn holds a B.A. in History from Ohio Wesleyan University.</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Martin Scott Calhoun </w:t>
      </w:r>
      <w:r>
        <w:rPr>
          <w:rFonts w:ascii="Times New Roman" w:cs="Times New Roman" w:eastAsia="Times New Roman" w:hAnsi="Times New Roman"/>
          <w:sz w:val="17"/>
          <w:szCs w:val="17"/>
          <w:color w:val="auto"/>
        </w:rPr>
        <w:t>has served as the Chief Financial Officer of the Company since December 30, 2024. Mr. Calhoun is the founder of Cross Roads Consulting,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LLC, established in December 2008, where he provided outsourced CFO services and technical accounting support for public companies, including SEC filings, financial modeling and valuation analyses. Previously, he held senior roles including Director of Financial Planning and Analysis at NeoMedia Technologies and Assistant Director of Finance at Tampa Sports Authority, overseeing financial reporting, regulatory compliance and audits. Mr. Calhoun is a Certified Public Accountant (CPA), Certified Valuation Analyst (CVA) and holds an MBA. He began his career as an auditor with Pannell Kerr Forster, CPAs.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of the members of our supervisory board, consisting of David Dodge, Christopher Schreiber and Owen May, is an “independent director” for purposes of the Nasdaq listing standards and Rule 10A-3(b)(1) under the Exchange Act, as the term relates to membership on the supervisory board and the various committees of the supervisory board, and which is defined generally as a person other than an executive officer or employee of Sono N.V. or the Subsidiary or any other individual having a relationship, which, in the opinion of our supervisory board, would interfere with the director’s exercise of independent judgment in carrying out the responsibilities of a director. Our independent directors have regularly scheduled meetings at which only independent directors are present. Any affiliated transactions will be on terms no less favorable to us than could be obtained from independent parties. Any affiliated transactions must be approved by a majority of our independent and disinterested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family relationships among any of our executive officers or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which outlines the principles of legal and ethical business conduct under which we will do business. The code of business conduct and ethics includes a provision that provides for a process by which employees, officers and supervisory board members can report potential irregularities. The code of business conduct and ethics also provides protection from retaliation or discrimination by the Company against whistleblowers due to reporting issues relating to compliance with applicable laws and regulations. This code applies to all of our employees, officers and supervisory board members. Our code of business conduct and ethics is available on our website at </w:t>
      </w:r>
      <w:r>
        <w:rPr>
          <w:rFonts w:ascii="Times New Roman" w:cs="Times New Roman" w:eastAsia="Times New Roman" w:hAnsi="Times New Roman"/>
          <w:sz w:val="17"/>
          <w:szCs w:val="17"/>
          <w:i w:val="1"/>
          <w:iCs w:val="1"/>
          <w:color w:val="auto"/>
        </w:rPr>
        <w:t>https://ir.sonomotors.com/static-files/00c5ecac-444c-471f-b3d9-58d10d8788c5</w:t>
      </w:r>
      <w:r>
        <w:rPr>
          <w:rFonts w:ascii="Times New Roman" w:cs="Times New Roman" w:eastAsia="Times New Roman" w:hAnsi="Times New Roman"/>
          <w:sz w:val="17"/>
          <w:szCs w:val="17"/>
          <w:color w:val="auto"/>
        </w:rPr>
        <w:t>. Our website and its contents are not incorporated into this Annual Report.</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intend to make any legally required disclosures regarding amendments to, or waivers of, provisions of our code of business conduct and ethics on our website rather than by filing a Current Report on Form 8-K.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Policies and Procedures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adopted an insider trading policy and procedures governing the purchase, sale and/or other dispositions of the Company’s securities that applies to all supervisory board members, officers, employees and certain other persons, as well as to the Company and the Subsidiary. It is also the Company’s policy to take appropriate steps to comply with applicable federal and state securities laws and regulations, as well as applicable Nasdaq Capital Market standards, when the Company engages in transactions in the Company’s securities. The Company believes that its insider trading policy and procedures are reasonably designed to promote compliance with insider trading laws, rules and regulations applicable to the Company. A copy of the Company’s insider trading policy is attached as Exhibit 19.1 to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and Terms of Office of Officers and Directors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of the date of this Annual Report, (i) the supervisory board is comprised of three supervisory directors, all of whom are non-employee directors and are independent and (ii) the management board is comprised of one managing director.</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supervisory board has the authority to nominate candidates for the supervisory board, with such authority delegated to the nomination and corporate governance committee, which shall act in accordance with its charter. The nomination and corporate governance committee does not have a formal policy with respect to candidates recommended by shareholders. The supervisory board may consider or decline to consider a candidate if it determines doing so is in the best interest of the Company. If the nomination and corporate governance committee approves a candidate for further review, they will establish an interview process for the candidate. The nomination and corporate governance committee will also take into consideration the candidate’s personal attributes, including, without limitation, personal integrity, loyalty, ability to apply sound and independent business judgment, awareness of a supervisory board member’s vital role in our good corporate citizenship and image, time available for meetings and consultation on our matters and willingness to assume broad, fiduciary responsibility.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management board members and supervisory board members are appointed by the general meeting on the basis of a binding nomination prepared by our supervisory board which can only be overruled by a two-thirds majority of votes cast representing more than half of our issued share capital. Our management board members and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 Members of the management board can be dismissed or suspended by the supervisory board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Supervisory Board Committees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committees of the supervisory board consist of an audit committee, a compensation committee, and a nomination and corporate governance committee, each of which has the composition and the responsibilities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audit committee currently consists of the entire supervisory board, with Mr. Dodge serving as chairperson. The audit committee assists the supervisory board in, among other things:</w:t>
      </w:r>
    </w:p>
    <w:p>
      <w:pPr>
        <w:spacing w:after="0" w:line="158" w:lineRule="exact"/>
        <w:rPr>
          <w:sz w:val="20"/>
          <w:szCs w:val="20"/>
          <w:color w:val="auto"/>
        </w:rPr>
      </w:pPr>
    </w:p>
    <w:p>
      <w:pPr>
        <w:ind w:left="1120" w:hanging="461"/>
        <w:spacing w:after="0"/>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accounting, financial reporting and internal controls processes;</w:t>
      </w:r>
    </w:p>
    <w:p>
      <w:pPr>
        <w:spacing w:after="0" w:line="209" w:lineRule="exact"/>
        <w:rPr>
          <w:rFonts w:ascii="Times New Roman" w:cs="Times New Roman" w:eastAsia="Times New Roman" w:hAnsi="Times New Roman"/>
          <w:sz w:val="17"/>
          <w:szCs w:val="17"/>
          <w:color w:val="auto"/>
        </w:rPr>
      </w:pPr>
    </w:p>
    <w:p>
      <w:pPr>
        <w:ind w:left="1120" w:hanging="461"/>
        <w:spacing w:after="0" w:line="276" w:lineRule="auto"/>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compliance with legal and regulatory requirements, as well as the operation of the code of business conduct and ethics and other internal policies;</w:t>
      </w:r>
    </w:p>
    <w:p>
      <w:pPr>
        <w:spacing w:after="0" w:line="157" w:lineRule="exact"/>
        <w:rPr>
          <w:rFonts w:ascii="Times New Roman" w:cs="Times New Roman" w:eastAsia="Times New Roman" w:hAnsi="Times New Roman"/>
          <w:sz w:val="17"/>
          <w:szCs w:val="17"/>
          <w:color w:val="auto"/>
        </w:rPr>
      </w:pPr>
    </w:p>
    <w:p>
      <w:pPr>
        <w:ind w:left="1120" w:hanging="461"/>
        <w:spacing w:after="0"/>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selection, qualifications, independence and performance of the Company’s independent registered public accounting firm; and</w:t>
      </w:r>
    </w:p>
    <w:p>
      <w:pPr>
        <w:spacing w:after="0" w:line="209" w:lineRule="exact"/>
        <w:rPr>
          <w:rFonts w:ascii="Times New Roman" w:cs="Times New Roman" w:eastAsia="Times New Roman" w:hAnsi="Times New Roman"/>
          <w:sz w:val="17"/>
          <w:szCs w:val="17"/>
          <w:color w:val="auto"/>
        </w:rPr>
      </w:pPr>
    </w:p>
    <w:p>
      <w:pPr>
        <w:ind w:left="1120" w:hanging="461"/>
        <w:spacing w:after="0"/>
        <w:tabs>
          <w:tab w:leader="none" w:pos="1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of all permitted non-audit services to be performed by the independent registered public accounting firm.</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345"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The audit committee has the authority to retain independent counsel and advisors to assist in carrying out its responsibilities.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Each member of the audit committee is an “independent director” as defined in the Nasdaq Listing Rules and meets the independence criteria set forth in Rule 10A-3(b)(1) under the Exchange Act. The supervisory board has determined that each member of the audit committee is financially literate in accordance with the Nasdaq Listing Rules and is able to read and understand fundamental financial statements, including a company’s balance sheet, income statement and cash flow statement. The supervisory board has also determined that at least one member of the audit committee has past employment experience in finance or accounting, and that Mr. Dodge qualifies as an “audit committee financial expert,” as such term is defined in the rules of the SEC. A copy of the Company’s audit committee charter is posted on the “Investor Relations” section of our website at </w:t>
      </w:r>
      <w:r>
        <w:rPr>
          <w:rFonts w:ascii="Times New Roman" w:cs="Times New Roman" w:eastAsia="Times New Roman" w:hAnsi="Times New Roman"/>
          <w:sz w:val="17"/>
          <w:szCs w:val="17"/>
          <w:i w:val="1"/>
          <w:iCs w:val="1"/>
          <w:color w:val="auto"/>
        </w:rPr>
        <w:t>https://ir.sonomotors.com/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compensation committee currently consists of the entire supervisory board, with Mr. Schreiber serving as chairperson. The compensation committee assists the supervisory board in, among other things:</w:t>
      </w:r>
    </w:p>
    <w:p>
      <w:pPr>
        <w:spacing w:after="0" w:line="158" w:lineRule="exact"/>
        <w:rPr>
          <w:sz w:val="20"/>
          <w:szCs w:val="20"/>
          <w:color w:val="auto"/>
        </w:rPr>
      </w:pPr>
    </w:p>
    <w:p>
      <w:pPr>
        <w:ind w:left="1080" w:hanging="434"/>
        <w:spacing w:after="0" w:line="276"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our compensation policy and benefits policies generally, including the review and recommendation of incentive-compensation and equity-based plans, as well as the compensation of our Chief Executive Officer and other executive officers;</w:t>
      </w:r>
    </w:p>
    <w:p>
      <w:pPr>
        <w:spacing w:after="0" w:line="157"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proposals to the supervisory board concerning changes to our compensation policy, as relevant;</w:t>
      </w:r>
    </w:p>
    <w:p>
      <w:pPr>
        <w:spacing w:after="0" w:line="209" w:lineRule="exact"/>
        <w:rPr>
          <w:rFonts w:ascii="Times New Roman" w:cs="Times New Roman" w:eastAsia="Times New Roman" w:hAnsi="Times New Roman"/>
          <w:sz w:val="17"/>
          <w:szCs w:val="17"/>
          <w:color w:val="auto"/>
        </w:rPr>
      </w:pPr>
    </w:p>
    <w:p>
      <w:pPr>
        <w:jc w:val="both"/>
        <w:ind w:left="1080" w:hanging="434"/>
        <w:spacing w:after="0" w:line="262"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proposals to the supervisory board concerning the compensation of our executive officers and managing directors, at least covering: (i) the compensation structure; (ii) the amount of the fixed and variable compensation components; (iii) the applicable performance criteria; (iv) the scenario analyses that have been carried out; and (v) the pay ratios within our peer group;</w:t>
      </w:r>
    </w:p>
    <w:p>
      <w:pPr>
        <w:spacing w:after="0" w:line="169"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proposals to the supervisory board concerning the compensation of individual members of the supervisory board;</w:t>
      </w:r>
    </w:p>
    <w:p>
      <w:pPr>
        <w:spacing w:after="0" w:line="209" w:lineRule="exact"/>
        <w:rPr>
          <w:rFonts w:ascii="Times New Roman" w:cs="Times New Roman" w:eastAsia="Times New Roman" w:hAnsi="Times New Roman"/>
          <w:sz w:val="17"/>
          <w:szCs w:val="17"/>
          <w:color w:val="auto"/>
        </w:rPr>
      </w:pPr>
    </w:p>
    <w:p>
      <w:pPr>
        <w:ind w:left="1080" w:hanging="434"/>
        <w:spacing w:after="0" w:line="276"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 and assessment of risks arising from our compensation policies and practices and whether any such risks are reasonably likely to have a material adverse effect on us;</w:t>
      </w:r>
    </w:p>
    <w:p>
      <w:pPr>
        <w:spacing w:after="0" w:line="157"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Sono N.V.’s compensation report for the supervisory board; and</w:t>
      </w:r>
    </w:p>
    <w:p>
      <w:pPr>
        <w:spacing w:after="0" w:line="209"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compensation committee’s report required by SEC rules or the rules of any other regulatory body.</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charter also provides that the compensation committee may, in its sole discretion, retain or obtain the advice of a compensation consultant, independent legal counsel or other advisor and will be directly responsible for the appointment, compensation and oversight of the work of any such advisor. However, before engaging or receiving advice from a compensation consultant, external legal counsel or any other advisor, the compensation committee will consider the independence of each such advisor, including the factors required by Nasdaq and the SEC. A copy of Sono N.V.’s current compensation committee charter is posted on the “Investor Relations” section of our website at </w:t>
      </w:r>
      <w:r>
        <w:rPr>
          <w:rFonts w:ascii="Times New Roman" w:cs="Times New Roman" w:eastAsia="Times New Roman" w:hAnsi="Times New Roman"/>
          <w:sz w:val="17"/>
          <w:szCs w:val="17"/>
          <w:i w:val="1"/>
          <w:iCs w:val="1"/>
          <w:color w:val="auto"/>
        </w:rPr>
        <w:t>https://ir.sonomotors.com/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Nomination and Corporate Governance Committee</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nomination and corporate governance committee currently consists of the entire supervisory board, with Mr. Schreiber serving as chairperson. The nomination and corporate governance committee assists the supervisory board in, among other things:</w:t>
      </w:r>
    </w:p>
    <w:p>
      <w:pPr>
        <w:spacing w:after="0" w:line="158" w:lineRule="exact"/>
        <w:rPr>
          <w:sz w:val="20"/>
          <w:szCs w:val="20"/>
          <w:color w:val="auto"/>
        </w:rPr>
      </w:pPr>
    </w:p>
    <w:p>
      <w:pPr>
        <w:ind w:left="1080" w:hanging="434"/>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drawing up selection criteria and appointment procedures for the members of the management board and the supervisory board;</w:t>
      </w:r>
    </w:p>
    <w:p>
      <w:pPr>
        <w:spacing w:after="0" w:line="209" w:lineRule="exact"/>
        <w:rPr>
          <w:rFonts w:ascii="Times New Roman" w:cs="Times New Roman" w:eastAsia="Times New Roman" w:hAnsi="Times New Roman"/>
          <w:sz w:val="17"/>
          <w:szCs w:val="17"/>
          <w:color w:val="auto"/>
        </w:rPr>
      </w:pPr>
    </w:p>
    <w:p>
      <w:pPr>
        <w:ind w:left="1080" w:hanging="434"/>
        <w:spacing w:after="0" w:line="276"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size and composition of the management board and the supervisory board and submitting proposals for the composition profile of the supervisory board;</w:t>
      </w:r>
    </w:p>
    <w:p>
      <w:pPr>
        <w:spacing w:after="0" w:line="157"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management board as to the determination of independence of members of the supervisory board;</w:t>
      </w:r>
    </w:p>
    <w:p>
      <w:pPr>
        <w:spacing w:after="0" w:line="209" w:lineRule="exact"/>
        <w:rPr>
          <w:rFonts w:ascii="Times New Roman" w:cs="Times New Roman" w:eastAsia="Times New Roman" w:hAnsi="Times New Roman"/>
          <w:sz w:val="17"/>
          <w:szCs w:val="17"/>
          <w:color w:val="auto"/>
        </w:rPr>
      </w:pPr>
    </w:p>
    <w:p>
      <w:pPr>
        <w:ind w:left="1080" w:hanging="434"/>
        <w:spacing w:after="0" w:line="276"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functioning of individual members of the management board and the supervisory board and reporting on such review to the supervisory board;</w:t>
      </w:r>
    </w:p>
    <w:p>
      <w:pPr>
        <w:spacing w:after="0" w:line="157"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drawing up a plan for the succession of members of the management board and the supervisory board;</w:t>
      </w:r>
    </w:p>
    <w:p>
      <w:pPr>
        <w:spacing w:after="0" w:line="209" w:lineRule="exact"/>
        <w:rPr>
          <w:rFonts w:ascii="Times New Roman" w:cs="Times New Roman" w:eastAsia="Times New Roman" w:hAnsi="Times New Roman"/>
          <w:sz w:val="17"/>
          <w:szCs w:val="17"/>
          <w:color w:val="auto"/>
        </w:rPr>
      </w:pPr>
    </w:p>
    <w:p>
      <w:pPr>
        <w:ind w:left="1080" w:hanging="434"/>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proposals for (re)appointment of members of the management board and the supervisory board;</w:t>
      </w:r>
    </w:p>
    <w:p>
      <w:pPr>
        <w:spacing w:after="0" w:line="209" w:lineRule="exact"/>
        <w:rPr>
          <w:rFonts w:ascii="Times New Roman" w:cs="Times New Roman" w:eastAsia="Times New Roman" w:hAnsi="Times New Roman"/>
          <w:sz w:val="17"/>
          <w:szCs w:val="17"/>
          <w:color w:val="auto"/>
        </w:rPr>
      </w:pPr>
    </w:p>
    <w:p>
      <w:pPr>
        <w:ind w:left="1080" w:hanging="434"/>
        <w:spacing w:after="0" w:line="276"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supervising the policy of the management board regarding the selection criteria and appointment procedures for our senior management and executive officers;</w:t>
      </w:r>
    </w:p>
    <w:p>
      <w:pPr>
        <w:spacing w:after="0" w:line="157" w:lineRule="exact"/>
        <w:rPr>
          <w:rFonts w:ascii="Times New Roman" w:cs="Times New Roman" w:eastAsia="Times New Roman" w:hAnsi="Times New Roman"/>
          <w:sz w:val="17"/>
          <w:szCs w:val="17"/>
          <w:color w:val="auto"/>
        </w:rPr>
      </w:pPr>
    </w:p>
    <w:p>
      <w:pPr>
        <w:ind w:left="1080" w:hanging="434"/>
        <w:spacing w:after="0" w:line="276"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self-evaluation of the management board, the supervisory board and the supervisory board’s committees to determine whether they are functioning effectively; and</w:t>
      </w:r>
    </w:p>
    <w:p>
      <w:pPr>
        <w:spacing w:after="0" w:line="157" w:lineRule="exact"/>
        <w:rPr>
          <w:rFonts w:ascii="Times New Roman" w:cs="Times New Roman" w:eastAsia="Times New Roman" w:hAnsi="Times New Roman"/>
          <w:sz w:val="17"/>
          <w:szCs w:val="17"/>
          <w:color w:val="auto"/>
        </w:rPr>
      </w:pPr>
    </w:p>
    <w:p>
      <w:pPr>
        <w:jc w:val="both"/>
        <w:ind w:left="1080" w:hanging="434"/>
        <w:spacing w:after="0" w:line="26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Company’s Code of Business Conduct and Ethics (“Code of Conduct”) and overseeing compliance with the Code of Conduct, including, at least annually, reviewing and reassessing the adequacy of the Code of Conduct and recommending any proposed changes to the management board.</w:t>
      </w:r>
    </w:p>
    <w:p>
      <w:pPr>
        <w:spacing w:after="0" w:line="16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Copies of Sono N.V.’s current nomination and corporate governance committee charter and Code of Conduct are posted on the “Investor Relations” section of our website at </w:t>
      </w:r>
      <w:r>
        <w:rPr>
          <w:rFonts w:ascii="Times New Roman" w:cs="Times New Roman" w:eastAsia="Times New Roman" w:hAnsi="Times New Roman"/>
          <w:sz w:val="17"/>
          <w:szCs w:val="17"/>
          <w:i w:val="1"/>
          <w:iCs w:val="1"/>
          <w:color w:val="auto"/>
        </w:rPr>
        <w:t>https://ir.sonomotors.com/</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named executive officers (collectively, the “Named Executive Officers” or “NEOs”) for the year ended December 31, 2025 are:</w:t>
      </w:r>
    </w:p>
    <w:p>
      <w:pPr>
        <w:spacing w:after="0" w:line="209" w:lineRule="exact"/>
        <w:rPr>
          <w:sz w:val="20"/>
          <w:szCs w:val="20"/>
          <w:color w:val="auto"/>
        </w:rPr>
      </w:pPr>
    </w:p>
    <w:p>
      <w:pPr>
        <w:ind w:left="1120" w:hanging="436"/>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Kevin McGurn, our Chief Executive Officer;</w:t>
      </w:r>
    </w:p>
    <w:p>
      <w:pPr>
        <w:spacing w:after="0" w:line="209" w:lineRule="exact"/>
        <w:rPr>
          <w:rFonts w:ascii="Times New Roman" w:cs="Times New Roman" w:eastAsia="Times New Roman" w:hAnsi="Times New Roman"/>
          <w:sz w:val="17"/>
          <w:szCs w:val="17"/>
          <w:color w:val="auto"/>
        </w:rPr>
      </w:pPr>
    </w:p>
    <w:p>
      <w:pPr>
        <w:ind w:left="1120" w:hanging="436"/>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Martin Scott Calhoun, our Chief Financial Officer; and</w:t>
      </w:r>
    </w:p>
    <w:p>
      <w:pPr>
        <w:spacing w:after="0" w:line="209" w:lineRule="exact"/>
        <w:rPr>
          <w:rFonts w:ascii="Times New Roman" w:cs="Times New Roman" w:eastAsia="Times New Roman" w:hAnsi="Times New Roman"/>
          <w:sz w:val="17"/>
          <w:szCs w:val="17"/>
          <w:color w:val="auto"/>
        </w:rPr>
      </w:pPr>
    </w:p>
    <w:p>
      <w:pPr>
        <w:ind w:left="1120" w:hanging="436"/>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George O’Leary, our former 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other executive officers of the Company serving at the end of 2025.</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September 2025, our former Chief Executive Officer, George G. O’Leary, voluntarily submitted his notice of resignation as Chief Executive Officer, effective September 9, 2025. In connection with Mr. O’Leary’s resignation, the Company’s supervisory board nominated Kevin J. McGurn to serve as Chief Executive Officer, effective September 9, 2025. Mr. O’Leary remained the Company’s sole statutory managing director (and sole member of the management board) through December 31, 2025. Because, under Dutch law, managing directors of a Dutch N.V. are appointed by the general meeting of shareholders, and no general meeting was held in 2025 to formally appoint Mr. McGurn as a statutory managing director, Mr. McGurn was not formally appointed to the management board during 2025. Accordingly, following Mr. O’Leary’s resignation as statutory managing director effective December 31, 2025, and pursuant to Article 17.4 of the Company’s articles of association, the supervisory board temporarily designated Mr. McGurn to be charged with the management of the Company until a general meeting of shareholders can formally appoint him as a managing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spacing w:after="0" w:line="276" w:lineRule="auto"/>
        <w:rPr>
          <w:sz w:val="20"/>
          <w:szCs w:val="20"/>
          <w:color w:val="auto"/>
        </w:rPr>
      </w:pPr>
      <w:r>
        <w:rPr>
          <w:rFonts w:ascii="Times New Roman" w:cs="Times New Roman" w:eastAsia="Times New Roman" w:hAnsi="Times New Roman"/>
          <w:sz w:val="17"/>
          <w:szCs w:val="17"/>
          <w:color w:val="auto"/>
        </w:rPr>
        <w:t>The Summary Compensation Table below provides information regarding compensation awarded to, earned by or paid to our NEOs for the years ended December 31, 2025 and December 31, 2024, as applicable.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Compensation Table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6"/>
              <w:spacing w:after="0"/>
              <w:rPr>
                <w:sz w:val="20"/>
                <w:szCs w:val="20"/>
                <w:color w:val="auto"/>
              </w:rPr>
            </w:pPr>
            <w:r>
              <w:rPr>
                <w:rFonts w:ascii="Arial" w:cs="Arial" w:eastAsia="Arial" w:hAnsi="Arial"/>
                <w:sz w:val="17"/>
                <w:szCs w:val="17"/>
                <w:b w:val="1"/>
                <w:bCs w:val="1"/>
                <w:color w:val="auto"/>
              </w:rPr>
              <w:t>All Other</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Compensation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260"/>
              <w:spacing w:after="0"/>
              <w:rPr>
                <w:sz w:val="20"/>
                <w:szCs w:val="20"/>
                <w:color w:val="auto"/>
              </w:rPr>
            </w:pPr>
            <w:r>
              <w:rPr>
                <w:rFonts w:ascii="Arial" w:cs="Arial" w:eastAsia="Arial" w:hAnsi="Arial"/>
                <w:sz w:val="17"/>
                <w:szCs w:val="17"/>
                <w:b w:val="1"/>
                <w:bCs w:val="1"/>
                <w:color w:val="auto"/>
              </w:rPr>
              <w:t>Year</w:t>
            </w:r>
          </w:p>
        </w:tc>
        <w:tc>
          <w:tcPr>
            <w:tcW w:w="100" w:type="dxa"/>
            <w:vAlign w:val="bottom"/>
          </w:tcPr>
          <w:p>
            <w:pPr>
              <w:spacing w:after="0"/>
              <w:rPr>
                <w:sz w:val="17"/>
                <w:szCs w:val="17"/>
                <w:color w:val="auto"/>
              </w:rPr>
            </w:pPr>
          </w:p>
        </w:tc>
        <w:tc>
          <w:tcPr>
            <w:tcW w:w="1100" w:type="dxa"/>
            <w:vAlign w:val="bottom"/>
          </w:tcPr>
          <w:p>
            <w:pPr>
              <w:jc w:val="right"/>
              <w:ind w:right="276"/>
              <w:spacing w:after="0"/>
              <w:rPr>
                <w:sz w:val="20"/>
                <w:szCs w:val="20"/>
                <w:color w:val="auto"/>
              </w:rPr>
            </w:pPr>
            <w:r>
              <w:rPr>
                <w:rFonts w:ascii="Arial" w:cs="Arial" w:eastAsia="Arial" w:hAnsi="Arial"/>
                <w:sz w:val="17"/>
                <w:szCs w:val="17"/>
                <w:b w:val="1"/>
                <w:bCs w:val="1"/>
                <w:color w:val="auto"/>
              </w:rPr>
              <w:t>Salary</w:t>
            </w:r>
          </w:p>
        </w:tc>
        <w:tc>
          <w:tcPr>
            <w:tcW w:w="100" w:type="dxa"/>
            <w:vAlign w:val="bottom"/>
          </w:tcPr>
          <w:p>
            <w:pPr>
              <w:spacing w:after="0"/>
              <w:rPr>
                <w:sz w:val="17"/>
                <w:szCs w:val="17"/>
                <w:color w:val="auto"/>
              </w:rPr>
            </w:pPr>
          </w:p>
        </w:tc>
        <w:tc>
          <w:tcPr>
            <w:tcW w:w="1100" w:type="dxa"/>
            <w:vAlign w:val="bottom"/>
          </w:tcPr>
          <w:p>
            <w:pPr>
              <w:jc w:val="right"/>
              <w:ind w:right="256"/>
              <w:spacing w:after="0"/>
              <w:rPr>
                <w:sz w:val="20"/>
                <w:szCs w:val="20"/>
                <w:color w:val="auto"/>
              </w:rPr>
            </w:pPr>
            <w:r>
              <w:rPr>
                <w:rFonts w:ascii="Arial" w:cs="Arial" w:eastAsia="Arial" w:hAnsi="Arial"/>
                <w:sz w:val="17"/>
                <w:szCs w:val="17"/>
                <w:b w:val="1"/>
                <w:bCs w:val="1"/>
                <w:color w:val="auto"/>
              </w:rPr>
              <w:t>Bonus</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17"/>
                <w:szCs w:val="17"/>
                <w:color w:val="auto"/>
              </w:rPr>
            </w:pPr>
          </w:p>
        </w:tc>
        <w:tc>
          <w:tcPr>
            <w:tcW w:w="1100" w:type="dxa"/>
            <w:vAlign w:val="bottom"/>
          </w:tcPr>
          <w:p>
            <w:pPr>
              <w:jc w:val="right"/>
              <w:ind w:right="316"/>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2"/>
        </w:trPr>
        <w:tc>
          <w:tcPr>
            <w:tcW w:w="5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ind w:right="416"/>
              <w:spacing w:after="0" w:line="182"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ind w:right="416"/>
              <w:spacing w:after="0" w:line="182"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center"/>
              <w:ind w:right="16"/>
              <w:spacing w:after="0" w:line="182" w:lineRule="exact"/>
              <w:rPr>
                <w:sz w:val="20"/>
                <w:szCs w:val="20"/>
                <w:color w:val="auto"/>
              </w:rPr>
            </w:pPr>
            <w:r>
              <w:rPr>
                <w:rFonts w:ascii="Arial" w:cs="Arial" w:eastAsia="Arial" w:hAnsi="Arial"/>
                <w:sz w:val="17"/>
                <w:szCs w:val="17"/>
                <w:b w:val="1"/>
                <w:bCs w:val="1"/>
                <w:color w:val="auto"/>
                <w:w w:val="96"/>
              </w:rPr>
              <w:t>($)</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ind w:right="416"/>
              <w:spacing w:after="0" w:line="182"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Kevin McGurn</w:t>
            </w:r>
          </w:p>
        </w:tc>
        <w:tc>
          <w:tcPr>
            <w:tcW w:w="10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2025</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125,691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10,500</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136,191</w:t>
            </w:r>
          </w:p>
        </w:tc>
        <w:tc>
          <w:tcPr>
            <w:tcW w:w="0" w:type="dxa"/>
            <w:vAlign w:val="bottom"/>
          </w:tcPr>
          <w:p>
            <w:pPr>
              <w:spacing w:after="0"/>
              <w:rPr>
                <w:sz w:val="1"/>
                <w:szCs w:val="1"/>
                <w:color w:val="auto"/>
              </w:rPr>
            </w:pPr>
          </w:p>
        </w:tc>
      </w:tr>
      <w:tr>
        <w:trPr>
          <w:trHeight w:val="190"/>
        </w:trPr>
        <w:tc>
          <w:tcPr>
            <w:tcW w:w="5280" w:type="dxa"/>
            <w:vAlign w:val="bottom"/>
          </w:tcPr>
          <w:p>
            <w:pPr>
              <w:spacing w:after="0" w:line="189" w:lineRule="exact"/>
              <w:rPr>
                <w:sz w:val="20"/>
                <w:szCs w:val="20"/>
                <w:color w:val="auto"/>
              </w:rPr>
            </w:pPr>
            <w:r>
              <w:rPr>
                <w:rFonts w:ascii="Arial" w:cs="Arial" w:eastAsia="Arial" w:hAnsi="Arial"/>
                <w:sz w:val="17"/>
                <w:szCs w:val="17"/>
                <w:i w:val="1"/>
                <w:iCs w:val="1"/>
                <w:color w:val="auto"/>
              </w:rPr>
              <w:t>Chief Executive Officer</w:t>
            </w:r>
          </w:p>
        </w:tc>
        <w:tc>
          <w:tcPr>
            <w:tcW w:w="100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Martin Scott Calhoun (2)</w:t>
            </w:r>
          </w:p>
        </w:tc>
        <w:tc>
          <w:tcPr>
            <w:tcW w:w="10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2025</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195,000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195,000</w:t>
            </w:r>
          </w:p>
        </w:tc>
        <w:tc>
          <w:tcPr>
            <w:tcW w:w="0" w:type="dxa"/>
            <w:vAlign w:val="bottom"/>
          </w:tcPr>
          <w:p>
            <w:pPr>
              <w:spacing w:after="0"/>
              <w:rPr>
                <w:sz w:val="1"/>
                <w:szCs w:val="1"/>
                <w:color w:val="auto"/>
              </w:rPr>
            </w:pPr>
          </w:p>
        </w:tc>
      </w:tr>
      <w:tr>
        <w:trPr>
          <w:trHeight w:val="190"/>
        </w:trPr>
        <w:tc>
          <w:tcPr>
            <w:tcW w:w="5280" w:type="dxa"/>
            <w:vAlign w:val="bottom"/>
          </w:tcPr>
          <w:p>
            <w:pPr>
              <w:spacing w:after="0" w:line="189" w:lineRule="exact"/>
              <w:rPr>
                <w:sz w:val="20"/>
                <w:szCs w:val="20"/>
                <w:color w:val="auto"/>
              </w:rPr>
            </w:pPr>
            <w:r>
              <w:rPr>
                <w:rFonts w:ascii="Arial" w:cs="Arial" w:eastAsia="Arial" w:hAnsi="Arial"/>
                <w:sz w:val="17"/>
                <w:szCs w:val="17"/>
                <w:i w:val="1"/>
                <w:iCs w:val="1"/>
                <w:color w:val="auto"/>
              </w:rPr>
              <w:t>Chief Financial Officer</w:t>
            </w:r>
          </w:p>
        </w:tc>
        <w:tc>
          <w:tcPr>
            <w:tcW w:w="100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2024</w:t>
            </w:r>
          </w:p>
        </w:tc>
        <w:tc>
          <w:tcPr>
            <w:tcW w:w="1200" w:type="dxa"/>
            <w:vAlign w:val="bottom"/>
            <w:gridSpan w:val="2"/>
          </w:tcPr>
          <w:p>
            <w:pPr>
              <w:jc w:val="right"/>
              <w:ind w:right="16"/>
              <w:spacing w:after="0" w:line="189" w:lineRule="exact"/>
              <w:rPr>
                <w:sz w:val="20"/>
                <w:szCs w:val="20"/>
                <w:color w:val="auto"/>
              </w:rPr>
            </w:pPr>
            <w:r>
              <w:rPr>
                <w:rFonts w:ascii="Arial" w:cs="Arial" w:eastAsia="Arial" w:hAnsi="Arial"/>
                <w:sz w:val="17"/>
                <w:szCs w:val="17"/>
                <w:color w:val="auto"/>
              </w:rPr>
              <w:t>38,850</w:t>
            </w:r>
          </w:p>
        </w:tc>
        <w:tc>
          <w:tcPr>
            <w:tcW w:w="100" w:type="dxa"/>
            <w:vAlign w:val="bottom"/>
          </w:tcPr>
          <w:p>
            <w:pPr>
              <w:spacing w:after="0"/>
              <w:rPr>
                <w:sz w:val="16"/>
                <w:szCs w:val="16"/>
                <w:color w:val="auto"/>
              </w:rPr>
            </w:pPr>
          </w:p>
        </w:tc>
        <w:tc>
          <w:tcPr>
            <w:tcW w:w="1100" w:type="dxa"/>
            <w:vAlign w:val="bottom"/>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60" w:type="dxa"/>
            <w:vAlign w:val="bottom"/>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
              <w:spacing w:after="0" w:line="189" w:lineRule="exact"/>
              <w:rPr>
                <w:sz w:val="20"/>
                <w:szCs w:val="20"/>
                <w:color w:val="auto"/>
              </w:rPr>
            </w:pPr>
            <w:r>
              <w:rPr>
                <w:rFonts w:ascii="Arial" w:cs="Arial" w:eastAsia="Arial" w:hAnsi="Arial"/>
                <w:sz w:val="17"/>
                <w:szCs w:val="17"/>
                <w:color w:val="auto"/>
              </w:rPr>
              <w:t>38,850</w:t>
            </w:r>
          </w:p>
        </w:tc>
        <w:tc>
          <w:tcPr>
            <w:tcW w:w="0" w:type="dxa"/>
            <w:vAlign w:val="bottom"/>
          </w:tcPr>
          <w:p>
            <w:pPr>
              <w:spacing w:after="0"/>
              <w:rPr>
                <w:sz w:val="1"/>
                <w:szCs w:val="1"/>
                <w:color w:val="auto"/>
              </w:rPr>
            </w:pPr>
          </w:p>
        </w:tc>
      </w:tr>
      <w:tr>
        <w:trPr>
          <w:trHeight w:val="190"/>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George O’Leary (3)</w:t>
            </w:r>
          </w:p>
        </w:tc>
        <w:tc>
          <w:tcPr>
            <w:tcW w:w="10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2025</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261,004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28,000</w:t>
            </w:r>
          </w:p>
        </w:tc>
        <w:tc>
          <w:tcPr>
            <w:tcW w:w="1200" w:type="dxa"/>
            <w:vAlign w:val="bottom"/>
            <w:gridSpan w:val="2"/>
            <w:shd w:val="clear" w:color="auto" w:fill="CCEEFF"/>
          </w:tcPr>
          <w:p>
            <w:pPr>
              <w:jc w:val="right"/>
              <w:ind w:right="16"/>
              <w:spacing w:after="0" w:line="189" w:lineRule="exact"/>
              <w:rPr>
                <w:sz w:val="20"/>
                <w:szCs w:val="20"/>
                <w:color w:val="auto"/>
              </w:rPr>
            </w:pPr>
            <w:r>
              <w:rPr>
                <w:rFonts w:ascii="Arial" w:cs="Arial" w:eastAsia="Arial" w:hAnsi="Arial"/>
                <w:sz w:val="17"/>
                <w:szCs w:val="17"/>
                <w:color w:val="auto"/>
              </w:rPr>
              <w:t>289,004</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7"/>
                <w:szCs w:val="17"/>
                <w:i w:val="1"/>
                <w:iCs w:val="1"/>
                <w:color w:val="auto"/>
              </w:rPr>
              <w:t>former Chief Executive Officer</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2024</w:t>
            </w: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391,075</w:t>
            </w: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100,000 (4)</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35,000</w:t>
            </w:r>
          </w:p>
        </w:tc>
        <w:tc>
          <w:tcPr>
            <w:tcW w:w="1200" w:type="dxa"/>
            <w:vAlign w:val="bottom"/>
            <w:gridSpan w:val="2"/>
          </w:tcPr>
          <w:p>
            <w:pPr>
              <w:jc w:val="right"/>
              <w:ind w:right="16"/>
              <w:spacing w:after="0"/>
              <w:rPr>
                <w:sz w:val="20"/>
                <w:szCs w:val="20"/>
                <w:color w:val="auto"/>
              </w:rPr>
            </w:pPr>
            <w:r>
              <w:rPr>
                <w:rFonts w:ascii="Arial" w:cs="Arial" w:eastAsia="Arial" w:hAnsi="Arial"/>
                <w:sz w:val="17"/>
                <w:szCs w:val="17"/>
                <w:color w:val="auto"/>
              </w:rPr>
              <w:t>526,075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23" w:lineRule="exact"/>
        <w:rPr>
          <w:sz w:val="20"/>
          <w:szCs w:val="20"/>
          <w:color w:val="auto"/>
        </w:rPr>
      </w:pPr>
    </w:p>
    <w:p>
      <w:pPr>
        <w:ind w:left="380" w:hanging="379"/>
        <w:spacing w:after="0"/>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for Mr. O’Leary consists of a $35,000 healthcare allowance provided by the Company to Mr. O’Leary.</w:t>
      </w:r>
    </w:p>
    <w:p>
      <w:pPr>
        <w:spacing w:after="0" w:line="6" w:lineRule="exact"/>
        <w:rPr>
          <w:rFonts w:ascii="Times New Roman" w:cs="Times New Roman" w:eastAsia="Times New Roman" w:hAnsi="Times New Roman"/>
          <w:sz w:val="17"/>
          <w:szCs w:val="17"/>
          <w:color w:val="auto"/>
        </w:rPr>
      </w:pPr>
    </w:p>
    <w:p>
      <w:pPr>
        <w:ind w:left="380" w:hanging="379"/>
        <w:spacing w:after="0" w:line="248"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Calhoun first assumed the role of CFO on December 30, 2024. Prior to his service as CFO, beginning on October 1, 2024, Mr. Calhoun served as Controller for the Company. Mr. Calhoun’s compensation for the year ended December 31, 2024 includes compensation for his service as CFO and Controller.</w:t>
      </w:r>
    </w:p>
    <w:p>
      <w:pPr>
        <w:jc w:val="both"/>
        <w:ind w:left="380" w:hanging="379"/>
        <w:spacing w:after="0" w:line="248"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O’Leary first assumed the roles of CEO and CFO on January 31, 2024, initially on a part-time basis until his full-time assumption of the roles on April 8, 2024. Mr. O’Leary, in preparation of the Company’s uplisting to the Nasdaq Capital Market, replaced himself with Mr. Calhoun as CFO on December 30, 2024. Mr. O’Leary’s compensation for the year ended December 31, 2024 includes compensation for his services as CEO and CFO.</w:t>
      </w:r>
    </w:p>
    <w:p>
      <w:pPr>
        <w:spacing w:after="0" w:line="1" w:lineRule="exact"/>
        <w:rPr>
          <w:rFonts w:ascii="Times New Roman" w:cs="Times New Roman" w:eastAsia="Times New Roman" w:hAnsi="Times New Roman"/>
          <w:sz w:val="17"/>
          <w:szCs w:val="17"/>
          <w:color w:val="auto"/>
        </w:rPr>
      </w:pPr>
    </w:p>
    <w:p>
      <w:pPr>
        <w:jc w:val="both"/>
        <w:ind w:left="380" w:hanging="379"/>
        <w:spacing w:after="0" w:line="251"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2025, the supervisory board determined, based on our performance, a bonus payout of $100,000 for Mr. O’Leary with respect to his 2024 incentive bonus, with 65% of the bonus payout being paid on February 18, 2025 and the remaining 35% of the bonus payout being paid upon the earlier of (i) the Company’s next funding event in excess of $1 million, or (ii) the Company’s successful uplisting to Nasdaq, subject to Mr. O’Leary remaining in continuous service with us through the payment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Narrative to Summary Compensation Table</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executive compensation program is designed to attract and retain high-caliber executives, incentivize performance and align management's interests with those of our shareholders. Compensation for our NEOs consists primarily of base salary or consulting fees, discretionary bonuses and other compensation, including health insurance benefits or stipends and other customary employment-related benefits.</w:t>
      </w:r>
    </w:p>
    <w:p>
      <w:pPr>
        <w:spacing w:after="0" w:line="169" w:lineRule="exact"/>
        <w:rPr>
          <w:sz w:val="20"/>
          <w:szCs w:val="20"/>
          <w:color w:val="auto"/>
        </w:rPr>
      </w:pPr>
    </w:p>
    <w:p>
      <w:pPr>
        <w:ind w:left="920" w:right="460" w:hanging="463"/>
        <w:spacing w:after="0" w:line="257" w:lineRule="auto"/>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 consulting fees: Fixed cash compensation based on role, experience and industry benchmarks. During 2025, Mr. O'Leary received an annual base salary of $400,000 under his service agreement through the date of his resignation on September 9, 2025. During the Interim Period commencing September 9, 2025, McGurn Advisors LLC received a consulting fee of $7,700 per week on behalf of Mr. McGurn pursuant to the Consulting Agreement, as Mr. McGurn served the Company as an independent contractor during this period.</w:t>
      </w:r>
    </w:p>
    <w:p>
      <w:pPr>
        <w:spacing w:after="0" w:line="174" w:lineRule="exact"/>
        <w:rPr>
          <w:rFonts w:ascii="Times New Roman" w:cs="Times New Roman" w:eastAsia="Times New Roman" w:hAnsi="Times New Roman"/>
          <w:sz w:val="17"/>
          <w:szCs w:val="17"/>
          <w:color w:val="auto"/>
        </w:rPr>
      </w:pPr>
    </w:p>
    <w:p>
      <w:pPr>
        <w:jc w:val="both"/>
        <w:ind w:left="920" w:hanging="463"/>
        <w:spacing w:after="0" w:line="253" w:lineRule="auto"/>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Bonus: Pursuant to his service agreement, for 2024, Mr. O'Leary was eligible for a target incentive bonus of $100,000, based upon the achievement of goals agreed with the supervisory board. In January 2025, the supervisory board determined, based on our performance, a bonus payout of $100,000 for Mr. O'Leary with respect to his 2024 incentive bonus, with 65% of the bonus payout paid on February 28, 2025 and the remaining 35% paid on April 17, 2025. Mr. McGurn's eligibility for an incentive bonus is contingent upon the execution of the Service Agreement following his formal election as Managing Director at the Company's next Extraordinary General Meeting, which had not occurred as of December 31, 2025. Accordingly, Mr. McGurn was not eligible for an incentive bonus with respect to his 2025 service. None of our other NEOs were eligible for an incentive bonus for 2024 or 2025 service.</w:t>
      </w:r>
    </w:p>
    <w:p>
      <w:pPr>
        <w:spacing w:after="0" w:line="176" w:lineRule="exact"/>
        <w:rPr>
          <w:rFonts w:ascii="Times New Roman" w:cs="Times New Roman" w:eastAsia="Times New Roman" w:hAnsi="Times New Roman"/>
          <w:sz w:val="17"/>
          <w:szCs w:val="17"/>
          <w:color w:val="auto"/>
        </w:rPr>
      </w:pPr>
    </w:p>
    <w:p>
      <w:pPr>
        <w:jc w:val="both"/>
        <w:ind w:left="920" w:hanging="463"/>
        <w:spacing w:after="0" w:line="255" w:lineRule="auto"/>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For Mr. O'Leary, all other compensation consisted of employer-paid health insurance premiums, compensation for unused vacation days and other customary employment-related benefits. For Mr. McGurn, during the Interim Period from September 9, 2025 through December 31, 2025, Mr. McGurn served as an independent contractor and was not entitled to any employee benefits. The $3,500 monthly health insurance stipend and other employment benefits are payable only upon and following Mr. McGurn's formal election as Managing Director and commencement of the Service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jc w:val="both"/>
        <w:spacing w:after="0" w:line="257" w:lineRule="auto"/>
        <w:rPr>
          <w:sz w:val="20"/>
          <w:szCs w:val="20"/>
          <w:color w:val="auto"/>
        </w:rPr>
      </w:pPr>
      <w:r>
        <w:rPr>
          <w:rFonts w:ascii="Times New Roman" w:cs="Times New Roman" w:eastAsia="Times New Roman" w:hAnsi="Times New Roman"/>
          <w:sz w:val="17"/>
          <w:szCs w:val="17"/>
          <w:color w:val="auto"/>
        </w:rPr>
        <w:t>In response to Item 402(x)(1) of Regulation S-K,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management board determines when to grant such awards and how it will take material nonpublic information into account when determining the timing and terms of such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Fiscal 2025 Named Executive Officers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McGurn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September 9, 2025, the Company entered into a Consulting Agreement with McGurn Advisors LLC and Kevin McGurn (the “Consulting Agreement”), pursuant to which Mr. McGurn provides Chief Executive Officer services to the Company as an independent contractor. The Consulting Agreement was approved by the supervisory board on September 9, 2025. During the period from September 9, 2025 through the date of Mr. McGurn’s election as Managing Director at the Company’s next Extraordinary General Meeting (the “Interim Period”), McGurn Advisors LLC receives a consulting fee of $7,700 per week, pro-rated for any partial week and payable in arrears in bi-weekly installments. During the Interim Period, Mr. McGurn serves as an independent contractor and is not entitled to any employee benefits.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Consulting Agreement provides that, contingent upon Mr. McGurn's election and appointment as Managing Director at the Company's next Extraordinary General Meeting, the Company will enter into a service agreement with Mr. McGurn retroactive to September 9, 2025 (the "Service Agreement"). The Service Agreement will provide that Mr. McGurn is entitled to receive an annual base salary of $400,000, paid time off benefits, a taxable monthly health insurance stipend of $3,500 until the Company establishes a U.S. healthcare benefit plan, and an incentive bonus payment targeted at 25% of his base salary, with payment based upon the achievement of certain goals as agreed with and approved by the Company’s supervisory board and subject to Mr. McGurn remaining in continuous service with us through the applicable payment date.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event that Mr. McGurn is elected and appointed as Managing Director at the Company’s next Extraordinary General Meeting, Mr. McGurn’s Service Agreement as the Chief Executive Officer shall be for an initial term retroactive to September 9, 2025, until the end of his elected term as Managing Director, which may be extended by mutual agreement of the parties to the Consulting Agreement. Any termination of the Service Agreement, once entered into, by the Company or Mr. McGurn (other than a termination by the Company for Cause (as such term will be defined under the Service Agreement) or termination as a result of Mr. McGurn’s death or permanent disability) will require a 90-day notice period. If the Company terminates Mr. McGurn without Cause during the initial term of the Service Agreement, then, subject to Mr. McGurn’s execution and non-revocation of a separation agreement and release of claims in form and substance acceptable to the Company and Mr. McGurn's continued compliance with all post-termination obligations to the Company, the Company shall provide severance payments to Mr. McGurn equal to the base salary and 100% of the cash bonus that Mr. McGurn would have received for the remainder of the initial term, with a minimum severance payment equal to three months of his base salary if termination without Cause occurs after his ninth month of service. If the Company terminates Mr. McGurn without Cause during any extension period of the Service Agreement, then, subject to the same conditions described above, the Company shall provide severance payments to Mr. McGurn equal to three months of his base salary.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term of the Consulting Agreement may be terminated at any time for Cause and, in the event that the Consulting Agreement is terminated for Cause during the Interim Period, Mr. McGurn will not be eligible for employment with Sono N.V. or any affiliate of Sono N.V. A termination of the Consulting Agreement for “Cause” shall mean any termination for: (A) dishonesty (including but not limited to any acts of embezzlement or misappropriation of funds, regardless of whether the embezzlement or misappropriation involves funds or assets of Sono N.V. or its affiliates (solely with respect to the Consulting Agreement, Sono N.V. and its affiliates are collectively referred to as the “Company Group”) or a third party), fraud, serious dereliction of fiduciary obligation, conviction of or plea of guilty or nolo contendere to a felony charge or any criminal act involving moral turpitude; (B) an intentional, unauthorized disclosure of confidential information belonging to the Company Group, or entrusted to the Company Group by a client, customer, or other third party; (C) reporting to Sono N.V. offices or providing any services while under the influence of drugs or alcohol (other than prescription medicine or other medically-related drugs to the extent that they are taken in accordance with their directions); (D) a material violation of any Company rule, regulation or policy; (E) any act materially adverse to the interests of the Company Group or reasonably likely to result in harm to the Company Group or to bring the Company Group into disrepute; or (F) a breach of any promise or obligation under the Consulting Agreement, including, without limitation, a refusal to substantially perform services under the Consulting Agreement. In the event that Mr. McGurn is elected as managing director of Sono N.V., his service agreement as Chief Executive Officer will provide for a substantially similar definition of “Cause.”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7"/>
          <w:szCs w:val="17"/>
          <w:color w:val="auto"/>
        </w:rPr>
        <w:t>The Consulting Agreement provides for standard representations, warranties, covenants and indemnification provisions for an agreement of its kind. In addition, McGurn Advisors LLC and Mr. McGurn have each agreed not to solicit or attempt to solicit, directly or indirectly, any employees, consultants or other independent contractors or any business from any customer of Sono N.V. during the term of the Consulting Agreement and for a period of one year thereafter. McGurn Advisors LLC and Mr. McGurn have further represented to Sono N.V. pursuant to the Consulting Agreement that neither is obligated under any form of non-compete or non-solicitation agreement which would preclude McGurn Advisors LLC or Mr. McGurn from providing Chief Executive Officer services to Sono N.V. during or after the Interim Period. In the event that Mr. McGurn is elected and appointed as Managing Director, the Service Agreement will additionally include non-disparagement and intellectual property and assignment of inventions covenants in favor of the Company.</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the date of this Annual Report, Mr. McGurn's election as Managing Director by the general meeting of shareholders has not yet occurred, and accordingly the Consulting Agreement and its interim compensation terms remain in effect. The Company expects to present Mr. McGurn's formal election as Managing Director for shareholder approval at the next Extraordinary General Meeting.</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foregoing description is qualified in its entirety by reference to the full text of the Consulting Agreement, which was filed as Exhibit 10.1 to the Company's Current Report on Form 8-K filed with the SEC on September 9, 2025,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 Scott Calhoun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entered into a full-time service agreement with Mr. M. Scott Calhoun on December 30, 2024. This agreement entitles Mr. Calhoun to receive monthly salary payments of $16,250. Either party may terminate the service agreement by giving the other party not less than 30 days’ notice. The agreement does not provide for any severance payments in connection with the termination of Mr. Calhoun’s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Former Executive Officers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George O’Leary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entered into a full-time service agreement with George O’Leary on May 8, 2024 with an initial term of one year, with extensions approved by the supervisory board. The agreement entitles Mr. O’Leary to receive an annual base salary of $400,000, paid time off benefits and a monthly health insurance stipend. The agreement also provides for an incentive bonus payment targeted at 25% of Mr. O’Leary’s base salary, with payment based upon the achievement of certain goals as agreed with and approved by the supervisory board and subject to Mr. O’Leary remaining in continuous service with us through the applicable payment date.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Either party may terminate the service agreement by giving the other party not less than 90 days’ notice; provided that the Company may terminate the agreement with immediate effect in connection with a termination for Cause (as defined in the agreement). If the Company terminates Mr. O’Leary without Cause during the initial term of the agreement, then, subject to Mr. O’Leary’s execution and non-revocation of a separation agreement and release of claims in form and substance acceptable to the Company and Mr. O’Leary’s continued compliance with all post-termination obligations to the Company, Sono N.V. shall provide severance payments to Mr. O’Leary equal to the base salary and 100% of the cash bonus that Mr. O’Leary would have received for the remainder of the initial term, with the minimum severance payment being equal to three months of his base salary. If Mr. O’Leary is terminated without Cause during any extension period of the term of the agreement, then, subject to Mr. O’Leary’s execution and non-revocation of a separation agreement and release of claims in form and substance acceptable to the Company and Mr. O’Leary’s continued compliance with all post-termination obligations to Sono N.V., the Company shall provide severance payments to Mr. O’Leary equal to three months of his base salary.</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Under the agreement, Mr. O’Leary is subject to confidentiality, non-disclosure, customer non-solicitation, employee non-solicitation, non-disparagement, intellectual property and assignment of inventions covenants in favor of the Company.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9, 2025, Mr. O’Leary voluntarily resigned as Chief Executive Officer, effective September 9, 2025. Mr. O’Leary’s resignation did not result from any disagreement with the Company regarding any matter related to the Company's operations, policies, or practices. There is no change to the severance that Mr. O’Leary is entitled to receive as previously disclosed by Sono N.V., as described above. Mr. O’Leary continued to serve as the Company’s sole statutory Managing Director through December 31, 2025, supporting an orderly management transition.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Fiscal Year-End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none of our NEOs held any outstanding equity awards.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Plan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does not sponsor a retirement plan for its NEOs or other employees. Our NEOs provide services under individual service agreements and are not eligible for a company-sponsored retirement or other pension benefits. Employees of our German subsidiary participate in statutory retirement programs in accordance with applicable German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Clawback Policy</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December 2023, our supervisory board adopted our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is subject to recoupment.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Non-Executive Directors' Remuneration</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supervisory board was first established in 2021. As of February 1, 2024, the annual compensation package for services as a supervisory board member, including service on any committees of the supervisory board, consists of an annual retainer of $50,000.</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following table presents the total compensation for each person who served as a member of our supervisory board during the fiscal year ended December 31, 2025. Other than as set forth in the table and described more fully below, we did not pay any compensation, make any equity awards to or pay any other compensation to any of the members of our supervisory board in 2025. Supervisory board members are entitled to reimbursement for reasonable and documented travel and out-of-pocket expenses incurred in connection with their service as members of the supervisory board.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Fees Earned or</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2"/>
        </w:trPr>
        <w:tc>
          <w:tcPr>
            <w:tcW w:w="5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Paid in Cash</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Stock 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Option Awards</w:t>
            </w: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6"/>
        </w:trPr>
        <w:tc>
          <w:tcPr>
            <w:tcW w:w="5980" w:type="dxa"/>
            <w:vAlign w:val="bottom"/>
          </w:tcPr>
          <w:p>
            <w:pPr>
              <w:spacing w:after="0"/>
              <w:rPr>
                <w:sz w:val="17"/>
                <w:szCs w:val="17"/>
                <w:color w:val="auto"/>
              </w:rPr>
            </w:pPr>
          </w:p>
        </w:tc>
        <w:tc>
          <w:tcPr>
            <w:tcW w:w="124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Current Supervisory Board Members </w:t>
            </w:r>
            <w:r>
              <w:rPr>
                <w:rFonts w:ascii="Times New Roman" w:cs="Times New Roman" w:eastAsia="Times New Roman" w:hAnsi="Times New Roman"/>
                <w:sz w:val="17"/>
                <w:szCs w:val="17"/>
                <w:color w:val="auto"/>
              </w:rPr>
              <w:t>(1)</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David Dodge</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r>
      <w:tr>
        <w:trPr>
          <w:trHeight w:val="20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Christopher Schreiber</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Owen May</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50,000</w:t>
            </w:r>
          </w:p>
        </w:tc>
      </w:tr>
    </w:tbl>
    <w:p>
      <w:pPr>
        <w:spacing w:after="0" w:line="170" w:lineRule="exact"/>
        <w:rPr>
          <w:sz w:val="20"/>
          <w:szCs w:val="20"/>
          <w:color w:val="auto"/>
        </w:rPr>
      </w:pPr>
    </w:p>
    <w:p>
      <w:pPr>
        <w:jc w:val="both"/>
        <w:ind w:left="460" w:hanging="459"/>
        <w:spacing w:after="0" w:line="262" w:lineRule="auto"/>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January 2024 EGM, David Dodge and Christopher Schreiber were appointed as members of the Company’s supervisory board as of the close of the January 2024 EGM. At the November 2024 EGM, Owen May was appointed as a member of the Company’s supervisory board as of the close of the November 2024 EGM.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following table sets forth information, as of March 25, 2026, regarding the beneficial ownership of our Ordinary Shares, High Voting Shares and Preferred Shares, by:</w:t>
      </w:r>
    </w:p>
    <w:p>
      <w:pPr>
        <w:spacing w:after="0" w:line="158" w:lineRule="exact"/>
        <w:rPr>
          <w:sz w:val="20"/>
          <w:szCs w:val="20"/>
          <w:color w:val="auto"/>
        </w:rPr>
      </w:pPr>
    </w:p>
    <w:p>
      <w:pPr>
        <w:ind w:left="880" w:hanging="436"/>
        <w:spacing w:after="0" w:line="276" w:lineRule="auto"/>
        <w:tabs>
          <w:tab w:leader="none" w:pos="8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5% or more of our outstanding Ordinary Shares, High Voting Shares and Preferred Shares;</w:t>
      </w:r>
    </w:p>
    <w:p>
      <w:pPr>
        <w:spacing w:after="0" w:line="157" w:lineRule="exact"/>
        <w:rPr>
          <w:rFonts w:ascii="Times New Roman" w:cs="Times New Roman" w:eastAsia="Times New Roman" w:hAnsi="Times New Roman"/>
          <w:sz w:val="17"/>
          <w:szCs w:val="17"/>
          <w:color w:val="auto"/>
        </w:rPr>
      </w:pPr>
    </w:p>
    <w:p>
      <w:pPr>
        <w:ind w:left="880" w:hanging="436"/>
        <w:spacing w:after="0" w:line="276" w:lineRule="auto"/>
        <w:tabs>
          <w:tab w:leader="none" w:pos="8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including each current member of our management board and our supervisory board, and each of our NEOs for the fiscal year ended December 31, 2025; and</w:t>
      </w:r>
    </w:p>
    <w:p>
      <w:pPr>
        <w:spacing w:after="0" w:line="157" w:lineRule="exact"/>
        <w:rPr>
          <w:rFonts w:ascii="Times New Roman" w:cs="Times New Roman" w:eastAsia="Times New Roman" w:hAnsi="Times New Roman"/>
          <w:sz w:val="17"/>
          <w:szCs w:val="17"/>
          <w:color w:val="auto"/>
        </w:rPr>
      </w:pPr>
    </w:p>
    <w:p>
      <w:pPr>
        <w:ind w:left="880" w:hanging="436"/>
        <w:spacing w:after="0"/>
        <w:tabs>
          <w:tab w:leader="none" w:pos="8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current NEOs, as a group.</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25, 2026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beneficial ownership of our Ordinary Shares, High Voting Shares and Preferred Shares is based on 1,424,834 Ordinary Shares, 40,000 High Voting Shares and 1,401 Preferred Shares issued and outstanding as of March 25, 2026. Unless otherwise noted in the footnotes to the following table, and subject to applicable community property laws, the persons and entities named in the table have sole voting and investment power with respect to the shares they beneficially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Unless otherwise indicated below, the address for each beneficial owner listed is c/o Sono Group N.V., Waldmeisterstraße 93, 80935 Munich, Germany.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202"/>
        </w:trPr>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3"/>
          </w:tcPr>
          <w:p>
            <w:pPr>
              <w:ind w:left="560"/>
              <w:spacing w:after="0"/>
              <w:rPr>
                <w:sz w:val="20"/>
                <w:szCs w:val="20"/>
                <w:color w:val="auto"/>
              </w:rPr>
            </w:pPr>
            <w:r>
              <w:rPr>
                <w:rFonts w:ascii="Times New Roman" w:cs="Times New Roman" w:eastAsia="Times New Roman" w:hAnsi="Times New Roman"/>
                <w:sz w:val="17"/>
                <w:szCs w:val="17"/>
                <w:b w:val="1"/>
                <w:bCs w:val="1"/>
                <w:color w:val="auto"/>
              </w:rPr>
              <w:t>Ordinary shares</w:t>
            </w:r>
          </w:p>
        </w:tc>
        <w:tc>
          <w:tcPr>
            <w:tcW w:w="100" w:type="dxa"/>
            <w:vAlign w:val="bottom"/>
          </w:tcPr>
          <w:p>
            <w:pPr>
              <w:spacing w:after="0"/>
              <w:rPr>
                <w:sz w:val="17"/>
                <w:szCs w:val="17"/>
                <w:color w:val="auto"/>
              </w:rPr>
            </w:pPr>
          </w:p>
        </w:tc>
        <w:tc>
          <w:tcPr>
            <w:tcW w:w="238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High voting shares</w:t>
            </w:r>
          </w:p>
        </w:tc>
        <w:tc>
          <w:tcPr>
            <w:tcW w:w="100" w:type="dxa"/>
            <w:vAlign w:val="bottom"/>
          </w:tcPr>
          <w:p>
            <w:pPr>
              <w:spacing w:after="0"/>
              <w:rPr>
                <w:sz w:val="17"/>
                <w:szCs w:val="17"/>
                <w:color w:val="auto"/>
              </w:rPr>
            </w:pPr>
          </w:p>
        </w:tc>
        <w:tc>
          <w:tcPr>
            <w:tcW w:w="19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Preferred shares</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voting</w:t>
            </w:r>
          </w:p>
        </w:tc>
      </w:tr>
      <w:tr>
        <w:trPr>
          <w:trHeight w:val="223"/>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00" w:type="dxa"/>
            <w:vAlign w:val="bottom"/>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00" w:type="dxa"/>
            <w:vAlign w:val="bottom"/>
          </w:tcPr>
          <w:p>
            <w:pPr>
              <w:spacing w:after="0"/>
              <w:rPr>
                <w:sz w:val="19"/>
                <w:szCs w:val="19"/>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power</w:t>
            </w:r>
          </w:p>
        </w:tc>
      </w:tr>
      <w:tr>
        <w:trPr>
          <w:trHeight w:val="166"/>
        </w:trPr>
        <w:tc>
          <w:tcPr>
            <w:tcW w:w="2060" w:type="dxa"/>
            <w:vAlign w:val="bottom"/>
            <w:tcBorders>
              <w:bottom w:val="single" w:sz="8" w:color="auto"/>
            </w:tcBorders>
            <w:gridSpan w:val="2"/>
          </w:tcPr>
          <w:p>
            <w:pPr>
              <w:spacing w:after="0" w:line="158" w:lineRule="exact"/>
              <w:rPr>
                <w:sz w:val="20"/>
                <w:szCs w:val="20"/>
                <w:color w:val="auto"/>
              </w:rPr>
            </w:pPr>
            <w:r>
              <w:rPr>
                <w:rFonts w:ascii="Times New Roman" w:cs="Times New Roman" w:eastAsia="Times New Roman" w:hAnsi="Times New Roman"/>
                <w:sz w:val="17"/>
                <w:szCs w:val="17"/>
                <w:b w:val="1"/>
                <w:bCs w:val="1"/>
                <w:color w:val="auto"/>
                <w:w w:val="97"/>
              </w:rPr>
              <w:t>5% or Greater Shareholders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1"/>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SVSE LLC (1)(6)</w:t>
            </w:r>
          </w:p>
        </w:tc>
        <w:tc>
          <w:tcPr>
            <w:tcW w:w="12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7"/>
              </w:rPr>
              <w:t>230,751</w:t>
            </w:r>
          </w:p>
        </w:tc>
        <w:tc>
          <w:tcPr>
            <w:tcW w:w="126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9"/>
              </w:rPr>
              <w:t>16.19%</w:t>
            </w:r>
          </w:p>
        </w:tc>
        <w:tc>
          <w:tcPr>
            <w:tcW w:w="12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40,000</w:t>
            </w:r>
          </w:p>
        </w:tc>
        <w:tc>
          <w:tcPr>
            <w:tcW w:w="124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48.22%</w:t>
            </w: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Bambino 255. V V UG (2)</w:t>
            </w: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7"/>
              </w:rPr>
              <w:t>177,417</w:t>
            </w:r>
          </w:p>
        </w:tc>
        <w:tc>
          <w:tcPr>
            <w:tcW w:w="126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9"/>
              </w:rPr>
              <w:t>12.45%</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6.95%</w:t>
            </w: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Cantor Fitzgerald &amp; Co. (3)</w:t>
            </w:r>
          </w:p>
        </w:tc>
        <w:tc>
          <w:tcPr>
            <w:tcW w:w="12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8"/>
              </w:rPr>
              <w:t>99,600</w:t>
            </w:r>
          </w:p>
        </w:tc>
        <w:tc>
          <w:tcPr>
            <w:tcW w:w="126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3.90%</w:t>
            </w: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Mizuho Financial Group, Inc. (4)</w:t>
            </w: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8"/>
              </w:rPr>
              <w:t>97,300</w:t>
            </w:r>
          </w:p>
        </w:tc>
        <w:tc>
          <w:tcPr>
            <w:tcW w:w="126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rPr>
              <w:t>6.83%</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3.81%</w:t>
            </w: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YA II PN, Ltd. (5)(6)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9"/>
              </w:rPr>
              <w:t>1,401</w:t>
            </w:r>
          </w:p>
        </w:tc>
        <w:tc>
          <w:tcPr>
            <w:tcW w:w="10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100%</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4.99%</w:t>
            </w:r>
          </w:p>
        </w:tc>
      </w:tr>
      <w:tr>
        <w:trPr>
          <w:trHeight w:val="376"/>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Directors and NEOs</w:t>
            </w:r>
          </w:p>
        </w:tc>
        <w:tc>
          <w:tcPr>
            <w:tcW w:w="17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1"/>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Dodge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Christopher Schreiber</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Owen May</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Kevin McGurn</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Scott Calhoun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George O’Leary (1)(6)</w:t>
            </w: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7"/>
              </w:rPr>
              <w:t>230,751</w:t>
            </w:r>
          </w:p>
        </w:tc>
        <w:tc>
          <w:tcPr>
            <w:tcW w:w="126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9"/>
              </w:rPr>
              <w:t>16.19%</w:t>
            </w:r>
          </w:p>
        </w:tc>
        <w:tc>
          <w:tcPr>
            <w:tcW w:w="124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color w:val="auto"/>
              </w:rPr>
              <w:t>40,000</w:t>
            </w:r>
          </w:p>
        </w:tc>
        <w:tc>
          <w:tcPr>
            <w:tcW w:w="124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48.22%</w:t>
            </w:r>
          </w:p>
        </w:tc>
      </w:tr>
      <w:tr>
        <w:trPr>
          <w:trHeight w:val="182"/>
        </w:trPr>
        <w:tc>
          <w:tcPr>
            <w:tcW w:w="31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i w:val="1"/>
                <w:iCs w:val="1"/>
                <w:color w:val="auto"/>
              </w:rPr>
              <w:t>All  NEOs  and  directors  as  a  group  (6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3"/>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persons)</w:t>
            </w:r>
          </w:p>
        </w:tc>
        <w:tc>
          <w:tcPr>
            <w:tcW w:w="12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7"/>
              </w:rPr>
              <w:t>230,751</w:t>
            </w:r>
          </w:p>
        </w:tc>
        <w:tc>
          <w:tcPr>
            <w:tcW w:w="126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9"/>
              </w:rPr>
              <w:t>16.19%</w:t>
            </w:r>
          </w:p>
        </w:tc>
        <w:tc>
          <w:tcPr>
            <w:tcW w:w="12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7"/>
                <w:szCs w:val="17"/>
                <w:color w:val="auto"/>
              </w:rPr>
              <w:t>40,000</w:t>
            </w:r>
          </w:p>
        </w:tc>
        <w:tc>
          <w:tcPr>
            <w:tcW w:w="124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48.22%</w:t>
            </w:r>
          </w:p>
        </w:tc>
      </w:tr>
    </w:tbl>
    <w:p>
      <w:pPr>
        <w:spacing w:after="0" w:line="186" w:lineRule="exact"/>
        <w:rPr>
          <w:sz w:val="20"/>
          <w:szCs w:val="20"/>
          <w:color w:val="auto"/>
        </w:rPr>
      </w:pPr>
    </w:p>
    <w:p>
      <w:pPr>
        <w:jc w:val="both"/>
        <w:ind w:left="460" w:hanging="459"/>
        <w:spacing w:after="0" w:line="253"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George O’Leary was appointed as our managing director and Chief Executive Officer at the extraordinary general meeting of the Company’s shareholders held on January 31, 2024. Mr. O’Leary was also appointed as our Chief Financial Officer at the extraordinary general meeting held on January 31, 2024, a role in which he served until Martin Scott Calhoun was appointed as our Chief Financial Officer on December 30, 2024. On September 9, 2025, Mr. O’Leary informed the supervisory board that following the uplisting to Nasdaq, he would be resigning as the Chief Executive Officer of the Company and its subsidiaries effective as of September 9, 2025. Mr. O’Leary remained the Company’s sole statutory managing director (and sole member of the management board) through December 31, 2025. Mr. O’Leary is the sole member of SVSE, which is the holder of record of the Ordinary Shares and High Voting Shares presented in the table above.</w:t>
      </w:r>
    </w:p>
    <w:p>
      <w:pPr>
        <w:spacing w:after="0" w:line="176" w:lineRule="exact"/>
        <w:rPr>
          <w:rFonts w:ascii="Times New Roman" w:cs="Times New Roman" w:eastAsia="Times New Roman" w:hAnsi="Times New Roman"/>
          <w:sz w:val="17"/>
          <w:szCs w:val="17"/>
          <w:color w:val="auto"/>
        </w:rPr>
      </w:pPr>
    </w:p>
    <w:p>
      <w:pPr>
        <w:jc w:val="both"/>
        <w:ind w:left="460" w:hanging="459"/>
        <w:spacing w:after="0" w:line="262"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 filed with the SEC on June 14, 2024, Bambino 255. V V UG beneficially owns 177,417 of our Ordinary Shares (after giving effect to the Reverse Share Split), and has sole and dispositive power with respect to all of such shares. The address of Bambino 255. V V UG’s principal address is c/o Dentons GmbH Wirtschaftsprüfungsgesellschaft Steuerberatungsgesellschaft, Markgrafenstraße 33, 10117 Berlin, Germany.</w:t>
      </w:r>
    </w:p>
    <w:p>
      <w:pPr>
        <w:spacing w:after="0" w:line="169" w:lineRule="exact"/>
        <w:rPr>
          <w:rFonts w:ascii="Times New Roman" w:cs="Times New Roman" w:eastAsia="Times New Roman" w:hAnsi="Times New Roman"/>
          <w:sz w:val="17"/>
          <w:szCs w:val="17"/>
          <w:color w:val="auto"/>
        </w:rPr>
      </w:pPr>
    </w:p>
    <w:p>
      <w:pPr>
        <w:jc w:val="both"/>
        <w:ind w:left="460" w:hanging="459"/>
        <w:spacing w:after="0" w:line="262"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Schedule 13G filed February 13, 2026 by Cantor Fitzgerald Securities, Cantor Fitzgerald &amp; Co., Cantor Fitzgerald, L.P., CF Group Management, Inc. and Brandon G. Lutnick. Cantor Fitzgerald &amp; Co. is the record holder; the other reporting persons may be deemed to share voting and/or dispositive power as described therein and disclaim beneficial ownership in excess of their pecuniary interest.</w:t>
      </w:r>
    </w:p>
    <w:p>
      <w:pPr>
        <w:spacing w:after="0" w:line="169" w:lineRule="exact"/>
        <w:rPr>
          <w:rFonts w:ascii="Times New Roman" w:cs="Times New Roman" w:eastAsia="Times New Roman" w:hAnsi="Times New Roman"/>
          <w:sz w:val="17"/>
          <w:szCs w:val="17"/>
          <w:color w:val="auto"/>
        </w:rPr>
      </w:pPr>
    </w:p>
    <w:p>
      <w:pPr>
        <w:jc w:val="both"/>
        <w:ind w:left="460" w:hanging="459"/>
        <w:spacing w:after="0" w:line="262"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 filed with the SEC on November 13, 2025 by Mizuho Financial Group. The filing reports sole voting power and sole dispositive power with respect to such shares. The Schedule 13G further states that Mizuho Financial Group, Inc., Mizuho Bank, Ltd. and Mizuho Americas LLC may be deemed to be indirect beneficial owners of the Ordinary Shares directly held by Mizuho Securities USA LLC, which is their wholly owned subsidiary.</w:t>
      </w:r>
    </w:p>
    <w:p>
      <w:pPr>
        <w:spacing w:after="0" w:line="169" w:lineRule="exact"/>
        <w:rPr>
          <w:rFonts w:ascii="Times New Roman" w:cs="Times New Roman" w:eastAsia="Times New Roman" w:hAnsi="Times New Roman"/>
          <w:sz w:val="17"/>
          <w:szCs w:val="17"/>
          <w:color w:val="auto"/>
        </w:rPr>
      </w:pPr>
    </w:p>
    <w:p>
      <w:pPr>
        <w:jc w:val="both"/>
        <w:ind w:left="460" w:hanging="459"/>
        <w:spacing w:after="0" w:line="252"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 II PN, Ltd. (“Yorkville”) is the holder of the Preferred Shares presented in the table above. Such shares were issued in the Debt Conversion pursuant to the Exchange Agreement in September 2025. Each Preferred Share is convertible into 30,000 Ordinary Shares, subject to the terms of the Exchange Agreement. Pursuant to Section 4(g) of the Exchange Agreement, Yorkville may not convert Preferred Shares to the extent that, after giving effect to such conversion, Yorkville (together with its affiliates) would beneficially own more than 4.99% of the number of outstanding Ordinary Shares or the voting power of the Ordinary Shares, which limitation may be waived by Yorkville in its sole discretion upon not less than 65 days’ prior notice to the Company. The Preferred Shares held by Yorkville are entitled to 30,000 votes for each Preferred Share under our amended articles of association, subject to a contractually agreed voting blocker equal to 4.99% of the combined voting power in the share capital of Sono N.V. as of the record date for the applicable action to be taken by the Company’s shareholders.</w:t>
      </w:r>
    </w:p>
    <w:p>
      <w:pPr>
        <w:spacing w:after="0" w:line="179" w:lineRule="exact"/>
        <w:rPr>
          <w:rFonts w:ascii="Times New Roman" w:cs="Times New Roman" w:eastAsia="Times New Roman" w:hAnsi="Times New Roman"/>
          <w:sz w:val="17"/>
          <w:szCs w:val="17"/>
          <w:color w:val="auto"/>
        </w:rPr>
      </w:pPr>
    </w:p>
    <w:p>
      <w:pPr>
        <w:jc w:val="both"/>
        <w:ind w:left="460" w:hanging="459"/>
        <w:spacing w:after="0" w:line="255"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held by SVSE are subject to a Pledge Agreement, dated February 5, 2024, by and between SVSE and Yorkville, pursuant to which the securities would accrue to Yorkville in the event that Sono N.V. defaults on certain of its payment obligations to Yorkville. In addition, if Yorkville and SVSE enter into the Call Option Agreement, as is currently intended, the Call Option would enable Yorkville, at its discretion, to purchase all of the Ordinary Shares and High Voting Shares held by SVSE in one or more transactions, prior to 5:00 p.m. Eastern time on the four-year anniversary of the date of the Call Option Agreement, subject to certain limitations.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Following the restructuring of the Companies as a result of the former Self-Administration Proceedings and the corporate measures implemented in connection therewith, there is uncertainty over the future of the remuneration based on shares (share-based payment) programs, which may result in share options not being formally granted or, in some cases, cancellation of unexercised options, which may be done without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 Plan (LTIP)</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November 2021, in conjunction with the consummation of our IPO, we established a new long-term incentive plan (the “LTIP”) with the purpose of advancing the interests of our shareholders and other stakeholders by enhancing our ability to attract, retain and motivate individuals who are expected to make important contributions to us. The LTIP governed issuances of equity and equity-based incentive awards from and after the consummation of our IPO. The maximum number of ordinary shares underlying awards granted pursuant to the LTIP (other than replacement awards under the LTIP) was not to exceed 10% of the Company’s issued share capital from time to time. The Company does not currently grant awards under LTIP or CSOP (as defined below) and currently does not intend to grant awards under the LTIP or CSOP in the future.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LTIP was, as applicable, administered by (i) the management board, to the extent the administration or operation of the LTIP related to the grant of awards to a participant who was not a management board member or supervisory board member, as well as any other matter relating to such awards, (ii) the Company’s supervisory board, to the extent the administration or operation of the LTIP related to the grant of awards to participants who were members of the compensation committee established by the supervisory board, as well as any other matter related to such awards, or (iii) the compensation committee established by the supervisory board for all other matters related to the administration or operation of the LTIP (each of these bodies, where appropriate,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Awards under the LTIP could be granted to our employees, the members of our management board and supervisory board, consultants or other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jc w:val="both"/>
        <w:spacing w:after="0" w:line="262" w:lineRule="auto"/>
        <w:rPr>
          <w:sz w:val="20"/>
          <w:szCs w:val="20"/>
          <w:color w:val="auto"/>
        </w:rPr>
      </w:pPr>
      <w:r>
        <w:rPr>
          <w:rFonts w:ascii="Times New Roman" w:cs="Times New Roman" w:eastAsia="Times New Roman" w:hAnsi="Times New Roman"/>
          <w:sz w:val="17"/>
          <w:szCs w:val="17"/>
          <w:color w:val="auto"/>
        </w:rPr>
        <w:t>Awards under the LTIP could be granted in the form of stock options, stock appreciation rights, shares of restricted stock, restricted stock units, other share-based awards or a combination of the foregoing. The Committee had the ability to condition the right of an individual to exercise his or her awards upon the achievement or satisfaction of performance criteria.</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event of a good leaver’s (as defined in the LTIP) termination of employment or service, all vested awards must be exercised or settled in accordance with their terms within a period specified by the Committee and all unvested awards shall be canceled automatically without compensation unless otherwise determined by the Committee or set forth in the applicable award documentation. In the event of a bad leaver’s (as defined in the LTIP) termination of employment or service, all vested and unvested awards will be canceled automatically without compensation.</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event of a change in control (as defined in the LTIP) of the Company outstanding awards that are substituted or exchanged for equivalent replacement awards will be canceled. If outstanding rewards are not substituted or exchanged for equivalent replacement awards, the awards shall immediately vest and settle in full, unless otherwise decided by the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Stock Option Program (CSOP)</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December 2020, against the background of our intention to terminate all relevant benefits under former employee participation programs from 2017 and 2018 (respectively, the “VESP 2017” and “VESP 2018”) pursuant to which employees were granted virtual shares, we adopted our conversion stock option program (“CSOP”) under the LTIP in order to grant a total of 41,157 of stock options, each with an exercise price of €4.50, to the former beneficiaries under the VESP 2017 (except for one such beneficiary) and the VESP 2018, as well as one additional beneficiary, based on individual grant agreements.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the CSOP, the Company granted 31,948 fully vested stock options, each with an exercise price of €4.50 and which are not subject to any performance criteria, with effect as of the closing date of our IPO on November 19, 2021 to all former beneficiaries under the VESP 2017 (except for one beneficiary who had not accepted our offer to transfer to the CSOP), as well as the one aforementioned additional beneficiary (the “VESP 2017 Tranche”).</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VESP 2017 Tranche stock options became exercisable one year after the closing of our IPO and are exercisable only in certain windows. The VESP 2017 Tranche stock options expired on November 18, 2025, four years after the closing of our IPO.</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the Company granted 9,209 stock options (as of June 2023 all these stock options were fully vested), each with an exercise price of €4.50 and which are not subject to any performance criteria, with effect as of the closing date of our IPO on November 19, 2021 to the former beneficiaries under the VESP 2018 (the “VESP 2018 Tranche”). The VESP 2018 Tranche stock options are generally subject to a three-year vesting period with 1/36 of the stock options granted to the relevant beneficiary incrementally vesting for each month of employment of such beneficiary depending on the relevant vesting start date as set out in the relevant individual grant agreement. The then-vested VESP 2018 Tranche stock options became exercisable one year after the closing of our IPO and are exercisable only in certain windows. The VESP 2018 Tranche stock options expired on November 18, 2025, four years after the closing of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The number of RSUs, presented in the table below, represent the amount vested up to the respective resignation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Number of Securities</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9"/>
              </w:rPr>
              <w:t>Remaining Available</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for Future Issuance</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Number of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9"/>
              </w:rPr>
              <w:t>under Equity</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to be Issued upon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7"/>
              </w:rPr>
              <w:t>Weighted-Average</w:t>
            </w:r>
          </w:p>
        </w:tc>
        <w:tc>
          <w:tcPr>
            <w:tcW w:w="120" w:type="dxa"/>
            <w:vAlign w:val="bottom"/>
          </w:tcPr>
          <w:p>
            <w:pPr>
              <w:spacing w:after="0"/>
              <w:rPr>
                <w:sz w:val="17"/>
                <w:szCs w:val="17"/>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Compensation Plans</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Exercise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8"/>
              </w:rPr>
              <w:t>Exercise Price of</w:t>
            </w: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(Excluding</w:t>
            </w:r>
          </w:p>
        </w:tc>
      </w:tr>
      <w:tr>
        <w:trPr>
          <w:trHeight w:val="202"/>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Outstanding Options,</w:t>
            </w:r>
          </w:p>
        </w:tc>
        <w:tc>
          <w:tcPr>
            <w:tcW w:w="12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Options,</w:t>
            </w: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9"/>
              </w:rPr>
              <w:t>Securities Reflected</w:t>
            </w:r>
          </w:p>
        </w:tc>
      </w:tr>
      <w:tr>
        <w:trPr>
          <w:trHeight w:val="219"/>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Plan Category</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8"/>
              </w:rPr>
              <w:t>Warrants and Rights</w:t>
            </w:r>
          </w:p>
        </w:tc>
        <w:tc>
          <w:tcPr>
            <w:tcW w:w="120" w:type="dxa"/>
            <w:vAlign w:val="bottom"/>
          </w:tcPr>
          <w:p>
            <w:pPr>
              <w:spacing w:after="0"/>
              <w:rPr>
                <w:sz w:val="19"/>
                <w:szCs w:val="19"/>
                <w:color w:val="auto"/>
              </w:rPr>
            </w:pPr>
          </w:p>
        </w:tc>
        <w:tc>
          <w:tcPr>
            <w:tcW w:w="1580" w:type="dxa"/>
            <w:vAlign w:val="bottom"/>
            <w:tcBorders>
              <w:bottom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7"/>
                <w:szCs w:val="17"/>
                <w:color w:val="auto"/>
                <w:w w:val="98"/>
              </w:rPr>
              <w:t>Warrants and Rights</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8"/>
              </w:rPr>
              <w:t>in the First Column)</w:t>
            </w:r>
          </w:p>
        </w:tc>
      </w:tr>
      <w:tr>
        <w:trPr>
          <w:trHeight w:val="19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LTIP</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6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CSOP</w:t>
            </w:r>
          </w:p>
        </w:tc>
        <w:tc>
          <w:tcPr>
            <w:tcW w:w="120" w:type="dxa"/>
            <w:vAlign w:val="bottom"/>
          </w:tcPr>
          <w:p>
            <w:pPr>
              <w:spacing w:after="0"/>
              <w:rPr>
                <w:sz w:val="17"/>
                <w:szCs w:val="17"/>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7"/>
                <w:szCs w:val="17"/>
                <w:color w:val="auto"/>
                <w:w w:val="93"/>
              </w:rPr>
              <w:t>–*</w:t>
            </w:r>
          </w:p>
        </w:tc>
      </w:tr>
      <w:tr>
        <w:trPr>
          <w:trHeight w:val="20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RSUs (former supervisory board members)</w:t>
            </w:r>
          </w:p>
        </w:tc>
        <w:tc>
          <w:tcPr>
            <w:tcW w:w="1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0.00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w w:val="93"/>
              </w:rPr>
              <w:t>–*</w:t>
            </w:r>
          </w:p>
        </w:tc>
      </w:tr>
      <w:tr>
        <w:trPr>
          <w:trHeight w:val="21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7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266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0.00</w:t>
            </w:r>
          </w:p>
        </w:tc>
        <w:tc>
          <w:tcPr>
            <w:tcW w:w="120" w:type="dxa"/>
            <w:vAlign w:val="bottom"/>
          </w:tcPr>
          <w:p>
            <w:pPr>
              <w:spacing w:after="0"/>
              <w:rPr>
                <w:sz w:val="18"/>
                <w:szCs w:val="18"/>
                <w:color w:val="auto"/>
              </w:rPr>
            </w:pPr>
          </w:p>
        </w:tc>
        <w:tc>
          <w:tcPr>
            <w:tcW w:w="15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w:t>
            </w:r>
          </w:p>
        </w:tc>
      </w:tr>
    </w:tbl>
    <w:p>
      <w:pPr>
        <w:spacing w:after="0" w:line="170" w:lineRule="exact"/>
        <w:rPr>
          <w:sz w:val="20"/>
          <w:szCs w:val="20"/>
          <w:color w:val="auto"/>
        </w:rPr>
      </w:pPr>
    </w:p>
    <w:p>
      <w:pPr>
        <w:jc w:val="both"/>
        <w:ind w:left="460" w:hanging="459"/>
        <w:spacing w:after="0" w:line="262" w:lineRule="auto"/>
        <w:tabs>
          <w:tab w:leader="none" w:pos="4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LTIP, which previously covered the CSOP and RSUs awarded to former supervisory board members, was discontinued following the Company’s corporate restructuring in early 2024. As of December 31, 2025, no additional options, RSUs or other equity awards may be granted under the LTIP unless the Company’s management board resolves to reinstate the plan or a new equity compensation plan is adopted and, if required, approved by security 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following is a summary of transactions since January 1, 2024, to which we have been a participant in which the amount involved exceeded or will exceed the lesser of $120,000 or one percent of the average of our total assets at year-end for the last two completed fiscal years, and in which any of our supervisory board members, management board members, executive officers or holders of more than five percent of any class of our voting securities, or any member of the immediate family of the foregoing persons, had or will have a direct or indirect material interest, other than compensation arrangements which are described in “</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in Item 11 of Part III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Relationships with Executive Officers, Members of the Management Board and the Supervisory Board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entered into service agreements with our former and current executive officers and supervisory board members as discussed in more detail under “</w:t>
      </w:r>
      <w:r>
        <w:rPr>
          <w:rFonts w:ascii="Times New Roman" w:cs="Times New Roman" w:eastAsia="Times New Roman" w:hAnsi="Times New Roman"/>
          <w:sz w:val="17"/>
          <w:szCs w:val="17"/>
          <w:i w:val="1"/>
          <w:iCs w:val="1"/>
          <w:color w:val="auto"/>
        </w:rPr>
        <w:t>Item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Service Agreements</w:t>
      </w:r>
      <w:r>
        <w:rPr>
          <w:rFonts w:ascii="Times New Roman" w:cs="Times New Roman" w:eastAsia="Times New Roman" w:hAnsi="Times New Roman"/>
          <w:sz w:val="17"/>
          <w:szCs w:val="17"/>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Relationships with Other Related Parties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Participation Programs</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former key management personnel participated in our former employee participation program. For details on this program, see “</w:t>
      </w:r>
      <w:r>
        <w:rPr>
          <w:rFonts w:ascii="Times New Roman" w:cs="Times New Roman" w:eastAsia="Times New Roman" w:hAnsi="Times New Roman"/>
          <w:sz w:val="17"/>
          <w:szCs w:val="17"/>
          <w:i w:val="1"/>
          <w:iCs w:val="1"/>
          <w:color w:val="auto"/>
        </w:rPr>
        <w:t>Item 12. Security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Ownership of Certain Beneficial Owners and Management and Related Stockholder Matters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Authorized for Issuance Under Equity Compensation Plans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Yorkville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Yorkville Restructuring Investment</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the context of the former Self-Administration Proceedings and in connection with the First Commitment, the Companies entered into the Yorkville Investment Agreements with Yorkville in mid-November 2023, and on April 30, 2024, the Company and Yorkville entered into an amendment to the Funding Commitment Letter in connection with the Second Commitment. Pursuant to the Yorkville Investment Agreements, Yorkville committed to provide financing to the Company, subject to the Companies’ continued compliance with the terms of the Yorkville Investment Agreements. For more information, see “Item 1. Business—Financing Arrangements with Yorkville—The Yorkville Restructuring Investment”. Under the terms of the Funding Commitment Letter, funding from Yorkville in connection with the Yorkville Investment was provided by way of new interest-bearing convertible debenture(s). The 2024 Debentures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connection with the Funding Commitment Letter, SVSE and Yorkville entered into both a pledge agreement (the “Pledge Agreement”) and a security agreement (the “Security Agreement”), each dated February 5, 2024, pursuant to which SVSE agreed to pledge and grant to Yorkville, as a third-party pledge, a security interest in certain financial assets, including, among others, all of the Ordinary Shares and High Voting Shares that SVSE currently holds or at any time acquires (collectively, the “Pledged Ownership Interests”). The Pledged Ownership Interests serve as collateral for the repayment of the Company’s obligations to Yorkville. In the event that the Company is in default of its payment obligations to Yorkville, following notification thereof to SVSE, the voting rights and dividend rights in the Pledged Ownership Interests would accrue to Yorkville. In certain instances, Yorkville may also have the right to enforce its right of pledge and sell the Pledged Ownership Interests, thereby using the proceeds from the sale to repay the amounts owed by the Company to Yorkville.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June 20, 2024, in connection with the Yorkville Restructuring Investment, the Subsidiary and SVSE entered into a guaranty agreement (the “Guaranty”) for the benefit of Yorkville. Under the terms of the Guaranty, each of the Subsidiary and SVSE have agreed, among other things (i) to jointly and severally guarantee the payment of obligations owed by the Company to Yorkville in full when due and (ii) to guarantee the performance of all of the terms, covenants and conditions required to be kept, observed or performed by the Company in the Guaranty, the Funding Commitment Letter, the new convertible debentures, the Security Agreement and the Pledge Agreement. The Guaranty is irrevocable, absolute and unconditional and applies to all obligations owed by the Company to Yorkville whenever arising. Under the terms of the Guaranty, certain events of default would enable Yorkville, at its option and in its discretion, to accelerate some or all of the obligations so that they become immediately due and payable.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Yorkville Commitment</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late December 2024, the Company and Yorkville entered into the Securities Purchase Agreement, pursuant to which the Company agreed to sell and issue to Yorkville the New Commitment Debenture in the aggregate principal amount of $5 million, with a maturity date of one year following the issuance of the New Commitment Debenture. The issuance of the New Commitment Debenture was subject to certain conditions and limitations, including the condition precedent that the Company shall have received notice from Nasdaq that the Company has met all the applicable requirements for listing of the Ordinary Shares on the Nasdaq Capital Market, which occurred on September 4, 2025.</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 December 30, 2024, the Company and Yorkville also entered into the Exchange Agreement, pursuant to which the Company agreed, subject to the satisfactions of certain conditions precedent, to issue 1,242 Preferred Shares, each with a nominal value of €300, to Yorkville solely in exchange for the surrender and cancellation of all of the debentures held by Yorkville, which at that time included the 2022 Debentures, the 2024 Debentures and the New Commitment Debenture (if issued) (the “Debt Conversion”). The closing of the Debt Conversion contemplated by the Exchange Agreement was subject to certain conditions precedent, including the Company’s receipt of notice from Nasdaq that the Company has met all the applicable requirements for listing of the Ordinary Shares on the Nasdaq Capital Market.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jc w:val="both"/>
        <w:spacing w:after="0" w:line="269" w:lineRule="auto"/>
        <w:rPr>
          <w:sz w:val="20"/>
          <w:szCs w:val="20"/>
          <w:color w:val="auto"/>
        </w:rPr>
      </w:pPr>
      <w:r>
        <w:rPr>
          <w:rFonts w:ascii="Times New Roman" w:cs="Times New Roman" w:eastAsia="Times New Roman" w:hAnsi="Times New Roman"/>
          <w:sz w:val="16"/>
          <w:szCs w:val="16"/>
          <w:color w:val="auto"/>
        </w:rPr>
        <w:t>On February 12, 2025, the Company and Yorkville entered into the First Omnibus Amendment, pursuant to which the Company and Yorkville agreed to modify the terms of the Securities Purchase Agreement to, among other things, (i) provide for an immediate advance of $1,000,000 of the Yorkville Commitment in the form of the First Debenture, a $1,000,000 secured convertible debenture with a maturity date of February 12, 2026 that may be extended at the option of Yorkville, and (ii) extend the termination date with respect to the obligations of Yorkville under the Securities Purchase Agreement from January 15, 2025 to February 28, 2025. In addition, the Company and Yorkville agreed in the First Omnibus Amendment that any and all obligations of Yorkville to provide additional funding to the Company, including in connection with the Yorkville Restructuring Investment, shall be considered to be satisfied by the commitments made pursuant to the Securities Purchase Agreement and the First Omnibus Amendment. Net proceeds to the Company from the First Debenture were $1,000,000. Under the terms of the First Omnibus Amendment, the Company and Yorkville also amended the Exchange Agreement to include the First Debenture and the remaining New Commitment Debenture within the scope of the Exchange Agreement and therefore within the scope of the Debt Conversion, subject to the satisfaction of the conditions precedent thereto.</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7, 2025, the Company and Yorkville entered into the Second Omnibus Amendment, pursuant to which the Company and Yorkville agreed to modify the terms of the Exchange Agreement to (i) amend the floor price provided for in the Exchange Agreement to be a price per Ordinary Share equal to $4.00, from the closing date of the Debt Conversion contemplated by the Exchange Agreement until the end of the day that is 6 months from the date of relisting of our Ordinary Shares on the Nasdaq Capital Market, and $1.00 thereafter, and (ii) to extend the termination date with respect to the obligations of Yorkville under the Exchange Agreement from January 15, 2025 to April 15, 2025. In addition, the Company and Yorkville agreed in the Second Omnibus Amendment to extend the termination date with respect to the obligations of Yorkville under the Securities Purchase Agreement from February 28, 2025 to April 15, 2025.</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March 25, 2025, the Company and Yorkville entered into the Third Omnibus Amendment, pursuant to which the Company and Yorkville agreed to modify the terms of the Securities Purchase Agreement to, among other things, provide for an immediate advance of $1,000,000 of the Yorkville Commitment in the form of the Second Debenture, a second $1,000,000 secured convertible debenture with a maturity date of March 24, 2026 that may be extended at the option of Yorkville. Net proceeds to the Company from the Second Debenture were $1,000,000. As a result of the issuance of the First Debenture and the Second Debenture, and pursuant to the Third Omnibus Amendment, the aggregate principal amount of the New Commitment Debenture that was to be issued to Yorkville upon the satisfaction of all of the conditions set forth in the Securities Purchase Agreement was $3,000,000. Under the terms of the Third Omnibus Amendment, the Company and Yorkville also amended the Exchange Agreement to include each of the First Debenture, the Second Debenture and the remaining New Commitment Debenture within the scope of the Exchange Agreement and therefore within the scope of the Debt Conversion, subject to the satisfaction of the conditions precedent thereto.</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24, 2025, the Company and Yorkville entered into the Fourth Omnibus Amendment, pursuant to which the Company and Yorkville agreed to modify the terms of the Securities Purchase Agreement to, among other things, provide for an immediate advance by Yorkville to the Company of $500,000 in the form of the Third Debenture, a secured convertible debenture in the aggregate principal amount of $500,000 with a maturity date of April 24, 2026 that may be extended at the option of Yorkville. Net proceeds to the Company from the Third Debenture were $500,000. As a result of the issuance of the Third Debenture, and pursuant to the Fourth Omnibus Amendment, the aggregate principal amount of the New Commitment Debenture that was to be issued to Yorkville upon the satisfaction of all of the conditions set forth in the Securities Purchase Agreement was $2,500,000. Under the terms of the Fourth Omnibus Amendment, the Company and Yorkville also amended the Exchange Agreement to include each of the First Debenture, the Second Debenture, the Third Debenture and the remaining New Commitment Debenture within the scope of the Exchange Agreement and therefore within the scope of the Debt Conversion, subject to the satisfaction of the conditions precedent thereto.</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26, 2025, the Company and Yorkville entered into the Fifth Omnibus Amendment, pursuant to which the Company and Yorkville agreed to modify the terms of the Securities Purchase Agreement to, among other things, provide for an immediate advance by Yorkville to the Company of $750,000 in the form of the Fourth Debenture, a secured convertible debenture in the aggregate principal amount of $750,000 with a maturity date of May 27, 2026 that may be extended at the option of Yorkville. Net proceeds to the Company from the Fourth Debenture were $750,000. As a result of the issuance of the Fourth Debenture, and pursuant to the Fifth Omnibus Amendment, the aggregate principal amount of the New Commitment Debenture that was to be issued to Yorkville upon the satisfaction of all of the conditions set forth in the Securities Purchase Agreement was $1,750,000. Under the terms of the Fifth Omnibus Amendment, the Company and Yorkville also amended the Exchange Agreement to include each of the First Debenture, the Second Debenture, the Third Debenture, the Fourth Debenture and the remaining New Commitment Debenture within the scope of the Exchange Agreement and therefore within the scope of the Debt Conversion, subject to the satisfaction of the conditions precedent thereto.</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July 6, 2025, the Company and Yorkville entered into the Sixth Omnibus Amendment, effective as of June 30, 2025, pursuant to which the Company and Yorkville agreed to modify the terms of the Securities Purchase Agreement, the Exchange Agreement and the Maturing Debentures previously issued by the Company. Pursuant to the Sixth Omnibus Amendment, the Company and Yorkville agreed to extend the maturity date from July 1, 2025 to August 1, 2025 for the Maturing Debentures, and to extend the termination dates of the Securities Purchase Agreement and the Exchange Agreement to August 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both"/>
        <w:spacing w:after="0" w:line="268" w:lineRule="auto"/>
        <w:rPr>
          <w:sz w:val="20"/>
          <w:szCs w:val="20"/>
          <w:color w:val="auto"/>
        </w:rPr>
      </w:pPr>
      <w:r>
        <w:rPr>
          <w:rFonts w:ascii="Times New Roman" w:cs="Times New Roman" w:eastAsia="Times New Roman" w:hAnsi="Times New Roman"/>
          <w:sz w:val="16"/>
          <w:szCs w:val="16"/>
          <w:color w:val="auto"/>
        </w:rPr>
        <w:t>On August 6, 2025, the Company and Yorkville entered into the Seventh Omnibus Amendment and the Eighth Omnibus Amendment, pursuant to which the Company and Yorkville agreed to modify the terms of the Securities Purchase Agreement, the Exchange Agreement and certain convertible debentures previously issued by the Company. Pursuant to the Seventh Omnibus Amendment, the Company and Yorkville agreed to extend the maturity date for the Maturing Debentures from August 1, 2025 to September 1, 2025, and to extend the termination dates of the Securities Purchase Agreement and the Exchange Agreement to September 1, 2025. In addition, pursuant to the Eighth Omnibus Amendment, the Company and Yorkville agreed to modify the terms of the Securities Purchase Agreement to, among other things, provide for an immediate advance by Yorkville to the Company of $190,000 in the form of the Fifth Debenture, a secured convertible debenture in the aggregate principal amount of $190,000 with a maturity date of August 6, 2026 that may be extended at the option of Yorkville. Net proceeds to the Company from the Fifth Debenture were $190,000. As a result of the issuance of the Fifth Debenture, and pursuant to the Eighth Omnibus Amendment, the aggregate principal amount of the New Commitment Debenture that was to be issued to Yorkville upon the satisfaction of all of the conditions set forth in the Securities Purchase Agreement was $1,560,000. Under the terms of the Eighth Omnibus Amendment, the Company and Yorkville also amended the Exchange Agreement to include each of the First Debenture, the Second Debenture, the Third Debenture, the Fourth Debenture, the Fifth Debenture and the remaining New Commitment Debenture within the scope of the Exchange Agreement and therefore within the scope of the Debt Conversion, subject to the satisfaction of the conditions precedent thereto.</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15, 2025, the Company and Yorkville entered into the Ninth Omnibus Amendment, pursuant to which the Company and Yorkville agreed to modify the terms of the Securities Purchase Agreement, the Exchange Agreement and the Maturing Debentures previously issued by the Company. Pursuant to the Ninth Omnibus Amendment, the Company and Yorkville agreed to modify the terms of the Securities Purchase Agreement to, among other things, provide for an immediate advance by Yorkville to the Company of EUR300,000 ($350,540 at conversion rate of 1.1685) in the form of the Sixth Debenture, a secured convertible debenture in the aggregate principal amount of $350,540, with a maturity date of August 15, 2026 that may be extended at the option of Yorkville. Net proceeds to the Company from the Sixth Debenture were $350,540. As a result of the issuance of the Sixth Debenture, and pursuant to the Ninth Omnibus Amendment, the aggregate principal amount of the New Commitment Debenture that was to be issued to Yorkville upon the satisfaction of all of the conditions set forth in the Securities Purchase Agreement was $1,209,460. Under the terms of the Ninth Omnibus Amendment, the Company and Yorkville also amended the Exchange Agreement to include each of the First Debenture, the Second Debenture, the Third Debenture, the Fourth Debenture, the Fifth Debenture, the Sixth Debenture and the remaining New Commitment Debenture within the scope of the Exchange Agreement and therefore within the scope of the Debt Conversion, subject to the satisfaction of the conditions precedent thereto.</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Following the Company’s receipt on September 4, 2025 of notice from Nasdaq that the Company has met all the applicable requirements for listing of the Ordinary Shares on the Nasdaq Capital Market, on September 5, 2025, the Company and Yorkville entered into the Tenth Omnibus Amendment, pursuant to which the Company and Yorkville agreed to modify the terms of the Securities Purchase Agreement, the Exchange Agreement and certain convertible debentures previously issued by the Company. Pursuant to the Tenth Omnibus Amendment, the Company and Yorkville agreed to modify the terms of the Securities Purchase Agreement to, among other things, (1) increase the aggregate principal amount of the New Convertible Debenture by an additional $2,200,000 for a total of $7,200,000, and (2) provide for an immediate advance by Yorkville to the Company of $3,409,460, which comprises the remaining $1,209,460 of the original $5,000,000 commitment and the entirety of the additional $2,200,000 commitment, in the form of the Seventh Debenture, a secured convertible debenture in the aggregate principal amount of $3,409,460 with a maturity date of September 5, 2026 that may be extended at the option of Yorkville (the First Debenture, the Second Debenture, the Third Debenture, the Fourth Debenture, the Fifth Debenture, the Sixth Debenture and the Seventh Debenture, collectively, are the “Advance Debentures”). Net proceeds to the Company from the Seventh Debenture were $3,409,460. As a result of the issuance of the Seventh Debenture, and pursuant to the Tenth Omnibus Amendment, the aggregate principal amount of the New Commitment Debenture that was to be issued to Yorkville upon the satisfaction of all of the conditions set forth in the Securities Purchase Agreement was $7,200,000, consisting of the amounts advanced to the Company under the Seventh Debenture and each of the other Advance Debentures. Under the terms of the Tenth Omnibus Amendment, the Company and Yorkville also amended the Exchange Agreement to include all of the Advance Debentures within the scope of the Exchange Agreement and therefore within the scope of the Debt Conversion, subject to the satisfaction of the conditions precedent thereto. In connection with the Seventh Debenture, the management board resolved to issue an additional 159 Preferred Shares to Yorkville upon the satisfaction of the terms and conditions of the Exchange Agreement (in addition to the 1,242 Preferred Shares to be issued as forth in the Exchange Agreement) in exchange for the surrender and cancellation of the additional indebtedness incurred to Yorkville.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September 5, 2025, pursuant to an Exchange Agreement, as amended, and as a result of the receipt of notice from Nasdaq that the Company has met all the applicable requirements for listing of the Ordinary Shares on the Nasdaq Capital Market on September 4, 2025, the Company issued 1,401 Preferred Shares to Yorkville solely in exchange for the surrender and cancellation of all of the debentures held by Yorkville, including the 2022 Debentures, the 2024 Debentures, and all of the Advance Debentures. The Preferred Shares are convertible into Ordinary Shares at a price per Ordinary Share equal to the Variable Conversion Price. As part of the commitment, Yorkville has agreed to a conversion price floor of $4.00 for six months and $1.00 thereafter.</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transactions contemplated by the Securities Purchase Agreement, Yorkville and SVSE LLC (“SVSE”), whose sole member is George O’Leary, who previously served as the Company’s Chief Executive Officer until September 9, 2025 and as the sole member of the Company’s management board until December 31, 2025, intend to enter into a call option agreement (the “Call Option Agreement”), pursuant to which SVSE will agree to provide Yorkville with a call option (the “Call Option”) to purchase all of the Ordinary Shares and High Voting Shares held by SVSE at a price of $0.1125 per Ordinary Share and $1.875 per High Voting Share. The Call Option will expire at 5:00 p.m. Eastern time on the four-year anniversary of the date of the Call Option Agreement (the “Expiration Time”), and may be exercised prior to the Expiration Time on multiple occasions with respect to a portion of the Ordinary Shares and High Voting Shares held by SVSE. Under the terms of the Call Option Agreement, Yorkville may not exercise the Call Option if, after giving effect to such exercise, Yorkville and any of its affiliates would beneficially own more than 4.99% of (i) the number of High Voting Shares outstanding, (ii) the number of Ordinary Shares outstanding, or (iii) the voting power of the total capital of the Company (including due to the voting rights of the High Voting Shares). Such ownership limitations may be waived by Yorkville upon not less than 65 days’ prior notice to the Company.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following table presents fees for professional services rendered by Grassi &amp; Co., CPAs, P.C. (“Grassi”), our principal independent registered public accounting firm, for the years ended December 31, 2025 and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4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5"/>
        </w:trPr>
        <w:tc>
          <w:tcPr>
            <w:tcW w:w="47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in millions)</w:t>
            </w:r>
          </w:p>
        </w:tc>
        <w:tc>
          <w:tcPr>
            <w:tcW w:w="1080" w:type="dxa"/>
            <w:vAlign w:val="bottom"/>
            <w:tcBorders>
              <w:top w:val="single" w:sz="8" w:color="auto"/>
            </w:tcBorders>
          </w:tcPr>
          <w:p>
            <w:pPr>
              <w:spacing w:after="0"/>
              <w:rPr>
                <w:sz w:val="16"/>
                <w:szCs w:val="16"/>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3"/>
                <w:szCs w:val="23"/>
                <w:color w:val="auto"/>
                <w:vertAlign w:val="superscript"/>
              </w:rPr>
              <w:t>(1)</w:t>
            </w:r>
          </w:p>
        </w:tc>
        <w:tc>
          <w:tcPr>
            <w:tcW w:w="42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0.5</w:t>
            </w:r>
          </w:p>
        </w:tc>
      </w:tr>
      <w:tr>
        <w:trPr>
          <w:trHeight w:val="202"/>
        </w:trPr>
        <w:tc>
          <w:tcPr>
            <w:tcW w:w="47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Audit Related Fees</w:t>
            </w:r>
            <w:r>
              <w:rPr>
                <w:rFonts w:ascii="Times New Roman" w:cs="Times New Roman" w:eastAsia="Times New Roman" w:hAnsi="Times New Roman"/>
                <w:sz w:val="23"/>
                <w:szCs w:val="23"/>
                <w:color w:val="auto"/>
                <w:vertAlign w:val="superscript"/>
              </w:rPr>
              <w:t>(2)</w:t>
            </w:r>
          </w:p>
        </w:tc>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23"/>
                <w:szCs w:val="23"/>
                <w:color w:val="auto"/>
                <w:vertAlign w:val="superscript"/>
              </w:rPr>
              <w:t>(3)</w:t>
            </w:r>
          </w:p>
        </w:tc>
        <w:tc>
          <w:tcPr>
            <w:tcW w:w="3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23"/>
                <w:szCs w:val="23"/>
                <w:color w:val="auto"/>
                <w:vertAlign w:val="superscript"/>
              </w:rPr>
              <w:t>(4)</w:t>
            </w:r>
          </w:p>
        </w:tc>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0.5</w:t>
            </w:r>
          </w:p>
        </w:tc>
      </w:tr>
    </w:tbl>
    <w:p>
      <w:pPr>
        <w:spacing w:after="0" w:line="186" w:lineRule="exact"/>
        <w:rPr>
          <w:sz w:val="20"/>
          <w:szCs w:val="20"/>
          <w:color w:val="auto"/>
        </w:rPr>
      </w:pPr>
    </w:p>
    <w:p>
      <w:pPr>
        <w:jc w:val="both"/>
        <w:ind w:left="460" w:hanging="459"/>
        <w:spacing w:after="0" w:line="257"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include fees billed for professional services rendered for the audit of Sono Group N.V.’s year-end consolidated financial statements, reviews of the quarterly condensed consolidated financial statements and services that are normally provided by our independent registered public accounting firm in connection with statutory and regulatory filings. These services include, among others, provision of comfort letters, consultations on various accounting issues, performance of local statutory audits and review of offering documents filed with the SEC.</w:t>
      </w:r>
    </w:p>
    <w:p>
      <w:pPr>
        <w:spacing w:after="0" w:line="174"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Related Fees” include fees billed for assurance and related services that are reasonably related to the performance of the audit or review of Sono Group N.V.’s year-end financial statements and are not reported under “Audit Fees”.</w:t>
      </w:r>
    </w:p>
    <w:p>
      <w:pPr>
        <w:spacing w:after="0" w:line="157"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include fees for professional services rendered for tax compliance, tax advice and tax planning.</w:t>
      </w:r>
    </w:p>
    <w:p>
      <w:pPr>
        <w:spacing w:after="0" w:line="209"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include fees for products and services provided, other than “Audit Fees”, “Audit-Related Fees” and “Tax Fees”.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Pre-Approval Policies and Procedures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audit committee approved all of the services described above and determined that the provision of such services is compatible with maintaining the independence of Grassi.</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2"/>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05"/>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5"/>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 Documents filed as part of this report</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5"/>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(a)(1) Financial Statements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5"/>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Financial Statements required to be filed by Item 8 of this Annual Report, and filed in this Item 15, are as follows: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9"/>
        </w:trPr>
        <w:tc>
          <w:tcPr>
            <w:tcW w:w="93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Audited financial statements</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81"/>
        </w:trPr>
        <w:tc>
          <w:tcPr>
            <w:tcW w:w="5240" w:type="dxa"/>
            <w:vAlign w:val="bottom"/>
            <w:tcBorders>
              <w:bottom w:val="single" w:sz="8" w:color="0000EE"/>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EE"/>
                <w:w w:val="98"/>
              </w:rPr>
              <w:t>Report of Independent Registered Public Accounting Firm (PCAOB ID: 606)</w:t>
            </w:r>
          </w:p>
        </w:tc>
        <w:tc>
          <w:tcPr>
            <w:tcW w:w="4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84"/>
              </w:rPr>
              <w:t>F-1</w:t>
            </w:r>
          </w:p>
        </w:tc>
      </w:tr>
      <w:tr>
        <w:trPr>
          <w:trHeight w:val="182"/>
        </w:trPr>
        <w:tc>
          <w:tcPr>
            <w:tcW w:w="196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Balance Sheets</w:t>
            </w:r>
          </w:p>
        </w:tc>
        <w:tc>
          <w:tcPr>
            <w:tcW w:w="7380" w:type="dxa"/>
            <w:vAlign w:val="bottom"/>
            <w:gridSpan w:val="6"/>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F-2</w:t>
            </w:r>
          </w:p>
        </w:tc>
      </w:tr>
      <w:tr>
        <w:trPr>
          <w:trHeight w:val="182"/>
        </w:trPr>
        <w:tc>
          <w:tcPr>
            <w:tcW w:w="264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Statements of Operations</w:t>
            </w:r>
          </w:p>
        </w:tc>
        <w:tc>
          <w:tcPr>
            <w:tcW w:w="6700" w:type="dxa"/>
            <w:vAlign w:val="bottom"/>
            <w:gridSpan w:val="5"/>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F-3</w:t>
            </w:r>
          </w:p>
        </w:tc>
      </w:tr>
      <w:tr>
        <w:trPr>
          <w:trHeight w:val="182"/>
        </w:trPr>
        <w:tc>
          <w:tcPr>
            <w:tcW w:w="4100" w:type="dxa"/>
            <w:vAlign w:val="bottom"/>
            <w:tcBorders>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Statements of Changes in Shareholders' Equity</w:t>
            </w:r>
          </w:p>
        </w:tc>
        <w:tc>
          <w:tcPr>
            <w:tcW w:w="524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F-4</w:t>
            </w:r>
          </w:p>
        </w:tc>
      </w:tr>
      <w:tr>
        <w:trPr>
          <w:trHeight w:val="182"/>
        </w:trPr>
        <w:tc>
          <w:tcPr>
            <w:tcW w:w="934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1680" w:type="dxa"/>
            <w:vAlign w:val="bottom"/>
          </w:tcPr>
          <w:p>
            <w:pPr>
              <w:spacing w:after="0"/>
              <w:rPr>
                <w:sz w:val="15"/>
                <w:szCs w:val="15"/>
                <w:color w:val="auto"/>
              </w:rPr>
            </w:pPr>
          </w:p>
        </w:tc>
        <w:tc>
          <w:tcPr>
            <w:tcW w:w="2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84"/>
              </w:rPr>
              <w:t>F-5</w:t>
            </w:r>
          </w:p>
        </w:tc>
      </w:tr>
      <w:tr>
        <w:trPr>
          <w:trHeight w:val="20"/>
        </w:trPr>
        <w:tc>
          <w:tcPr>
            <w:tcW w:w="26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182"/>
        </w:trPr>
        <w:tc>
          <w:tcPr>
            <w:tcW w:w="296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8"/>
              </w:rPr>
              <w:t>Notes to Consolidated Financial Statements</w:t>
            </w:r>
          </w:p>
        </w:tc>
        <w:tc>
          <w:tcPr>
            <w:tcW w:w="6380" w:type="dxa"/>
            <w:vAlign w:val="bottom"/>
            <w:gridSpan w:val="3"/>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(a)(2) Financial Statement Schedules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Schedules are omitted because they are not applicable, or are not required, or because the information is included in the financial statements and notes thereto.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(a)(3) Exhibits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exhibits filed or furnished, as the case may be, as part of this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No.</w:t>
            </w:r>
          </w:p>
        </w:tc>
        <w:tc>
          <w:tcPr>
            <w:tcW w:w="120" w:type="dxa"/>
            <w:vAlign w:val="bottom"/>
          </w:tcPr>
          <w:p>
            <w:pPr>
              <w:spacing w:after="0"/>
              <w:rPr>
                <w:sz w:val="19"/>
                <w:szCs w:val="19"/>
                <w:color w:val="auto"/>
              </w:rPr>
            </w:pPr>
          </w:p>
        </w:tc>
        <w:tc>
          <w:tcPr>
            <w:tcW w:w="104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r>
      <w:tr>
        <w:trPr>
          <w:trHeight w:val="158"/>
        </w:trPr>
        <w:tc>
          <w:tcPr>
            <w:tcW w:w="300" w:type="dxa"/>
            <w:vAlign w:val="bottom"/>
            <w:gridSpan w:val="2"/>
          </w:tcPr>
          <w:p>
            <w:pPr>
              <w:spacing w:after="0" w:line="158"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60" w:type="dxa"/>
            <w:vAlign w:val="bottom"/>
            <w:gridSpan w:val="11"/>
          </w:tcPr>
          <w:p>
            <w:pPr>
              <w:spacing w:after="0" w:line="158"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Articles of Association of Sono Group N.V., as amended effective September 9, 2025 (Dutch and English translations) (incorporated herein by reference</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40" w:type="dxa"/>
            <w:vAlign w:val="bottom"/>
            <w:tcBorders>
              <w:top w:val="single" w:sz="8" w:color="0000EE"/>
            </w:tcBorders>
            <w:gridSpan w:val="10"/>
          </w:tcPr>
          <w:p>
            <w:pPr>
              <w:spacing w:after="0" w:line="182"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to Exhibit 3.1 of the Company’s Annual Report on Form 10</w:t>
              </w:r>
              <w:r>
                <w:rPr>
                  <w:rFonts w:ascii="MS PGothic" w:cs="MS PGothic" w:eastAsia="MS PGothic" w:hAnsi="MS PGothic"/>
                  <w:sz w:val="17"/>
                  <w:szCs w:val="17"/>
                  <w:color w:val="0000EE"/>
                </w:rPr>
                <w:t>‑</w:t>
              </w:r>
              <w:r>
                <w:rPr>
                  <w:rFonts w:ascii="Times New Roman" w:cs="Times New Roman" w:eastAsia="Times New Roman" w:hAnsi="Times New Roman"/>
                  <w:sz w:val="17"/>
                  <w:szCs w:val="17"/>
                  <w:color w:val="0000EE"/>
                </w:rPr>
                <w:t>K filed with the SEC on April 17, 2025)</w:t>
              </w:r>
            </w:hyperlink>
          </w:p>
        </w:tc>
        <w:tc>
          <w:tcPr>
            <w:tcW w:w="2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300" w:type="dxa"/>
            <w:vAlign w:val="bottom"/>
            <w:gridSpan w:val="2"/>
          </w:tcPr>
          <w:p>
            <w:pPr>
              <w:spacing w:after="0" w:line="182"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Form of internal rules of the management board of Sono Group N.V. (incorporated herein by reference to Exhibit 3.2 of Sono Group N.V.’s Registration</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tcBorders>
              <w:top w:val="single" w:sz="8" w:color="0000EE"/>
            </w:tcBorders>
            <w:gridSpan w:val="11"/>
          </w:tcPr>
          <w:p>
            <w:pPr>
              <w:spacing w:after="0" w:line="182"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Statement of Foreign Private Issuer on Form F-1 filed with the SEC on November 8, 2021)</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300" w:type="dxa"/>
            <w:vAlign w:val="bottom"/>
            <w:gridSpan w:val="2"/>
          </w:tcPr>
          <w:p>
            <w:pPr>
              <w:spacing w:after="0" w:line="182"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hyperlink>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Form of internal rules of the supervisory board of Sono Group N.V. (incorporated herein by reference to Exhibit 3.3 of Sono Group N.V.’s Registration</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tcBorders>
              <w:top w:val="single" w:sz="8" w:color="0000EE"/>
            </w:tcBorders>
            <w:gridSpan w:val="11"/>
          </w:tcPr>
          <w:p>
            <w:pPr>
              <w:spacing w:after="0" w:line="182"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Statement of Foreign Private Issuer on Form F-1 filed with the SEC on November 8, 2021)</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300" w:type="dxa"/>
            <w:vAlign w:val="bottom"/>
            <w:gridSpan w:val="2"/>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Description of the rights of each class of securities registered under Section 12 of the Securities Exchange Act of 1934 (incorporated herein by reference</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tcBorders>
              <w:top w:val="single" w:sz="8" w:color="0000EE"/>
            </w:tcBorders>
            <w:gridSpan w:val="11"/>
          </w:tcPr>
          <w:p>
            <w:pPr>
              <w:spacing w:after="0" w:line="182"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to Exhibit 4.1 of Sono Group N.V.’s Annual Report on Form 10-K filed with the SEC on April 17, 2025)</w:t>
              </w:r>
            </w:hyperlink>
          </w:p>
        </w:tc>
      </w:tr>
      <w:tr>
        <w:trPr>
          <w:trHeight w:val="20"/>
        </w:trPr>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300" w:type="dxa"/>
            <w:vAlign w:val="bottom"/>
            <w:gridSpan w:val="2"/>
          </w:tcPr>
          <w:p>
            <w:pPr>
              <w:spacing w:after="0" w:line="182"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w w:val="99"/>
              </w:rPr>
            </w:pPr>
            <w:hyperlink r:id="rId99">
              <w:r>
                <w:rPr>
                  <w:rFonts w:ascii="Times New Roman" w:cs="Times New Roman" w:eastAsia="Times New Roman" w:hAnsi="Times New Roman"/>
                  <w:sz w:val="17"/>
                  <w:szCs w:val="17"/>
                  <w:color w:val="0000EE"/>
                  <w:w w:val="99"/>
                </w:rPr>
                <w:t>Pre-Funded Warrant, dated March 10, 2026, issued by Sono Group N.V. to YA II PN, Ltd. (incorporated herein by reference to Exhibit 4.1 of Sono Group</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8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7"/>
                <w:szCs w:val="17"/>
                <w:color w:val="0000EE"/>
                <w:w w:val="98"/>
              </w:rPr>
            </w:pPr>
            <w:hyperlink r:id="rId99">
              <w:r>
                <w:rPr>
                  <w:rFonts w:ascii="Times New Roman" w:cs="Times New Roman" w:eastAsia="Times New Roman" w:hAnsi="Times New Roman"/>
                  <w:sz w:val="17"/>
                  <w:szCs w:val="17"/>
                  <w:color w:val="0000EE"/>
                  <w:w w:val="98"/>
                </w:rPr>
                <w:t>N.V.’s Current Report on Form 8-K filed with the SEC on March 10, 2026)</w:t>
              </w:r>
            </w:hyperlink>
          </w:p>
        </w:tc>
        <w:tc>
          <w:tcPr>
            <w:tcW w:w="5380" w:type="dxa"/>
            <w:vAlign w:val="bottom"/>
            <w:tcBorders>
              <w:top w:val="single" w:sz="8" w:color="0000EE"/>
            </w:tcBorders>
            <w:gridSpan w:val="7"/>
          </w:tcPr>
          <w:p>
            <w:pPr>
              <w:spacing w:after="0"/>
              <w:rPr>
                <w:sz w:val="15"/>
                <w:szCs w:val="15"/>
                <w:color w:val="auto"/>
              </w:rPr>
            </w:pPr>
          </w:p>
        </w:tc>
      </w:tr>
      <w:tr>
        <w:trPr>
          <w:trHeight w:val="182"/>
        </w:trPr>
        <w:tc>
          <w:tcPr>
            <w:tcW w:w="380" w:type="dxa"/>
            <w:vAlign w:val="bottom"/>
            <w:gridSpan w:val="3"/>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Form of Registration Rights Agreement (incorporated by reference to Exhibit 4.1 to Amendment No. 1 to Sono Group N.V.’s Registration Statement on</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tcBorders>
              <w:top w:val="single" w:sz="8" w:color="0000EE"/>
            </w:tcBorders>
            <w:gridSpan w:val="11"/>
          </w:tcPr>
          <w:p>
            <w:pPr>
              <w:spacing w:after="0" w:line="182"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Form F-1 (File No. 333-260432) filed with the SEC on November 8, 2021)</w:t>
              </w:r>
            </w:hyperlink>
          </w:p>
        </w:tc>
      </w:tr>
      <w:tr>
        <w:trPr>
          <w:trHeight w:val="20"/>
        </w:trPr>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680" w:type="dxa"/>
            <w:vAlign w:val="bottom"/>
            <w:gridSpan w:val="4"/>
          </w:tcPr>
          <w:p>
            <w:pPr>
              <w:spacing w:after="0" w:line="182"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hyperlink>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w w:val="98"/>
              </w:rPr>
            </w:pPr>
            <w:hyperlink r:id="rId101">
              <w:r>
                <w:rPr>
                  <w:rFonts w:ascii="Times New Roman" w:cs="Times New Roman" w:eastAsia="Times New Roman" w:hAnsi="Times New Roman"/>
                  <w:sz w:val="17"/>
                  <w:szCs w:val="17"/>
                  <w:color w:val="0000EE"/>
                  <w:w w:val="98"/>
                </w:rPr>
                <w:t>Form of Long-Term Incentive Plan of Sono Group N.V. (incorporated herein by reference to Exhibit 10.1 of Sono Group N.V.’s Registration Statement on</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60" w:type="dxa"/>
            <w:vAlign w:val="bottom"/>
            <w:tcBorders>
              <w:top w:val="single" w:sz="8" w:color="0000EE"/>
            </w:tcBorders>
            <w:gridSpan w:val="11"/>
          </w:tcPr>
          <w:p>
            <w:pPr>
              <w:spacing w:after="0" w:line="182"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Form F-1 (File No. 333-260432) filed with the SEC October 22, 2021)</w:t>
              </w:r>
            </w:hyperlink>
          </w:p>
        </w:tc>
      </w:tr>
      <w:tr>
        <w:trPr>
          <w:trHeight w:val="20"/>
        </w:trPr>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680" w:type="dxa"/>
            <w:vAlign w:val="bottom"/>
            <w:gridSpan w:val="4"/>
          </w:tcPr>
          <w:p>
            <w:pPr>
              <w:spacing w:after="0" w:line="182"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hyperlink>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w w:val="99"/>
              </w:rPr>
            </w:pPr>
            <w:hyperlink r:id="rId102">
              <w:r>
                <w:rPr>
                  <w:rFonts w:ascii="Times New Roman" w:cs="Times New Roman" w:eastAsia="Times New Roman" w:hAnsi="Times New Roman"/>
                  <w:sz w:val="17"/>
                  <w:szCs w:val="17"/>
                  <w:color w:val="0000EE"/>
                  <w:w w:val="99"/>
                </w:rPr>
                <w:t>Conversion Stock Option Program 2020 (incorporated herein by reference to Exhibit 10.2 of Sono Group N.V.’s Registration Statement on Form F-1 (File</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7"/>
                <w:szCs w:val="17"/>
                <w:color w:val="0000EE"/>
                <w:w w:val="98"/>
              </w:rPr>
            </w:pPr>
            <w:hyperlink r:id="rId102">
              <w:r>
                <w:rPr>
                  <w:rFonts w:ascii="Times New Roman" w:cs="Times New Roman" w:eastAsia="Times New Roman" w:hAnsi="Times New Roman"/>
                  <w:sz w:val="17"/>
                  <w:szCs w:val="17"/>
                  <w:color w:val="0000EE"/>
                  <w:w w:val="98"/>
                </w:rPr>
                <w:t>No. 333-260432) filed with the SEC on October 22, 2021)</w:t>
              </w:r>
            </w:hyperlink>
          </w:p>
        </w:tc>
        <w:tc>
          <w:tcPr>
            <w:tcW w:w="6520" w:type="dxa"/>
            <w:vAlign w:val="bottom"/>
            <w:tcBorders>
              <w:top w:val="single" w:sz="8" w:color="0000EE"/>
            </w:tcBorders>
            <w:gridSpan w:val="10"/>
          </w:tcPr>
          <w:p>
            <w:pPr>
              <w:spacing w:after="0"/>
              <w:rPr>
                <w:sz w:val="15"/>
                <w:szCs w:val="15"/>
                <w:color w:val="auto"/>
              </w:rPr>
            </w:pPr>
          </w:p>
        </w:tc>
      </w:tr>
      <w:tr>
        <w:trPr>
          <w:trHeight w:val="182"/>
        </w:trPr>
        <w:tc>
          <w:tcPr>
            <w:tcW w:w="680" w:type="dxa"/>
            <w:vAlign w:val="bottom"/>
            <w:gridSpan w:val="4"/>
          </w:tcPr>
          <w:p>
            <w:pPr>
              <w:spacing w:after="0" w:line="182"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hyperlink>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Form of Indemnification Agreement between Sono Group N.V. and members of the management board (incorporated herein by reference to Exhibit 10.3</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8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103">
              <w:r>
                <w:rPr>
                  <w:rFonts w:ascii="Times New Roman" w:cs="Times New Roman" w:eastAsia="Times New Roman" w:hAnsi="Times New Roman"/>
                  <w:sz w:val="17"/>
                  <w:szCs w:val="17"/>
                  <w:color w:val="0000EE"/>
                  <w:w w:val="98"/>
                </w:rPr>
                <w:t>of Sono Group N.V.’s Registration Statement on Form F-1 (File No. 333-260432) filed with the SEC on October 22, 2021)</w:t>
              </w:r>
            </w:hyperlink>
          </w:p>
        </w:tc>
        <w:tc>
          <w:tcPr>
            <w:tcW w:w="2180" w:type="dxa"/>
            <w:vAlign w:val="bottom"/>
            <w:tcBorders>
              <w:top w:val="single" w:sz="8" w:color="0000EE"/>
            </w:tcBorders>
            <w:gridSpan w:val="2"/>
          </w:tcPr>
          <w:p>
            <w:pPr>
              <w:spacing w:after="0"/>
              <w:rPr>
                <w:sz w:val="15"/>
                <w:szCs w:val="15"/>
                <w:color w:val="auto"/>
              </w:rPr>
            </w:pPr>
          </w:p>
        </w:tc>
      </w:tr>
      <w:tr>
        <w:trPr>
          <w:trHeight w:val="182"/>
        </w:trPr>
        <w:tc>
          <w:tcPr>
            <w:tcW w:w="680" w:type="dxa"/>
            <w:vAlign w:val="bottom"/>
            <w:gridSpan w:val="4"/>
          </w:tcPr>
          <w:p>
            <w:pPr>
              <w:spacing w:after="0" w:line="182"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hyperlink>
          </w:p>
        </w:tc>
        <w:tc>
          <w:tcPr>
            <w:tcW w:w="120" w:type="dxa"/>
            <w:vAlign w:val="bottom"/>
          </w:tcPr>
          <w:p>
            <w:pPr>
              <w:spacing w:after="0"/>
              <w:rPr>
                <w:sz w:val="15"/>
                <w:szCs w:val="15"/>
                <w:color w:val="auto"/>
              </w:rPr>
            </w:pPr>
          </w:p>
        </w:tc>
        <w:tc>
          <w:tcPr>
            <w:tcW w:w="10460" w:type="dxa"/>
            <w:vAlign w:val="bottom"/>
            <w:gridSpan w:val="11"/>
          </w:tcPr>
          <w:p>
            <w:pPr>
              <w:spacing w:after="0" w:line="182" w:lineRule="exact"/>
              <w:rPr>
                <w:rFonts w:ascii="Times New Roman" w:cs="Times New Roman" w:eastAsia="Times New Roman" w:hAnsi="Times New Roman"/>
                <w:sz w:val="17"/>
                <w:szCs w:val="17"/>
                <w:color w:val="0000EE"/>
                <w:w w:val="99"/>
              </w:rPr>
            </w:pPr>
            <w:hyperlink r:id="rId104">
              <w:r>
                <w:rPr>
                  <w:rFonts w:ascii="Times New Roman" w:cs="Times New Roman" w:eastAsia="Times New Roman" w:hAnsi="Times New Roman"/>
                  <w:sz w:val="17"/>
                  <w:szCs w:val="17"/>
                  <w:color w:val="0000EE"/>
                  <w:w w:val="99"/>
                </w:rPr>
                <w:t>Form of Indemnification Agreement between Sono Group N.V. and members of the supervisory board (incorporated herein by reference to Exhibit 10.4 of</w:t>
              </w:r>
            </w:hyperlink>
          </w:p>
        </w:tc>
      </w:tr>
      <w:tr>
        <w:trPr>
          <w:trHeight w:val="182"/>
        </w:trPr>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0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04">
              <w:r>
                <w:rPr>
                  <w:rFonts w:ascii="Times New Roman" w:cs="Times New Roman" w:eastAsia="Times New Roman" w:hAnsi="Times New Roman"/>
                  <w:sz w:val="17"/>
                  <w:szCs w:val="17"/>
                  <w:color w:val="0000EE"/>
                  <w:w w:val="98"/>
                </w:rPr>
                <w:t>Sono Group N.V.’s Registration Statement on Form F-1 (File No. 333-260432) filed with the SEC on October 22, 2021)</w:t>
              </w:r>
            </w:hyperlink>
          </w:p>
        </w:tc>
        <w:tc>
          <w:tcPr>
            <w:tcW w:w="2360" w:type="dxa"/>
            <w:vAlign w:val="bottom"/>
            <w:tcBorders>
              <w:top w:val="single" w:sz="8" w:color="0000EE"/>
            </w:tcBorders>
            <w:gridSpan w:val="3"/>
          </w:tcPr>
          <w:p>
            <w:pPr>
              <w:spacing w:after="0"/>
              <w:rPr>
                <w:sz w:val="15"/>
                <w:szCs w:val="15"/>
                <w:color w:val="auto"/>
              </w:rPr>
            </w:pPr>
          </w:p>
        </w:tc>
      </w:tr>
      <w:tr>
        <w:trPr>
          <w:trHeight w:val="42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49" w:right="339" w:bottom="1440" w:gutter="0" w:footer="0" w:header="0"/>
        </w:sectPr>
      </w:pPr>
    </w:p>
    <w:bookmarkStart w:id="89" w:name="page90"/>
    <w:bookmarkEnd w:id="89"/>
    <w:p>
      <w:pPr>
        <w:jc w:val="both"/>
        <w:ind w:left="800" w:hanging="796"/>
        <w:spacing w:after="0" w:line="258" w:lineRule="auto"/>
        <w:tabs>
          <w:tab w:leader="none" w:pos="780" w:val="left"/>
        </w:tabs>
        <w:rPr>
          <w:rFonts w:ascii="Times New Roman" w:cs="Times New Roman" w:eastAsia="Times New Roman" w:hAnsi="Times New Roman"/>
          <w:sz w:val="17"/>
          <w:szCs w:val="17"/>
          <w:u w:val="single" w:color="auto"/>
          <w:color w:val="0000EE"/>
        </w:rPr>
      </w:pPr>
      <w:hyperlink r:id="rId105">
        <w:r>
          <w:rPr>
            <w:rFonts w:ascii="Times New Roman" w:cs="Times New Roman" w:eastAsia="Times New Roman" w:hAnsi="Times New Roman"/>
            <w:sz w:val="17"/>
            <w:szCs w:val="17"/>
            <w:u w:val="single" w:color="auto"/>
            <w:color w:val="0000EE"/>
          </w:rPr>
          <w:t>10.6</w:t>
        </w:r>
      </w:hyperlink>
      <w:r>
        <w:rPr>
          <w:rFonts w:ascii="Times New Roman" w:cs="Times New Roman" w:eastAsia="Times New Roman" w:hAnsi="Times New Roman"/>
          <w:sz w:val="17"/>
          <w:szCs w:val="17"/>
          <w:u w:val="single" w:color="auto"/>
          <w:color w:val="0000EE"/>
        </w:rPr>
        <w:tab/>
      </w:r>
      <w:hyperlink r:id="rId105">
        <w:r>
          <w:rPr>
            <w:rFonts w:ascii="Times New Roman" w:cs="Times New Roman" w:eastAsia="Times New Roman" w:hAnsi="Times New Roman"/>
            <w:sz w:val="17"/>
            <w:szCs w:val="17"/>
            <w:u w:val="single" w:color="auto"/>
            <w:color w:val="0000EE"/>
          </w:rPr>
          <w:t>Registration Rights Agreement by and between Sono Group N.V. and YA II PN, Ltd., dated December 7, 2022 (incorporated herein by reference to</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Exhibit 4.1 of Sono Group N.V.’s Registration Statement on Form F-3 (File No. 333-268709 filed with the SEC on December 8, 2022)</w:t>
        </w:r>
      </w:hyperlink>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06">
        <w:r>
          <w:rPr>
            <w:rFonts w:ascii="Times New Roman" w:cs="Times New Roman" w:eastAsia="Times New Roman" w:hAnsi="Times New Roman"/>
            <w:sz w:val="17"/>
            <w:szCs w:val="17"/>
            <w:u w:val="single" w:color="auto"/>
            <w:color w:val="0000EE"/>
          </w:rPr>
          <w:t>10.7</w:t>
        </w:r>
      </w:hyperlink>
      <w:r>
        <w:rPr>
          <w:rFonts w:ascii="Times New Roman" w:cs="Times New Roman" w:eastAsia="Times New Roman" w:hAnsi="Times New Roman"/>
          <w:sz w:val="17"/>
          <w:szCs w:val="17"/>
          <w:u w:val="single" w:color="auto"/>
          <w:color w:val="0000EE"/>
        </w:rPr>
        <w:tab/>
      </w:r>
      <w:hyperlink r:id="rId106">
        <w:r>
          <w:rPr>
            <w:rFonts w:ascii="Times New Roman" w:cs="Times New Roman" w:eastAsia="Times New Roman" w:hAnsi="Times New Roman"/>
            <w:sz w:val="17"/>
            <w:szCs w:val="17"/>
            <w:u w:val="single" w:color="auto"/>
            <w:color w:val="0000EE"/>
          </w:rPr>
          <w:t>Securities Purchase Agreement by and between Sono Group N.V. and YA II PN, Ltd., dated December 7, 2022 (incorporated herein by reference to</w:t>
        </w:r>
      </w:hyperlink>
      <w:r>
        <w:rPr>
          <w:rFonts w:ascii="Times New Roman" w:cs="Times New Roman" w:eastAsia="Times New Roman" w:hAnsi="Times New Roman"/>
          <w:sz w:val="17"/>
          <w:szCs w:val="17"/>
          <w:u w:val="single" w:color="auto"/>
          <w:color w:val="0000EE"/>
        </w:rPr>
        <w:t xml:space="preserve"> </w:t>
      </w:r>
      <w:hyperlink r:id="rId106">
        <w:r>
          <w:rPr>
            <w:rFonts w:ascii="Times New Roman" w:cs="Times New Roman" w:eastAsia="Times New Roman" w:hAnsi="Times New Roman"/>
            <w:sz w:val="17"/>
            <w:szCs w:val="17"/>
            <w:u w:val="single" w:color="auto"/>
            <w:color w:val="0000EE"/>
          </w:rPr>
          <w:t>Exhibit 10.1 of Sono Group N.V.’s Registration Statement on Form F-3 (File No. 333-268709) filed with the SEC on December 8,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07">
        <w:r>
          <w:rPr>
            <w:rFonts w:ascii="Times New Roman" w:cs="Times New Roman" w:eastAsia="Times New Roman" w:hAnsi="Times New Roman"/>
            <w:sz w:val="17"/>
            <w:szCs w:val="17"/>
            <w:u w:val="single" w:color="auto"/>
            <w:color w:val="0000EE"/>
          </w:rPr>
          <w:t>10.8</w:t>
        </w:r>
      </w:hyperlink>
      <w:r>
        <w:rPr>
          <w:rFonts w:ascii="Times New Roman" w:cs="Times New Roman" w:eastAsia="Times New Roman" w:hAnsi="Times New Roman"/>
          <w:sz w:val="17"/>
          <w:szCs w:val="17"/>
          <w:u w:val="single" w:color="auto"/>
          <w:color w:val="0000EE"/>
        </w:rPr>
        <w:tab/>
      </w:r>
      <w:hyperlink r:id="rId107">
        <w:r>
          <w:rPr>
            <w:rFonts w:ascii="Times New Roman" w:cs="Times New Roman" w:eastAsia="Times New Roman" w:hAnsi="Times New Roman"/>
            <w:sz w:val="17"/>
            <w:szCs w:val="17"/>
            <w:u w:val="single" w:color="auto"/>
            <w:color w:val="0000EE"/>
          </w:rPr>
          <w:t>Form of Convertible Debenture issued to YA II PN, Ltd. (incorporated herein by reference to Exhibit 10.2 of Sono Group N.V.’s Registration Statement on</w:t>
        </w:r>
      </w:hyperlink>
      <w:r>
        <w:rPr>
          <w:rFonts w:ascii="Times New Roman" w:cs="Times New Roman" w:eastAsia="Times New Roman" w:hAnsi="Times New Roman"/>
          <w:sz w:val="17"/>
          <w:szCs w:val="17"/>
          <w:u w:val="single" w:color="auto"/>
          <w:color w:val="0000EE"/>
        </w:rPr>
        <w:t xml:space="preserve"> </w:t>
      </w:r>
      <w:hyperlink r:id="rId107">
        <w:r>
          <w:rPr>
            <w:rFonts w:ascii="Times New Roman" w:cs="Times New Roman" w:eastAsia="Times New Roman" w:hAnsi="Times New Roman"/>
            <w:sz w:val="17"/>
            <w:szCs w:val="17"/>
            <w:u w:val="single" w:color="auto"/>
            <w:color w:val="0000EE"/>
          </w:rPr>
          <w:t>Form F-3 (File No. 333-268709) filed with the SEC on December 8,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08">
        <w:r>
          <w:rPr>
            <w:rFonts w:ascii="Times New Roman" w:cs="Times New Roman" w:eastAsia="Times New Roman" w:hAnsi="Times New Roman"/>
            <w:sz w:val="17"/>
            <w:szCs w:val="17"/>
            <w:u w:val="single" w:color="auto"/>
            <w:color w:val="0000EE"/>
          </w:rPr>
          <w:t>10.9†</w:t>
        </w:r>
      </w:hyperlink>
      <w:r>
        <w:rPr>
          <w:rFonts w:ascii="Times New Roman" w:cs="Times New Roman" w:eastAsia="Times New Roman" w:hAnsi="Times New Roman"/>
          <w:sz w:val="17"/>
          <w:szCs w:val="17"/>
          <w:u w:val="single" w:color="auto"/>
          <w:color w:val="0000EE"/>
        </w:rPr>
        <w:tab/>
      </w:r>
      <w:hyperlink r:id="rId108">
        <w:r>
          <w:rPr>
            <w:rFonts w:ascii="Times New Roman" w:cs="Times New Roman" w:eastAsia="Times New Roman" w:hAnsi="Times New Roman"/>
            <w:sz w:val="17"/>
            <w:szCs w:val="17"/>
            <w:u w:val="single" w:color="auto"/>
            <w:color w:val="0000EE"/>
          </w:rPr>
          <w:t>Restructuring Agreement between Sono Group N.V. and YA II PN, Ltd, dated 17 November 2023 and effective as of November 20, 2023 (incorporated</w:t>
        </w:r>
      </w:hyperlink>
      <w:r>
        <w:rPr>
          <w:rFonts w:ascii="Times New Roman" w:cs="Times New Roman" w:eastAsia="Times New Roman" w:hAnsi="Times New Roman"/>
          <w:sz w:val="17"/>
          <w:szCs w:val="17"/>
          <w:u w:val="single" w:color="auto"/>
          <w:color w:val="0000EE"/>
        </w:rPr>
        <w:t xml:space="preserve"> </w:t>
      </w:r>
      <w:hyperlink r:id="rId108">
        <w:r>
          <w:rPr>
            <w:rFonts w:ascii="Times New Roman" w:cs="Times New Roman" w:eastAsia="Times New Roman" w:hAnsi="Times New Roman"/>
            <w:sz w:val="17"/>
            <w:szCs w:val="17"/>
            <w:u w:val="single" w:color="auto"/>
            <w:color w:val="0000EE"/>
          </w:rPr>
          <w:t>herein by reference to Exhibit 4.8 of the Company’s Annual 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09">
        <w:r>
          <w:rPr>
            <w:rFonts w:ascii="Times New Roman" w:cs="Times New Roman" w:eastAsia="Times New Roman" w:hAnsi="Times New Roman"/>
            <w:sz w:val="17"/>
            <w:szCs w:val="17"/>
            <w:u w:val="single" w:color="auto"/>
            <w:color w:val="0000EE"/>
          </w:rPr>
          <w:t>10.10</w:t>
        </w:r>
      </w:hyperlink>
      <w:r>
        <w:rPr>
          <w:rFonts w:ascii="Times New Roman" w:cs="Times New Roman" w:eastAsia="Times New Roman" w:hAnsi="Times New Roman"/>
          <w:sz w:val="17"/>
          <w:szCs w:val="17"/>
          <w:u w:val="single" w:color="auto"/>
          <w:color w:val="0000EE"/>
        </w:rPr>
        <w:tab/>
      </w:r>
      <w:hyperlink r:id="rId109">
        <w:r>
          <w:rPr>
            <w:rFonts w:ascii="Times New Roman" w:cs="Times New Roman" w:eastAsia="Times New Roman" w:hAnsi="Times New Roman"/>
            <w:sz w:val="17"/>
            <w:szCs w:val="17"/>
            <w:u w:val="single" w:color="auto"/>
            <w:color w:val="0000EE"/>
          </w:rPr>
          <w:t>Amendment No. 1, dated February 2, 2024, to the Restructuring Agreement by and between Sono Group N.V. and YA II PN, Ltd. (incorporated herein by</w:t>
        </w:r>
      </w:hyperlink>
      <w:r>
        <w:rPr>
          <w:rFonts w:ascii="Times New Roman" w:cs="Times New Roman" w:eastAsia="Times New Roman" w:hAnsi="Times New Roman"/>
          <w:sz w:val="17"/>
          <w:szCs w:val="17"/>
          <w:u w:val="single" w:color="auto"/>
          <w:color w:val="0000EE"/>
        </w:rPr>
        <w:t xml:space="preserve"> </w:t>
      </w:r>
      <w:hyperlink r:id="rId109">
        <w:r>
          <w:rPr>
            <w:rFonts w:ascii="Times New Roman" w:cs="Times New Roman" w:eastAsia="Times New Roman" w:hAnsi="Times New Roman"/>
            <w:sz w:val="17"/>
            <w:szCs w:val="17"/>
            <w:u w:val="single" w:color="auto"/>
            <w:color w:val="0000EE"/>
          </w:rPr>
          <w:t>reference to Exhibit 4.9 of Sono Group N.V.’s Annual Report on Form 20-F for the year ended December 31, 2023)</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0">
        <w:r>
          <w:rPr>
            <w:rFonts w:ascii="Times New Roman" w:cs="Times New Roman" w:eastAsia="Times New Roman" w:hAnsi="Times New Roman"/>
            <w:sz w:val="17"/>
            <w:szCs w:val="17"/>
            <w:u w:val="single" w:color="auto"/>
            <w:color w:val="0000EE"/>
          </w:rPr>
          <w:t>10.11</w:t>
        </w:r>
      </w:hyperlink>
      <w:r>
        <w:rPr>
          <w:rFonts w:ascii="Times New Roman" w:cs="Times New Roman" w:eastAsia="Times New Roman" w:hAnsi="Times New Roman"/>
          <w:sz w:val="17"/>
          <w:szCs w:val="17"/>
          <w:u w:val="single" w:color="auto"/>
          <w:color w:val="0000EE"/>
        </w:rPr>
        <w:tab/>
      </w:r>
      <w:hyperlink r:id="rId110">
        <w:r>
          <w:rPr>
            <w:rFonts w:ascii="Times New Roman" w:cs="Times New Roman" w:eastAsia="Times New Roman" w:hAnsi="Times New Roman"/>
            <w:sz w:val="17"/>
            <w:szCs w:val="17"/>
            <w:u w:val="single" w:color="auto"/>
            <w:color w:val="0000EE"/>
          </w:rPr>
          <w:t>Amendment No. 2, dated February 5, 2024, to the Restructuring Agreement by and between Sono Group N.V. and YA II PN, Ltd. (incorporated herein by</w:t>
        </w:r>
      </w:hyperlink>
      <w:r>
        <w:rPr>
          <w:rFonts w:ascii="Times New Roman" w:cs="Times New Roman" w:eastAsia="Times New Roman" w:hAnsi="Times New Roman"/>
          <w:sz w:val="17"/>
          <w:szCs w:val="17"/>
          <w:u w:val="single" w:color="auto"/>
          <w:color w:val="0000EE"/>
        </w:rPr>
        <w:t xml:space="preserve"> </w:t>
      </w:r>
      <w:hyperlink r:id="rId110">
        <w:r>
          <w:rPr>
            <w:rFonts w:ascii="Times New Roman" w:cs="Times New Roman" w:eastAsia="Times New Roman" w:hAnsi="Times New Roman"/>
            <w:sz w:val="17"/>
            <w:szCs w:val="17"/>
            <w:u w:val="single" w:color="auto"/>
            <w:color w:val="0000EE"/>
          </w:rPr>
          <w:t>reference to Exhibit 4.10 of Sono Group N.V.’s Annual Report on Form 20-F for the year ended December 31, 2023)</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1">
        <w:r>
          <w:rPr>
            <w:rFonts w:ascii="Times New Roman" w:cs="Times New Roman" w:eastAsia="Times New Roman" w:hAnsi="Times New Roman"/>
            <w:sz w:val="17"/>
            <w:szCs w:val="17"/>
            <w:u w:val="single" w:color="auto"/>
            <w:color w:val="0000EE"/>
          </w:rPr>
          <w:t>10.12†</w:t>
        </w:r>
      </w:hyperlink>
      <w:r>
        <w:rPr>
          <w:rFonts w:ascii="Times New Roman" w:cs="Times New Roman" w:eastAsia="Times New Roman" w:hAnsi="Times New Roman"/>
          <w:sz w:val="17"/>
          <w:szCs w:val="17"/>
          <w:u w:val="single" w:color="auto"/>
          <w:color w:val="0000EE"/>
        </w:rPr>
        <w:tab/>
      </w:r>
      <w:hyperlink r:id="rId111">
        <w:r>
          <w:rPr>
            <w:rFonts w:ascii="Times New Roman" w:cs="Times New Roman" w:eastAsia="Times New Roman" w:hAnsi="Times New Roman"/>
            <w:sz w:val="17"/>
            <w:szCs w:val="17"/>
            <w:u w:val="single" w:color="auto"/>
            <w:color w:val="0000EE"/>
          </w:rPr>
          <w:t>Continuation Agreement between Sono Group N.V. and Sono Motors GmbH, dated November 20, 2023 (incorporated herein by reference to Exhibit 4.9</w:t>
        </w:r>
      </w:hyperlink>
      <w:r>
        <w:rPr>
          <w:rFonts w:ascii="Times New Roman" w:cs="Times New Roman" w:eastAsia="Times New Roman" w:hAnsi="Times New Roman"/>
          <w:sz w:val="17"/>
          <w:szCs w:val="17"/>
          <w:u w:val="single" w:color="auto"/>
          <w:color w:val="0000EE"/>
        </w:rPr>
        <w:t xml:space="preserve"> </w:t>
      </w:r>
      <w:hyperlink r:id="rId111">
        <w:r>
          <w:rPr>
            <w:rFonts w:ascii="Times New Roman" w:cs="Times New Roman" w:eastAsia="Times New Roman" w:hAnsi="Times New Roman"/>
            <w:sz w:val="17"/>
            <w:szCs w:val="17"/>
            <w:u w:val="single" w:color="auto"/>
            <w:color w:val="0000EE"/>
          </w:rPr>
          <w:t>of Sono Group N.V.’s Annual 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2">
        <w:r>
          <w:rPr>
            <w:rFonts w:ascii="Times New Roman" w:cs="Times New Roman" w:eastAsia="Times New Roman" w:hAnsi="Times New Roman"/>
            <w:sz w:val="17"/>
            <w:szCs w:val="17"/>
            <w:u w:val="single" w:color="auto"/>
            <w:color w:val="0000EE"/>
          </w:rPr>
          <w:t>10.13†</w:t>
        </w:r>
      </w:hyperlink>
      <w:r>
        <w:rPr>
          <w:rFonts w:ascii="Times New Roman" w:cs="Times New Roman" w:eastAsia="Times New Roman" w:hAnsi="Times New Roman"/>
          <w:sz w:val="17"/>
          <w:szCs w:val="17"/>
          <w:u w:val="single" w:color="auto"/>
          <w:color w:val="0000EE"/>
        </w:rPr>
        <w:tab/>
      </w:r>
      <w:hyperlink r:id="rId112">
        <w:r>
          <w:rPr>
            <w:rFonts w:ascii="Times New Roman" w:cs="Times New Roman" w:eastAsia="Times New Roman" w:hAnsi="Times New Roman"/>
            <w:sz w:val="17"/>
            <w:szCs w:val="17"/>
            <w:u w:val="single" w:color="auto"/>
            <w:color w:val="0000EE"/>
          </w:rPr>
          <w:t>Funding Commitment Letter issued by YA II PN, Ltd. and agreed to and acknowledged by Sono Group N.V., dated November 17, 2023 and effective as of</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November 20, 2023 (incorporated herein by reference to Exhibit 4.10 of the Company’s Annual Report on Form 20-F for the year ended December 31,</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3">
        <w:r>
          <w:rPr>
            <w:rFonts w:ascii="Times New Roman" w:cs="Times New Roman" w:eastAsia="Times New Roman" w:hAnsi="Times New Roman"/>
            <w:sz w:val="17"/>
            <w:szCs w:val="17"/>
            <w:u w:val="single" w:color="auto"/>
            <w:color w:val="0000EE"/>
          </w:rPr>
          <w:t>10.14</w:t>
        </w:r>
      </w:hyperlink>
      <w:r>
        <w:rPr>
          <w:rFonts w:ascii="Times New Roman" w:cs="Times New Roman" w:eastAsia="Times New Roman" w:hAnsi="Times New Roman"/>
          <w:sz w:val="17"/>
          <w:szCs w:val="17"/>
          <w:u w:val="single" w:color="auto"/>
          <w:color w:val="0000EE"/>
        </w:rPr>
        <w:tab/>
      </w:r>
      <w:hyperlink r:id="rId113">
        <w:r>
          <w:rPr>
            <w:rFonts w:ascii="Times New Roman" w:cs="Times New Roman" w:eastAsia="Times New Roman" w:hAnsi="Times New Roman"/>
            <w:sz w:val="17"/>
            <w:szCs w:val="17"/>
            <w:u w:val="single" w:color="auto"/>
            <w:color w:val="0000EE"/>
          </w:rPr>
          <w:t>Amendment No. 1, dated February 2, 2024, to the Funding Commitment Letter dated November 17, 2023 issued by YA II PN, Ltd. to Sono Group N.V.</w:t>
        </w:r>
      </w:hyperlink>
      <w:r>
        <w:rPr>
          <w:rFonts w:ascii="Times New Roman" w:cs="Times New Roman" w:eastAsia="Times New Roman" w:hAnsi="Times New Roman"/>
          <w:sz w:val="17"/>
          <w:szCs w:val="17"/>
          <w:u w:val="single" w:color="auto"/>
          <w:color w:val="0000EE"/>
        </w:rPr>
        <w:t xml:space="preserve"> </w:t>
      </w:r>
      <w:hyperlink r:id="rId113">
        <w:r>
          <w:rPr>
            <w:rFonts w:ascii="Times New Roman" w:cs="Times New Roman" w:eastAsia="Times New Roman" w:hAnsi="Times New Roman"/>
            <w:sz w:val="17"/>
            <w:szCs w:val="17"/>
            <w:u w:val="single" w:color="auto"/>
            <w:color w:val="0000EE"/>
          </w:rPr>
          <w:t>(incorporated herein by reference to Exhibit 4.13 of Sono Group N.V.’s Annual Report on Form 20-F for the year ended December 31, 2023)</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4">
        <w:r>
          <w:rPr>
            <w:rFonts w:ascii="Times New Roman" w:cs="Times New Roman" w:eastAsia="Times New Roman" w:hAnsi="Times New Roman"/>
            <w:sz w:val="17"/>
            <w:szCs w:val="17"/>
            <w:u w:val="single" w:color="auto"/>
            <w:color w:val="0000EE"/>
          </w:rPr>
          <w:t>10.15†</w:t>
        </w:r>
      </w:hyperlink>
      <w:r>
        <w:rPr>
          <w:rFonts w:ascii="Times New Roman" w:cs="Times New Roman" w:eastAsia="Times New Roman" w:hAnsi="Times New Roman"/>
          <w:sz w:val="17"/>
          <w:szCs w:val="17"/>
          <w:u w:val="single" w:color="auto"/>
          <w:color w:val="0000EE"/>
        </w:rPr>
        <w:tab/>
      </w:r>
      <w:hyperlink r:id="rId114">
        <w:r>
          <w:rPr>
            <w:rFonts w:ascii="Times New Roman" w:cs="Times New Roman" w:eastAsia="Times New Roman" w:hAnsi="Times New Roman"/>
            <w:sz w:val="17"/>
            <w:szCs w:val="17"/>
            <w:u w:val="single" w:color="auto"/>
            <w:color w:val="0000EE"/>
          </w:rPr>
          <w:t>Amendment No. 2, dated April 30, 2024, to the Funding Commitment Letter dated November 17, 2023 issued by YA II PN, Ltd. to Sono Group N.V.</w:t>
        </w:r>
      </w:hyperlink>
      <w:r>
        <w:rPr>
          <w:rFonts w:ascii="Times New Roman" w:cs="Times New Roman" w:eastAsia="Times New Roman" w:hAnsi="Times New Roman"/>
          <w:sz w:val="17"/>
          <w:szCs w:val="17"/>
          <w:u w:val="single" w:color="auto"/>
          <w:color w:val="0000EE"/>
        </w:rPr>
        <w:t xml:space="preserve"> </w:t>
      </w:r>
      <w:hyperlink r:id="rId114">
        <w:r>
          <w:rPr>
            <w:rFonts w:ascii="Times New Roman" w:cs="Times New Roman" w:eastAsia="Times New Roman" w:hAnsi="Times New Roman"/>
            <w:sz w:val="17"/>
            <w:szCs w:val="17"/>
            <w:u w:val="single" w:color="auto"/>
            <w:color w:val="0000EE"/>
          </w:rPr>
          <w:t>(incorporated herein by reference to Exhibit 4.14 of Sono Group N.V.’s Annual Report on Form 20-F for the year ended December 31, 2023)</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5">
        <w:r>
          <w:rPr>
            <w:rFonts w:ascii="Times New Roman" w:cs="Times New Roman" w:eastAsia="Times New Roman" w:hAnsi="Times New Roman"/>
            <w:sz w:val="17"/>
            <w:szCs w:val="17"/>
            <w:u w:val="single" w:color="auto"/>
            <w:color w:val="0000EE"/>
          </w:rPr>
          <w:t>10.16</w:t>
        </w:r>
      </w:hyperlink>
      <w:r>
        <w:rPr>
          <w:rFonts w:ascii="Times New Roman" w:cs="Times New Roman" w:eastAsia="Times New Roman" w:hAnsi="Times New Roman"/>
          <w:sz w:val="17"/>
          <w:szCs w:val="17"/>
          <w:u w:val="single" w:color="auto"/>
          <w:color w:val="0000EE"/>
        </w:rPr>
        <w:tab/>
      </w:r>
      <w:hyperlink r:id="rId115">
        <w:r>
          <w:rPr>
            <w:rFonts w:ascii="Times New Roman" w:cs="Times New Roman" w:eastAsia="Times New Roman" w:hAnsi="Times New Roman"/>
            <w:sz w:val="17"/>
            <w:szCs w:val="17"/>
            <w:u w:val="single" w:color="auto"/>
            <w:color w:val="0000EE"/>
          </w:rPr>
          <w:t>Shareholders Commitment Letter issued by Laurin Hahn and Jona Christians and agreed to and acknowledged by Sono Group N.V. and Sono Motors</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GmbH, dated November 17, 2023 and effective as of November 20, 2023 (incorporated herein by reference to Exhibit 4.11 of Sono Group N.V.’s Annual</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6">
        <w:r>
          <w:rPr>
            <w:rFonts w:ascii="Times New Roman" w:cs="Times New Roman" w:eastAsia="Times New Roman" w:hAnsi="Times New Roman"/>
            <w:sz w:val="17"/>
            <w:szCs w:val="17"/>
            <w:u w:val="single" w:color="auto"/>
            <w:color w:val="0000EE"/>
          </w:rPr>
          <w:t>10.17</w:t>
        </w:r>
      </w:hyperlink>
      <w:r>
        <w:rPr>
          <w:rFonts w:ascii="Times New Roman" w:cs="Times New Roman" w:eastAsia="Times New Roman" w:hAnsi="Times New Roman"/>
          <w:sz w:val="17"/>
          <w:szCs w:val="17"/>
          <w:u w:val="single" w:color="auto"/>
          <w:color w:val="0000EE"/>
        </w:rPr>
        <w:tab/>
      </w:r>
      <w:hyperlink r:id="rId116">
        <w:r>
          <w:rPr>
            <w:rFonts w:ascii="Times New Roman" w:cs="Times New Roman" w:eastAsia="Times New Roman" w:hAnsi="Times New Roman"/>
            <w:sz w:val="17"/>
            <w:szCs w:val="17"/>
            <w:u w:val="single" w:color="auto"/>
            <w:color w:val="0000EE"/>
          </w:rPr>
          <w:t>Settlement Agreement between Sono Group N.V. and Sono Motors GmbH (incorporated herein by reference to Exhibit 4.12 of Sono Group N.V.’s Annual</w:t>
        </w:r>
      </w:hyperlink>
      <w:r>
        <w:rPr>
          <w:rFonts w:ascii="Times New Roman" w:cs="Times New Roman" w:eastAsia="Times New Roman" w:hAnsi="Times New Roman"/>
          <w:sz w:val="17"/>
          <w:szCs w:val="17"/>
          <w:u w:val="single" w:color="auto"/>
          <w:color w:val="0000EE"/>
        </w:rPr>
        <w:t xml:space="preserve"> </w:t>
      </w:r>
      <w:hyperlink r:id="rId116">
        <w:r>
          <w:rPr>
            <w:rFonts w:ascii="Times New Roman" w:cs="Times New Roman" w:eastAsia="Times New Roman" w:hAnsi="Times New Roman"/>
            <w:sz w:val="17"/>
            <w:szCs w:val="17"/>
            <w:u w:val="single" w:color="auto"/>
            <w:color w:val="0000EE"/>
          </w:rPr>
          <w:t>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7">
        <w:r>
          <w:rPr>
            <w:rFonts w:ascii="Times New Roman" w:cs="Times New Roman" w:eastAsia="Times New Roman" w:hAnsi="Times New Roman"/>
            <w:sz w:val="17"/>
            <w:szCs w:val="17"/>
            <w:u w:val="single" w:color="auto"/>
            <w:color w:val="0000EE"/>
          </w:rPr>
          <w:t>10.18</w:t>
        </w:r>
      </w:hyperlink>
      <w:r>
        <w:rPr>
          <w:rFonts w:ascii="Times New Roman" w:cs="Times New Roman" w:eastAsia="Times New Roman" w:hAnsi="Times New Roman"/>
          <w:sz w:val="17"/>
          <w:szCs w:val="17"/>
          <w:u w:val="single" w:color="auto"/>
          <w:color w:val="0000EE"/>
        </w:rPr>
        <w:tab/>
      </w:r>
      <w:hyperlink r:id="rId117">
        <w:r>
          <w:rPr>
            <w:rFonts w:ascii="Times New Roman" w:cs="Times New Roman" w:eastAsia="Times New Roman" w:hAnsi="Times New Roman"/>
            <w:sz w:val="17"/>
            <w:szCs w:val="17"/>
            <w:u w:val="single" w:color="auto"/>
            <w:color w:val="0000EE"/>
          </w:rPr>
          <w:t>Back-to-Back Letter of Comfort between Sono Group N.V. and Sono Motors GmbH (incorporated herein by reference to Exhibit 4.13 of Sono Group</w:t>
        </w:r>
      </w:hyperlink>
      <w:r>
        <w:rPr>
          <w:rFonts w:ascii="Times New Roman" w:cs="Times New Roman" w:eastAsia="Times New Roman" w:hAnsi="Times New Roman"/>
          <w:sz w:val="17"/>
          <w:szCs w:val="17"/>
          <w:u w:val="single" w:color="auto"/>
          <w:color w:val="0000EE"/>
        </w:rPr>
        <w:t xml:space="preserve"> </w:t>
      </w:r>
      <w:hyperlink r:id="rId117">
        <w:r>
          <w:rPr>
            <w:rFonts w:ascii="Times New Roman" w:cs="Times New Roman" w:eastAsia="Times New Roman" w:hAnsi="Times New Roman"/>
            <w:sz w:val="17"/>
            <w:szCs w:val="17"/>
            <w:u w:val="single" w:color="auto"/>
            <w:color w:val="0000EE"/>
          </w:rPr>
          <w:t>N.V.’s Annual 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8">
        <w:r>
          <w:rPr>
            <w:rFonts w:ascii="Times New Roman" w:cs="Times New Roman" w:eastAsia="Times New Roman" w:hAnsi="Times New Roman"/>
            <w:sz w:val="17"/>
            <w:szCs w:val="17"/>
            <w:u w:val="single" w:color="auto"/>
            <w:color w:val="0000EE"/>
          </w:rPr>
          <w:t>10.19†</w:t>
        </w:r>
      </w:hyperlink>
      <w:r>
        <w:rPr>
          <w:rFonts w:ascii="Times New Roman" w:cs="Times New Roman" w:eastAsia="Times New Roman" w:hAnsi="Times New Roman"/>
          <w:sz w:val="17"/>
          <w:szCs w:val="17"/>
          <w:u w:val="single" w:color="auto"/>
          <w:color w:val="0000EE"/>
        </w:rPr>
        <w:tab/>
      </w:r>
      <w:hyperlink r:id="rId118">
        <w:r>
          <w:rPr>
            <w:rFonts w:ascii="Times New Roman" w:cs="Times New Roman" w:eastAsia="Times New Roman" w:hAnsi="Times New Roman"/>
            <w:sz w:val="17"/>
            <w:szCs w:val="17"/>
            <w:u w:val="single" w:color="auto"/>
            <w:color w:val="0000EE"/>
          </w:rPr>
          <w:t>Amendment No. 1, dated May 8, 2024, to the Back-to-Back Letter of Comfort between Sono Group N.V. and Sono Motors GmbH (incorporated herein by</w:t>
        </w:r>
      </w:hyperlink>
      <w:r>
        <w:rPr>
          <w:rFonts w:ascii="Times New Roman" w:cs="Times New Roman" w:eastAsia="Times New Roman" w:hAnsi="Times New Roman"/>
          <w:sz w:val="17"/>
          <w:szCs w:val="17"/>
          <w:u w:val="single" w:color="auto"/>
          <w:color w:val="0000EE"/>
        </w:rPr>
        <w:t xml:space="preserve"> </w:t>
      </w:r>
      <w:hyperlink r:id="rId118">
        <w:r>
          <w:rPr>
            <w:rFonts w:ascii="Times New Roman" w:cs="Times New Roman" w:eastAsia="Times New Roman" w:hAnsi="Times New Roman"/>
            <w:sz w:val="17"/>
            <w:szCs w:val="17"/>
            <w:u w:val="single" w:color="auto"/>
            <w:color w:val="0000EE"/>
          </w:rPr>
          <w:t>reference to Exhibit 4.18 of Sono Group N.V.’s Annual Report on Form 20-F for the year ended December 31, 2023)</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9">
        <w:r>
          <w:rPr>
            <w:rFonts w:ascii="Times New Roman" w:cs="Times New Roman" w:eastAsia="Times New Roman" w:hAnsi="Times New Roman"/>
            <w:sz w:val="17"/>
            <w:szCs w:val="17"/>
            <w:u w:val="single" w:color="auto"/>
            <w:color w:val="0000EE"/>
          </w:rPr>
          <w:t>10.20</w:t>
        </w:r>
      </w:hyperlink>
      <w:r>
        <w:rPr>
          <w:rFonts w:ascii="Times New Roman" w:cs="Times New Roman" w:eastAsia="Times New Roman" w:hAnsi="Times New Roman"/>
          <w:sz w:val="17"/>
          <w:szCs w:val="17"/>
          <w:u w:val="single" w:color="auto"/>
          <w:color w:val="0000EE"/>
        </w:rPr>
        <w:tab/>
      </w:r>
      <w:hyperlink r:id="rId119">
        <w:r>
          <w:rPr>
            <w:rFonts w:ascii="Times New Roman" w:cs="Times New Roman" w:eastAsia="Times New Roman" w:hAnsi="Times New Roman"/>
            <w:sz w:val="17"/>
            <w:szCs w:val="17"/>
            <w:u w:val="single" w:color="auto"/>
            <w:color w:val="0000EE"/>
          </w:rPr>
          <w:t>Prolongation Agreement between YA II PN, Ltd. and Sono Group N.V., dated November 17, 2023 and effective as of November 20, 2023 (incorporated</w:t>
        </w:r>
      </w:hyperlink>
      <w:r>
        <w:rPr>
          <w:rFonts w:ascii="Times New Roman" w:cs="Times New Roman" w:eastAsia="Times New Roman" w:hAnsi="Times New Roman"/>
          <w:sz w:val="17"/>
          <w:szCs w:val="17"/>
          <w:u w:val="single" w:color="auto"/>
          <w:color w:val="0000EE"/>
        </w:rPr>
        <w:t xml:space="preserve"> </w:t>
      </w:r>
      <w:hyperlink r:id="rId119">
        <w:r>
          <w:rPr>
            <w:rFonts w:ascii="Times New Roman" w:cs="Times New Roman" w:eastAsia="Times New Roman" w:hAnsi="Times New Roman"/>
            <w:sz w:val="17"/>
            <w:szCs w:val="17"/>
            <w:u w:val="single" w:color="auto"/>
            <w:color w:val="0000EE"/>
          </w:rPr>
          <w:t>herein by reference to Exhibit 4.14 of Sono Group N.V.’s Annual 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jc w:val="both"/>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12">
        <w:r>
          <w:rPr>
            <w:rFonts w:ascii="Times New Roman" w:cs="Times New Roman" w:eastAsia="Times New Roman" w:hAnsi="Times New Roman"/>
            <w:sz w:val="17"/>
            <w:szCs w:val="17"/>
            <w:u w:val="single" w:color="auto"/>
            <w:color w:val="0000EE"/>
          </w:rPr>
          <w:t>10.21</w:t>
        </w:r>
      </w:hyperlink>
      <w:r>
        <w:rPr>
          <w:rFonts w:ascii="Times New Roman" w:cs="Times New Roman" w:eastAsia="Times New Roman" w:hAnsi="Times New Roman"/>
          <w:sz w:val="17"/>
          <w:szCs w:val="17"/>
          <w:u w:val="single" w:color="auto"/>
          <w:color w:val="0000EE"/>
        </w:rPr>
        <w:tab/>
      </w:r>
      <w:hyperlink r:id="rId112">
        <w:r>
          <w:rPr>
            <w:rFonts w:ascii="Times New Roman" w:cs="Times New Roman" w:eastAsia="Times New Roman" w:hAnsi="Times New Roman"/>
            <w:sz w:val="17"/>
            <w:szCs w:val="17"/>
            <w:u w:val="single" w:color="auto"/>
            <w:color w:val="0000EE"/>
          </w:rPr>
          <w:t>Form of Convertible Debenture issued to YA II PN, Ltd.(incorporated herein by reference to Schedule 3 to Exhibit 4.10 of Sono Group N.V.’s Annual</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Report on Form 20-F for the year ended December 31, 2022)</w:t>
        </w:r>
      </w:hyperlink>
    </w:p>
    <w:p>
      <w:pPr>
        <w:spacing w:after="0" w:line="1" w:lineRule="exact"/>
        <w:rPr>
          <w:rFonts w:ascii="Times New Roman" w:cs="Times New Roman" w:eastAsia="Times New Roman" w:hAnsi="Times New Roman"/>
          <w:sz w:val="17"/>
          <w:szCs w:val="17"/>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hyperlink r:id="rId120">
        <w:r>
          <w:rPr>
            <w:rFonts w:ascii="Times New Roman" w:cs="Times New Roman" w:eastAsia="Times New Roman" w:hAnsi="Times New Roman"/>
            <w:sz w:val="17"/>
            <w:szCs w:val="17"/>
            <w:u w:val="single" w:color="auto"/>
            <w:color w:val="0000EE"/>
          </w:rPr>
          <w:t>10.22</w:t>
        </w:r>
      </w:hyperlink>
      <w:r>
        <w:rPr>
          <w:rFonts w:ascii="Times New Roman" w:cs="Times New Roman" w:eastAsia="Times New Roman" w:hAnsi="Times New Roman"/>
          <w:sz w:val="17"/>
          <w:szCs w:val="17"/>
          <w:u w:val="single" w:color="auto"/>
          <w:color w:val="0000EE"/>
        </w:rPr>
        <w:tab/>
      </w:r>
      <w:hyperlink r:id="rId120">
        <w:r>
          <w:rPr>
            <w:rFonts w:ascii="Times New Roman" w:cs="Times New Roman" w:eastAsia="Times New Roman" w:hAnsi="Times New Roman"/>
            <w:sz w:val="17"/>
            <w:szCs w:val="17"/>
            <w:u w:val="single" w:color="auto"/>
            <w:color w:val="0000EE"/>
          </w:rPr>
          <w:t>Sale and Transfer Agreement, dated February 1, 2024, by and among Laurin Hahn, Bambino 255. V V UG, SVSE LLC and Sono Group N.V.(1)</w:t>
        </w:r>
      </w:hyperlink>
    </w:p>
    <w:p>
      <w:pPr>
        <w:spacing w:after="0" w:line="7" w:lineRule="exact"/>
        <w:rPr>
          <w:sz w:val="20"/>
          <w:szCs w:val="20"/>
          <w:color w:val="auto"/>
        </w:rPr>
      </w:pPr>
    </w:p>
    <w:p>
      <w:pPr>
        <w:ind w:left="800"/>
        <w:spacing w:after="0"/>
        <w:rPr>
          <w:rFonts w:ascii="Times New Roman" w:cs="Times New Roman" w:eastAsia="Times New Roman" w:hAnsi="Times New Roman"/>
          <w:sz w:val="17"/>
          <w:szCs w:val="17"/>
          <w:u w:val="single" w:color="auto"/>
          <w:color w:val="0000EE"/>
        </w:rPr>
      </w:pPr>
      <w:hyperlink r:id="rId120">
        <w:r>
          <w:rPr>
            <w:rFonts w:ascii="Times New Roman" w:cs="Times New Roman" w:eastAsia="Times New Roman" w:hAnsi="Times New Roman"/>
            <w:sz w:val="17"/>
            <w:szCs w:val="17"/>
            <w:u w:val="single" w:color="auto"/>
            <w:color w:val="0000EE"/>
          </w:rPr>
          <w:t>(incorporated herein by reference to Exhibit 99.1 to Amendment No. 1 to Schedule 13D filed by Laurin Hahn with the SEC on March 25, 2024)</w:t>
        </w:r>
      </w:hyperlink>
    </w:p>
    <w:p>
      <w:pPr>
        <w:spacing w:after="0" w:line="7"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hyperlink r:id="rId121">
        <w:r>
          <w:rPr>
            <w:rFonts w:ascii="Times New Roman" w:cs="Times New Roman" w:eastAsia="Times New Roman" w:hAnsi="Times New Roman"/>
            <w:sz w:val="17"/>
            <w:szCs w:val="17"/>
            <w:u w:val="single" w:color="auto"/>
            <w:color w:val="0000EE"/>
          </w:rPr>
          <w:t>10.23</w:t>
        </w:r>
      </w:hyperlink>
      <w:r>
        <w:rPr>
          <w:rFonts w:ascii="Times New Roman" w:cs="Times New Roman" w:eastAsia="Times New Roman" w:hAnsi="Times New Roman"/>
          <w:sz w:val="17"/>
          <w:szCs w:val="17"/>
          <w:u w:val="single" w:color="auto"/>
          <w:color w:val="0000EE"/>
        </w:rPr>
        <w:tab/>
      </w:r>
      <w:hyperlink r:id="rId121">
        <w:r>
          <w:rPr>
            <w:rFonts w:ascii="Times New Roman" w:cs="Times New Roman" w:eastAsia="Times New Roman" w:hAnsi="Times New Roman"/>
            <w:sz w:val="17"/>
            <w:szCs w:val="17"/>
            <w:u w:val="single" w:color="auto"/>
            <w:color w:val="0000EE"/>
          </w:rPr>
          <w:t>Sale and Transfer Agreement, dated February 1, 2024, by and among Jona Christians, Bambino 255. V V UG, SVSE LLC and Sono Group N.V.(1)</w:t>
        </w:r>
      </w:hyperlink>
    </w:p>
    <w:p>
      <w:pPr>
        <w:spacing w:after="0" w:line="7" w:lineRule="exact"/>
        <w:rPr>
          <w:sz w:val="20"/>
          <w:szCs w:val="20"/>
          <w:color w:val="auto"/>
        </w:rPr>
      </w:pPr>
    </w:p>
    <w:p>
      <w:pPr>
        <w:ind w:left="800"/>
        <w:spacing w:after="0"/>
        <w:rPr>
          <w:rFonts w:ascii="Times New Roman" w:cs="Times New Roman" w:eastAsia="Times New Roman" w:hAnsi="Times New Roman"/>
          <w:sz w:val="17"/>
          <w:szCs w:val="17"/>
          <w:u w:val="single" w:color="auto"/>
          <w:color w:val="0000EE"/>
        </w:rPr>
      </w:pPr>
      <w:hyperlink r:id="rId121">
        <w:r>
          <w:rPr>
            <w:rFonts w:ascii="Times New Roman" w:cs="Times New Roman" w:eastAsia="Times New Roman" w:hAnsi="Times New Roman"/>
            <w:sz w:val="17"/>
            <w:szCs w:val="17"/>
            <w:u w:val="single" w:color="auto"/>
            <w:color w:val="0000EE"/>
          </w:rPr>
          <w:t>(incorporated herein by reference to Exhibit 99.1 to Amendment No. 1 to Schedule 13D filed by Jona Christians with the SEC on March 25, 2024)</w:t>
        </w:r>
      </w:hyperlink>
    </w:p>
    <w:p>
      <w:pPr>
        <w:spacing w:after="0" w:line="7" w:lineRule="exact"/>
        <w:rPr>
          <w:sz w:val="20"/>
          <w:szCs w:val="20"/>
          <w:color w:val="auto"/>
        </w:rPr>
      </w:pPr>
    </w:p>
    <w:p>
      <w:pPr>
        <w:jc w:val="both"/>
        <w:ind w:left="800" w:hanging="796"/>
        <w:spacing w:after="0" w:line="256" w:lineRule="auto"/>
        <w:tabs>
          <w:tab w:leader="none" w:pos="780" w:val="left"/>
        </w:tabs>
        <w:rPr>
          <w:rFonts w:ascii="Times New Roman" w:cs="Times New Roman" w:eastAsia="Times New Roman" w:hAnsi="Times New Roman"/>
          <w:sz w:val="17"/>
          <w:szCs w:val="17"/>
          <w:u w:val="single" w:color="auto"/>
          <w:color w:val="0000EE"/>
        </w:rPr>
      </w:pPr>
      <w:hyperlink r:id="rId122">
        <w:r>
          <w:rPr>
            <w:rFonts w:ascii="Times New Roman" w:cs="Times New Roman" w:eastAsia="Times New Roman" w:hAnsi="Times New Roman"/>
            <w:sz w:val="17"/>
            <w:szCs w:val="17"/>
            <w:u w:val="single" w:color="auto"/>
            <w:color w:val="0000EE"/>
          </w:rPr>
          <w:t>10.24</w:t>
        </w:r>
      </w:hyperlink>
      <w:r>
        <w:rPr>
          <w:rFonts w:ascii="Times New Roman" w:cs="Times New Roman" w:eastAsia="Times New Roman" w:hAnsi="Times New Roman"/>
          <w:sz w:val="17"/>
          <w:szCs w:val="17"/>
          <w:u w:val="single" w:color="auto"/>
          <w:color w:val="0000EE"/>
        </w:rPr>
        <w:tab/>
      </w:r>
      <w:hyperlink r:id="rId122">
        <w:r>
          <w:rPr>
            <w:rFonts w:ascii="Times New Roman" w:cs="Times New Roman" w:eastAsia="Times New Roman" w:hAnsi="Times New Roman"/>
            <w:sz w:val="17"/>
            <w:szCs w:val="17"/>
            <w:u w:val="single" w:color="auto"/>
            <w:color w:val="0000EE"/>
          </w:rPr>
          <w:t>Guaranty Agreement, dated June 20, 2024, between SVSE LLC and Sono Motors GmbH, with and for the benefit of YA II PN, Ltd. (incorporated herein</w:t>
        </w:r>
      </w:hyperlink>
      <w:r>
        <w:rPr>
          <w:rFonts w:ascii="Times New Roman" w:cs="Times New Roman" w:eastAsia="Times New Roman" w:hAnsi="Times New Roman"/>
          <w:sz w:val="17"/>
          <w:szCs w:val="17"/>
          <w:u w:val="single" w:color="auto"/>
          <w:color w:val="0000EE"/>
        </w:rPr>
        <w:t xml:space="preserve"> </w:t>
      </w:r>
      <w:hyperlink r:id="rId122">
        <w:r>
          <w:rPr>
            <w:rFonts w:ascii="Times New Roman" w:cs="Times New Roman" w:eastAsia="Times New Roman" w:hAnsi="Times New Roman"/>
            <w:sz w:val="17"/>
            <w:szCs w:val="17"/>
            <w:u w:val="single" w:color="auto"/>
            <w:color w:val="0000EE"/>
          </w:rPr>
          <w:t>by reference to Exhibit 4.23 of Sono Group N.V.’s Annual Report on Form 20-F for the year ended December 31, 2023)</w:t>
        </w:r>
      </w:hyperlink>
    </w:p>
    <w:p>
      <w:pPr>
        <w:spacing w:after="0" w:line="174"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ind w:left="800" w:hanging="796"/>
        <w:spacing w:after="0" w:line="258" w:lineRule="auto"/>
        <w:tabs>
          <w:tab w:leader="none" w:pos="780" w:val="left"/>
        </w:tabs>
        <w:rPr>
          <w:rFonts w:ascii="Times New Roman" w:cs="Times New Roman" w:eastAsia="Times New Roman" w:hAnsi="Times New Roman"/>
          <w:sz w:val="17"/>
          <w:szCs w:val="17"/>
          <w:u w:val="single" w:color="auto"/>
          <w:color w:val="0000EE"/>
        </w:rPr>
      </w:pPr>
      <w:hyperlink r:id="rId124">
        <w:r>
          <w:rPr>
            <w:rFonts w:ascii="Times New Roman" w:cs="Times New Roman" w:eastAsia="Times New Roman" w:hAnsi="Times New Roman"/>
            <w:sz w:val="17"/>
            <w:szCs w:val="17"/>
            <w:u w:val="single" w:color="auto"/>
            <w:color w:val="0000EE"/>
          </w:rPr>
          <w:t>10.25</w:t>
        </w:r>
      </w:hyperlink>
      <w:r>
        <w:rPr>
          <w:rFonts w:ascii="Times New Roman" w:cs="Times New Roman" w:eastAsia="Times New Roman" w:hAnsi="Times New Roman"/>
          <w:sz w:val="17"/>
          <w:szCs w:val="17"/>
          <w:u w:val="single" w:color="auto"/>
          <w:color w:val="0000EE"/>
        </w:rPr>
        <w:tab/>
      </w:r>
      <w:hyperlink r:id="rId124">
        <w:r>
          <w:rPr>
            <w:rFonts w:ascii="Times New Roman" w:cs="Times New Roman" w:eastAsia="Times New Roman" w:hAnsi="Times New Roman"/>
            <w:sz w:val="17"/>
            <w:szCs w:val="17"/>
            <w:u w:val="single" w:color="auto"/>
            <w:color w:val="0000EE"/>
          </w:rPr>
          <w:t>Securities Purchase Agreement, dated December 30, 2024, by and between Sono Group N.V. and YA II PN, Ltd. (incorporated herein by reference to</w:t>
        </w:r>
      </w:hyperlink>
      <w:r>
        <w:rPr>
          <w:rFonts w:ascii="Times New Roman" w:cs="Times New Roman" w:eastAsia="Times New Roman" w:hAnsi="Times New Roman"/>
          <w:sz w:val="17"/>
          <w:szCs w:val="17"/>
          <w:u w:val="single" w:color="auto"/>
          <w:color w:val="0000EE"/>
        </w:rPr>
        <w:t xml:space="preserve"> </w:t>
      </w:r>
      <w:hyperlink r:id="rId124">
        <w:r>
          <w:rPr>
            <w:rFonts w:ascii="Times New Roman" w:cs="Times New Roman" w:eastAsia="Times New Roman" w:hAnsi="Times New Roman"/>
            <w:sz w:val="17"/>
            <w:szCs w:val="17"/>
            <w:u w:val="single" w:color="auto"/>
            <w:color w:val="0000EE"/>
          </w:rPr>
          <w:t>Exhibit 10.1 of Sono Group N.V.’s Report of Foreign Private Issuer on Form 6-K filed with the SEC on December 30, 2024)</w:t>
        </w:r>
      </w:hyperlink>
    </w:p>
    <w:p>
      <w:pPr>
        <w:spacing w:after="0"/>
        <w:tabs>
          <w:tab w:leader="none" w:pos="780" w:val="left"/>
        </w:tabs>
        <w:rPr>
          <w:rFonts w:ascii="Times New Roman" w:cs="Times New Roman" w:eastAsia="Times New Roman" w:hAnsi="Times New Roman"/>
          <w:sz w:val="17"/>
          <w:szCs w:val="17"/>
          <w:u w:val="single" w:color="auto"/>
          <w:color w:val="0000EE"/>
        </w:rPr>
      </w:pPr>
      <w:hyperlink r:id="rId124">
        <w:r>
          <w:rPr>
            <w:rFonts w:ascii="Times New Roman" w:cs="Times New Roman" w:eastAsia="Times New Roman" w:hAnsi="Times New Roman"/>
            <w:sz w:val="17"/>
            <w:szCs w:val="17"/>
            <w:u w:val="single" w:color="auto"/>
            <w:color w:val="0000EE"/>
          </w:rPr>
          <w:t>10.26</w:t>
        </w:r>
      </w:hyperlink>
      <w:r>
        <w:rPr>
          <w:rFonts w:ascii="Times New Roman" w:cs="Times New Roman" w:eastAsia="Times New Roman" w:hAnsi="Times New Roman"/>
          <w:sz w:val="17"/>
          <w:szCs w:val="17"/>
          <w:u w:val="single" w:color="auto"/>
          <w:color w:val="0000EE"/>
        </w:rPr>
        <w:tab/>
      </w:r>
      <w:hyperlink r:id="rId124">
        <w:r>
          <w:rPr>
            <w:rFonts w:ascii="Times New Roman" w:cs="Times New Roman" w:eastAsia="Times New Roman" w:hAnsi="Times New Roman"/>
            <w:sz w:val="17"/>
            <w:szCs w:val="17"/>
            <w:u w:val="single" w:color="auto"/>
            <w:color w:val="0000EE"/>
          </w:rPr>
          <w:t>Form of Secured Convertible Debenture (incorporated herein by reference to Exhibit 4.1 of Sono Group N.V.’s Report of Foreign Private Issuer on Form</w:t>
        </w:r>
      </w:hyperlink>
    </w:p>
    <w:p>
      <w:pPr>
        <w:spacing w:after="0" w:line="7" w:lineRule="exact"/>
        <w:rPr>
          <w:sz w:val="20"/>
          <w:szCs w:val="20"/>
          <w:color w:val="auto"/>
        </w:rPr>
      </w:pPr>
    </w:p>
    <w:p>
      <w:pPr>
        <w:ind w:left="800"/>
        <w:spacing w:after="0"/>
        <w:rPr>
          <w:rFonts w:ascii="Times New Roman" w:cs="Times New Roman" w:eastAsia="Times New Roman" w:hAnsi="Times New Roman"/>
          <w:sz w:val="17"/>
          <w:szCs w:val="17"/>
          <w:u w:val="single" w:color="auto"/>
          <w:color w:val="0000EE"/>
        </w:rPr>
      </w:pPr>
      <w:hyperlink r:id="rId124">
        <w:r>
          <w:rPr>
            <w:rFonts w:ascii="Times New Roman" w:cs="Times New Roman" w:eastAsia="Times New Roman" w:hAnsi="Times New Roman"/>
            <w:sz w:val="17"/>
            <w:szCs w:val="17"/>
            <w:u w:val="single" w:color="auto"/>
            <w:color w:val="0000EE"/>
          </w:rPr>
          <w:t>6-K filed with the SEC on December 30, 2024)</w:t>
        </w:r>
      </w:hyperlink>
    </w:p>
    <w:p>
      <w:pPr>
        <w:spacing w:after="0" w:line="7" w:lineRule="exact"/>
        <w:rPr>
          <w:sz w:val="20"/>
          <w:szCs w:val="20"/>
          <w:color w:val="auto"/>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25">
        <w:r>
          <w:rPr>
            <w:rFonts w:ascii="Times New Roman" w:cs="Times New Roman" w:eastAsia="Times New Roman" w:hAnsi="Times New Roman"/>
            <w:sz w:val="17"/>
            <w:szCs w:val="17"/>
            <w:u w:val="single" w:color="auto"/>
            <w:color w:val="0000EE"/>
          </w:rPr>
          <w:t>10.27</w:t>
        </w:r>
      </w:hyperlink>
      <w:r>
        <w:rPr>
          <w:rFonts w:ascii="Times New Roman" w:cs="Times New Roman" w:eastAsia="Times New Roman" w:hAnsi="Times New Roman"/>
          <w:sz w:val="17"/>
          <w:szCs w:val="17"/>
          <w:u w:val="single" w:color="auto"/>
          <w:color w:val="0000EE"/>
        </w:rPr>
        <w:tab/>
      </w:r>
      <w:hyperlink r:id="rId125">
        <w:r>
          <w:rPr>
            <w:rFonts w:ascii="Times New Roman" w:cs="Times New Roman" w:eastAsia="Times New Roman" w:hAnsi="Times New Roman"/>
            <w:sz w:val="17"/>
            <w:szCs w:val="17"/>
            <w:u w:val="single" w:color="auto"/>
            <w:color w:val="0000EE"/>
          </w:rPr>
          <w:t>Exchange Agreement, dated December 30, 2024, by and between Sono Group N.V. and YA II PN, Ltd. (incorporated herein by reference to Exhibit 10.2</w:t>
        </w:r>
      </w:hyperlink>
      <w:r>
        <w:rPr>
          <w:rFonts w:ascii="Times New Roman" w:cs="Times New Roman" w:eastAsia="Times New Roman" w:hAnsi="Times New Roman"/>
          <w:sz w:val="17"/>
          <w:szCs w:val="17"/>
          <w:u w:val="single" w:color="auto"/>
          <w:color w:val="0000EE"/>
        </w:rPr>
        <w:t xml:space="preserve"> </w:t>
      </w:r>
      <w:hyperlink r:id="rId125">
        <w:r>
          <w:rPr>
            <w:rFonts w:ascii="Times New Roman" w:cs="Times New Roman" w:eastAsia="Times New Roman" w:hAnsi="Times New Roman"/>
            <w:sz w:val="17"/>
            <w:szCs w:val="17"/>
            <w:u w:val="single" w:color="auto"/>
            <w:color w:val="0000EE"/>
          </w:rPr>
          <w:t>of Sono Group N.V.’s Report of Foreign Private Issuer on Form 6-K filed with the SEC on December 30, 2024)</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26">
        <w:r>
          <w:rPr>
            <w:rFonts w:ascii="Times New Roman" w:cs="Times New Roman" w:eastAsia="Times New Roman" w:hAnsi="Times New Roman"/>
            <w:sz w:val="17"/>
            <w:szCs w:val="17"/>
            <w:u w:val="single" w:color="auto"/>
            <w:color w:val="0000EE"/>
          </w:rPr>
          <w:t>10.28</w:t>
        </w:r>
      </w:hyperlink>
      <w:r>
        <w:rPr>
          <w:rFonts w:ascii="Times New Roman" w:cs="Times New Roman" w:eastAsia="Times New Roman" w:hAnsi="Times New Roman"/>
          <w:sz w:val="17"/>
          <w:szCs w:val="17"/>
          <w:u w:val="single" w:color="auto"/>
          <w:color w:val="0000EE"/>
        </w:rPr>
        <w:tab/>
      </w:r>
      <w:hyperlink r:id="rId126">
        <w:r>
          <w:rPr>
            <w:rFonts w:ascii="Times New Roman" w:cs="Times New Roman" w:eastAsia="Times New Roman" w:hAnsi="Times New Roman"/>
            <w:sz w:val="17"/>
            <w:szCs w:val="17"/>
            <w:u w:val="single" w:color="auto"/>
            <w:color w:val="0000EE"/>
          </w:rPr>
          <w:t>Form of Call Option Agreement, by and between SVSE LLC and YA II PN, Ltd. (incorporated herein by reference to Exhibit 4.2 of Sono Group N.V.’s</w:t>
        </w:r>
      </w:hyperlink>
      <w:r>
        <w:rPr>
          <w:rFonts w:ascii="Times New Roman" w:cs="Times New Roman" w:eastAsia="Times New Roman" w:hAnsi="Times New Roman"/>
          <w:sz w:val="17"/>
          <w:szCs w:val="17"/>
          <w:u w:val="single" w:color="auto"/>
          <w:color w:val="0000EE"/>
        </w:rPr>
        <w:t xml:space="preserve"> </w:t>
      </w:r>
      <w:hyperlink r:id="rId126">
        <w:r>
          <w:rPr>
            <w:rFonts w:ascii="Times New Roman" w:cs="Times New Roman" w:eastAsia="Times New Roman" w:hAnsi="Times New Roman"/>
            <w:sz w:val="17"/>
            <w:szCs w:val="17"/>
            <w:u w:val="single" w:color="auto"/>
            <w:color w:val="0000EE"/>
          </w:rPr>
          <w:t>Report of Foreign Private Issuer on Form 6-K filed with the SEC on December 30, 2024)</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27">
        <w:r>
          <w:rPr>
            <w:rFonts w:ascii="Times New Roman" w:cs="Times New Roman" w:eastAsia="Times New Roman" w:hAnsi="Times New Roman"/>
            <w:sz w:val="17"/>
            <w:szCs w:val="17"/>
            <w:u w:val="single" w:color="auto"/>
            <w:color w:val="0000EE"/>
          </w:rPr>
          <w:t>10.29</w:t>
        </w:r>
      </w:hyperlink>
      <w:r>
        <w:rPr>
          <w:rFonts w:ascii="Times New Roman" w:cs="Times New Roman" w:eastAsia="Times New Roman" w:hAnsi="Times New Roman"/>
          <w:sz w:val="17"/>
          <w:szCs w:val="17"/>
          <w:u w:val="single" w:color="auto"/>
          <w:color w:val="0000EE"/>
        </w:rPr>
        <w:tab/>
      </w:r>
      <w:hyperlink r:id="rId127">
        <w:r>
          <w:rPr>
            <w:rFonts w:ascii="Times New Roman" w:cs="Times New Roman" w:eastAsia="Times New Roman" w:hAnsi="Times New Roman"/>
            <w:sz w:val="17"/>
            <w:szCs w:val="17"/>
            <w:u w:val="single" w:color="auto"/>
            <w:color w:val="0000EE"/>
          </w:rPr>
          <w:t>Secured Convertible Debenture, dated February 12, 2025, issued by Sono Group N.V. to YA II PN, Ltd. (incorporated herein by reference to Exhibit 10.1</w:t>
        </w:r>
      </w:hyperlink>
      <w:r>
        <w:rPr>
          <w:rFonts w:ascii="Times New Roman" w:cs="Times New Roman" w:eastAsia="Times New Roman" w:hAnsi="Times New Roman"/>
          <w:sz w:val="17"/>
          <w:szCs w:val="17"/>
          <w:u w:val="single" w:color="auto"/>
          <w:color w:val="0000EE"/>
        </w:rPr>
        <w:t xml:space="preserve"> </w:t>
      </w:r>
      <w:hyperlink r:id="rId127">
        <w:r>
          <w:rPr>
            <w:rFonts w:ascii="Times New Roman" w:cs="Times New Roman" w:eastAsia="Times New Roman" w:hAnsi="Times New Roman"/>
            <w:sz w:val="17"/>
            <w:szCs w:val="17"/>
            <w:u w:val="single" w:color="auto"/>
            <w:color w:val="0000EE"/>
          </w:rPr>
          <w:t>of Sono Group N.V.’s Current Report on Form 8-K filed with the SEC on February 13,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28">
        <w:r>
          <w:rPr>
            <w:rFonts w:ascii="Times New Roman" w:cs="Times New Roman" w:eastAsia="Times New Roman" w:hAnsi="Times New Roman"/>
            <w:sz w:val="17"/>
            <w:szCs w:val="17"/>
            <w:u w:val="single" w:color="auto"/>
            <w:color w:val="0000EE"/>
          </w:rPr>
          <w:t>10.30</w:t>
        </w:r>
      </w:hyperlink>
      <w:r>
        <w:rPr>
          <w:rFonts w:ascii="Times New Roman" w:cs="Times New Roman" w:eastAsia="Times New Roman" w:hAnsi="Times New Roman"/>
          <w:sz w:val="17"/>
          <w:szCs w:val="17"/>
          <w:u w:val="single" w:color="auto"/>
          <w:color w:val="0000EE"/>
        </w:rPr>
        <w:tab/>
      </w:r>
      <w:hyperlink r:id="rId128">
        <w:r>
          <w:rPr>
            <w:rFonts w:ascii="Times New Roman" w:cs="Times New Roman" w:eastAsia="Times New Roman" w:hAnsi="Times New Roman"/>
            <w:sz w:val="17"/>
            <w:szCs w:val="17"/>
            <w:u w:val="single" w:color="auto"/>
            <w:color w:val="0000EE"/>
          </w:rPr>
          <w:t>First Omnibus Amendment to Transaction Documents, dated February 12, 2025, by and between Sono Group N.V. and YA II PN, Ltd. (incorporated</w:t>
        </w:r>
      </w:hyperlink>
      <w:r>
        <w:rPr>
          <w:rFonts w:ascii="Times New Roman" w:cs="Times New Roman" w:eastAsia="Times New Roman" w:hAnsi="Times New Roman"/>
          <w:sz w:val="17"/>
          <w:szCs w:val="17"/>
          <w:u w:val="single" w:color="auto"/>
          <w:color w:val="0000EE"/>
        </w:rPr>
        <w:t xml:space="preserve"> </w:t>
      </w:r>
      <w:hyperlink r:id="rId128">
        <w:r>
          <w:rPr>
            <w:rFonts w:ascii="Times New Roman" w:cs="Times New Roman" w:eastAsia="Times New Roman" w:hAnsi="Times New Roman"/>
            <w:sz w:val="17"/>
            <w:szCs w:val="17"/>
            <w:u w:val="single" w:color="auto"/>
            <w:color w:val="0000EE"/>
          </w:rPr>
          <w:t>herein by reference to Exhibit 10.2 of Sono Group N.V.’s Current Report on Form 8-K filed with the SEC on February 13,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29">
        <w:r>
          <w:rPr>
            <w:rFonts w:ascii="Times New Roman" w:cs="Times New Roman" w:eastAsia="Times New Roman" w:hAnsi="Times New Roman"/>
            <w:sz w:val="17"/>
            <w:szCs w:val="17"/>
            <w:u w:val="single" w:color="auto"/>
            <w:color w:val="0000EE"/>
          </w:rPr>
          <w:t>10.31</w:t>
        </w:r>
      </w:hyperlink>
      <w:r>
        <w:rPr>
          <w:rFonts w:ascii="Times New Roman" w:cs="Times New Roman" w:eastAsia="Times New Roman" w:hAnsi="Times New Roman"/>
          <w:sz w:val="17"/>
          <w:szCs w:val="17"/>
          <w:u w:val="single" w:color="auto"/>
          <w:color w:val="0000EE"/>
        </w:rPr>
        <w:tab/>
      </w:r>
      <w:hyperlink r:id="rId129">
        <w:r>
          <w:rPr>
            <w:rFonts w:ascii="Times New Roman" w:cs="Times New Roman" w:eastAsia="Times New Roman" w:hAnsi="Times New Roman"/>
            <w:sz w:val="17"/>
            <w:szCs w:val="17"/>
            <w:u w:val="single" w:color="auto"/>
            <w:color w:val="0000EE"/>
          </w:rPr>
          <w:t>Second Omnibus Amendment to Transaction Documents, dated March 7, 2025, by and between Sono Group N.V. and YA II PN, Ltd. (incorporated herein</w:t>
        </w:r>
      </w:hyperlink>
      <w:r>
        <w:rPr>
          <w:rFonts w:ascii="Times New Roman" w:cs="Times New Roman" w:eastAsia="Times New Roman" w:hAnsi="Times New Roman"/>
          <w:sz w:val="17"/>
          <w:szCs w:val="17"/>
          <w:u w:val="single" w:color="auto"/>
          <w:color w:val="0000EE"/>
        </w:rPr>
        <w:t xml:space="preserve"> </w:t>
      </w:r>
      <w:hyperlink r:id="rId129">
        <w:r>
          <w:rPr>
            <w:rFonts w:ascii="Times New Roman" w:cs="Times New Roman" w:eastAsia="Times New Roman" w:hAnsi="Times New Roman"/>
            <w:sz w:val="17"/>
            <w:szCs w:val="17"/>
            <w:u w:val="single" w:color="auto"/>
            <w:color w:val="0000EE"/>
          </w:rPr>
          <w:t>by reference to Exhibit 10.1 of Sono Group N.V.’s Current Report on Form 8-K filed with the SEC on March 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0">
        <w:r>
          <w:rPr>
            <w:rFonts w:ascii="Times New Roman" w:cs="Times New Roman" w:eastAsia="Times New Roman" w:hAnsi="Times New Roman"/>
            <w:sz w:val="17"/>
            <w:szCs w:val="17"/>
            <w:u w:val="single" w:color="auto"/>
            <w:color w:val="0000EE"/>
          </w:rPr>
          <w:t>10.32</w:t>
        </w:r>
      </w:hyperlink>
      <w:r>
        <w:rPr>
          <w:rFonts w:ascii="Times New Roman" w:cs="Times New Roman" w:eastAsia="Times New Roman" w:hAnsi="Times New Roman"/>
          <w:sz w:val="17"/>
          <w:szCs w:val="17"/>
          <w:u w:val="single" w:color="auto"/>
          <w:color w:val="0000EE"/>
        </w:rPr>
        <w:tab/>
      </w:r>
      <w:hyperlink r:id="rId130">
        <w:r>
          <w:rPr>
            <w:rFonts w:ascii="Times New Roman" w:cs="Times New Roman" w:eastAsia="Times New Roman" w:hAnsi="Times New Roman"/>
            <w:sz w:val="17"/>
            <w:szCs w:val="17"/>
            <w:u w:val="single" w:color="auto"/>
            <w:color w:val="0000EE"/>
          </w:rPr>
          <w:t>Secured Convertible Debenture, dated March 25, 2025, issued by Sono Group N.V. to YA II PN, Ltd. (incorporated herein by reference to Exhibit 10.1 of</w:t>
        </w:r>
      </w:hyperlink>
      <w:r>
        <w:rPr>
          <w:rFonts w:ascii="Times New Roman" w:cs="Times New Roman" w:eastAsia="Times New Roman" w:hAnsi="Times New Roman"/>
          <w:sz w:val="17"/>
          <w:szCs w:val="17"/>
          <w:u w:val="single" w:color="auto"/>
          <w:color w:val="0000EE"/>
        </w:rPr>
        <w:t xml:space="preserve"> </w:t>
      </w:r>
      <w:hyperlink r:id="rId130">
        <w:r>
          <w:rPr>
            <w:rFonts w:ascii="Times New Roman" w:cs="Times New Roman" w:eastAsia="Times New Roman" w:hAnsi="Times New Roman"/>
            <w:sz w:val="17"/>
            <w:szCs w:val="17"/>
            <w:u w:val="single" w:color="auto"/>
            <w:color w:val="0000EE"/>
          </w:rPr>
          <w:t>Sono Group N.V.’s Current Report on Form 8-K filed with the SEC on March 26,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1">
        <w:r>
          <w:rPr>
            <w:rFonts w:ascii="Times New Roman" w:cs="Times New Roman" w:eastAsia="Times New Roman" w:hAnsi="Times New Roman"/>
            <w:sz w:val="17"/>
            <w:szCs w:val="17"/>
            <w:u w:val="single" w:color="auto"/>
            <w:color w:val="0000EE"/>
          </w:rPr>
          <w:t>10.33</w:t>
        </w:r>
      </w:hyperlink>
      <w:r>
        <w:rPr>
          <w:rFonts w:ascii="Times New Roman" w:cs="Times New Roman" w:eastAsia="Times New Roman" w:hAnsi="Times New Roman"/>
          <w:sz w:val="17"/>
          <w:szCs w:val="17"/>
          <w:u w:val="single" w:color="auto"/>
          <w:color w:val="0000EE"/>
        </w:rPr>
        <w:tab/>
      </w:r>
      <w:hyperlink r:id="rId131">
        <w:r>
          <w:rPr>
            <w:rFonts w:ascii="Times New Roman" w:cs="Times New Roman" w:eastAsia="Times New Roman" w:hAnsi="Times New Roman"/>
            <w:sz w:val="17"/>
            <w:szCs w:val="17"/>
            <w:u w:val="single" w:color="auto"/>
            <w:color w:val="0000EE"/>
          </w:rPr>
          <w:t>Third Omnibus Amendment to Transaction Documents, dated March 25, 2025, by and between Sono Group N.V. and YA II PN, Ltd. (incorporated herein</w:t>
        </w:r>
      </w:hyperlink>
      <w:r>
        <w:rPr>
          <w:rFonts w:ascii="Times New Roman" w:cs="Times New Roman" w:eastAsia="Times New Roman" w:hAnsi="Times New Roman"/>
          <w:sz w:val="17"/>
          <w:szCs w:val="17"/>
          <w:u w:val="single" w:color="auto"/>
          <w:color w:val="0000EE"/>
        </w:rPr>
        <w:t xml:space="preserve"> </w:t>
      </w:r>
      <w:hyperlink r:id="rId131">
        <w:r>
          <w:rPr>
            <w:rFonts w:ascii="Times New Roman" w:cs="Times New Roman" w:eastAsia="Times New Roman" w:hAnsi="Times New Roman"/>
            <w:sz w:val="17"/>
            <w:szCs w:val="17"/>
            <w:u w:val="single" w:color="auto"/>
            <w:color w:val="0000EE"/>
          </w:rPr>
          <w:t>by reference to Exhibit 10.2 of Sono Group N.V.’s Current Report on Form 8-K filed with the SEC on March 26,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2">
        <w:r>
          <w:rPr>
            <w:rFonts w:ascii="Times New Roman" w:cs="Times New Roman" w:eastAsia="Times New Roman" w:hAnsi="Times New Roman"/>
            <w:sz w:val="17"/>
            <w:szCs w:val="17"/>
            <w:u w:val="single" w:color="auto"/>
            <w:color w:val="0000EE"/>
          </w:rPr>
          <w:t>10.34</w:t>
        </w:r>
      </w:hyperlink>
      <w:r>
        <w:rPr>
          <w:rFonts w:ascii="Times New Roman" w:cs="Times New Roman" w:eastAsia="Times New Roman" w:hAnsi="Times New Roman"/>
          <w:sz w:val="17"/>
          <w:szCs w:val="17"/>
          <w:u w:val="single" w:color="auto"/>
          <w:color w:val="0000EE"/>
        </w:rPr>
        <w:tab/>
      </w:r>
      <w:hyperlink r:id="rId132">
        <w:r>
          <w:rPr>
            <w:rFonts w:ascii="Times New Roman" w:cs="Times New Roman" w:eastAsia="Times New Roman" w:hAnsi="Times New Roman"/>
            <w:sz w:val="17"/>
            <w:szCs w:val="17"/>
            <w:u w:val="single" w:color="auto"/>
            <w:color w:val="0000EE"/>
          </w:rPr>
          <w:t>Secured Convertible Debenture, dated April 24, 2025, issued by Sono Group N.V. to YA II PN, Ltd. (incorporated herein by reference to Exhibit 10.1 of</w:t>
        </w:r>
      </w:hyperlink>
      <w:r>
        <w:rPr>
          <w:rFonts w:ascii="Times New Roman" w:cs="Times New Roman" w:eastAsia="Times New Roman" w:hAnsi="Times New Roman"/>
          <w:sz w:val="17"/>
          <w:szCs w:val="17"/>
          <w:u w:val="single" w:color="auto"/>
          <w:color w:val="0000EE"/>
        </w:rPr>
        <w:t xml:space="preserve"> </w:t>
      </w:r>
      <w:hyperlink r:id="rId132">
        <w:r>
          <w:rPr>
            <w:rFonts w:ascii="Times New Roman" w:cs="Times New Roman" w:eastAsia="Times New Roman" w:hAnsi="Times New Roman"/>
            <w:sz w:val="17"/>
            <w:szCs w:val="17"/>
            <w:u w:val="single" w:color="auto"/>
            <w:color w:val="0000EE"/>
          </w:rPr>
          <w:t>Sono Group N.V.’s Current Report on Form 8-K filed with the SEC on April 25,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3">
        <w:r>
          <w:rPr>
            <w:rFonts w:ascii="Times New Roman" w:cs="Times New Roman" w:eastAsia="Times New Roman" w:hAnsi="Times New Roman"/>
            <w:sz w:val="17"/>
            <w:szCs w:val="17"/>
            <w:u w:val="single" w:color="auto"/>
            <w:color w:val="0000EE"/>
          </w:rPr>
          <w:t>10.35</w:t>
        </w:r>
      </w:hyperlink>
      <w:r>
        <w:rPr>
          <w:rFonts w:ascii="Times New Roman" w:cs="Times New Roman" w:eastAsia="Times New Roman" w:hAnsi="Times New Roman"/>
          <w:sz w:val="17"/>
          <w:szCs w:val="17"/>
          <w:u w:val="single" w:color="auto"/>
          <w:color w:val="0000EE"/>
        </w:rPr>
        <w:tab/>
      </w:r>
      <w:hyperlink r:id="rId133">
        <w:r>
          <w:rPr>
            <w:rFonts w:ascii="Times New Roman" w:cs="Times New Roman" w:eastAsia="Times New Roman" w:hAnsi="Times New Roman"/>
            <w:sz w:val="17"/>
            <w:szCs w:val="17"/>
            <w:u w:val="single" w:color="auto"/>
            <w:color w:val="0000EE"/>
          </w:rPr>
          <w:t>Fourth Omnibus Amendment to Transaction Documents, dated April 24, 2025, by and between Sono Group N.V. and YA II PN, Ltd. (incorporated herein</w:t>
        </w:r>
      </w:hyperlink>
      <w:r>
        <w:rPr>
          <w:rFonts w:ascii="Times New Roman" w:cs="Times New Roman" w:eastAsia="Times New Roman" w:hAnsi="Times New Roman"/>
          <w:sz w:val="17"/>
          <w:szCs w:val="17"/>
          <w:u w:val="single" w:color="auto"/>
          <w:color w:val="0000EE"/>
        </w:rPr>
        <w:t xml:space="preserve"> </w:t>
      </w:r>
      <w:hyperlink r:id="rId133">
        <w:r>
          <w:rPr>
            <w:rFonts w:ascii="Times New Roman" w:cs="Times New Roman" w:eastAsia="Times New Roman" w:hAnsi="Times New Roman"/>
            <w:sz w:val="17"/>
            <w:szCs w:val="17"/>
            <w:u w:val="single" w:color="auto"/>
            <w:color w:val="0000EE"/>
          </w:rPr>
          <w:t>by reference to Exhibit 10.2 of Sono Group N.V.’s Current Report on Form 8-K filed with the SEC on April 25,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4">
        <w:r>
          <w:rPr>
            <w:rFonts w:ascii="Times New Roman" w:cs="Times New Roman" w:eastAsia="Times New Roman" w:hAnsi="Times New Roman"/>
            <w:sz w:val="17"/>
            <w:szCs w:val="17"/>
            <w:u w:val="single" w:color="auto"/>
            <w:color w:val="0000EE"/>
          </w:rPr>
          <w:t>10.36</w:t>
        </w:r>
      </w:hyperlink>
      <w:r>
        <w:rPr>
          <w:rFonts w:ascii="Times New Roman" w:cs="Times New Roman" w:eastAsia="Times New Roman" w:hAnsi="Times New Roman"/>
          <w:sz w:val="17"/>
          <w:szCs w:val="17"/>
          <w:u w:val="single" w:color="auto"/>
          <w:color w:val="0000EE"/>
        </w:rPr>
        <w:tab/>
      </w:r>
      <w:hyperlink r:id="rId134">
        <w:r>
          <w:rPr>
            <w:rFonts w:ascii="Times New Roman" w:cs="Times New Roman" w:eastAsia="Times New Roman" w:hAnsi="Times New Roman"/>
            <w:sz w:val="17"/>
            <w:szCs w:val="17"/>
            <w:u w:val="single" w:color="auto"/>
            <w:color w:val="0000EE"/>
          </w:rPr>
          <w:t>Fifth Omnibus Amendment to Transaction Documents, dated May 26, 2025, by and between Sono Group N.V. and YA II PN, Ltd. (incorporated herein by</w:t>
        </w:r>
      </w:hyperlink>
      <w:r>
        <w:rPr>
          <w:rFonts w:ascii="Times New Roman" w:cs="Times New Roman" w:eastAsia="Times New Roman" w:hAnsi="Times New Roman"/>
          <w:sz w:val="17"/>
          <w:szCs w:val="17"/>
          <w:u w:val="single" w:color="auto"/>
          <w:color w:val="0000EE"/>
        </w:rPr>
        <w:t xml:space="preserve"> </w:t>
      </w:r>
      <w:hyperlink r:id="rId134">
        <w:r>
          <w:rPr>
            <w:rFonts w:ascii="Times New Roman" w:cs="Times New Roman" w:eastAsia="Times New Roman" w:hAnsi="Times New Roman"/>
            <w:sz w:val="17"/>
            <w:szCs w:val="17"/>
            <w:u w:val="single" w:color="auto"/>
            <w:color w:val="0000EE"/>
          </w:rPr>
          <w:t>reference to Exhibit 10.2 of Sono Group N.V.’s Current Report on Form 8-K filed with the SEC on May 27,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5">
        <w:r>
          <w:rPr>
            <w:rFonts w:ascii="Times New Roman" w:cs="Times New Roman" w:eastAsia="Times New Roman" w:hAnsi="Times New Roman"/>
            <w:sz w:val="17"/>
            <w:szCs w:val="17"/>
            <w:u w:val="single" w:color="auto"/>
            <w:color w:val="0000EE"/>
          </w:rPr>
          <w:t>10.37</w:t>
        </w:r>
      </w:hyperlink>
      <w:r>
        <w:rPr>
          <w:rFonts w:ascii="Times New Roman" w:cs="Times New Roman" w:eastAsia="Times New Roman" w:hAnsi="Times New Roman"/>
          <w:sz w:val="17"/>
          <w:szCs w:val="17"/>
          <w:u w:val="single" w:color="auto"/>
          <w:color w:val="0000EE"/>
        </w:rPr>
        <w:tab/>
      </w:r>
      <w:hyperlink r:id="rId135">
        <w:r>
          <w:rPr>
            <w:rFonts w:ascii="Times New Roman" w:cs="Times New Roman" w:eastAsia="Times New Roman" w:hAnsi="Times New Roman"/>
            <w:sz w:val="17"/>
            <w:szCs w:val="17"/>
            <w:u w:val="single" w:color="auto"/>
            <w:color w:val="0000EE"/>
          </w:rPr>
          <w:t>Secured Convertible Debenture, dated May 27, 2025, issued by Sono Group N.V. to YA II PN, Ltd. (incorporated herein by reference to Exhibit 10.1 of</w:t>
        </w:r>
      </w:hyperlink>
      <w:r>
        <w:rPr>
          <w:rFonts w:ascii="Times New Roman" w:cs="Times New Roman" w:eastAsia="Times New Roman" w:hAnsi="Times New Roman"/>
          <w:sz w:val="17"/>
          <w:szCs w:val="17"/>
          <w:u w:val="single" w:color="auto"/>
          <w:color w:val="0000EE"/>
        </w:rPr>
        <w:t xml:space="preserve"> </w:t>
      </w:r>
      <w:hyperlink r:id="rId135">
        <w:r>
          <w:rPr>
            <w:rFonts w:ascii="Times New Roman" w:cs="Times New Roman" w:eastAsia="Times New Roman" w:hAnsi="Times New Roman"/>
            <w:sz w:val="17"/>
            <w:szCs w:val="17"/>
            <w:u w:val="single" w:color="auto"/>
            <w:color w:val="0000EE"/>
          </w:rPr>
          <w:t>Sono Group N.V.’s Current Report on Form 8-K filed with the SEC on May 27,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6">
        <w:r>
          <w:rPr>
            <w:rFonts w:ascii="Times New Roman" w:cs="Times New Roman" w:eastAsia="Times New Roman" w:hAnsi="Times New Roman"/>
            <w:sz w:val="17"/>
            <w:szCs w:val="17"/>
            <w:u w:val="single" w:color="auto"/>
            <w:color w:val="0000EE"/>
          </w:rPr>
          <w:t>10.38</w:t>
        </w:r>
      </w:hyperlink>
      <w:r>
        <w:rPr>
          <w:rFonts w:ascii="Times New Roman" w:cs="Times New Roman" w:eastAsia="Times New Roman" w:hAnsi="Times New Roman"/>
          <w:sz w:val="17"/>
          <w:szCs w:val="17"/>
          <w:u w:val="single" w:color="auto"/>
          <w:color w:val="0000EE"/>
        </w:rPr>
        <w:tab/>
      </w:r>
      <w:hyperlink r:id="rId136">
        <w:r>
          <w:rPr>
            <w:rFonts w:ascii="Times New Roman" w:cs="Times New Roman" w:eastAsia="Times New Roman" w:hAnsi="Times New Roman"/>
            <w:sz w:val="17"/>
            <w:szCs w:val="17"/>
            <w:u w:val="single" w:color="auto"/>
            <w:color w:val="0000EE"/>
          </w:rPr>
          <w:t>Sixth Omnibus Amendment to Transaction Documents, dated July 6, 2025 and effective as of June 30, 2025, by and between Sono Group N.V. and YA II</w:t>
        </w:r>
      </w:hyperlink>
      <w:r>
        <w:rPr>
          <w:rFonts w:ascii="Times New Roman" w:cs="Times New Roman" w:eastAsia="Times New Roman" w:hAnsi="Times New Roman"/>
          <w:sz w:val="17"/>
          <w:szCs w:val="17"/>
          <w:u w:val="single" w:color="auto"/>
          <w:color w:val="0000EE"/>
        </w:rPr>
        <w:t xml:space="preserve"> </w:t>
      </w:r>
      <w:hyperlink r:id="rId136">
        <w:r>
          <w:rPr>
            <w:rFonts w:ascii="Times New Roman" w:cs="Times New Roman" w:eastAsia="Times New Roman" w:hAnsi="Times New Roman"/>
            <w:sz w:val="17"/>
            <w:szCs w:val="17"/>
            <w:u w:val="single" w:color="auto"/>
            <w:color w:val="0000EE"/>
          </w:rPr>
          <w:t>PN, Ltd. (incorporated herein by reference to Exhibit 10.1 of Sono Group N.V.’s Current Report on Form 8-K filed with the SEC on July 8,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7">
        <w:r>
          <w:rPr>
            <w:rFonts w:ascii="Times New Roman" w:cs="Times New Roman" w:eastAsia="Times New Roman" w:hAnsi="Times New Roman"/>
            <w:sz w:val="17"/>
            <w:szCs w:val="17"/>
            <w:u w:val="single" w:color="auto"/>
            <w:color w:val="0000EE"/>
          </w:rPr>
          <w:t>10.39</w:t>
        </w:r>
      </w:hyperlink>
      <w:r>
        <w:rPr>
          <w:rFonts w:ascii="Times New Roman" w:cs="Times New Roman" w:eastAsia="Times New Roman" w:hAnsi="Times New Roman"/>
          <w:sz w:val="17"/>
          <w:szCs w:val="17"/>
          <w:u w:val="single" w:color="auto"/>
          <w:color w:val="0000EE"/>
        </w:rPr>
        <w:tab/>
      </w:r>
      <w:hyperlink r:id="rId137">
        <w:r>
          <w:rPr>
            <w:rFonts w:ascii="Times New Roman" w:cs="Times New Roman" w:eastAsia="Times New Roman" w:hAnsi="Times New Roman"/>
            <w:sz w:val="17"/>
            <w:szCs w:val="17"/>
            <w:u w:val="single" w:color="auto"/>
            <w:color w:val="0000EE"/>
          </w:rPr>
          <w:t>Seventh Omnibus Amendment to Transaction Documents, dated August 6, 2025, by and between Sono Group N.V. and YA II PN, Ltd. (incorporated</w:t>
        </w:r>
      </w:hyperlink>
      <w:r>
        <w:rPr>
          <w:rFonts w:ascii="Times New Roman" w:cs="Times New Roman" w:eastAsia="Times New Roman" w:hAnsi="Times New Roman"/>
          <w:sz w:val="17"/>
          <w:szCs w:val="17"/>
          <w:u w:val="single" w:color="auto"/>
          <w:color w:val="0000EE"/>
        </w:rPr>
        <w:t xml:space="preserve"> </w:t>
      </w:r>
      <w:hyperlink r:id="rId137">
        <w:r>
          <w:rPr>
            <w:rFonts w:ascii="Times New Roman" w:cs="Times New Roman" w:eastAsia="Times New Roman" w:hAnsi="Times New Roman"/>
            <w:sz w:val="17"/>
            <w:szCs w:val="17"/>
            <w:u w:val="single" w:color="auto"/>
            <w:color w:val="0000EE"/>
          </w:rPr>
          <w:t>herein by reference to Exhibit 10.1 of Sono Group N.V.’s Current Report on Form 8-K filed with the SEC on August 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8">
        <w:r>
          <w:rPr>
            <w:rFonts w:ascii="Times New Roman" w:cs="Times New Roman" w:eastAsia="Times New Roman" w:hAnsi="Times New Roman"/>
            <w:sz w:val="17"/>
            <w:szCs w:val="17"/>
            <w:u w:val="single" w:color="auto"/>
            <w:color w:val="0000EE"/>
          </w:rPr>
          <w:t>10.40</w:t>
        </w:r>
      </w:hyperlink>
      <w:r>
        <w:rPr>
          <w:rFonts w:ascii="Times New Roman" w:cs="Times New Roman" w:eastAsia="Times New Roman" w:hAnsi="Times New Roman"/>
          <w:sz w:val="17"/>
          <w:szCs w:val="17"/>
          <w:u w:val="single" w:color="auto"/>
          <w:color w:val="0000EE"/>
        </w:rPr>
        <w:tab/>
      </w:r>
      <w:hyperlink r:id="rId138">
        <w:r>
          <w:rPr>
            <w:rFonts w:ascii="Times New Roman" w:cs="Times New Roman" w:eastAsia="Times New Roman" w:hAnsi="Times New Roman"/>
            <w:sz w:val="17"/>
            <w:szCs w:val="17"/>
            <w:u w:val="single" w:color="auto"/>
            <w:color w:val="0000EE"/>
          </w:rPr>
          <w:t>Eighth Omnibus Amendment to Transaction Documents, dated August 6, 2025, by and between Sono Group N.V. and YA II PN, Ltd. (incorporated herein</w:t>
        </w:r>
      </w:hyperlink>
      <w:r>
        <w:rPr>
          <w:rFonts w:ascii="Times New Roman" w:cs="Times New Roman" w:eastAsia="Times New Roman" w:hAnsi="Times New Roman"/>
          <w:sz w:val="17"/>
          <w:szCs w:val="17"/>
          <w:u w:val="single" w:color="auto"/>
          <w:color w:val="0000EE"/>
        </w:rPr>
        <w:t xml:space="preserve"> </w:t>
      </w:r>
      <w:hyperlink r:id="rId138">
        <w:r>
          <w:rPr>
            <w:rFonts w:ascii="Times New Roman" w:cs="Times New Roman" w:eastAsia="Times New Roman" w:hAnsi="Times New Roman"/>
            <w:sz w:val="17"/>
            <w:szCs w:val="17"/>
            <w:u w:val="single" w:color="auto"/>
            <w:color w:val="0000EE"/>
          </w:rPr>
          <w:t>by reference to Exhibit 10.2 of Sono Group N.V.’s Current Report on Form 8-K filed with the SEC on August 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39">
        <w:r>
          <w:rPr>
            <w:rFonts w:ascii="Times New Roman" w:cs="Times New Roman" w:eastAsia="Times New Roman" w:hAnsi="Times New Roman"/>
            <w:sz w:val="17"/>
            <w:szCs w:val="17"/>
            <w:u w:val="single" w:color="auto"/>
            <w:color w:val="0000EE"/>
          </w:rPr>
          <w:t>10.41</w:t>
        </w:r>
      </w:hyperlink>
      <w:r>
        <w:rPr>
          <w:rFonts w:ascii="Times New Roman" w:cs="Times New Roman" w:eastAsia="Times New Roman" w:hAnsi="Times New Roman"/>
          <w:sz w:val="17"/>
          <w:szCs w:val="17"/>
          <w:u w:val="single" w:color="auto"/>
          <w:color w:val="0000EE"/>
        </w:rPr>
        <w:tab/>
      </w:r>
      <w:hyperlink r:id="rId139">
        <w:r>
          <w:rPr>
            <w:rFonts w:ascii="Times New Roman" w:cs="Times New Roman" w:eastAsia="Times New Roman" w:hAnsi="Times New Roman"/>
            <w:sz w:val="17"/>
            <w:szCs w:val="17"/>
            <w:u w:val="single" w:color="auto"/>
            <w:color w:val="0000EE"/>
          </w:rPr>
          <w:t>Secured Convertible Debenture, dated August 6, 2025, issued by Sono Group N.V. to YA II PN, Ltd. (incorporated herein by reference to Exhibit 10.3 of</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Sono Group N.V.’s Current Report on Form 8-K filed with the SEC on August 7,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48" w:lineRule="auto"/>
        <w:tabs>
          <w:tab w:leader="none" w:pos="780" w:val="left"/>
        </w:tabs>
        <w:rPr>
          <w:rFonts w:ascii="Times New Roman" w:cs="Times New Roman" w:eastAsia="Times New Roman" w:hAnsi="Times New Roman"/>
          <w:sz w:val="17"/>
          <w:szCs w:val="17"/>
          <w:u w:val="single" w:color="auto"/>
          <w:color w:val="0000EE"/>
        </w:rPr>
      </w:pPr>
      <w:hyperlink r:id="rId140">
        <w:r>
          <w:rPr>
            <w:rFonts w:ascii="Times New Roman" w:cs="Times New Roman" w:eastAsia="Times New Roman" w:hAnsi="Times New Roman"/>
            <w:sz w:val="17"/>
            <w:szCs w:val="17"/>
            <w:u w:val="single" w:color="auto"/>
            <w:color w:val="0000EE"/>
          </w:rPr>
          <w:t>10.42</w:t>
        </w:r>
      </w:hyperlink>
      <w:r>
        <w:rPr>
          <w:rFonts w:ascii="Times New Roman" w:cs="Times New Roman" w:eastAsia="Times New Roman" w:hAnsi="Times New Roman"/>
          <w:sz w:val="17"/>
          <w:szCs w:val="17"/>
          <w:u w:val="single" w:color="auto"/>
          <w:color w:val="0000EE"/>
        </w:rPr>
        <w:tab/>
      </w:r>
      <w:hyperlink r:id="rId140">
        <w:r>
          <w:rPr>
            <w:rFonts w:ascii="Times New Roman" w:cs="Times New Roman" w:eastAsia="Times New Roman" w:hAnsi="Times New Roman"/>
            <w:sz w:val="17"/>
            <w:szCs w:val="17"/>
            <w:u w:val="single" w:color="auto"/>
            <w:color w:val="0000EE"/>
          </w:rPr>
          <w:t>Secured Convertible Debenture, dated August 15, 2025, issued by Sono Group N.V. to YA II PN, Ltd. (incorporated herein by reference to Exhibit 4.6 of</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Sono Group N.V.’s Quarterly Report on Form 10-Q filed with the SEC on August 19, 2025)</w:t>
        </w:r>
      </w:hyperlink>
    </w:p>
    <w:p>
      <w:pPr>
        <w:spacing w:after="0" w:line="1" w:lineRule="exact"/>
        <w:rPr>
          <w:rFonts w:ascii="Times New Roman" w:cs="Times New Roman" w:eastAsia="Times New Roman" w:hAnsi="Times New Roman"/>
          <w:sz w:val="17"/>
          <w:szCs w:val="17"/>
          <w:u w:val="single" w:color="auto"/>
          <w:color w:val="0000EE"/>
        </w:rPr>
      </w:pPr>
    </w:p>
    <w:p>
      <w:pPr>
        <w:ind w:left="800" w:hanging="796"/>
        <w:spacing w:after="0" w:line="256" w:lineRule="auto"/>
        <w:tabs>
          <w:tab w:leader="none" w:pos="780" w:val="left"/>
        </w:tabs>
        <w:rPr>
          <w:rFonts w:ascii="Times New Roman" w:cs="Times New Roman" w:eastAsia="Times New Roman" w:hAnsi="Times New Roman"/>
          <w:sz w:val="17"/>
          <w:szCs w:val="17"/>
          <w:u w:val="single" w:color="auto"/>
          <w:color w:val="0000EE"/>
        </w:rPr>
      </w:pPr>
      <w:hyperlink r:id="rId141">
        <w:r>
          <w:rPr>
            <w:rFonts w:ascii="Times New Roman" w:cs="Times New Roman" w:eastAsia="Times New Roman" w:hAnsi="Times New Roman"/>
            <w:sz w:val="17"/>
            <w:szCs w:val="17"/>
            <w:u w:val="single" w:color="auto"/>
            <w:color w:val="0000EE"/>
          </w:rPr>
          <w:t>10.43</w:t>
        </w:r>
      </w:hyperlink>
      <w:r>
        <w:rPr>
          <w:rFonts w:ascii="Times New Roman" w:cs="Times New Roman" w:eastAsia="Times New Roman" w:hAnsi="Times New Roman"/>
          <w:sz w:val="17"/>
          <w:szCs w:val="17"/>
          <w:u w:val="single" w:color="auto"/>
          <w:color w:val="0000EE"/>
        </w:rPr>
        <w:tab/>
      </w:r>
      <w:hyperlink r:id="rId141">
        <w:r>
          <w:rPr>
            <w:rFonts w:ascii="Times New Roman" w:cs="Times New Roman" w:eastAsia="Times New Roman" w:hAnsi="Times New Roman"/>
            <w:sz w:val="17"/>
            <w:szCs w:val="17"/>
            <w:u w:val="single" w:color="auto"/>
            <w:color w:val="0000EE"/>
          </w:rPr>
          <w:t>Ninth Omnibus Amendment to Transaction Documents, dated August 15, 2025, by and between Sono Group N.V. and YA II PN, Ltd. (incorporated herein</w:t>
        </w:r>
      </w:hyperlink>
      <w:r>
        <w:rPr>
          <w:rFonts w:ascii="Times New Roman" w:cs="Times New Roman" w:eastAsia="Times New Roman" w:hAnsi="Times New Roman"/>
          <w:sz w:val="17"/>
          <w:szCs w:val="17"/>
          <w:u w:val="single" w:color="auto"/>
          <w:color w:val="0000EE"/>
        </w:rPr>
        <w:t xml:space="preserve"> </w:t>
      </w:r>
      <w:hyperlink r:id="rId141">
        <w:r>
          <w:rPr>
            <w:rFonts w:ascii="Times New Roman" w:cs="Times New Roman" w:eastAsia="Times New Roman" w:hAnsi="Times New Roman"/>
            <w:sz w:val="17"/>
            <w:szCs w:val="17"/>
            <w:u w:val="single" w:color="auto"/>
            <w:color w:val="0000EE"/>
          </w:rPr>
          <w:t>by reference to Exhibit 10.9 of Sono Group N.V.’s Quarterly Report on Form 10-Q filed with the SEC on August 19, 2025)</w:t>
        </w:r>
      </w:hyperlink>
    </w:p>
    <w:p>
      <w:pPr>
        <w:spacing w:after="0" w:line="174"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38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143">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44</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2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Tenth Omnibus Amendment to Transaction Documents, dated September 5, 2025, by and between Sono Group N.V. and YA II PN, Ltd. (incorporated</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700" w:type="dxa"/>
            <w:vAlign w:val="bottom"/>
            <w:tcBorders>
              <w:bottom w:val="single" w:sz="8" w:color="0000EE"/>
            </w:tcBorders>
            <w:gridSpan w:val="16"/>
          </w:tcPr>
          <w:p>
            <w:pPr>
              <w:spacing w:after="0" w:line="182" w:lineRule="exact"/>
              <w:rPr>
                <w:rFonts w:ascii="Times New Roman" w:cs="Times New Roman" w:eastAsia="Times New Roman" w:hAnsi="Times New Roman"/>
                <w:sz w:val="17"/>
                <w:szCs w:val="17"/>
                <w:color w:val="0000EE"/>
                <w:w w:val="98"/>
              </w:rPr>
            </w:pPr>
            <w:hyperlink r:id="rId143">
              <w:r>
                <w:rPr>
                  <w:rFonts w:ascii="Times New Roman" w:cs="Times New Roman" w:eastAsia="Times New Roman" w:hAnsi="Times New Roman"/>
                  <w:sz w:val="17"/>
                  <w:szCs w:val="17"/>
                  <w:color w:val="0000EE"/>
                  <w:w w:val="98"/>
                </w:rPr>
                <w:t>herein by reference to Exhibit 10.1 of Sono Group N.V.’s Current Report on Form 8-K filed with the SEC on September 5, 2025)</w:t>
              </w:r>
            </w:hyperlink>
          </w:p>
        </w:tc>
        <w:tc>
          <w:tcPr>
            <w:tcW w:w="1720" w:type="dxa"/>
            <w:vAlign w:val="bottom"/>
            <w:gridSpan w:val="4"/>
          </w:tcPr>
          <w:p>
            <w:pPr>
              <w:spacing w:after="0"/>
              <w:rPr>
                <w:sz w:val="15"/>
                <w:szCs w:val="15"/>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4">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45</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Secured Convertible Debenture, dated September 5, 2025, by and between Sono Group N.V. and YA II PN, Ltd. (incorporated herein by reference to</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Exhibit 10.2 of Sono Group N.V.’s Current Report on Form 8-K filed with the SEC on September 5, 2025)</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5">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46</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45">
              <w:r>
                <w:rPr>
                  <w:rFonts w:ascii="Times New Roman" w:cs="Times New Roman" w:eastAsia="Times New Roman" w:hAnsi="Times New Roman"/>
                  <w:sz w:val="17"/>
                  <w:szCs w:val="17"/>
                  <w:color w:val="0000EE"/>
                  <w:w w:val="98"/>
                </w:rPr>
                <w:t>Convertible Debenture, dated January 26, 2026, by and between Sono Group N.V. and YA II PN, Ltd. (incorporated herein by reference to Exhibit 10.1 of</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Sono Group N.V.’s Current Report on Form 8-K filed with the SEC on January 29,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6">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47</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9"/>
              </w:rPr>
            </w:pPr>
            <w:hyperlink r:id="rId146">
              <w:r>
                <w:rPr>
                  <w:rFonts w:ascii="Times New Roman" w:cs="Times New Roman" w:eastAsia="Times New Roman" w:hAnsi="Times New Roman"/>
                  <w:sz w:val="17"/>
                  <w:szCs w:val="17"/>
                  <w:color w:val="0000EE"/>
                  <w:w w:val="99"/>
                </w:rPr>
                <w:t>Convertible Debenture, dated February 19, 2026, by and between Sono Group N.V. and YA II PN, Ltd. (incorporated herein by reference to Exhibit 10.1</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80" w:type="dxa"/>
            <w:vAlign w:val="bottom"/>
            <w:tcBorders>
              <w:bottom w:val="single" w:sz="8" w:color="0000EE"/>
            </w:tcBorders>
            <w:gridSpan w:val="11"/>
          </w:tcPr>
          <w:p>
            <w:pPr>
              <w:spacing w:after="0" w:line="182" w:lineRule="exact"/>
              <w:rPr>
                <w:rFonts w:ascii="Times New Roman" w:cs="Times New Roman" w:eastAsia="Times New Roman" w:hAnsi="Times New Roman"/>
                <w:sz w:val="17"/>
                <w:szCs w:val="17"/>
                <w:color w:val="0000EE"/>
                <w:w w:val="98"/>
              </w:rPr>
            </w:pPr>
            <w:hyperlink r:id="rId146">
              <w:r>
                <w:rPr>
                  <w:rFonts w:ascii="Times New Roman" w:cs="Times New Roman" w:eastAsia="Times New Roman" w:hAnsi="Times New Roman"/>
                  <w:sz w:val="17"/>
                  <w:szCs w:val="17"/>
                  <w:color w:val="0000EE"/>
                  <w:w w:val="98"/>
                </w:rPr>
                <w:t>of Sono Group N.V.’s Current Report on Form 8-K filed with the SEC on February 24, 2026)</w:t>
              </w:r>
            </w:hyperlink>
          </w:p>
        </w:tc>
        <w:tc>
          <w:tcPr>
            <w:tcW w:w="4140" w:type="dxa"/>
            <w:vAlign w:val="bottom"/>
            <w:gridSpan w:val="9"/>
          </w:tcPr>
          <w:p>
            <w:pPr>
              <w:spacing w:after="0"/>
              <w:rPr>
                <w:sz w:val="15"/>
                <w:szCs w:val="15"/>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7">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48</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47">
              <w:r>
                <w:rPr>
                  <w:rFonts w:ascii="Times New Roman" w:cs="Times New Roman" w:eastAsia="Times New Roman" w:hAnsi="Times New Roman"/>
                  <w:sz w:val="17"/>
                  <w:szCs w:val="17"/>
                  <w:color w:val="0000EE"/>
                  <w:w w:val="98"/>
                </w:rPr>
                <w:t>Pre-Funded Warrant Securities Purchase Agreement, dated March 10, 2026, by and between Sono Group N.V. and YA II PN, Ltd. (incorporated herein by</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reference to Exhibit 10.1 of Sono Group N.V.’s Current Report on Form 8-K filed with the SEC on March 10,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8">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49</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9"/>
              </w:rPr>
            </w:pPr>
            <w:hyperlink r:id="rId148">
              <w:r>
                <w:rPr>
                  <w:rFonts w:ascii="Times New Roman" w:cs="Times New Roman" w:eastAsia="Times New Roman" w:hAnsi="Times New Roman"/>
                  <w:sz w:val="17"/>
                  <w:szCs w:val="17"/>
                  <w:color w:val="0000EE"/>
                  <w:w w:val="99"/>
                </w:rPr>
                <w:t>Registration Rights Agreement, dated March 10, 2026, by and between Sono Group N.V. and YA II PN, Ltd. (incorporated herein by reference to Exhibit</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0000EE"/>
                </w:rPr>
                <w:t xml:space="preserve"> of Sono Group N.V.’s Current Report on Form 8-K filed with the SEC on March 10,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49">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50</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9"/>
              </w:rPr>
            </w:pPr>
            <w:hyperlink r:id="rId149">
              <w:r>
                <w:rPr>
                  <w:rFonts w:ascii="Times New Roman" w:cs="Times New Roman" w:eastAsia="Times New Roman" w:hAnsi="Times New Roman"/>
                  <w:sz w:val="17"/>
                  <w:szCs w:val="17"/>
                  <w:color w:val="0000EE"/>
                  <w:w w:val="99"/>
                </w:rPr>
                <w:t>Convertible Debenture, dated March 10, 2026, by and between Sono Group N.V. and YA II PN, Ltd. (incorporated herein by reference to Exhibit 10.3 of</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Sono Group N.V.’s Current Report on Form 8-K filed with the SEC on March 10,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50">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51</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International Swaps and Derivatives Association, Inc. 2002 ISDA Master Agreement, dated as of March 10, 2026, between Blockchain.com (BVI) II</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50">
              <w:r>
                <w:rPr>
                  <w:rFonts w:ascii="Times New Roman" w:cs="Times New Roman" w:eastAsia="Times New Roman" w:hAnsi="Times New Roman"/>
                  <w:sz w:val="17"/>
                  <w:szCs w:val="17"/>
                  <w:color w:val="0000EE"/>
                  <w:w w:val="98"/>
                </w:rPr>
                <w:t>Limited and Sono Group N.V. (incorporated by reference to Exhibit 10.1 of Sono Group N.V.’s Current Report on Form 8-K filed with the SEC on March</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5"/>
              </w:rPr>
            </w:pPr>
            <w:hyperlink r:id="rId150">
              <w:r>
                <w:rPr>
                  <w:rFonts w:ascii="Times New Roman" w:cs="Times New Roman" w:eastAsia="Times New Roman" w:hAnsi="Times New Roman"/>
                  <w:sz w:val="17"/>
                  <w:szCs w:val="17"/>
                  <w:color w:val="0000EE"/>
                  <w:w w:val="95"/>
                </w:rPr>
                <w:t>16, 2026)</w:t>
              </w:r>
            </w:hyperlink>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51">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52</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International Swaps and Derivatives Association, Inc. Schedule to the 2002 ISDA Master Agreement, dated as of March 10, 2026, between</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Blockchain.com (BVI) II Limited and Sono Group N.V. (incorporated by reference to Exhibit 10.2 of Sono Group N.V.’s Current Report on Form 8-K</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filed with the SEC on March 16,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3"/>
              </w:rPr>
            </w:pPr>
            <w:hyperlink r:id="rId152">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53</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9"/>
              </w:rPr>
            </w:pPr>
            <w:hyperlink r:id="rId152">
              <w:r>
                <w:rPr>
                  <w:rFonts w:ascii="Times New Roman" w:cs="Times New Roman" w:eastAsia="Times New Roman" w:hAnsi="Times New Roman"/>
                  <w:sz w:val="17"/>
                  <w:szCs w:val="17"/>
                  <w:color w:val="0000EE"/>
                  <w:w w:val="99"/>
                </w:rPr>
                <w:t>International Swaps and Derivatives Association, Inc. Credit Support Annex to the Schedule to the 2002 ISDA Master Agreement, dated as of March 10,</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2026, between Blockchain.com (BVI) II Limited and Sono Group N.V. (incorporated by reference to Exhibit 10.3 of Sono Group N.V.’s Current Report</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on Form 8-K filed with the SEC on March 16, 2026)</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6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4"/>
              </w:rPr>
            </w:pPr>
            <w:hyperlink r:id="rId153">
              <w:r>
                <w:rPr>
                  <w:rFonts w:ascii="Times New Roman" w:cs="Times New Roman" w:eastAsia="Times New Roman" w:hAnsi="Times New Roman"/>
                  <w:sz w:val="17"/>
                  <w:szCs w:val="17"/>
                  <w:color w:val="0000EE"/>
                  <w:w w:val="94"/>
                </w:rPr>
                <w:t>10.</w:t>
              </w:r>
              <w:r>
                <w:rPr>
                  <w:rFonts w:ascii="Times New Roman" w:cs="Times New Roman" w:eastAsia="Times New Roman" w:hAnsi="Times New Roman"/>
                  <w:sz w:val="17"/>
                  <w:szCs w:val="17"/>
                  <w:u w:val="single" w:color="auto"/>
                  <w:color w:val="0000EE"/>
                  <w:w w:val="94"/>
                </w:rPr>
                <w:t>54#</w:t>
              </w:r>
            </w:hyperlink>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Consulting Agreement, dated September 9, 2025, by and between Sono Group N.V., McGurn Advisors LLC and Kevin McGurn (incorporated herein by</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reference to Exhibit 10.1 of Sono Group N.V.’s Current Report on Form 8-K filed with the SEC on September 9, 2025)</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0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3"/>
              </w:rPr>
            </w:pPr>
            <w:hyperlink r:id="rId154">
              <w:r>
                <w:rPr>
                  <w:rFonts w:ascii="Times New Roman" w:cs="Times New Roman" w:eastAsia="Times New Roman" w:hAnsi="Times New Roman"/>
                  <w:sz w:val="17"/>
                  <w:szCs w:val="17"/>
                  <w:color w:val="0000EE"/>
                  <w:w w:val="93"/>
                </w:rPr>
                <w:t>19.</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Insider Trading Policy of Sono Group N.V. (incorporated herein by reference to Exhibit 19.1 of the Company’s Annual Report on Form 10 K filed with</w:t>
              </w:r>
            </w:hyperlink>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the SEC on April 17, 2025)</w:t>
              </w:r>
            </w:hyperlink>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21.</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List of Significant Subsidiaries</w:t>
            </w:r>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6"/>
              </w:rPr>
              <w:t>Consent of Grassi &amp; Co., CPAs, P.C.</w:t>
            </w:r>
          </w:p>
        </w:tc>
        <w:tc>
          <w:tcPr>
            <w:tcW w:w="7940" w:type="dxa"/>
            <w:vAlign w:val="bottom"/>
            <w:gridSpan w:val="16"/>
          </w:tcPr>
          <w:p>
            <w:pPr>
              <w:spacing w:after="0"/>
              <w:rPr>
                <w:sz w:val="15"/>
                <w:szCs w:val="15"/>
                <w:color w:val="auto"/>
              </w:rPr>
            </w:pPr>
          </w:p>
        </w:tc>
      </w:tr>
      <w:tr>
        <w:trPr>
          <w:trHeight w:val="182"/>
        </w:trPr>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24.</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Powers of Attorney (included on the signature page hereto)</w:t>
            </w:r>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31.</w:t>
            </w:r>
            <w:r>
              <w:rPr>
                <w:rFonts w:ascii="Times New Roman" w:cs="Times New Roman" w:eastAsia="Times New Roman" w:hAnsi="Times New Roman"/>
                <w:sz w:val="17"/>
                <w:szCs w:val="17"/>
                <w:u w:val="single" w:color="auto"/>
                <w:color w:val="0000EE"/>
                <w:w w:val="93"/>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of Principal Executive Officer Pursuant to Rules 13a-14(a) and 15d-14(a) under the Securities Exchange Act of 1934, as adopted pursuant to</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Section 302 of the Sarbanes-Oxley Act of 2002</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6"/>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8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3"/>
              </w:rPr>
              <w:t>31.</w:t>
            </w:r>
            <w:r>
              <w:rPr>
                <w:rFonts w:ascii="Times New Roman" w:cs="Times New Roman" w:eastAsia="Times New Roman" w:hAnsi="Times New Roman"/>
                <w:sz w:val="17"/>
                <w:szCs w:val="17"/>
                <w:u w:val="single" w:color="auto"/>
                <w:color w:val="0000EE"/>
                <w:w w:val="93"/>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tcBorders>
              <w:bottom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of Principal Financial Officer Pursuant to Rules 13a-14(a) and 15d-14(a) under the Securities Exchange Act of 1934, as adopted pursuant to</w:t>
            </w: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Section 302 of the Sarbanes-Oxley Act of 2002</w:t>
            </w:r>
          </w:p>
        </w:tc>
      </w:tr>
      <w:tr>
        <w:trPr>
          <w:trHeight w:val="20"/>
        </w:trPr>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6"/>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7"/>
                <w:szCs w:val="17"/>
                <w:color w:val="0000EE"/>
                <w:w w:val="94"/>
              </w:rPr>
              <w:t>32.</w:t>
            </w:r>
            <w:r>
              <w:rPr>
                <w:rFonts w:ascii="Times New Roman" w:cs="Times New Roman" w:eastAsia="Times New Roman" w:hAnsi="Times New Roman"/>
                <w:sz w:val="17"/>
                <w:szCs w:val="17"/>
                <w:u w:val="single" w:color="auto"/>
                <w:color w:val="0000EE"/>
                <w:w w:val="94"/>
              </w:rPr>
              <w:t>1**</w:t>
            </w:r>
          </w:p>
        </w:tc>
        <w:tc>
          <w:tcPr>
            <w:tcW w:w="360" w:type="dxa"/>
            <w:vAlign w:val="bottom"/>
          </w:tcPr>
          <w:p>
            <w:pPr>
              <w:spacing w:after="0"/>
              <w:rPr>
                <w:sz w:val="15"/>
                <w:szCs w:val="15"/>
                <w:color w:val="auto"/>
              </w:rPr>
            </w:pPr>
          </w:p>
        </w:tc>
        <w:tc>
          <w:tcPr>
            <w:tcW w:w="10200" w:type="dxa"/>
            <w:vAlign w:val="bottom"/>
            <w:tcBorders>
              <w:bottom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7"/>
                <w:szCs w:val="17"/>
                <w:color w:val="0000EE"/>
                <w:w w:val="98"/>
              </w:rPr>
              <w:t>Certification of Principal Executive Officer Pursuant to 18 U.S.C. Section 1350, as adopted pursuant to Section 906 of the Sarbanes-Oxley Act of 2002</w:t>
            </w:r>
          </w:p>
        </w:tc>
        <w:tc>
          <w:tcPr>
            <w:tcW w:w="220" w:type="dxa"/>
            <w:vAlign w:val="bottom"/>
            <w:gridSpan w:val="2"/>
          </w:tcPr>
          <w:p>
            <w:pPr>
              <w:spacing w:after="0"/>
              <w:rPr>
                <w:sz w:val="15"/>
                <w:szCs w:val="15"/>
                <w:color w:val="auto"/>
              </w:rPr>
            </w:pPr>
          </w:p>
        </w:tc>
      </w:tr>
      <w:tr>
        <w:trPr>
          <w:trHeight w:val="182"/>
        </w:trPr>
        <w:tc>
          <w:tcPr>
            <w:tcW w:w="4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w w:val="94"/>
              </w:rPr>
              <w:t>32.</w:t>
            </w:r>
            <w:r>
              <w:rPr>
                <w:rFonts w:ascii="Times New Roman" w:cs="Times New Roman" w:eastAsia="Times New Roman" w:hAnsi="Times New Roman"/>
                <w:sz w:val="17"/>
                <w:szCs w:val="17"/>
                <w:u w:val="single" w:color="auto"/>
                <w:color w:val="0000EE"/>
                <w:w w:val="94"/>
              </w:rPr>
              <w:t>2**</w:t>
            </w: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18 U.S.C. Section 1350, as adopted pursuant to Section 906 of the Sarbanes-Oxley Act of 2002</w:t>
            </w:r>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140" w:type="dxa"/>
            <w:vAlign w:val="bottom"/>
            <w:gridSpan w:val="1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00" w:type="dxa"/>
            <w:vAlign w:val="bottom"/>
          </w:tcPr>
          <w:p>
            <w:pPr>
              <w:spacing w:after="0" w:line="182" w:lineRule="exact"/>
              <w:rPr>
                <w:rFonts w:ascii="Times New Roman" w:cs="Times New Roman" w:eastAsia="Times New Roman" w:hAnsi="Times New Roman"/>
                <w:sz w:val="17"/>
                <w:szCs w:val="17"/>
                <w:color w:val="0000EE"/>
                <w:w w:val="93"/>
              </w:rPr>
            </w:pPr>
            <w:hyperlink r:id="rId155">
              <w:r>
                <w:rPr>
                  <w:rFonts w:ascii="Times New Roman" w:cs="Times New Roman" w:eastAsia="Times New Roman" w:hAnsi="Times New Roman"/>
                  <w:sz w:val="17"/>
                  <w:szCs w:val="17"/>
                  <w:color w:val="0000EE"/>
                  <w:w w:val="93"/>
                </w:rPr>
                <w:t>97.</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20" w:type="dxa"/>
            <w:vAlign w:val="bottom"/>
            <w:gridSpan w:val="20"/>
          </w:tcPr>
          <w:p>
            <w:pPr>
              <w:spacing w:after="0" w:line="182" w:lineRule="exact"/>
              <w:rPr>
                <w:rFonts w:ascii="Times New Roman" w:cs="Times New Roman" w:eastAsia="Times New Roman" w:hAnsi="Times New Roman"/>
                <w:sz w:val="17"/>
                <w:szCs w:val="17"/>
                <w:color w:val="0000EE"/>
                <w:w w:val="99"/>
              </w:rPr>
            </w:pPr>
            <w:hyperlink r:id="rId155">
              <w:r>
                <w:rPr>
                  <w:rFonts w:ascii="Times New Roman" w:cs="Times New Roman" w:eastAsia="Times New Roman" w:hAnsi="Times New Roman"/>
                  <w:sz w:val="17"/>
                  <w:szCs w:val="17"/>
                  <w:color w:val="0000EE"/>
                  <w:w w:val="99"/>
                </w:rPr>
                <w:t>Clawback Policy (incorporated herein by reference to Exhibit 97 of the Company’s Annual Report on Form 20-F for the year ended December 31, 2022)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300" w:type="dxa"/>
            <w:vAlign w:val="bottom"/>
            <w:gridSpan w:val="1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101.INS*</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2"/>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101.SCH*</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Schema Document</w:t>
            </w:r>
          </w:p>
        </w:tc>
      </w:tr>
      <w:tr>
        <w:trPr>
          <w:trHeight w:val="202"/>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101.CAL*</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Calculation Linkbase Document</w:t>
            </w:r>
          </w:p>
        </w:tc>
      </w:tr>
      <w:tr>
        <w:trPr>
          <w:trHeight w:val="202"/>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101.DEF*</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Definition Linkbase Document</w:t>
            </w:r>
          </w:p>
        </w:tc>
      </w:tr>
      <w:tr>
        <w:trPr>
          <w:trHeight w:val="202"/>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101.LAB*</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Label Linkbase Document</w:t>
            </w:r>
          </w:p>
        </w:tc>
      </w:tr>
      <w:tr>
        <w:trPr>
          <w:trHeight w:val="202"/>
        </w:trPr>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101.PRE*</w:t>
            </w: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Inline XBRL Presentation Linkbase Document</w:t>
            </w:r>
          </w:p>
        </w:tc>
      </w:tr>
      <w:tr>
        <w:trPr>
          <w:trHeight w:val="218"/>
        </w:trPr>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ind w:left="820" w:hanging="819"/>
        <w:spacing w:after="0"/>
        <w:tabs>
          <w:tab w:leader="none" w:pos="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457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ind w:left="820" w:hanging="819"/>
        <w:spacing w:after="0"/>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7" w:lineRule="exact"/>
        <w:rPr>
          <w:sz w:val="20"/>
          <w:szCs w:val="20"/>
          <w:color w:val="auto"/>
        </w:rPr>
      </w:pPr>
    </w:p>
    <w:p>
      <w:pPr>
        <w:ind w:left="820" w:hanging="819"/>
        <w:spacing w:after="0" w:line="248" w:lineRule="auto"/>
        <w:tabs>
          <w:tab w:leader="none" w:pos="8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to this exhibit have been omitted pursuant to Item 601(a)(5) of Regulation S-K. The registrant agrees to furnish a copy of the omitted exhibits and schedules to the SEC on a supplemental basis upon its request.</w:t>
      </w:r>
    </w:p>
    <w:p>
      <w:pPr>
        <w:spacing w:after="0" w:line="1" w:lineRule="exact"/>
        <w:rPr>
          <w:sz w:val="20"/>
          <w:szCs w:val="20"/>
          <w:color w:val="auto"/>
        </w:rPr>
      </w:pPr>
    </w:p>
    <w:p>
      <w:pPr>
        <w:ind w:left="820" w:hanging="819"/>
        <w:spacing w:after="0"/>
        <w:tabs>
          <w:tab w:leader="none" w:pos="8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8260" w:type="dxa"/>
            <w:vAlign w:val="bottom"/>
            <w:gridSpan w:val="2"/>
          </w:tcPr>
          <w:p>
            <w:pPr>
              <w:ind w:left="2620"/>
              <w:spacing w:after="0"/>
              <w:rPr>
                <w:sz w:val="20"/>
                <w:szCs w:val="20"/>
                <w:color w:val="auto"/>
              </w:rPr>
            </w:pPr>
            <w:r>
              <w:rPr>
                <w:rFonts w:ascii="Times New Roman" w:cs="Times New Roman" w:eastAsia="Times New Roman" w:hAnsi="Times New Roman"/>
                <w:sz w:val="17"/>
                <w:szCs w:val="17"/>
                <w:b w:val="1"/>
                <w:bCs w:val="1"/>
                <w:color w:val="auto"/>
              </w:rPr>
              <w:t>SONO GROUP N.V.</w:t>
            </w:r>
          </w:p>
        </w:tc>
      </w:tr>
      <w:tr>
        <w:trPr>
          <w:trHeight w:val="405"/>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 April 1, 2026</w:t>
            </w:r>
          </w:p>
        </w:tc>
        <w:tc>
          <w:tcPr>
            <w:tcW w:w="8260" w:type="dxa"/>
            <w:vAlign w:val="bottom"/>
            <w:gridSpan w:val="2"/>
          </w:tcPr>
          <w:p>
            <w:pPr>
              <w:ind w:left="2620"/>
              <w:spacing w:after="0"/>
              <w:rPr>
                <w:sz w:val="20"/>
                <w:szCs w:val="20"/>
                <w:color w:val="auto"/>
              </w:rPr>
            </w:pPr>
            <w:r>
              <w:rPr>
                <w:rFonts w:ascii="Times New Roman" w:cs="Times New Roman" w:eastAsia="Times New Roman" w:hAnsi="Times New Roman"/>
                <w:sz w:val="17"/>
                <w:szCs w:val="17"/>
                <w:color w:val="auto"/>
              </w:rPr>
              <w:t>By:  /s/ Kevin McGurn</w:t>
            </w:r>
          </w:p>
        </w:tc>
      </w:tr>
      <w:tr>
        <w:trPr>
          <w:trHeight w:val="179"/>
        </w:trPr>
        <w:tc>
          <w:tcPr>
            <w:tcW w:w="29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6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7"/>
                <w:szCs w:val="17"/>
                <w:color w:val="auto"/>
              </w:rPr>
              <w:t>Kevin McGurn</w:t>
            </w:r>
          </w:p>
        </w:tc>
      </w:tr>
      <w:tr>
        <w:trPr>
          <w:trHeight w:val="218"/>
        </w:trPr>
        <w:tc>
          <w:tcPr>
            <w:tcW w:w="2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5"/>
        </w:trPr>
        <w:tc>
          <w:tcPr>
            <w:tcW w:w="2980" w:type="dxa"/>
            <w:vAlign w:val="bottom"/>
          </w:tcPr>
          <w:p>
            <w:pPr>
              <w:spacing w:after="0"/>
              <w:rPr>
                <w:sz w:val="24"/>
                <w:szCs w:val="24"/>
                <w:color w:val="auto"/>
              </w:rPr>
            </w:pPr>
          </w:p>
        </w:tc>
        <w:tc>
          <w:tcPr>
            <w:tcW w:w="8260" w:type="dxa"/>
            <w:vAlign w:val="bottom"/>
            <w:gridSpan w:val="2"/>
          </w:tcPr>
          <w:p>
            <w:pPr>
              <w:ind w:left="1640"/>
              <w:spacing w:after="0"/>
              <w:rPr>
                <w:sz w:val="20"/>
                <w:szCs w:val="20"/>
                <w:color w:val="auto"/>
              </w:rPr>
            </w:pPr>
            <w:r>
              <w:rPr>
                <w:rFonts w:ascii="Times New Roman" w:cs="Times New Roman" w:eastAsia="Times New Roman" w:hAnsi="Times New Roman"/>
                <w:sz w:val="17"/>
                <w:szCs w:val="17"/>
                <w:b w:val="1"/>
                <w:bCs w:val="1"/>
                <w:color w:val="auto"/>
              </w:rPr>
              <w:t>POWERS OF ATTORNEY</w:t>
            </w:r>
          </w:p>
        </w:tc>
      </w:tr>
    </w:tbl>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Mr. Kevin McGurn or Mr. M. Scott Calhoun his or her true and lawful attorney-in-fact, with full power of substitution and resubstitution, for him or her and in his or her name, place and stead, in any and all capacities to sign any and all amendments to this report, and to file the same, with all exhibits thereto, and other documents in connection therewith, with the U.S. Securities and Exchange Commission, hereby ratifying and confirming all that said attorney-in-fact or his substitute, each acting alone, may lawfully do or cause to be done by virtue thereof.</w:t>
      </w:r>
    </w:p>
    <w:p>
      <w:pPr>
        <w:spacing w:after="0" w:line="1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389"/>
        </w:trPr>
        <w:tc>
          <w:tcPr>
            <w:tcW w:w="3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Kevin McGurn</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9"/>
              </w:rPr>
              <w:t>Chief Executive Officer (Principal Executive Officer) and Member of the</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auto"/>
            </w:tcBorders>
            <w:vMerge w:val="continue"/>
          </w:tcPr>
          <w:p>
            <w:pPr>
              <w:spacing w:after="0"/>
              <w:rPr>
                <w:sz w:val="17"/>
                <w:szCs w:val="17"/>
                <w:color w:val="auto"/>
              </w:rPr>
            </w:pP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Management Board</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April 1, 2026</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Kevin McGurn</w:t>
            </w:r>
          </w:p>
        </w:tc>
        <w:tc>
          <w:tcPr>
            <w:tcW w:w="5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3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M. Scott Calhoun</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Chief Financial Officer (Principal Financial Officer and Principal</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auto"/>
            </w:tcBorders>
            <w:vMerge w:val="continue"/>
          </w:tcPr>
          <w:p>
            <w:pPr>
              <w:spacing w:after="0"/>
              <w:rPr>
                <w:sz w:val="17"/>
                <w:szCs w:val="17"/>
                <w:color w:val="auto"/>
              </w:rPr>
            </w:pP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Accounting Officer)</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April 1, 2026</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M. Scott Calhoun</w:t>
            </w:r>
          </w:p>
        </w:tc>
        <w:tc>
          <w:tcPr>
            <w:tcW w:w="5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Dodge</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Chairperson of the Supervisory Board</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April 1, 2026</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David Dodge</w:t>
            </w:r>
          </w:p>
        </w:tc>
        <w:tc>
          <w:tcPr>
            <w:tcW w:w="5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Christopher Schreiber</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Member of the Supervisory Board</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April 1, 2026</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Christopher Schreiber</w:t>
            </w:r>
          </w:p>
        </w:tc>
        <w:tc>
          <w:tcPr>
            <w:tcW w:w="5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Owen May</w:t>
            </w:r>
          </w:p>
        </w:tc>
        <w:tc>
          <w:tcPr>
            <w:tcW w:w="5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Member of the Supervisory Board</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April 1, 2026</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Owen May</w:t>
            </w:r>
          </w:p>
        </w:tc>
        <w:tc>
          <w:tcPr>
            <w:tcW w:w="5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3"/>
        </w:trPr>
        <w:tc>
          <w:tcPr>
            <w:tcW w:w="3360" w:type="dxa"/>
            <w:vAlign w:val="bottom"/>
          </w:tcPr>
          <w:p>
            <w:pPr>
              <w:spacing w:after="0"/>
              <w:rPr>
                <w:sz w:val="24"/>
                <w:szCs w:val="24"/>
                <w:color w:val="auto"/>
              </w:rPr>
            </w:pPr>
          </w:p>
        </w:tc>
        <w:tc>
          <w:tcPr>
            <w:tcW w:w="556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90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36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920" w:type="dxa"/>
            <w:vAlign w:val="bottom"/>
            <w:gridSpan w:val="2"/>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w w:val="97"/>
              </w:rPr>
              <w:t>Sono Group N.V.</w:t>
            </w:r>
          </w:p>
        </w:tc>
        <w:tc>
          <w:tcPr>
            <w:tcW w:w="220" w:type="dxa"/>
            <w:vAlign w:val="bottom"/>
          </w:tcPr>
          <w:p>
            <w:pPr>
              <w:spacing w:after="0"/>
              <w:rPr>
                <w:sz w:val="19"/>
                <w:szCs w:val="19"/>
                <w:color w:val="auto"/>
              </w:rPr>
            </w:pPr>
          </w:p>
        </w:tc>
      </w:tr>
      <w:tr>
        <w:trPr>
          <w:trHeight w:val="405"/>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60" w:type="dxa"/>
            <w:vAlign w:val="bottom"/>
            <w:gridSpan w:val="3"/>
          </w:tcPr>
          <w:p>
            <w:pPr>
              <w:jc w:val="center"/>
              <w:ind w:right="2720"/>
              <w:spacing w:after="0"/>
              <w:rPr>
                <w:sz w:val="20"/>
                <w:szCs w:val="20"/>
                <w:color w:val="auto"/>
              </w:rPr>
            </w:pPr>
            <w:r>
              <w:rPr>
                <w:rFonts w:ascii="Times New Roman" w:cs="Times New Roman" w:eastAsia="Times New Roman" w:hAnsi="Times New Roman"/>
                <w:sz w:val="17"/>
                <w:szCs w:val="17"/>
                <w:b w:val="1"/>
                <w:bCs w:val="1"/>
                <w:color w:val="auto"/>
                <w:w w:val="99"/>
              </w:rPr>
              <w:t>Index to Consolidated Financial Statements</w:t>
            </w:r>
          </w:p>
        </w:tc>
        <w:tc>
          <w:tcPr>
            <w:tcW w:w="220" w:type="dxa"/>
            <w:vAlign w:val="bottom"/>
          </w:tcPr>
          <w:p>
            <w:pPr>
              <w:spacing w:after="0"/>
              <w:rPr>
                <w:sz w:val="24"/>
                <w:szCs w:val="24"/>
                <w:color w:val="auto"/>
              </w:rPr>
            </w:pPr>
          </w:p>
        </w:tc>
      </w:tr>
      <w:tr>
        <w:trPr>
          <w:trHeight w:val="367"/>
        </w:trPr>
        <w:tc>
          <w:tcPr>
            <w:tcW w:w="5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8"/>
              </w:rPr>
              <w:t>Report of Independent Registered Public Accounting Firm (PCAOB ID: 606)</w:t>
            </w:r>
          </w:p>
        </w:tc>
        <w:tc>
          <w:tcPr>
            <w:tcW w:w="5780" w:type="dxa"/>
            <w:vAlign w:val="bottom"/>
          </w:tcPr>
          <w:p>
            <w:pPr>
              <w:spacing w:after="0"/>
              <w:rPr>
                <w:sz w:val="24"/>
                <w:szCs w:val="24"/>
                <w:color w:val="auto"/>
              </w:rPr>
            </w:pPr>
          </w:p>
        </w:tc>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84"/>
              </w:rPr>
              <w:t>F-1</w:t>
            </w:r>
          </w:p>
        </w:tc>
      </w:tr>
      <w:tr>
        <w:trPr>
          <w:trHeight w:val="182"/>
        </w:trPr>
        <w:tc>
          <w:tcPr>
            <w:tcW w:w="196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Balance Sheets</w:t>
            </w:r>
          </w:p>
        </w:tc>
        <w:tc>
          <w:tcPr>
            <w:tcW w:w="9060" w:type="dxa"/>
            <w:vAlign w:val="bottom"/>
            <w:gridSpan w:val="6"/>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F-2</w:t>
            </w:r>
          </w:p>
        </w:tc>
      </w:tr>
      <w:tr>
        <w:trPr>
          <w:trHeight w:val="182"/>
        </w:trPr>
        <w:tc>
          <w:tcPr>
            <w:tcW w:w="264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Statements of Operations</w:t>
            </w:r>
          </w:p>
        </w:tc>
        <w:tc>
          <w:tcPr>
            <w:tcW w:w="8380" w:type="dxa"/>
            <w:vAlign w:val="bottom"/>
            <w:gridSpan w:val="5"/>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F-3</w:t>
            </w:r>
          </w:p>
        </w:tc>
      </w:tr>
      <w:tr>
        <w:trPr>
          <w:trHeight w:val="182"/>
        </w:trPr>
        <w:tc>
          <w:tcPr>
            <w:tcW w:w="4100" w:type="dxa"/>
            <w:vAlign w:val="bottom"/>
            <w:tcBorders>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7"/>
                <w:szCs w:val="17"/>
                <w:color w:val="0000EE"/>
                <w:w w:val="98"/>
              </w:rPr>
              <w:t>Consolidated Statements of Changes in Shareholders' Equity</w:t>
            </w:r>
          </w:p>
        </w:tc>
        <w:tc>
          <w:tcPr>
            <w:tcW w:w="6920" w:type="dxa"/>
            <w:vAlign w:val="bottom"/>
            <w:gridSpan w:val="2"/>
          </w:tcPr>
          <w:p>
            <w:pPr>
              <w:spacing w:after="0"/>
              <w:rPr>
                <w:sz w:val="15"/>
                <w:szCs w:val="15"/>
                <w:color w:val="auto"/>
              </w:rPr>
            </w:pPr>
          </w:p>
        </w:tc>
        <w:tc>
          <w:tcPr>
            <w:tcW w:w="2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84"/>
              </w:rPr>
              <w:t>F-4</w:t>
            </w:r>
          </w:p>
        </w:tc>
      </w:tr>
      <w:tr>
        <w:trPr>
          <w:trHeight w:val="182"/>
        </w:trPr>
        <w:tc>
          <w:tcPr>
            <w:tcW w:w="1102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2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84"/>
              </w:rPr>
              <w:t>F-5</w:t>
            </w:r>
          </w:p>
        </w:tc>
      </w:tr>
      <w:tr>
        <w:trPr>
          <w:trHeight w:val="20"/>
        </w:trPr>
        <w:tc>
          <w:tcPr>
            <w:tcW w:w="26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182"/>
        </w:trPr>
        <w:tc>
          <w:tcPr>
            <w:tcW w:w="1102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2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EE"/>
                <w:w w:val="84"/>
              </w:rPr>
              <w:t>F-6</w:t>
            </w:r>
          </w:p>
        </w:tc>
      </w:tr>
      <w:tr>
        <w:trPr>
          <w:trHeight w:val="1971"/>
        </w:trPr>
        <w:tc>
          <w:tcPr>
            <w:tcW w:w="196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02" w:right="339" w:bottom="1440" w:gutter="0" w:footer="0" w:header="0"/>
        </w:sectPr>
      </w:pPr>
    </w:p>
    <w:bookmarkStart w:id="94" w:name="page95"/>
    <w:bookmarkEnd w:id="94"/>
    <w:p>
      <w:pPr>
        <w:ind w:left="27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Audit Committee, Supervisory Board and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of Sono Group N.V.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Sono Group N.V. (the “Company”) as of December 31, 2025 and 2024, and the related consolidated statements of operations,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about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Ability to Continue as a Going Concern</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3 to the financial statements, the Company (i) has incurred recurring operating losses and negative cash flows from operations since inception resulting in an accumulated deficit and negative equity, (ii) has a significant amount of convertible debentures nearing maturity, and (iii) is subject to various uncertainties related to the Company’s digital asset treasury strategy and exit from Sono Motors GmbH in 2026, which raise substantial doubt about its ability to continue as a going concern. Management’s plans in regard to these matters are also described in Note 3. The financial statements do not include any adjustments that might result from the outcome of this uncertainty.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GRASSI &amp; CO., CPAs, P.C.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Glastonbury, Connecticut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21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195"/>
        </w:trPr>
        <w:tc>
          <w:tcPr>
            <w:tcW w:w="8000" w:type="dxa"/>
            <w:vAlign w:val="bottom"/>
          </w:tcPr>
          <w:p>
            <w:pPr>
              <w:spacing w:after="0"/>
              <w:rPr>
                <w:sz w:val="16"/>
                <w:szCs w:val="16"/>
                <w:color w:val="auto"/>
              </w:rPr>
            </w:pPr>
          </w:p>
        </w:tc>
        <w:tc>
          <w:tcPr>
            <w:tcW w:w="15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5"/>
        </w:trPr>
        <w:tc>
          <w:tcPr>
            <w:tcW w:w="8000" w:type="dxa"/>
            <w:vAlign w:val="bottom"/>
          </w:tcPr>
          <w:p>
            <w:pPr>
              <w:spacing w:after="0"/>
              <w:rPr>
                <w:sz w:val="16"/>
                <w:szCs w:val="16"/>
                <w:color w:val="auto"/>
              </w:rPr>
            </w:pPr>
          </w:p>
        </w:tc>
        <w:tc>
          <w:tcPr>
            <w:tcW w:w="158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KEUR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KEUR</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1,354</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Inventory</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304</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taxes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531</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103</w:t>
            </w:r>
          </w:p>
        </w:tc>
      </w:tr>
      <w:tr>
        <w:trPr>
          <w:trHeight w:val="19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2,292</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129</w:t>
            </w:r>
          </w:p>
        </w:tc>
      </w:tr>
      <w:tr>
        <w:trPr>
          <w:trHeight w:val="20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lease assets</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630</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1,424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3,051</w:t>
            </w:r>
          </w:p>
        </w:tc>
      </w:tr>
      <w:tr>
        <w:trPr>
          <w:trHeight w:val="195"/>
        </w:trPr>
        <w:tc>
          <w:tcPr>
            <w:tcW w:w="80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575</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current portion</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58</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notes payable at fair value</w:t>
            </w: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24,035</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VAT payable</w:t>
            </w: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487</w:t>
            </w:r>
          </w:p>
        </w:tc>
      </w:tr>
      <w:tr>
        <w:trPr>
          <w:trHeight w:val="20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25,160</w:t>
            </w: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long term portion</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572</w:t>
            </w:r>
          </w:p>
        </w:tc>
      </w:tr>
      <w:tr>
        <w:trPr>
          <w:trHeight w:val="202"/>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80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1,531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25,732</w:t>
            </w:r>
          </w:p>
        </w:tc>
      </w:tr>
      <w:tr>
        <w:trPr>
          <w:trHeight w:val="195"/>
        </w:trPr>
        <w:tc>
          <w:tcPr>
            <w:tcW w:w="80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(see Note 14)</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6"/>
        </w:trPr>
        <w:tc>
          <w:tcPr>
            <w:tcW w:w="80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Preferred Shares, par value €300.00 per share, 1,401 shares authorized, 1,401 and 0 shares issued and outstanding as</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December 31, 2025 and December 31, 2024, respectively (1)</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80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Ordinary Shares, par value €0.01 per share, 120,000,000 shares authorized, 1,424,834 and 1,409,885 shares issued</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and outstanding as of December 31, 2025 and December 31, 2024, respectively (1)</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r>
      <w:tr>
        <w:trPr>
          <w:trHeight w:val="186"/>
        </w:trPr>
        <w:tc>
          <w:tcPr>
            <w:tcW w:w="80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High Voting Shares, par value €0.25 per share, 40,000 shares authorized, 40,000 shares issued and outstanding as of</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2025 and December 31, 2024, respectively (1)</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316,862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298,699</w:t>
            </w:r>
          </w:p>
        </w:tc>
      </w:tr>
      <w:tr>
        <w:trPr>
          <w:trHeight w:val="20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(317,413)</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(321,428)</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(22,681)</w:t>
            </w:r>
          </w:p>
        </w:tc>
      </w:tr>
      <w:tr>
        <w:trPr>
          <w:trHeight w:val="195"/>
        </w:trPr>
        <w:tc>
          <w:tcPr>
            <w:tcW w:w="80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1,424</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3,051</w:t>
            </w:r>
          </w:p>
        </w:tc>
      </w:tr>
    </w:tbl>
    <w:p>
      <w:pPr>
        <w:spacing w:after="0" w:line="186" w:lineRule="exact"/>
        <w:rPr>
          <w:sz w:val="20"/>
          <w:szCs w:val="20"/>
          <w:color w:val="auto"/>
        </w:rPr>
      </w:pPr>
    </w:p>
    <w:p>
      <w:pPr>
        <w:ind w:left="680" w:right="140" w:hanging="337"/>
        <w:spacing w:after="0" w:line="257"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Debt Conversion and implementation of proposals approved at January 2024 EGM, the Company also decreased the nominal value per share from €0.02 to €0.01 for Ordinary Shares and from €0.50 to €0.25 for High Voting Shares. At the same time the authorized share capital was changed from 4,300,000 to 120,000,000 Ordinary Shares, from 53,400 to 40,000 High Voting Shares, and from no Preferred Shares to 1,401 Preferred Shares.</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See the accompanying notes to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195"/>
        </w:trPr>
        <w:tc>
          <w:tcPr>
            <w:tcW w:w="6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5"/>
        </w:trPr>
        <w:tc>
          <w:tcPr>
            <w:tcW w:w="6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KEUR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KEUR</w:t>
            </w: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7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95"/>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67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 and Costs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and distribution expenses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678</w:t>
            </w: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4,648</w:t>
            </w: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1,118</w:t>
            </w: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Gain on reconsolidation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(62,554)</w:t>
            </w:r>
          </w:p>
        </w:tc>
      </w:tr>
      <w:tr>
        <w:trPr>
          <w:trHeight w:val="202"/>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w:t>
            </w:r>
          </w:p>
        </w:tc>
        <w:tc>
          <w:tcPr>
            <w:tcW w:w="1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195"/>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 and Costs</w:t>
            </w: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7,754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(56,508)</w:t>
            </w:r>
          </w:p>
        </w:tc>
      </w:tr>
      <w:tr>
        <w:trPr>
          <w:trHeight w:val="195"/>
        </w:trPr>
        <w:tc>
          <w:tcPr>
            <w:tcW w:w="67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56,508</w:t>
            </w:r>
          </w:p>
        </w:tc>
      </w:tr>
      <w:tr>
        <w:trPr>
          <w:trHeight w:val="202"/>
        </w:trPr>
        <w:tc>
          <w:tcPr>
            <w:tcW w:w="6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6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Income from changes in fair value of convertible note payable carried at fair value</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11,108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8,923</w:t>
            </w: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 (loss)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02"/>
        </w:trPr>
        <w:tc>
          <w:tcPr>
            <w:tcW w:w="6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5"/>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1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11,712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8,518</w:t>
            </w:r>
          </w:p>
        </w:tc>
      </w:tr>
      <w:tr>
        <w:trPr>
          <w:trHeight w:val="195"/>
        </w:trPr>
        <w:tc>
          <w:tcPr>
            <w:tcW w:w="6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2"/>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4,015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65,026</w:t>
            </w:r>
          </w:p>
        </w:tc>
      </w:tr>
      <w:tr>
        <w:trPr>
          <w:trHeight w:val="195"/>
        </w:trPr>
        <w:tc>
          <w:tcPr>
            <w:tcW w:w="6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 to common shareholders: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44.86</w:t>
            </w:r>
          </w:p>
        </w:tc>
      </w:tr>
      <w:tr>
        <w:trPr>
          <w:trHeight w:val="202"/>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0.50</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3.77</w:t>
            </w:r>
          </w:p>
        </w:tc>
      </w:tr>
      <w:tr>
        <w:trPr>
          <w:trHeight w:val="202"/>
        </w:trPr>
        <w:tc>
          <w:tcPr>
            <w:tcW w:w="6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common shares:</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1,456,914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1,449,485</w:t>
            </w:r>
          </w:p>
        </w:tc>
      </w:tr>
      <w:tr>
        <w:trPr>
          <w:trHeight w:val="202"/>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8,034,644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17,254,895</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the accompanying notes to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CHANGES IN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9"/>
              </w:rPr>
              <w:t>High</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7"/>
              </w:rPr>
              <w:t>Ordinary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3"/>
              </w:rPr>
              <w:t>Voting</w:t>
            </w:r>
          </w:p>
        </w:tc>
        <w:tc>
          <w:tcPr>
            <w:tcW w:w="100" w:type="dxa"/>
            <w:vAlign w:val="bottom"/>
          </w:tcPr>
          <w:p>
            <w:pPr>
              <w:spacing w:after="0"/>
              <w:rPr>
                <w:sz w:val="17"/>
                <w:szCs w:val="17"/>
                <w:color w:val="auto"/>
              </w:rPr>
            </w:pPr>
          </w:p>
        </w:tc>
        <w:tc>
          <w:tcPr>
            <w:tcW w:w="8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High</w:t>
            </w:r>
          </w:p>
        </w:tc>
        <w:tc>
          <w:tcPr>
            <w:tcW w:w="100" w:type="dxa"/>
            <w:vAlign w:val="bottom"/>
          </w:tcPr>
          <w:p>
            <w:pPr>
              <w:spacing w:after="0"/>
              <w:rPr>
                <w:sz w:val="17"/>
                <w:szCs w:val="17"/>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Preferred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Additional</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Total</w:t>
            </w:r>
          </w:p>
        </w:tc>
      </w:tr>
      <w:tr>
        <w:trPr>
          <w:trHeight w:val="202"/>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6"/>
              </w:rPr>
              <w:t>Shares</w:t>
            </w:r>
          </w:p>
        </w:tc>
        <w:tc>
          <w:tcPr>
            <w:tcW w:w="100" w:type="dxa"/>
            <w:vAlign w:val="bottom"/>
          </w:tcPr>
          <w:p>
            <w:pPr>
              <w:spacing w:after="0"/>
              <w:rPr>
                <w:sz w:val="17"/>
                <w:szCs w:val="17"/>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Ordinary</w:t>
            </w:r>
          </w:p>
        </w:tc>
        <w:tc>
          <w:tcPr>
            <w:tcW w:w="120" w:type="dxa"/>
            <w:vAlign w:val="bottom"/>
          </w:tcPr>
          <w:p>
            <w:pPr>
              <w:spacing w:after="0"/>
              <w:rPr>
                <w:sz w:val="17"/>
                <w:szCs w:val="17"/>
                <w:color w:val="auto"/>
              </w:rPr>
            </w:pPr>
          </w:p>
        </w:tc>
        <w:tc>
          <w:tcPr>
            <w:tcW w:w="9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6"/>
              </w:rPr>
              <w:t>Shares</w:t>
            </w:r>
          </w:p>
        </w:tc>
        <w:tc>
          <w:tcPr>
            <w:tcW w:w="100" w:type="dxa"/>
            <w:vAlign w:val="bottom"/>
          </w:tcPr>
          <w:p>
            <w:pPr>
              <w:spacing w:after="0"/>
              <w:rPr>
                <w:sz w:val="17"/>
                <w:szCs w:val="17"/>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Voting</w:t>
            </w:r>
          </w:p>
        </w:tc>
        <w:tc>
          <w:tcPr>
            <w:tcW w:w="100" w:type="dxa"/>
            <w:vAlign w:val="bottom"/>
          </w:tcPr>
          <w:p>
            <w:pPr>
              <w:spacing w:after="0"/>
              <w:rPr>
                <w:sz w:val="17"/>
                <w:szCs w:val="17"/>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Shared</w:t>
            </w:r>
          </w:p>
        </w:tc>
        <w:tc>
          <w:tcPr>
            <w:tcW w:w="100" w:type="dxa"/>
            <w:vAlign w:val="bottom"/>
          </w:tcPr>
          <w:p>
            <w:pPr>
              <w:spacing w:after="0"/>
              <w:rPr>
                <w:sz w:val="17"/>
                <w:szCs w:val="17"/>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Preferred</w:t>
            </w:r>
          </w:p>
        </w:tc>
        <w:tc>
          <w:tcPr>
            <w:tcW w:w="100" w:type="dxa"/>
            <w:vAlign w:val="bottom"/>
          </w:tcPr>
          <w:p>
            <w:pPr>
              <w:spacing w:after="0"/>
              <w:rPr>
                <w:sz w:val="17"/>
                <w:szCs w:val="17"/>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6"/>
              </w:rPr>
              <w:t>Paid in</w:t>
            </w: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Accumulated</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Shareholder’s</w:t>
            </w:r>
          </w:p>
        </w:tc>
      </w:tr>
      <w:tr>
        <w:trPr>
          <w:trHeight w:val="218"/>
        </w:trPr>
        <w:tc>
          <w:tcPr>
            <w:tcW w:w="20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Outstanding</w:t>
            </w:r>
          </w:p>
        </w:tc>
        <w:tc>
          <w:tcPr>
            <w:tcW w:w="1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8"/>
                <w:szCs w:val="18"/>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Outstanding</w:t>
            </w:r>
          </w:p>
        </w:tc>
        <w:tc>
          <w:tcPr>
            <w:tcW w:w="1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8"/>
                <w:szCs w:val="18"/>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Capital</w:t>
            </w:r>
          </w:p>
        </w:tc>
        <w:tc>
          <w:tcPr>
            <w:tcW w:w="100" w:type="dxa"/>
            <w:vAlign w:val="bottom"/>
          </w:tcPr>
          <w:p>
            <w:pPr>
              <w:spacing w:after="0"/>
              <w:rPr>
                <w:sz w:val="18"/>
                <w:szCs w:val="18"/>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8"/>
                <w:szCs w:val="18"/>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Deficit</w:t>
            </w:r>
          </w:p>
        </w:tc>
      </w:tr>
      <w:tr>
        <w:trPr>
          <w:trHeight w:val="211"/>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KEUR</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KEUR</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KEUR</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9"/>
              </w:rPr>
              <w:t>KEUR</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rPr>
              <w:t>KEUR</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87"/>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0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Balance at December 31,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1,408,895</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85</w:t>
            </w:r>
          </w:p>
        </w:tc>
        <w:tc>
          <w:tcPr>
            <w:tcW w:w="10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40,000</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298,621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(87,688)</w:t>
            </w:r>
          </w:p>
        </w:tc>
      </w:tr>
      <w:tr>
        <w:trPr>
          <w:trHeight w:val="202"/>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20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Retroactive reclassification of</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par value in connection</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with December 2024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nominal share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price</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2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Issuance of Ordinary Shares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connection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2024 reverse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 split</w:t>
            </w: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0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981</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r>
      <w:tr>
        <w:trPr>
          <w:trHeight w:val="186"/>
        </w:trPr>
        <w:tc>
          <w:tcPr>
            <w:tcW w:w="2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Cancellation of options on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termination</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3"/>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for the period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65,026</w:t>
            </w:r>
          </w:p>
        </w:tc>
        <w:tc>
          <w:tcPr>
            <w:tcW w:w="11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65,026</w:t>
            </w:r>
          </w:p>
        </w:tc>
      </w:tr>
      <w:tr>
        <w:trPr>
          <w:trHeight w:val="195"/>
        </w:trPr>
        <w:tc>
          <w:tcPr>
            <w:tcW w:w="20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186"/>
        </w:trPr>
        <w:tc>
          <w:tcPr>
            <w:tcW w:w="20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Balance at December 31,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0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1,409,885</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28</w:t>
            </w:r>
          </w:p>
        </w:tc>
        <w:tc>
          <w:tcPr>
            <w:tcW w:w="10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40,000</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298,699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(321,428)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(22,681)</w:t>
            </w:r>
          </w:p>
        </w:tc>
      </w:tr>
      <w:tr>
        <w:trPr>
          <w:trHeight w:val="202"/>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20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Ordinary Shares</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 connection with</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2024 reverse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split</w:t>
            </w:r>
          </w:p>
        </w:tc>
        <w:tc>
          <w:tcPr>
            <w:tcW w:w="10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2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Issuance of Ordinary Shares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connection with SPA in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July 2024</w:t>
            </w: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14,265</w:t>
            </w: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85</w:t>
            </w:r>
          </w:p>
        </w:tc>
      </w:tr>
      <w:tr>
        <w:trPr>
          <w:trHeight w:val="186"/>
        </w:trPr>
        <w:tc>
          <w:tcPr>
            <w:tcW w:w="20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Preferred Shares</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 September 2025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1,401</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420</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18,051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18,471</w:t>
            </w:r>
          </w:p>
        </w:tc>
      </w:tr>
      <w:tr>
        <w:trPr>
          <w:trHeight w:val="186"/>
        </w:trPr>
        <w:tc>
          <w:tcPr>
            <w:tcW w:w="2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Reclassification of par value</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connection with</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September 2025 change in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2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nominal share price</w:t>
            </w:r>
          </w:p>
        </w:tc>
        <w:tc>
          <w:tcPr>
            <w:tcW w:w="8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0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r>
      <w:tr>
        <w:trPr>
          <w:trHeight w:val="202"/>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Income for the period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4,015</w:t>
            </w:r>
          </w:p>
        </w:tc>
        <w:tc>
          <w:tcPr>
            <w:tcW w:w="11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4,015</w:t>
            </w:r>
          </w:p>
        </w:tc>
      </w:tr>
      <w:tr>
        <w:trPr>
          <w:trHeight w:val="195"/>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186"/>
        </w:trPr>
        <w:tc>
          <w:tcPr>
            <w:tcW w:w="2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Balance at December 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1,424,834</w:t>
            </w: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w:t>
            </w: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40,000</w:t>
            </w: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1,401</w:t>
            </w: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420</w:t>
            </w:r>
          </w:p>
        </w:tc>
        <w:tc>
          <w:tcPr>
            <w:tcW w:w="9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316,862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(317,413)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w:t>
            </w:r>
          </w:p>
        </w:tc>
      </w:tr>
    </w:tbl>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See the accompanying notes to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240" w:type="dxa"/>
            <w:vAlign w:val="bottom"/>
            <w:tcBorders>
              <w:bottom w:val="single" w:sz="8" w:color="auto"/>
            </w:tcBorders>
            <w:gridSpan w:val="3"/>
          </w:tcPr>
          <w:p>
            <w:pPr>
              <w:jc w:val="right"/>
              <w:ind w:right="1176"/>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175"/>
        </w:trPr>
        <w:tc>
          <w:tcPr>
            <w:tcW w:w="8000" w:type="dxa"/>
            <w:vAlign w:val="bottom"/>
          </w:tcPr>
          <w:p>
            <w:pPr>
              <w:spacing w:after="0"/>
              <w:rPr>
                <w:sz w:val="15"/>
                <w:szCs w:val="15"/>
                <w:color w:val="auto"/>
              </w:rPr>
            </w:pPr>
          </w:p>
        </w:tc>
        <w:tc>
          <w:tcPr>
            <w:tcW w:w="1580" w:type="dxa"/>
            <w:vAlign w:val="bottom"/>
          </w:tcPr>
          <w:p>
            <w:pPr>
              <w:jc w:val="right"/>
              <w:ind w:right="76"/>
              <w:spacing w:after="0" w:line="175" w:lineRule="exact"/>
              <w:rPr>
                <w:sz w:val="20"/>
                <w:szCs w:val="20"/>
                <w:color w:val="auto"/>
              </w:rPr>
            </w:pPr>
            <w:r>
              <w:rPr>
                <w:rFonts w:ascii="Times New Roman" w:cs="Times New Roman" w:eastAsia="Times New Roman" w:hAnsi="Times New Roman"/>
                <w:sz w:val="17"/>
                <w:szCs w:val="17"/>
                <w:b w:val="1"/>
                <w:bCs w:val="1"/>
                <w:color w:val="auto"/>
              </w:rPr>
              <w:t>December 31, 2025</w:t>
            </w:r>
          </w:p>
        </w:tc>
        <w:tc>
          <w:tcPr>
            <w:tcW w:w="120" w:type="dxa"/>
            <w:vAlign w:val="bottom"/>
          </w:tcPr>
          <w:p>
            <w:pPr>
              <w:spacing w:after="0"/>
              <w:rPr>
                <w:sz w:val="15"/>
                <w:szCs w:val="15"/>
                <w:color w:val="auto"/>
              </w:rPr>
            </w:pPr>
          </w:p>
        </w:tc>
        <w:tc>
          <w:tcPr>
            <w:tcW w:w="1540" w:type="dxa"/>
            <w:vAlign w:val="bottom"/>
          </w:tcPr>
          <w:p>
            <w:pPr>
              <w:jc w:val="right"/>
              <w:ind w:right="56"/>
              <w:spacing w:after="0" w:line="175" w:lineRule="exact"/>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23"/>
        </w:trPr>
        <w:tc>
          <w:tcPr>
            <w:tcW w:w="8000" w:type="dxa"/>
            <w:vAlign w:val="bottom"/>
          </w:tcPr>
          <w:p>
            <w:pPr>
              <w:spacing w:after="0"/>
              <w:rPr>
                <w:sz w:val="19"/>
                <w:szCs w:val="19"/>
                <w:color w:val="auto"/>
              </w:rPr>
            </w:pPr>
          </w:p>
        </w:tc>
        <w:tc>
          <w:tcPr>
            <w:tcW w:w="15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KEUR</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KEUR</w:t>
            </w:r>
          </w:p>
        </w:tc>
      </w:tr>
      <w:tr>
        <w:trPr>
          <w:trHeight w:val="195"/>
        </w:trPr>
        <w:tc>
          <w:tcPr>
            <w:tcW w:w="8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4,015</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65,026</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18</w:t>
            </w: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reconsolidation</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(62,554)</w:t>
            </w: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from changes in fair value of convertible note payable carried at fair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(8,923)</w:t>
            </w:r>
          </w:p>
        </w:tc>
      </w:tr>
      <w:tr>
        <w:trPr>
          <w:trHeight w:val="20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lease expense</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49</w:t>
            </w: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non-cash (income) / expense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357</w:t>
            </w: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0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taxes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428</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150</w:t>
            </w: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675</w:t>
            </w:r>
          </w:p>
        </w:tc>
      </w:tr>
      <w:tr>
        <w:trPr>
          <w:trHeight w:val="20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535</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5,106</w:t>
            </w: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Lease Liability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VAT payable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(13,862)</w:t>
            </w:r>
          </w:p>
        </w:tc>
      </w:tr>
      <w:tr>
        <w:trPr>
          <w:trHeight w:val="202"/>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(14,330)</w:t>
            </w:r>
          </w:p>
        </w:tc>
      </w:tr>
      <w:tr>
        <w:trPr>
          <w:trHeight w:val="202"/>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Reconsolidation of the Subsidiary cash balance</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1,305</w:t>
            </w:r>
          </w:p>
        </w:tc>
      </w:tr>
      <w:tr>
        <w:trPr>
          <w:trHeight w:val="195"/>
        </w:trPr>
        <w:tc>
          <w:tcPr>
            <w:tcW w:w="8000" w:type="dxa"/>
            <w:vAlign w:val="bottom"/>
            <w:tcBorders>
              <w:top w:val="single" w:sz="8" w:color="CCEEFF"/>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1,225</w:t>
            </w:r>
          </w:p>
        </w:tc>
      </w:tr>
      <w:tr>
        <w:trPr>
          <w:trHeight w:val="202"/>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issuance of convertible notes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5,990</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7,000</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issuance of shares from conversion of employee options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Ordinary Shares in private placement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85</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800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6,078</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7,000</w:t>
            </w:r>
          </w:p>
        </w:tc>
      </w:tr>
      <w:tr>
        <w:trPr>
          <w:trHeight w:val="20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currency translation on cash</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(6,058)</w:t>
            </w: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at December 31, 2024</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1,354</w:t>
            </w:r>
          </w:p>
        </w:tc>
        <w:tc>
          <w:tcPr>
            <w:tcW w:w="1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7,412</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at December 31, 2025</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206</w:t>
            </w:r>
          </w:p>
        </w:tc>
        <w:tc>
          <w:tcPr>
            <w:tcW w:w="1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1,354</w:t>
            </w:r>
          </w:p>
        </w:tc>
      </w:tr>
      <w:tr>
        <w:trPr>
          <w:trHeight w:val="202"/>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paid during the period for income tax</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 exchanged for preferred stock</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18,471</w:t>
            </w:r>
          </w:p>
        </w:tc>
        <w:tc>
          <w:tcPr>
            <w:tcW w:w="120" w:type="dxa"/>
            <w:vAlign w:val="bottom"/>
          </w:tcPr>
          <w:p>
            <w:pPr>
              <w:spacing w:after="0"/>
              <w:rPr>
                <w:sz w:val="18"/>
                <w:szCs w:val="18"/>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the accompanying notes to these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BUSINESS AND BUSINESS PRESENTATION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Business</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 On September 4, 2025, the Company received approval to list its ordinary shares on the Nasdaq Capital Market, and the ordinary shares commenced trading on Nasdaq under the ticker symbol “SSM” on September 5, 2025.</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wholly-owned subsidiary, Sono Motors GmbH (“Sono Motors” or the “Subsidiary”), is registered in the commercial register (</w:t>
      </w:r>
      <w:r>
        <w:rPr>
          <w:rFonts w:ascii="Times New Roman" w:cs="Times New Roman" w:eastAsia="Times New Roman" w:hAnsi="Times New Roman"/>
          <w:sz w:val="17"/>
          <w:szCs w:val="17"/>
          <w:i w:val="1"/>
          <w:iCs w:val="1"/>
          <w:color w:val="auto"/>
        </w:rPr>
        <w:t>Handelsregister</w:t>
      </w:r>
      <w:r>
        <w:rPr>
          <w:rFonts w:ascii="Times New Roman" w:cs="Times New Roman" w:eastAsia="Times New Roman" w:hAnsi="Times New Roman"/>
          <w:sz w:val="17"/>
          <w:szCs w:val="17"/>
          <w:color w:val="auto"/>
        </w:rPr>
        <w:t>) at the local court (</w:t>
      </w:r>
      <w:r>
        <w:rPr>
          <w:rFonts w:ascii="Times New Roman" w:cs="Times New Roman" w:eastAsia="Times New Roman" w:hAnsi="Times New Roman"/>
          <w:sz w:val="17"/>
          <w:szCs w:val="17"/>
          <w:i w:val="1"/>
          <w:iCs w:val="1"/>
          <w:color w:val="auto"/>
        </w:rPr>
        <w:t>Amtsgericht</w:t>
      </w:r>
      <w:r>
        <w:rPr>
          <w:rFonts w:ascii="Times New Roman" w:cs="Times New Roman" w:eastAsia="Times New Roman" w:hAnsi="Times New Roman"/>
          <w:sz w:val="17"/>
          <w:szCs w:val="17"/>
          <w:color w:val="auto"/>
        </w:rPr>
        <w:t>) of Munich, Germany, under HRB 224131. Sono Motors’ registered headquarters is Waldmeisterstraße 93, 80935 Munich, Germany. Sono N.V.’s wholly-owned subsidiary Sono Group S.à r.l., a private limited liability company (société à responsabilité limitée) incorporated under the laws of the Grand Duchy of Luxembourg, having its registered office at 8 Avenue de la Gare, L-1610 Luxembourg, Grand Duchy of Luxembourg. Such subsidiary was funded with €12,000 for purposes of providing share capital, and it has no operations at this time. Sono N.V. is the ultimate parent of the Group. Hereinafter, Sono N.V. and its consolidated subsidiary collectively are referred to as “Sono Group”, or the “Group”, “Management”, “we” and “us”.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Subsequent to December 31, 2025, the Company's management board, with the approval of the supervisory board, adopted the Treasury Strategy (as defined herein), under which the principal holding in the Company's treasury reserve will be allocated to digital assets, principally Bitcoin, by applying a covered-call yield strategy. In connection with the Treasury Strategy, the Company entered into a series of agreements with Blockchain.com (BVI) II Limited to facilitate related derivative and hedging transactions. Concurrently, the Company determined to cease funding to the Subsidiary (Sono Motors GmbH) and to initiate its exit from the legacy solar operations. The Company intends to solicit the ratification by its shareholders of the engagement by the Company in the Treasury Strategy. See “Note 16 Subsequent Events” and “Note 3 Liquidity and Going Concern” for additional information.</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reflect all adjustments including normal recurring adjustments, which, in the opinion of management, are necessary to present fairly the financial position, results of operations and cash flows for the periods presented in accordance with the accounting principles generally accepted in the United States of America (“U.S. GAAP”).</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 consolidated basis, the Company’s operations are comprised of the parent company, Sono N.V. and its subsidiary, Sono Motors. All significant intercompany transactions and balances have been eliminated upon consolidation. In addition, certain amounts in the prior periods consolidated financial statements have been reclassified to conform to the current period presentation.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SIGNIFICANT ACCOUNTING POLICIES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significant accounting policies applied in the presentation of the accompanying consolidated financial statements follows: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U.S. GAAP and pursuant to the rules and regulations of the Securities and Exchange Commission ("SEC") for annual financial reporting. All amounts referred to in the notes to the consolidated financial statements are presented in euros (EUR) and have been rounded to the nearest thousand, unless otherwise stated. Substantially all of the Company’s operations are conducted in EUR and the current reporting currency is the same as the functional currency.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Use of Estimates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certain reported amounts of assets and liabilities and disclosures of contingent assets and liabilities at the date of the consolidated financial statements, and the reported amounts of revenues and expenses during the reporting period. Accordingly, actual results could differ from those estimates. Significant estimates include assumptions about cash flow and fair value assumptions associated with measurements of convertible notes payable carried at fair value, valuation of inventory; the valuation and recognition of stock-based compensation expense; valuation allowance for deferred tax assets; and borrowing rate consideration for right-of-use (“ROU”) lease assets including related lease liability and useful life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SIGNIFICANT ACCOUNTING POLICIES (CONTINUED)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financial statement purposes, the Company considers all highly liquid investments with original maturities of three months or less to be cash and cash equivalents. Accounts maintained in US bank accounts are insured by the Federal Deposit Insurance Corporation (“FDIC”) up to US$250,000. The Company had US$0.0M and $0.0M in US bank cash balances in excess of the FDIC insured limit as of December 31, 2025 and December 31, 2024,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accounts for leases pursuant to ASC 842 “Leases”. Accordingly, for new leases, the Company will determine if an arrangement is or contains a lease at inception. Leases are included as ROU assets within other assets and lease liabilities within current liabilities and within other long-term liabilities on the Company’s consolidated balance sheets. Additionally, the Company elected the exemption available under ASC 842-20-25-2 for short term lease agreements and recognizes lease payments on a straight line basis.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ROU assets and lease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The ROU asset also includes any lease payments made and excludes lease incentives. Lease expense for lease payments is recognized on a straight-line basis over the lease term. See Note 8 for more complete details on balances as of the reporting periods presented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Inventory</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Inventory consisting of stock used in development, is stated at the lower of cost or net realizable value. Cost is determined by the first-in, first-out method. Stock counts are taken routinely and obsolete, outdated inventory is directly charged off to the cost of sales.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SIGNIFICANT ACCOUNTING POLICIES (CONTINUED)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Concentrations of Credit Risk</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Company’s financial instruments that are exposed to a concentration of credit risk are cash and accounts receivable. Generally, the Company’s cash and cash equivalents are in checking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Property and Equipment</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Property and equipment are stated at cost. When retired or otherwise disposed of, the related carrying value and accumulated depreciation are removed from the respective accounts and the net difference, less any amount realized from disposition, is reflected in earnings. For consolidated financial statement purposes, property and equipment are recorded at cost and depreciated using the straight-line method over their estimated useful lives of 5 to 7 years. The cost of repairs and maintenance is expensed as incurred; major replacements and improvements are capitalized.</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examines the possibility of decreases in the value of fixed assets when events or changes in circumstances reflect the fact that their recorded value may not be recoverable. The Company recognizes an impairment loss when the sum of expected undiscounted future cash flows is less than the carrying amount of the asset. The amount of impairment is measured as the difference between the asset’s estimated fair value and its book value. During the twelve months ending December 31, 2025 and 2024 there were no indicators of impairment.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Revenue recognition is based on Accounting Standards Codification (ASC) Topic 606 – Revenue from Contracts with Customers. In general, the Company recognizes revenue when the amount of revenue can be reliably measured, it is probable that future economic benefits will flow to the Company, where there is evidence of an arrangement, when the selling price is fixed or determinable, and when specific criteria have been met or there are no significant remaining performance obligations for each of the Company's activities as described below. Revenue is recognized at the point in time when control of the goods or services is transferred to the customer. The Company typically recognizes revenue upon formal acceptance by the customer. Control is considered to be transferred when the customer has the ability to direct the use of and obtain substantially all of the remaining benefits of that good. We consider this the point at which the performance obligation is fulfilled, and the customer obtains control of the promised good or service.</w:t>
      </w:r>
    </w:p>
    <w:p>
      <w:pPr>
        <w:spacing w:after="0" w:line="177" w:lineRule="exact"/>
        <w:rPr>
          <w:sz w:val="20"/>
          <w:szCs w:val="20"/>
          <w:color w:val="auto"/>
        </w:rPr>
      </w:pPr>
    </w:p>
    <w:p>
      <w:pPr>
        <w:ind w:left="1160" w:hanging="577"/>
        <w:spacing w:after="0" w:line="276" w:lineRule="auto"/>
        <w:tabs>
          <w:tab w:leader="none" w:pos="11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Products: Revenue is recognized upon delivery and successful customer acceptance (i.e., transfer of risks and rewards as well as physical possession).</w:t>
      </w:r>
    </w:p>
    <w:p>
      <w:pPr>
        <w:spacing w:after="0" w:line="157" w:lineRule="exact"/>
        <w:rPr>
          <w:rFonts w:ascii="Times New Roman" w:cs="Times New Roman" w:eastAsia="Times New Roman" w:hAnsi="Times New Roman"/>
          <w:sz w:val="17"/>
          <w:szCs w:val="17"/>
          <w:color w:val="auto"/>
        </w:rPr>
      </w:pPr>
    </w:p>
    <w:p>
      <w:pPr>
        <w:ind w:left="1160" w:hanging="577"/>
        <w:spacing w:after="0" w:line="276" w:lineRule="auto"/>
        <w:tabs>
          <w:tab w:leader="none" w:pos="11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Services: Revenue is also recognized upon acceptance by the customer, as these services are typically customized and do not provide incremental value until completion.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Since control does not transfer over time but rather at a single point (usually project completion or delivery), revenue is recognized at a point in time in accordance with ASC 606-10-25-30 and related guidance. Progress billings on projects where this criteria has not been met are recorded as deferred revenue. Deferred revenue at December 31, 2025 and December 31, 2024 was EUR5k and EUR0.00 respectively.</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Additionally, the Company participates in government sponsored collaborations whereby they are awarded participation grants. There is no certainty as to the timing or amounts of grants that will ultimately be received. Accordingly, the company records these grants as other income upon receipt.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auto"/>
        </w:rPr>
        <w:t>Fair Value of Assets and Liabilities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Fair value is the price that would be received from the sale of an asset or paid to transfer a liability (i.e., an exit price) in the principal or most advantageous market in an orderly transaction between market participants. In determining fair value, the accounting standards have established a three-level hierarchy that distinguishes between (i) market data obtained or developed from independent sources (i.e., observable data inputs) and (ii) a reporting entity’s own data and assumptions that market participants would use in pricing an asset or liability (i.e., unobservable data inputs). Financial assets and financial liabilities measured and reported at fair value are classified in one of the following categories, in order of priority of observability and objectivity of pricing inputs:</w:t>
      </w:r>
    </w:p>
    <w:p>
      <w:pPr>
        <w:spacing w:after="0" w:line="176" w:lineRule="exact"/>
        <w:rPr>
          <w:sz w:val="20"/>
          <w:szCs w:val="20"/>
          <w:color w:val="auto"/>
        </w:rPr>
      </w:pPr>
    </w:p>
    <w:p>
      <w:pPr>
        <w:ind w:left="140" w:hanging="139"/>
        <w:spacing w:after="0"/>
        <w:tabs>
          <w:tab w:leader="none" w:pos="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Fair value based on quoted prices in active markets for identical assets or liabilities;</w:t>
      </w:r>
    </w:p>
    <w:p>
      <w:pPr>
        <w:spacing w:after="0" w:line="209" w:lineRule="exact"/>
        <w:rPr>
          <w:rFonts w:ascii="Times New Roman" w:cs="Times New Roman" w:eastAsia="Times New Roman" w:hAnsi="Times New Roman"/>
          <w:sz w:val="17"/>
          <w:szCs w:val="17"/>
          <w:color w:val="auto"/>
        </w:rPr>
      </w:pPr>
    </w:p>
    <w:p>
      <w:pPr>
        <w:jc w:val="both"/>
        <w:ind w:firstLine="1"/>
        <w:spacing w:after="0" w:line="262" w:lineRule="auto"/>
        <w:tabs>
          <w:tab w:leader="none" w:pos="15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Fair value based on significant directly observable data (other than Level 1 quoted prices) or significant indirectly observable data through corroboration with observable market data. Inputs would normally be (i) quoted prices in active markets for similar assets or liabilities, (ii) quoted prices in inactive markets for identical or similar assets or liabilities or (iii) information derived from or corroborated by observable market data;</w:t>
      </w:r>
    </w:p>
    <w:p>
      <w:pPr>
        <w:spacing w:after="0" w:line="169" w:lineRule="exact"/>
        <w:rPr>
          <w:rFonts w:ascii="Times New Roman" w:cs="Times New Roman" w:eastAsia="Times New Roman" w:hAnsi="Times New Roman"/>
          <w:sz w:val="17"/>
          <w:szCs w:val="17"/>
          <w:color w:val="auto"/>
        </w:rPr>
      </w:pPr>
    </w:p>
    <w:p>
      <w:pPr>
        <w:ind w:firstLine="1"/>
        <w:spacing w:after="0" w:line="276" w:lineRule="auto"/>
        <w:tabs>
          <w:tab w:leader="none" w:pos="16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Fair value based on prices or valuation techniques that require significant unobservable data inputs. Inputs would normally be a reporting entity’s own data and judgments about assumptions that market participants would use in pricing the asset or liability.</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measurement level for an asset or liability is based on the lowest level of any input that is significant to the fair value measurement. Valuation techniques should maximize the use of observable inputs and minimize the use of unobservable inputs.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utilizes a binomial lattice option pricing model to estimate the fair value of options, warrants and other Level 3 financial assets and liabilities.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SIGNIFICANT ACCOUNTING POLICIES (CONTINUED)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Stock-Based Compensation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accounts for stock-based compensation to employees and nonemployees under Financial Accounting Standards Board (“FASB”) Accounting Standards Codification (“ASC”) 718 “Compensation – Stock Compensation” using the fair value-based method. Under this method, compensation cost is measured at the grant date based on the value of the award and is recognized over the service period, which is usually the vesting period. This guidance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The Company uses a binomial lattice pricing model to estimate the fair value of options and warrants granted.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follows Accounting Standards Codification subtopic 740-10, Income Taxes (“ASC 740-10”)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during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 Deferred income taxes may arise from temporary differences resulting from income and expense items reported for financial accounting and tax purposes in different periods. No income tax has been provisioned for the years ended December 31, 2025 and 2024, since the Company has sustained losses historically and has substantial net operating loss carryforwards for both periods. Due to the uncertainty of the utilization and recoverability of the loss carry-forwards and other deferred tax assets, management has determined a full valuation allowance for the deferred tax assets, since it is more likely than not that the deferred tax assets will not be realizable.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Recurring Fair Value Measurements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carrying value of the Company’s financial assets and financial liabilities is their cost, which may differ from fair value. The carrying value of cash held as demand deposits, accounts payable, and accrued liabilities approximated their fair value.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SIGNIFICANT ACCOUNTING POLICIES (CONTINUED)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Foreign Currency Transactions</w:t>
      </w:r>
    </w:p>
    <w:p>
      <w:pPr>
        <w:spacing w:after="0" w:line="20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Transactions denominated in currencies other than the functional currency are re-measured into the functional currency at the exchange rate in effect at the date of the transaction. Monetary assets and liabilities denominated in foreign currencies are re-measured at the exchange rate in effect at the balance sheet date. Gains and losses resulting from these transactions are included in "Other income (expense), net" in the consolidated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 (Loss) per Share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6"/>
        </w:trPr>
        <w:tc>
          <w:tcPr>
            <w:tcW w:w="2040" w:type="dxa"/>
            <w:vAlign w:val="bottom"/>
            <w:tcBorders>
              <w:top w:val="single" w:sz="8" w:color="auto"/>
            </w:tcBorders>
          </w:tcPr>
          <w:p>
            <w:pPr>
              <w:spacing w:after="0"/>
              <w:rPr>
                <w:sz w:val="24"/>
                <w:szCs w:val="24"/>
                <w:color w:val="auto"/>
              </w:rPr>
            </w:pPr>
          </w:p>
        </w:tc>
        <w:tc>
          <w:tcPr>
            <w:tcW w:w="5960" w:type="dxa"/>
            <w:vAlign w:val="bottom"/>
          </w:tcPr>
          <w:p>
            <w:pPr>
              <w:spacing w:after="0"/>
              <w:rPr>
                <w:sz w:val="24"/>
                <w:szCs w:val="24"/>
                <w:color w:val="auto"/>
              </w:rPr>
            </w:pPr>
          </w:p>
        </w:tc>
        <w:tc>
          <w:tcPr>
            <w:tcW w:w="2140" w:type="dxa"/>
            <w:vAlign w:val="bottom"/>
            <w:gridSpan w:val="3"/>
          </w:tcPr>
          <w:p>
            <w:pPr>
              <w:ind w:left="1100"/>
              <w:spacing w:after="0"/>
              <w:rPr>
                <w:sz w:val="20"/>
                <w:szCs w:val="20"/>
                <w:color w:val="auto"/>
              </w:rPr>
            </w:pPr>
            <w:r>
              <w:rPr>
                <w:rFonts w:ascii="Times New Roman" w:cs="Times New Roman" w:eastAsia="Times New Roman" w:hAnsi="Times New Roman"/>
                <w:sz w:val="17"/>
                <w:szCs w:val="17"/>
                <w:color w:val="auto"/>
              </w:rPr>
              <w:t>December 31,</w:t>
            </w:r>
          </w:p>
        </w:tc>
        <w:tc>
          <w:tcPr>
            <w:tcW w:w="1100" w:type="dxa"/>
            <w:vAlign w:val="bottom"/>
          </w:tcPr>
          <w:p>
            <w:pPr>
              <w:spacing w:after="0"/>
              <w:rPr>
                <w:sz w:val="24"/>
                <w:szCs w:val="24"/>
                <w:color w:val="auto"/>
              </w:rPr>
            </w:pPr>
          </w:p>
        </w:tc>
      </w:tr>
      <w:tr>
        <w:trPr>
          <w:trHeight w:val="219"/>
        </w:trPr>
        <w:tc>
          <w:tcPr>
            <w:tcW w:w="20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5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r>
      <w:tr>
        <w:trPr>
          <w:trHeight w:val="195"/>
        </w:trPr>
        <w:tc>
          <w:tcPr>
            <w:tcW w:w="20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40" w:type="dxa"/>
            <w:vAlign w:val="bottom"/>
            <w:gridSpan w:val="4"/>
          </w:tcPr>
          <w:p>
            <w:pPr>
              <w:jc w:val="right"/>
              <w:ind w:right="396"/>
              <w:spacing w:after="0"/>
              <w:rPr>
                <w:sz w:val="20"/>
                <w:szCs w:val="20"/>
                <w:color w:val="auto"/>
              </w:rPr>
            </w:pPr>
            <w:r>
              <w:rPr>
                <w:rFonts w:ascii="Times New Roman" w:cs="Times New Roman" w:eastAsia="Times New Roman" w:hAnsi="Times New Roman"/>
                <w:sz w:val="17"/>
                <w:szCs w:val="17"/>
                <w:color w:val="auto"/>
              </w:rPr>
              <w:t>(KEUR, except per share amounts)</w:t>
            </w:r>
          </w:p>
        </w:tc>
      </w:tr>
      <w:tr>
        <w:trPr>
          <w:trHeight w:val="20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4,015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65,026</w:t>
            </w:r>
          </w:p>
        </w:tc>
      </w:tr>
      <w:tr>
        <w:trPr>
          <w:trHeight w:val="202"/>
        </w:trPr>
        <w:tc>
          <w:tcPr>
            <w:tcW w:w="204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1,456,914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1,449,485</w:t>
            </w:r>
          </w:p>
        </w:tc>
      </w:tr>
      <w:tr>
        <w:trPr>
          <w:trHeight w:val="202"/>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Add: dilutive effect of stock options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33,689</w:t>
            </w:r>
          </w:p>
        </w:tc>
      </w:tr>
      <w:tr>
        <w:trPr>
          <w:trHeight w:val="202"/>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 dilutive effect of convertible debentures</w:t>
            </w:r>
          </w:p>
        </w:tc>
        <w:tc>
          <w:tcPr>
            <w:tcW w:w="21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15,771,721</w:t>
            </w:r>
          </w:p>
        </w:tc>
      </w:tr>
      <w:tr>
        <w:trPr>
          <w:trHeight w:val="202"/>
        </w:trPr>
        <w:tc>
          <w:tcPr>
            <w:tcW w:w="80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Add: dilutive effect of shares indexed to preferred stock</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6,577,464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8,034,644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17,254,895</w:t>
            </w:r>
          </w:p>
        </w:tc>
      </w:tr>
      <w:tr>
        <w:trPr>
          <w:trHeight w:val="202"/>
        </w:trPr>
        <w:tc>
          <w:tcPr>
            <w:tcW w:w="20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 - basic</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44.86</w:t>
            </w:r>
          </w:p>
        </w:tc>
      </w:tr>
      <w:tr>
        <w:trPr>
          <w:trHeight w:val="218"/>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per share - diluted</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3.77</w:t>
            </w:r>
          </w:p>
        </w:tc>
      </w:tr>
    </w:tbl>
    <w:p>
      <w:pPr>
        <w:spacing w:after="0" w:line="17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2025 and 2024, all potentially dilutive securities were included in the computation of diluted net income per share as their effect was dilutive given the net income position in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Business Segments</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operate our business as one operating segment. An operating segment is defined as a component of an enterprise for which separate discrete financial information is available and evaluated regularly by the chief operating decision maker (“CODM”) in deciding how to allocate resources and in assessing performance. Our CODM is the Company’s Chief Executive Officer. Reportable segment information is consistent with how management reviews the business, makes investing and resource allocation decisions and assesses operating performance. Our CODM is regularly provided with consolidated expense information and uses consolidated net income (loss) as the measure of profit or loss in deciding whether to continue with research and development efforts or to return capital to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Correction of an Immaterial Revision in Previously Issued Financial Statements</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has revised the statement of cash flow for the year ended December 31, 2024 to revise the presentation of net cash used in operating activities to include a gain on foreign currency exchange rates that was previously included in the effect of exchange rate changes on cash and cash equivalents. As a result, net cash used in operating activities and the effect of exchange rate changes on cash and cash equivalents decreased by EUR0.4 million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Issued Pronouncements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March 2024, the FASB issued ASU No. 2024-01, “Compensation—Stock Compensation (Topic 718): Scope Applications of Profits Interests and Similar Awards” (“ASU 2024-01”). ASU 2024-01 adds an example to Topic 718 which illustrates how to apply the scope guidance to determine whether profits interests and similar awards should be accounted for as share-based payment arrangements under Topic 718 or under other U.S. GAAP. ASU 2024-01 is effective for annual periods beginning after December 15, 2025, although early adoption is permitted. Upon adoption, ASU 2024-01 is not expected to have an impact on the Company’s consolidated financial statements.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This standard requires disclosure of specific information about costs and expenses and becomes effective January 1, 2027. We are currently evaluating the impact of this standard on our consolidated financial statements and related disclosures.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November 2024, the FASB issued ASU 2024-04, “Debt - Debt with Conversions and Other Options (Subtopic 470-20): Induced Conversions of Convertible Debt Instruments” (“ASU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We are currently evaluating the impact of this standard on our consolidated financial statements and related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Adopted Pronouncements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No other new accounting pronouncements were issued or became effective in the period that had, or are expected to have, a material impact on our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13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LIQUIDITY AND GOING CONCERN ANALYSIS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and Going Concern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twelve months after the date the financial statements are issued, in accordance with ASC 205-40. Management considered the Company's current financial condition and liquidity sources, including current funds available, forecasted future cash flows, and the Company's obligations due before April 1, 2027.</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2025, the Company had cash and cash equivalents of €206 thousand, an accumulated deficit of €317.4 million, net operating loss of €7.7 million and negative operating cash flows of €7.3 million for the year then ended. The Company has incurred recurring operating losses and negative cash flows from operations since inception, primarily attributable to the operations of its solar technology subsidiary, Sono Motors GmbH. These conditions raised substantial doubt about the Company's ability to continue as a going concern.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Subsequent to December 31, 2025, management implemented a series of actions intended to improve the Company's liquidity position and reduce its ongoing cash requirements. These actions included: (i) raising gross proceeds of approximately $5.0 million in March 2026, consisting of a $3.0 million convertible debenture and a pre-funded warrant issued for aggregate proceeds of approximately $2.0 million; (ii) adopting the Treasury Strategy and entering into an institutional framework with Blockchain.com (BVI) II Limited in the form of the ISDA Master Agreement and the related Schedule and Credit Support Annex, to facilitate related derivative and hedging transactions in connection with the Company's digital asset holdings; and (iii) terminating current and future funding commitments to the Subsidiary (Sono Motors GmbH) and initiating the Company's exit from its legacy solar operations conducted through the Subsidiary, which is expected to materially reduce the Company's ongoing cash outflows.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Management has evaluated the significance of the conditions described above in relation to the Company's ability to meet its obligations and believes that these actions, taken together, may provide sufficient resources to fund its streamlined operating plan, consisting principally of holding company overhead and public company compliance costs, for at least twelve months from the date the financial statements are issued.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However, the Company's ability to maintain adequate liquidity remains subject to significant uncertainties, including the price volatility and liquidity characteristics of digital assets, the terms and potential collateral requirements of transactions entered into in connection with the Treasury Strategy pursuant to the Credit Support Annex, the timing and costs associated with exiting the legacy solar operations (which the Company is currently unable to estimate), and the maturity of the convertible debenture issued to Yorkville in March 2026, which matures in March 2027 and may require refinancing or conversion prior to or at maturity. Based upon this uncertainty, management has concluded that there is substantial doubt that the company will continue as a going concern. See </w:t>
      </w:r>
      <w:r>
        <w:rPr>
          <w:rFonts w:ascii="Times New Roman" w:cs="Times New Roman" w:eastAsia="Times New Roman" w:hAnsi="Times New Roman"/>
          <w:sz w:val="17"/>
          <w:szCs w:val="17"/>
          <w:i w:val="1"/>
          <w:iCs w:val="1"/>
          <w:color w:val="auto"/>
        </w:rPr>
        <w:t>Note 16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xml:space="preserve"> for additional information regarding the matters described above.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RECONSOLIDATION OF SONO MOTORS GMBH</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February 2023, Sono Group announced its decision to restructure its business model and discontinued the Sion passenger car program. Following subsequent insolvency proceedings under German law, Sono N.V. lost control over its subsidiary Sono Motors GmbH and deconsolidated it effective May 19, 2023, in accordance with ASU 810-10-55. On February 29, 2024, Sono Motors GmbH exited its Self-Administration Proceedings via its plan under the German Insolvency Code, which set out how the Subsidiary intended to restructure its debt and procure the inflow of new cash, including pursuant to a funding commitment from Yorkville. As a result, all outstanding debts between the Company and the Subsidiary were extinguished, and the Subsidiary was reconsolidated into our consolidated financial statements effective March 1, 2024.</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reconsolidation resulted in a net gain of approximately EUR62.6 million, reflecting the revaluation of the Subsidiary’s net assets and the extinguishment of parental guarantees and related liabilities. This gain is recorded in our operating results for the year ended December 31, 2024 and represents the financial impact of regaining control over the Subsidiary.</w:t>
      </w:r>
    </w:p>
    <w:p>
      <w:pPr>
        <w:spacing w:after="0" w:line="16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 March 1, 2024, the Company was deemed to have regained control of Sono Motors. The Company recorded the fair value of net assets consolidated at March 1, 2024. The following table reflects the March 1, 2024 Balance Sheet of Sono Motors: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March 1, 2024</w:t>
            </w:r>
          </w:p>
        </w:tc>
      </w:tr>
      <w:tr>
        <w:trPr>
          <w:trHeight w:val="219"/>
        </w:trPr>
        <w:tc>
          <w:tcPr>
            <w:tcW w:w="4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5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KEUR</w:t>
            </w:r>
          </w:p>
        </w:tc>
      </w:tr>
      <w:tr>
        <w:trPr>
          <w:trHeight w:val="195"/>
        </w:trPr>
        <w:tc>
          <w:tcPr>
            <w:tcW w:w="41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7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1,305</w:t>
            </w: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Prepaid taxes</w:t>
            </w:r>
          </w:p>
        </w:tc>
        <w:tc>
          <w:tcPr>
            <w:tcW w:w="7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239</w:t>
            </w: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7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559</w:t>
            </w: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71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66</w:t>
            </w: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7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1"/>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assets recorded on reconsolidation</w:t>
            </w:r>
          </w:p>
        </w:tc>
        <w:tc>
          <w:tcPr>
            <w:tcW w:w="5540" w:type="dxa"/>
            <w:vAlign w:val="bottom"/>
          </w:tcPr>
          <w:p>
            <w:pPr>
              <w:spacing w:after="0"/>
              <w:rPr>
                <w:sz w:val="18"/>
                <w:szCs w:val="18"/>
                <w:color w:val="auto"/>
              </w:rPr>
            </w:pPr>
          </w:p>
        </w:tc>
        <w:tc>
          <w:tcPr>
            <w:tcW w:w="15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1,978</w:t>
            </w:r>
          </w:p>
        </w:tc>
      </w:tr>
      <w:tr>
        <w:trPr>
          <w:trHeight w:val="388"/>
        </w:trPr>
        <w:tc>
          <w:tcPr>
            <w:tcW w:w="4140" w:type="dxa"/>
            <w:vAlign w:val="bottom"/>
          </w:tcPr>
          <w:p>
            <w:pPr>
              <w:spacing w:after="0"/>
              <w:rPr>
                <w:sz w:val="24"/>
                <w:szCs w:val="24"/>
                <w:color w:val="auto"/>
              </w:rPr>
            </w:pPr>
          </w:p>
        </w:tc>
        <w:tc>
          <w:tcPr>
            <w:tcW w:w="7100" w:type="dxa"/>
            <w:vAlign w:val="bottom"/>
            <w:gridSpan w:val="2"/>
          </w:tcPr>
          <w:p>
            <w:pPr>
              <w:jc w:val="right"/>
              <w:ind w:right="5376"/>
              <w:spacing w:after="0"/>
              <w:rPr>
                <w:sz w:val="20"/>
                <w:szCs w:val="20"/>
                <w:color w:val="auto"/>
              </w:rPr>
            </w:pPr>
            <w:r>
              <w:rPr>
                <w:rFonts w:ascii="Times New Roman" w:cs="Times New Roman" w:eastAsia="Times New Roman" w:hAnsi="Times New Roman"/>
                <w:sz w:val="17"/>
                <w:szCs w:val="17"/>
                <w:color w:val="auto"/>
              </w:rPr>
              <w:t>F-14</w:t>
            </w:r>
          </w:p>
        </w:tc>
      </w:tr>
      <w:tr>
        <w:trPr>
          <w:trHeight w:val="107"/>
        </w:trPr>
        <w:tc>
          <w:tcPr>
            <w:tcW w:w="414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4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PROPERTY, PLANT, AND EQUIPMENT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0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as of December 31, 2025 and 2024 were as follows: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9"/>
        </w:trPr>
        <w:tc>
          <w:tcPr>
            <w:tcW w:w="8000" w:type="dxa"/>
            <w:vAlign w:val="bottom"/>
          </w:tcPr>
          <w:p>
            <w:pPr>
              <w:spacing w:after="0"/>
              <w:rPr>
                <w:sz w:val="24"/>
                <w:szCs w:val="24"/>
                <w:color w:val="auto"/>
              </w:rPr>
            </w:pPr>
          </w:p>
        </w:tc>
        <w:tc>
          <w:tcPr>
            <w:tcW w:w="15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24"/>
                <w:szCs w:val="24"/>
                <w:color w:val="auto"/>
              </w:rPr>
            </w:pPr>
          </w:p>
        </w:tc>
        <w:tc>
          <w:tcPr>
            <w:tcW w:w="15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8000" w:type="dxa"/>
            <w:vAlign w:val="bottom"/>
          </w:tcPr>
          <w:p>
            <w:pPr>
              <w:spacing w:after="0"/>
              <w:rPr>
                <w:sz w:val="19"/>
                <w:szCs w:val="19"/>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KEUR</w:t>
            </w:r>
          </w:p>
        </w:tc>
        <w:tc>
          <w:tcPr>
            <w:tcW w:w="154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KEUR</w:t>
            </w:r>
          </w:p>
        </w:tc>
      </w:tr>
      <w:tr>
        <w:trPr>
          <w:trHeight w:val="195"/>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Machinery &amp; equipment</w:t>
            </w: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180</w:t>
            </w:r>
          </w:p>
        </w:tc>
      </w:tr>
      <w:tr>
        <w:trPr>
          <w:trHeight w:val="202"/>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195"/>
        </w:trPr>
        <w:tc>
          <w:tcPr>
            <w:tcW w:w="80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2"/>
        </w:trPr>
        <w:tc>
          <w:tcPr>
            <w:tcW w:w="8000" w:type="dxa"/>
            <w:vAlign w:val="bottom"/>
          </w:tcPr>
          <w:p>
            <w:pPr>
              <w:spacing w:after="0"/>
              <w:rPr>
                <w:sz w:val="17"/>
                <w:szCs w:val="17"/>
                <w:color w:val="auto"/>
              </w:rPr>
            </w:pP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129</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during the years ended December 31, 2025 and 2024 was EUR31 thousand and EUR18 thousand, respectively.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LEASES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leases its office and warehouse space. The lease has a remaining life of 5.3 years. The Company accounts for its leases according to ASC 842 Leases.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Maturities of operating lease liabilities were as follows as of December 31, 2025:</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80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167</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167</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167</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167</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 and beyond</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223</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891</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317</w:t>
            </w:r>
          </w:p>
        </w:tc>
      </w:tr>
      <w:tr>
        <w:trPr>
          <w:trHeight w:val="211"/>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574</w:t>
            </w:r>
          </w:p>
        </w:tc>
      </w:tr>
      <w:tr>
        <w:trPr>
          <w:trHeight w:val="373"/>
        </w:trPr>
        <w:tc>
          <w:tcPr>
            <w:tcW w:w="80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Liability as of</w:t>
            </w:r>
          </w:p>
        </w:tc>
        <w:tc>
          <w:tcPr>
            <w:tcW w:w="20" w:type="dxa"/>
            <w:vAlign w:val="bottom"/>
          </w:tcPr>
          <w:p>
            <w:pPr>
              <w:spacing w:after="0"/>
              <w:rPr>
                <w:sz w:val="24"/>
                <w:szCs w:val="24"/>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Liability as of</w:t>
            </w:r>
          </w:p>
        </w:tc>
      </w:tr>
      <w:tr>
        <w:trPr>
          <w:trHeight w:val="202"/>
        </w:trPr>
        <w:tc>
          <w:tcPr>
            <w:tcW w:w="800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December 31, 2025</w:t>
            </w:r>
          </w:p>
        </w:tc>
        <w:tc>
          <w:tcPr>
            <w:tcW w:w="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December 31, 2024</w:t>
            </w:r>
          </w:p>
        </w:tc>
      </w:tr>
      <w:tr>
        <w:trPr>
          <w:trHeight w:val="219"/>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Balance Sheet Classification</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KEUR</w:t>
            </w:r>
          </w:p>
        </w:tc>
        <w:tc>
          <w:tcPr>
            <w:tcW w:w="20" w:type="dxa"/>
            <w:vAlign w:val="bottom"/>
          </w:tcPr>
          <w:p>
            <w:pPr>
              <w:spacing w:after="0"/>
              <w:rPr>
                <w:sz w:val="19"/>
                <w:szCs w:val="19"/>
                <w:color w:val="auto"/>
              </w:rPr>
            </w:pP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58</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Long term</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572</w:t>
            </w:r>
          </w:p>
        </w:tc>
      </w:tr>
      <w:tr>
        <w:trPr>
          <w:trHeight w:val="195"/>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w:t>
            </w: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630</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lease was calculated over a 122 month period at a weighted average discount rate of 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paid to satisfy lease liabilities and building lease expense for the twelve months ended December 31, 2025 and 2024 consisted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2120" w:type="dxa"/>
            <w:vAlign w:val="bottom"/>
            <w:gridSpan w:val="3"/>
          </w:tcPr>
          <w:p>
            <w:pPr>
              <w:ind w:left="1100"/>
              <w:spacing w:after="0"/>
              <w:rPr>
                <w:sz w:val="20"/>
                <w:szCs w:val="20"/>
                <w:color w:val="auto"/>
              </w:rPr>
            </w:pPr>
            <w:r>
              <w:rPr>
                <w:rFonts w:ascii="Times New Roman" w:cs="Times New Roman" w:eastAsia="Times New Roman" w:hAnsi="Times New Roman"/>
                <w:sz w:val="17"/>
                <w:szCs w:val="17"/>
                <w:color w:val="auto"/>
              </w:rPr>
              <w:t>December 31,</w:t>
            </w:r>
          </w:p>
        </w:tc>
        <w:tc>
          <w:tcPr>
            <w:tcW w:w="1120" w:type="dxa"/>
            <w:vAlign w:val="bottom"/>
          </w:tcPr>
          <w:p>
            <w:pPr>
              <w:spacing w:after="0"/>
              <w:rPr>
                <w:sz w:val="17"/>
                <w:szCs w:val="17"/>
                <w:color w:val="auto"/>
              </w:rPr>
            </w:pPr>
          </w:p>
        </w:tc>
      </w:tr>
      <w:tr>
        <w:trPr>
          <w:trHeight w:val="202"/>
        </w:trPr>
        <w:tc>
          <w:tcPr>
            <w:tcW w:w="8000" w:type="dxa"/>
            <w:vAlign w:val="bottom"/>
          </w:tcPr>
          <w:p>
            <w:pPr>
              <w:spacing w:after="0"/>
              <w:rPr>
                <w:sz w:val="17"/>
                <w:szCs w:val="17"/>
                <w:color w:val="auto"/>
              </w:rPr>
            </w:pPr>
          </w:p>
        </w:tc>
        <w:tc>
          <w:tcPr>
            <w:tcW w:w="15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8000" w:type="dxa"/>
            <w:vAlign w:val="bottom"/>
          </w:tcPr>
          <w:p>
            <w:pPr>
              <w:spacing w:after="0"/>
              <w:rPr>
                <w:sz w:val="19"/>
                <w:szCs w:val="19"/>
                <w:color w:val="auto"/>
              </w:rPr>
            </w:pPr>
          </w:p>
        </w:tc>
        <w:tc>
          <w:tcPr>
            <w:tcW w:w="21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KEUR</w:t>
            </w: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KEUR</w:t>
            </w:r>
          </w:p>
        </w:tc>
      </w:tr>
      <w:tr>
        <w:trPr>
          <w:trHeight w:val="195"/>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42</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Interest on lease liability</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117</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lease costs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Variable lease costs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r>
      <w:tr>
        <w:trPr>
          <w:trHeight w:val="19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paid to satisfy lease liability and building lease expense</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169</w:t>
            </w:r>
          </w:p>
        </w:tc>
      </w:tr>
      <w:tr>
        <w:trPr>
          <w:trHeight w:val="625"/>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ACCOUNTS PAYABLE AND ACCRUED EXPENSES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Amounts related to accounts payable and accrued expenses as of December 31, 2025 and 2024 were as follows: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9"/>
        </w:trPr>
        <w:tc>
          <w:tcPr>
            <w:tcW w:w="8000" w:type="dxa"/>
            <w:vAlign w:val="bottom"/>
          </w:tcPr>
          <w:p>
            <w:pPr>
              <w:spacing w:after="0"/>
              <w:rPr>
                <w:sz w:val="24"/>
                <w:szCs w:val="24"/>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8000" w:type="dxa"/>
            <w:vAlign w:val="bottom"/>
          </w:tcPr>
          <w:p>
            <w:pPr>
              <w:spacing w:after="0"/>
              <w:rPr>
                <w:sz w:val="19"/>
                <w:szCs w:val="19"/>
                <w:color w:val="auto"/>
              </w:rPr>
            </w:pPr>
          </w:p>
        </w:tc>
        <w:tc>
          <w:tcPr>
            <w:tcW w:w="212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KEUR</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KEUR</w:t>
            </w:r>
          </w:p>
        </w:tc>
      </w:tr>
      <w:tr>
        <w:trPr>
          <w:trHeight w:val="195"/>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575</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 liabilities</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payable and accrued liabilities</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575</w:t>
            </w:r>
          </w:p>
        </w:tc>
      </w:tr>
      <w:tr>
        <w:trPr>
          <w:trHeight w:val="397"/>
        </w:trPr>
        <w:tc>
          <w:tcPr>
            <w:tcW w:w="8000" w:type="dxa"/>
            <w:vAlign w:val="bottom"/>
          </w:tcPr>
          <w:p>
            <w:pPr>
              <w:ind w:left="5460"/>
              <w:spacing w:after="0"/>
              <w:rPr>
                <w:sz w:val="20"/>
                <w:szCs w:val="20"/>
                <w:color w:val="auto"/>
              </w:rPr>
            </w:pPr>
            <w:r>
              <w:rPr>
                <w:rFonts w:ascii="Times New Roman" w:cs="Times New Roman" w:eastAsia="Times New Roman" w:hAnsi="Times New Roman"/>
                <w:sz w:val="17"/>
                <w:szCs w:val="17"/>
                <w:color w:val="auto"/>
              </w:rPr>
              <w:t>F-15</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7"/>
        </w:trPr>
        <w:tc>
          <w:tcPr>
            <w:tcW w:w="80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4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CONVERTIBLE NOTES PAYABLE AT FAIR VALUE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the estimated fair value of our convertible debt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31, 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December 31, 2024</w:t>
            </w:r>
          </w:p>
        </w:tc>
      </w:tr>
      <w:tr>
        <w:trPr>
          <w:trHeight w:val="219"/>
        </w:trPr>
        <w:tc>
          <w:tcPr>
            <w:tcW w:w="80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KEUR</w:t>
            </w: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8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convertible notes</w:t>
            </w:r>
          </w:p>
        </w:tc>
        <w:tc>
          <w:tcPr>
            <w:tcW w:w="14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24,035</w:t>
            </w:r>
          </w:p>
        </w:tc>
      </w:tr>
    </w:tbl>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December 7, 2022, the Company entered into a share purchase agreement with Yorkville to purchase up to $31.1 million in convertible debentures (the “2022 Debentures”). On February 5, 2024 and August 30, 2024, Company issued additional convertible debentures in the amounts of $4.3 million and $3.3 million, respectively, (the “February 2024 Debenture” and “August 2024 Debenture” respectively, and together, the “2024 Debentures”), pursuant to a funding commitment letter entered into between the Company and Yorkville in connection with Sono Group’s restructuring in connection with the Self-Administration Proceedings. On December 30, 2024 the Company and Yorkville entered into a securities purchase agreement (the “Securities Purchase Agreement”) and an exchange agreement (the “Exchange Agreement”). Under the terms of the Securities Purchase Agreement, Yorkville committed to provide limited financing to the Company in the amount of $5 million, subject to certain conditions and limitations. Following a number of amendments to the Securities Purchase Agreement the Company issued to Yorkville six additional debentures (“2025 Debentures”) in the amounts of $1 million, $1 million, $0.50 million, $0.75 million, $0.19 million and $0.35 million on February 12, 2025, March 25, 2025, April 24, 2025, May 27, 2025, August 6, 2025 and August 15, 2025 respectively. In connection with the Company’s uplisting to the Nasdaq Capital Market, on September 5, 2025 Yorkville increased the total funding commitment under the terms of the Securities Purchase Agreement from $5 million to $7.2 million and following the respective amendment the Company issued the final debenture for the remaining part of the total funding commitment, which amounted to $3.4 million. According to the terms of the Exchange Agreement and following the uplisting of Company’s Ordinary Shares to the Nasdaq Capital Market, the total amount of all convertible debentures issued by the Company to Yorkville and outstanding as of September 5, 2025, including accrued interest, totaling 42.1M USD were converted into 1,401 preferred shares with €300 nominal value each (please refer to Note 9 for details on preferred shares). The following table reflects the outstanding debt and accrued interest for each tranche as of September 5, 2025 and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Principal</w:t>
            </w:r>
          </w:p>
        </w:tc>
        <w:tc>
          <w:tcPr>
            <w:tcW w:w="15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Accrued Interest</w:t>
            </w:r>
          </w:p>
        </w:tc>
      </w:tr>
      <w:tr>
        <w:trPr>
          <w:trHeight w:val="219"/>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September 5, 2025</w:t>
            </w:r>
          </w:p>
        </w:tc>
        <w:tc>
          <w:tcPr>
            <w:tcW w:w="256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Issue Date</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Maturity Date</w:t>
            </w:r>
          </w:p>
        </w:tc>
        <w:tc>
          <w:tcPr>
            <w:tcW w:w="17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KUSD</w:t>
            </w:r>
          </w:p>
        </w:tc>
        <w:tc>
          <w:tcPr>
            <w:tcW w:w="158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KUSD</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Tranch-1 @4% (12%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December 7, 2022</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11,100</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3,275</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Tranch-2 @4% (12%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December 8, 2022</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8,150</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2,321</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Tranch-3 @4% (12%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December 20, 2022</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750</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214</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Tranch-4 @12% (18%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February 5, 2024</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4,318</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822</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Tranch-5 @12% (18%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August 30, 2024</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3,338</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408</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Tranch-6a @12% (18%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February 12, 2025</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1,000</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68</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Tranch-6b @12% (18%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March 25, 2025</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1,000</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54</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Tranch-6c @12% (18%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April 24, 2025</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500</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Tranch-6d @12% (18%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May 27, 2025</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750</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Tranch-6e @12% (18%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August 6, 2025</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190</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Tranch-6f @12% (18% - default rate)</w:t>
            </w:r>
          </w:p>
        </w:tc>
        <w:tc>
          <w:tcPr>
            <w:tcW w:w="2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August 15, 2025</w:t>
            </w:r>
          </w:p>
        </w:tc>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351</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Tranch-7 @12% (18% - default rate)</w:t>
            </w:r>
          </w:p>
        </w:tc>
        <w:tc>
          <w:tcPr>
            <w:tcW w:w="25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September 5, 2025</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N/A</w:t>
            </w:r>
          </w:p>
        </w:tc>
        <w:tc>
          <w:tcPr>
            <w:tcW w:w="1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3,409</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34,856</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7,215</w:t>
            </w:r>
          </w:p>
        </w:tc>
      </w:tr>
      <w:tr>
        <w:trPr>
          <w:trHeight w:val="388"/>
        </w:trPr>
        <w:tc>
          <w:tcPr>
            <w:tcW w:w="3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Principal</w:t>
            </w: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Accrued Interest</w:t>
            </w:r>
          </w:p>
        </w:tc>
      </w:tr>
      <w:tr>
        <w:trPr>
          <w:trHeight w:val="219"/>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256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Issue Date</w:t>
            </w:r>
          </w:p>
        </w:tc>
        <w:tc>
          <w:tcPr>
            <w:tcW w:w="22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Maturity Date</w:t>
            </w:r>
          </w:p>
        </w:tc>
        <w:tc>
          <w:tcPr>
            <w:tcW w:w="170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KUSD</w:t>
            </w:r>
          </w:p>
        </w:tc>
        <w:tc>
          <w:tcPr>
            <w:tcW w:w="158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KUSD</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Tranch-1 @4% (12% - default rate)</w:t>
            </w:r>
          </w:p>
        </w:tc>
        <w:tc>
          <w:tcPr>
            <w:tcW w:w="2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December 7, 2022</w:t>
            </w:r>
          </w:p>
        </w:tc>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July 1, 2025</w:t>
            </w: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11,100</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2,370</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Tranch-2 @4% (12% - default rate)</w:t>
            </w:r>
          </w:p>
        </w:tc>
        <w:tc>
          <w:tcPr>
            <w:tcW w:w="25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December 8, 2022</w:t>
            </w: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July 1, 2025</w:t>
            </w: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8,150</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1,657</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Tranch-3 @4% (12% - default rate)</w:t>
            </w:r>
          </w:p>
        </w:tc>
        <w:tc>
          <w:tcPr>
            <w:tcW w:w="2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December 20, 2022</w:t>
            </w:r>
          </w:p>
        </w:tc>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July 1, 2025</w:t>
            </w: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750</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153</w:t>
            </w: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Tranch-4 @12% (18% - default rate)</w:t>
            </w:r>
          </w:p>
        </w:tc>
        <w:tc>
          <w:tcPr>
            <w:tcW w:w="25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February 5, 2024</w:t>
            </w: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July 1, 2025</w:t>
            </w: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4,318</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470</w:t>
            </w: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Tranch-5 @12% (18% - default rate)</w:t>
            </w:r>
          </w:p>
        </w:tc>
        <w:tc>
          <w:tcPr>
            <w:tcW w:w="2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August 30, 2024</w:t>
            </w:r>
          </w:p>
        </w:tc>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August 30, 2025</w:t>
            </w: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3,338</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136</w:t>
            </w:r>
          </w:p>
        </w:tc>
      </w:tr>
      <w:tr>
        <w:trPr>
          <w:trHeight w:val="202"/>
        </w:trPr>
        <w:tc>
          <w:tcPr>
            <w:tcW w:w="31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27,656</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4,785</w:t>
            </w:r>
          </w:p>
        </w:tc>
      </w:tr>
    </w:tbl>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2022 Debentures carry a coupon of 4% and were convertible into common stock at the holder’s option at, the lower of (i) $131.25, or (ii) 96.5% of the lowest daily VWAP of the Ordinary Shares during the (7) consecutive Trading Days immediately preceding the conversion date or other date of determination). As a result of the amendment described below, the 2022 Debentures have a maturity date of the later of July 1, 2025 or 12 months from the issuance date of each such new note. The 2022 Debentures contain default provisions that accelerate the payment of principal and interest calculated at the default rate of 12%. Resulting from the Company’s application for its Self-Administration Proceedings, the 2022 Debentures have been in default since the filing with the bankruptcy court. The conversion price was changed to the lower of $18.75 and 85% of the minimum daily volume-weighted average price on the seven trading days before conversion, provided that the conversion price will not be below the nominal value of EUR 0.06, as translated to USD, and, if and only if the shares of Sono Group are listed and traded on Nasdaq on the relevant conversion date, the conversion price will not be lower than the Floor Price of USD 0.006.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2024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2024 Debenture has a maturity date of July 2025, and the August 2024 Debenture has a maturity date of August 2025.</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2025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2025 Debenture has a maturity date of February 2026, the March 2025 Debenture has a maturity date of March 2026, the April 2025 Debenture has a maturity date of April 2026, and the May 2025 Debenture has a maturity date of May 2026.</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The Company has evaluated the terms and conditions of the convertible notes under the guidance of ASC 815. The conversion feature did not meet the definition of “indexed to a company’s own stock” provided for in ASC 815 due to the variable number of shares issuable at conversion. Therefore, the conversion feature requires bifurcation and liability classification. Rather than bifurcating and recording the embedded derivative as a derivative liability, the Company elected to initially and subsequently measure the convertible note in its entirety at fair value, with changes in fair value recognized in earnings in accordance with ASC 815-15-25-4.</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carrying value of the convertible notes, which under ASC 815-15-25-4 is Fair Value, is on the balance sheet, with changes in the carrying value being recorded in earnings. The components of the convertible promissory notes as of September 5,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98"/>
              </w:rPr>
              <w:t>September 5, 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526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9"/>
              </w:rPr>
              <w:t>(Conversion Date)</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December 31, 2024</w:t>
            </w:r>
          </w:p>
        </w:tc>
      </w:tr>
      <w:tr>
        <w:trPr>
          <w:trHeight w:val="19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Indexed common shares</w:t>
            </w:r>
          </w:p>
        </w:tc>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7,718,300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18,537,485</w:t>
            </w:r>
          </w:p>
        </w:tc>
      </w:tr>
      <w:tr>
        <w:trPr>
          <w:trHeight w:val="202"/>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Fair value per share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2.79</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1.24</w:t>
            </w:r>
          </w:p>
        </w:tc>
      </w:tr>
      <w:tr>
        <w:trPr>
          <w:trHeight w:val="20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Fair Value of Convertible Notes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EUR18,471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EUR24,035</w:t>
            </w:r>
          </w:p>
        </w:tc>
      </w:tr>
    </w:tbl>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utilized a binomial lattice option pricing model to estimate the fair value per share of the underlying common equity.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 The table below reflects the assumptions used as inputs to the binomial lattice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September 5, 2025</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Assumption</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(Conversion Date)</w:t>
            </w:r>
          </w:p>
        </w:tc>
        <w:tc>
          <w:tcPr>
            <w:tcW w:w="158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December 31, 2024</w:t>
            </w:r>
          </w:p>
        </w:tc>
      </w:tr>
      <w:tr>
        <w:trPr>
          <w:trHeight w:val="195"/>
        </w:trPr>
        <w:tc>
          <w:tcPr>
            <w:tcW w:w="5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0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price of underlying common equity(1)</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4.18</w:t>
            </w: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7"/>
                <w:szCs w:val="17"/>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1.75</w:t>
            </w:r>
          </w:p>
        </w:tc>
      </w:tr>
      <w:tr>
        <w:trPr>
          <w:trHeight w:val="20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 of underlying common equity</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Remaining term (in years)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52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w:t>
            </w:r>
          </w:p>
        </w:tc>
      </w:tr>
      <w:tr>
        <w:trPr>
          <w:trHeight w:val="20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treasury rates</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N/A</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rate at year end USD/EUR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1.0389</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Adjusted for a discount for lack of marketability of 50%.</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5, 2025, pursuant to an exchange agreement dated December 30, 2024, as amended, the debt was exchanged for 1,401 shares of perpetual preferred stock. The Preferred Stock is convertible into common shares at 85% of the lowest VWAP for the 10 preceding trading days. As part of the commitment, the holder has agreed to a conversion price floor of $4.00 for six months and $1.00 thereafter. These terms have been embodied into the calculation of fair value as of September 5, 2025.</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calculated on September 5, 2025 was EUR18.5M indexed to 7,718,300 common shares. The debt was extinguished through the issuance of perpetual preferred stock in the amount of EUR18.5M and reclassified into equity.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December 31, 2025, the Company had authorized share capital of 120,000,000 ordinary shares with a nominal value of €0.01 per share, 40,000 high voting shares with a nominal value of €0.25 per share and 1,401 preferred shares with a nominal value of €300 per share with 1,424,834 ordinary shares, 40,000 high voting shares and 1,401 preferred shares issued and outstanding.</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ordinary share confers the right on the holder to cast one vote at the general meeting, each high voting share confers the right on the holder to cast twenty-five votes at the general meeting and each preferred share confers the right on the holder to cast thirty thousand votes at the general meeting, subject to a contractually agreed between the Company and Yorkville voting blocker equal to 4.99% of the combined voting power in the share capital of Sono Group N.V.</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preferred shares are convertible at a price per share equal to 85% of the lowest daily volume weighted average price of the Ordinary Shares during the 10 Trading Days immediately preceding the date of the conversion notice, subject to a floor price (the “Floor Price”). Upon the conversion of each Preferred Share, the Investor shall surrender the Preferred Share being converted, plus the Investor will automatically sell and transfer to the Company for no consideration (the “Repurchase”) additional Preferred Shares such that the total number of Preferred Shares surrendered and subject to the Repurchase shall be equal to (a) the total number of Ordinary Shares issuable upon such conversion, multiplied by (b) the Effective Conversion Price, divided by (c) 30,000. The Parties acknowledge that pursuant to Section 2:98 paragraph 2, of the Dutch Civil Code, the Company cannot hold more than half of its issued nominal share capital. If, as a result of the Repurchase the Company will exceed the aforementioned threshold, the Parties hereby agree that such repurchase for no consideration is postponed until the Company has taken appropriate measures.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December 23, 2024, the Company amended its articles of association to implement a reverse share split (the “Reverse Share Split”) of both its ordinary shares and high voting shares at a ratio of 1-for-75. The Reverse Share Split had been previously approved by the Company’s shareholders at an extraordinary general meeting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Reverse Share Split, every 75 ordinary shares issued and outstanding immediately prior to the Reverse Share Split were converted into one ordinary share, and every 75 high voting shares were converted into one high voting share. Fractional shares resulting from the Reverse Share Split were rounded down to the nearest whole number, with no cash or other compensation paid in lieu of fractional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December 30, 2024, the Company entered into an Exchange Agreement with YA II PN, Ltd. (“Yorkville”) (as subsequently amended), pursuant to which Yorkville agreed to exchange all outstanding debentures it held for preferred shares of the Company, subject to closing conditions, including among others the Company’s receipt of notice that its ordinary shares met all requirements for listing on the Nasdaq Capital Market.</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13, 2025, shareholders approved amendments to the Company’s Articles of Association that, among other things, create the preferred share class and adjust the Company’s authorized share capital, with such amendments to become effective on the Closing Date of the Exchange Agreement. These amendments included, among others, the following changes in the authorized capital: from 4,300,000 Ordinary Shares, with a nominal value of €0.02 each, to 120,000,000 Ordinary Shares, with a nominal value of €0.01 each, from 53,400 High Voting Shares, with a nominal value of €0.50 each, to 40,000 High Voting Shares, with a nominal value of €0.25 each, from no Preferred Shares to 1,401 Preferred Shares, with a nominal value of €300 each. Following receipt of Nasdaq approval on September 4, 2025 and commencement of trading on September 5, 2025 under ticker “SSM”, the conditions to closing were satisfied and the Exchange Agreement closed, resulting in the exchange of Yorkville’s outstanding debentures into preferred shares in accordance with its terms. These corporate actions followed the previously disclosed reverse share split and nominal value adjustments (ordinary shares to €0.02; high-voting shares to €0.50) and, upon the Closing Date of the Exchange Agreement, the effectiveness of the shareholder-approved amendments to the Articles of Association further decreased the nominal value per share to €0.01 for ordinary shares and €0.25 for high-voting shares.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a result of these actions, the presentation of the Company’s ordinary shares and high voting shares in the consolidated financial statements as of December 31, 2025 and December 31, 2024 has been adjusted to reflect the post-split basis for comparative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 Options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December 2020, against the background of our intention to terminate all relevant benefits under former employee participation programs from 2017 and 2018 (respectively, “VESP 2017” and “VESP 2018”) pursuant to which employees were granted virtual shares, we adopted our conversion stock option program under the LTIP (“CSOP”). Under the CSOP, the Company granted 41,157 fully vested stock options, each with an exercise price of €4.50 and which are not subject to any performance criteria, with effect as of the closing date of our IPO on November 19, 2021. The stock options became exercisable one year after the closing of our IPO and are exercisable only in certain windows. The stock options expired on November 18, 2025, four years after the closing of our IPO.</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of a total of 854 RSUs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As of December 31, 2022 there were 213 RSUs fully vested. As of December 31, 2023 there were 266 RSUs fully vested. Due to termination of the former supervisory board members no further RSUs were vested in the year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7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as of and for the years ended December 31, 2025 and 2024: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598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Securities to be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Issued upon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Exercise of</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Options,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2"/>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Warrants and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Contractual</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7"/>
              </w:rPr>
              <w:t>Intrinsic Value</w:t>
            </w:r>
          </w:p>
        </w:tc>
      </w:tr>
      <w:tr>
        <w:trPr>
          <w:trHeight w:val="223"/>
        </w:trPr>
        <w:tc>
          <w:tcPr>
            <w:tcW w:w="598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EUR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Term (Yrs)</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4"/>
              </w:rPr>
              <w:t>EUR</w:t>
            </w:r>
          </w:p>
        </w:tc>
      </w:tr>
      <w:tr>
        <w:trPr>
          <w:trHeight w:val="195"/>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35,119</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Exercised during the period</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Pr>
          <w:p>
            <w:pPr>
              <w:spacing w:after="0"/>
              <w:rPr>
                <w:sz w:val="17"/>
                <w:szCs w:val="17"/>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w:t>
            </w:r>
          </w:p>
        </w:tc>
      </w:tr>
      <w:tr>
        <w:trPr>
          <w:trHeight w:val="202"/>
        </w:trPr>
        <w:tc>
          <w:tcPr>
            <w:tcW w:w="5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33,689</w:t>
            </w:r>
          </w:p>
        </w:tc>
        <w:tc>
          <w:tcPr>
            <w:tcW w:w="120" w:type="dxa"/>
            <w:vAlign w:val="bottom"/>
          </w:tcPr>
          <w:p>
            <w:pPr>
              <w:spacing w:after="0"/>
              <w:rPr>
                <w:sz w:val="17"/>
                <w:szCs w:val="17"/>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7"/>
                <w:szCs w:val="17"/>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 during the period</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1,850</w:t>
            </w: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Expired during the period</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32,775</w:t>
            </w:r>
          </w:p>
        </w:tc>
        <w:tc>
          <w:tcPr>
            <w:tcW w:w="120" w:type="dxa"/>
            <w:vAlign w:val="bottom"/>
          </w:tcPr>
          <w:p>
            <w:pPr>
              <w:spacing w:after="0"/>
              <w:rPr>
                <w:sz w:val="17"/>
                <w:szCs w:val="17"/>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5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Pr>
          <w:p>
            <w:pPr>
              <w:spacing w:after="0"/>
              <w:rPr>
                <w:sz w:val="17"/>
                <w:szCs w:val="17"/>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1,862</w:t>
            </w:r>
          </w:p>
        </w:tc>
      </w:tr>
      <w:tr>
        <w:trPr>
          <w:trHeight w:val="20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December 31, 2025</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1,862</w:t>
            </w:r>
          </w:p>
        </w:tc>
      </w:tr>
    </w:tbl>
    <w:p>
      <w:pPr>
        <w:spacing w:after="0" w:line="18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7"/>
          <w:szCs w:val="17"/>
          <w:color w:val="auto"/>
        </w:rPr>
        <w:t>The total intrinsic value of options exercised during the years ended December 31, 2025 and December 31, 2024 was EUR1,850 and EUR(1,938), respectively. As of December 31, 2025, the aggregate intrinsic value of options outstanding and exercisable was EUR1,862, with a weighted average remaining contractual term of 5.83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10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GENERAL AND ADMINISTRATIVE EXPENSES</w:t>
            </w:r>
          </w:p>
        </w:tc>
        <w:tc>
          <w:tcPr>
            <w:tcW w:w="2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05"/>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The table below provides details on general and administrative expenses:</w:t>
            </w:r>
          </w:p>
        </w:tc>
        <w:tc>
          <w:tcPr>
            <w:tcW w:w="2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9"/>
        </w:trPr>
        <w:tc>
          <w:tcPr>
            <w:tcW w:w="5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December 31, 2025</w:t>
            </w: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December 31, 2024</w:t>
            </w:r>
          </w:p>
        </w:tc>
      </w:tr>
      <w:tr>
        <w:trPr>
          <w:trHeight w:val="219"/>
        </w:trPr>
        <w:tc>
          <w:tcPr>
            <w:tcW w:w="5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KEUR</w:t>
            </w: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28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2,661</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2,546</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Personnel costs</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1,413</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1,517</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lease expense</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169</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Insurance</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140</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fees and subscriptions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180</w:t>
            </w:r>
          </w:p>
        </w:tc>
      </w:tr>
      <w:tr>
        <w:trPr>
          <w:trHeight w:val="195"/>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8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5,073</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4,648</w:t>
            </w:r>
          </w:p>
        </w:tc>
      </w:tr>
      <w:tr>
        <w:trPr>
          <w:trHeight w:val="632"/>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RESEARCH AND DEVELOPMENT EXPENSES</w:t>
            </w:r>
          </w:p>
        </w:tc>
        <w:tc>
          <w:tcPr>
            <w:tcW w:w="2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9"/>
        </w:trPr>
        <w:tc>
          <w:tcPr>
            <w:tcW w:w="5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December 31, 2025</w:t>
            </w: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December 31, 2024</w:t>
            </w:r>
          </w:p>
        </w:tc>
      </w:tr>
      <w:tr>
        <w:trPr>
          <w:trHeight w:val="219"/>
        </w:trPr>
        <w:tc>
          <w:tcPr>
            <w:tcW w:w="5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KEUR</w:t>
            </w: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costs</w:t>
            </w:r>
          </w:p>
        </w:tc>
        <w:tc>
          <w:tcPr>
            <w:tcW w:w="28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237</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184</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expenses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1,375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654</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Software fees and subscriptions</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22</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w:t>
            </w:r>
          </w:p>
        </w:tc>
      </w:tr>
      <w:tr>
        <w:trPr>
          <w:trHeight w:val="195"/>
        </w:trPr>
        <w:tc>
          <w:tcPr>
            <w:tcW w:w="5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1,817</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1,118</w:t>
            </w:r>
          </w:p>
        </w:tc>
      </w:tr>
      <w:tr>
        <w:trPr>
          <w:trHeight w:val="632"/>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SELLING AND DISTRIBUTION EXPENSES</w:t>
            </w:r>
          </w:p>
        </w:tc>
        <w:tc>
          <w:tcPr>
            <w:tcW w:w="2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9"/>
        </w:trPr>
        <w:tc>
          <w:tcPr>
            <w:tcW w:w="5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December 31, 2025</w:t>
            </w:r>
          </w:p>
        </w:tc>
        <w:tc>
          <w:tcPr>
            <w:tcW w:w="15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December 31, 2024</w:t>
            </w:r>
          </w:p>
        </w:tc>
      </w:tr>
      <w:tr>
        <w:trPr>
          <w:trHeight w:val="219"/>
        </w:trPr>
        <w:tc>
          <w:tcPr>
            <w:tcW w:w="5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KEUR</w:t>
            </w:r>
          </w:p>
        </w:tc>
        <w:tc>
          <w:tcPr>
            <w:tcW w:w="15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expenses</w:t>
            </w:r>
          </w:p>
        </w:tc>
        <w:tc>
          <w:tcPr>
            <w:tcW w:w="28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565</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Advertising and marketing</w:t>
            </w:r>
          </w:p>
        </w:tc>
        <w:tc>
          <w:tcPr>
            <w:tcW w:w="43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7"/>
                <w:szCs w:val="17"/>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112</w:t>
            </w: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r>
      <w:tr>
        <w:trPr>
          <w:trHeight w:val="195"/>
        </w:trPr>
        <w:tc>
          <w:tcPr>
            <w:tcW w:w="5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selling and distribution expenses</w:t>
            </w:r>
          </w:p>
        </w:tc>
        <w:tc>
          <w:tcPr>
            <w:tcW w:w="4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877</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678</w:t>
            </w:r>
          </w:p>
        </w:tc>
      </w:tr>
      <w:tr>
        <w:trPr>
          <w:trHeight w:val="404"/>
        </w:trPr>
        <w:tc>
          <w:tcPr>
            <w:tcW w:w="5200" w:type="dxa"/>
            <w:vAlign w:val="bottom"/>
          </w:tcPr>
          <w:p>
            <w:pPr>
              <w:spacing w:after="0"/>
              <w:rPr>
                <w:sz w:val="24"/>
                <w:szCs w:val="24"/>
                <w:color w:val="auto"/>
              </w:rPr>
            </w:pPr>
          </w:p>
        </w:tc>
        <w:tc>
          <w:tcPr>
            <w:tcW w:w="45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F-19</w:t>
            </w:r>
          </w:p>
        </w:tc>
        <w:tc>
          <w:tcPr>
            <w:tcW w:w="1540" w:type="dxa"/>
            <w:vAlign w:val="bottom"/>
          </w:tcPr>
          <w:p>
            <w:pPr>
              <w:spacing w:after="0"/>
              <w:rPr>
                <w:sz w:val="24"/>
                <w:szCs w:val="24"/>
                <w:color w:val="auto"/>
              </w:rPr>
            </w:pPr>
          </w:p>
        </w:tc>
      </w:tr>
      <w:tr>
        <w:trPr>
          <w:trHeight w:val="107"/>
        </w:trPr>
        <w:tc>
          <w:tcPr>
            <w:tcW w:w="52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4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Service contracts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 carries various service contracts on its office buildings and certain copier equipment for repairs, maintenance and inspections. All contracts are short term and can be cancelled on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Litigation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Current tax assets and liabilities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Deferred taxes</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Deferred tax is recognized using the liability method on temporary differences as of the end of the reporting period between the carrying amounts of assets and liabilities and their tax bases.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Deferred tax assets are recognized for deductible temporary differences and to the extent that it is probable that future taxable income will allow the deferred tax asset to be realized.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spacing w:after="0" w:line="1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Rate Reconciliation</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22"/>
        </w:trPr>
        <w:tc>
          <w:tcPr>
            <w:tcW w:w="13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5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r>
      <w:tr>
        <w:trPr>
          <w:trHeight w:val="195"/>
        </w:trPr>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Pre-tax book Income (Loss)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4,015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(63,973)</w:t>
            </w:r>
          </w:p>
        </w:tc>
      </w:tr>
      <w:tr>
        <w:trPr>
          <w:trHeight w:val="202"/>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Expected tax/(benefit) at 32.98% international statutory rates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(21,098)</w:t>
            </w: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Year Change in Valuation Allowance</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1,324</w:t>
            </w:r>
          </w:p>
        </w:tc>
        <w:tc>
          <w:tcPr>
            <w:tcW w:w="1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21,098</w:t>
            </w:r>
          </w:p>
        </w:tc>
      </w:tr>
      <w:tr>
        <w:trPr>
          <w:trHeight w:val="195"/>
        </w:trPr>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359"/>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Tax Assets/(Liab.) Detail</w:t>
            </w: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422"/>
        </w:trPr>
        <w:tc>
          <w:tcPr>
            <w:tcW w:w="1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60" w:type="dxa"/>
            <w:vAlign w:val="bottom"/>
          </w:tcPr>
          <w:p>
            <w:pPr>
              <w:spacing w:after="0"/>
              <w:rPr>
                <w:sz w:val="24"/>
                <w:szCs w:val="24"/>
                <w:color w:val="auto"/>
              </w:rPr>
            </w:pPr>
          </w:p>
        </w:tc>
        <w:tc>
          <w:tcPr>
            <w:tcW w:w="15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r>
      <w:tr>
        <w:trPr>
          <w:trHeight w:val="195"/>
        </w:trPr>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NOL DTA</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108,020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106,429</w:t>
            </w:r>
          </w:p>
        </w:tc>
      </w:tr>
      <w:tr>
        <w:trPr>
          <w:trHeight w:val="202"/>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(Gain) From Change in FV of Convertible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losses</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1,274</w:t>
            </w:r>
          </w:p>
        </w:tc>
      </w:tr>
      <w:tr>
        <w:trPr>
          <w:trHeight w:val="202"/>
        </w:trPr>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Asset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105,050</w:t>
            </w:r>
          </w:p>
        </w:tc>
        <w:tc>
          <w:tcPr>
            <w:tcW w:w="1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107,461</w:t>
            </w:r>
          </w:p>
        </w:tc>
      </w:tr>
      <w:tr>
        <w:trPr>
          <w:trHeight w:val="195"/>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(105,050)</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(107,461)</w:t>
            </w:r>
          </w:p>
        </w:tc>
      </w:tr>
      <w:tr>
        <w:trPr>
          <w:trHeight w:val="195"/>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bl>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The table above presents the gross deferred taxes only for reasons of understanding and completeness, as no deferred taxes have been recognized due to a (deferred tax asset/liabilities) net position of zero. As the net deferred tax asset was not booked in a first step, no valuation allowance is booked. Given the loss history of the Company, deferred tax assets are not recognized on the balance sheet. The amount of deferred tax assets/liabilities as of December 31, 2025 and 2024 are zero.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deferred taxes with regard to Outside Basis Differences as those are permanent differences.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FAIR VALUE OF FINANCIAL INSTRUMENTS</w:t>
      </w:r>
    </w:p>
    <w:p>
      <w:pPr>
        <w:spacing w:after="0" w:line="2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cash equivalents, accounts receivable and accounts payable, approximate their respective fair values due to the short-term nature of such instruments. The Company measures certain financial instruments at fair value on a recurring basis, including certain convertible notes payable. All financial instruments carried at fair value fall within Level 3 of the fair value hierarchy as their value is based on unobservable inputs. The Company evaluates its financial assets and liabilities subject to fair value measurements on a recurring basis to determine the appropriate level in which to classify them for each reporting period. This determination requires significant judgments to be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conclusions reached regarding fair value measurements as of December 31, 2025 and 2024: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145655" cy="277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45655" cy="27749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KEUR</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3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32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Level 1</w:t>
            </w:r>
          </w:p>
        </w:tc>
        <w:tc>
          <w:tcPr>
            <w:tcW w:w="234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Level 2</w:t>
            </w:r>
          </w:p>
        </w:tc>
        <w:tc>
          <w:tcPr>
            <w:tcW w:w="2320" w:type="dxa"/>
            <w:vAlign w:val="bottom"/>
            <w:tcBorders>
              <w:top w:val="single" w:sz="8" w:color="auto"/>
              <w:bottom w:val="single" w:sz="8" w:color="auto"/>
              <w:right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rPr>
              <w:t>Level 3</w:t>
            </w:r>
          </w:p>
        </w:tc>
        <w:tc>
          <w:tcPr>
            <w:tcW w:w="1920" w:type="dxa"/>
            <w:vAlign w:val="bottom"/>
            <w:tcBorders>
              <w:top w:val="single" w:sz="8" w:color="auto"/>
              <w:bottom w:val="single" w:sz="8" w:color="auto"/>
              <w:right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rPr>
              <w:t>Total</w:t>
            </w:r>
          </w:p>
        </w:tc>
      </w:tr>
      <w:tr>
        <w:trPr>
          <w:trHeight w:val="195"/>
        </w:trPr>
        <w:tc>
          <w:tcPr>
            <w:tcW w:w="2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32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r>
      <w:tr>
        <w:trPr>
          <w:trHeight w:val="179"/>
        </w:trPr>
        <w:tc>
          <w:tcPr>
            <w:tcW w:w="2360" w:type="dxa"/>
            <w:vAlign w:val="bottom"/>
            <w:tcBorders>
              <w:left w:val="single" w:sz="8" w:color="auto"/>
              <w:right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Convertible notes payable at fair</w:t>
            </w:r>
          </w:p>
        </w:tc>
        <w:tc>
          <w:tcPr>
            <w:tcW w:w="2320" w:type="dxa"/>
            <w:vAlign w:val="bottom"/>
            <w:tcBorders>
              <w:right w:val="single" w:sz="8" w:color="auto"/>
            </w:tcBorders>
            <w:shd w:val="clear" w:color="auto" w:fill="CCEEFF"/>
          </w:tcPr>
          <w:p>
            <w:pPr>
              <w:spacing w:after="0"/>
              <w:rPr>
                <w:sz w:val="15"/>
                <w:szCs w:val="15"/>
                <w:color w:val="auto"/>
              </w:rPr>
            </w:pPr>
          </w:p>
        </w:tc>
        <w:tc>
          <w:tcPr>
            <w:tcW w:w="2340" w:type="dxa"/>
            <w:vAlign w:val="bottom"/>
            <w:tcBorders>
              <w:right w:val="single" w:sz="8" w:color="auto"/>
            </w:tcBorders>
            <w:shd w:val="clear" w:color="auto" w:fill="CCEEFF"/>
          </w:tcPr>
          <w:p>
            <w:pPr>
              <w:spacing w:after="0"/>
              <w:rPr>
                <w:sz w:val="15"/>
                <w:szCs w:val="15"/>
                <w:color w:val="auto"/>
              </w:rPr>
            </w:pPr>
          </w:p>
        </w:tc>
        <w:tc>
          <w:tcPr>
            <w:tcW w:w="2320" w:type="dxa"/>
            <w:vAlign w:val="bottom"/>
            <w:tcBorders>
              <w:right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24,035</w:t>
            </w:r>
          </w:p>
        </w:tc>
        <w:tc>
          <w:tcPr>
            <w:tcW w:w="1920" w:type="dxa"/>
            <w:vAlign w:val="bottom"/>
            <w:tcBorders>
              <w:right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24,035</w:t>
            </w:r>
          </w:p>
        </w:tc>
      </w:tr>
      <w:tr>
        <w:trPr>
          <w:trHeight w:val="219"/>
        </w:trPr>
        <w:tc>
          <w:tcPr>
            <w:tcW w:w="2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value</w:t>
            </w:r>
          </w:p>
        </w:tc>
        <w:tc>
          <w:tcPr>
            <w:tcW w:w="2320" w:type="dxa"/>
            <w:vAlign w:val="bottom"/>
            <w:tcBorders>
              <w:bottom w:val="single" w:sz="8" w:color="auto"/>
              <w:right w:val="single" w:sz="8" w:color="auto"/>
            </w:tcBorders>
            <w:shd w:val="clear" w:color="auto" w:fill="CCEEFF"/>
          </w:tcPr>
          <w:p>
            <w:pPr>
              <w:spacing w:after="0"/>
              <w:rPr>
                <w:sz w:val="19"/>
                <w:szCs w:val="19"/>
                <w:color w:val="auto"/>
              </w:rPr>
            </w:pPr>
          </w:p>
        </w:tc>
        <w:tc>
          <w:tcPr>
            <w:tcW w:w="2340" w:type="dxa"/>
            <w:vAlign w:val="bottom"/>
            <w:tcBorders>
              <w:bottom w:val="single" w:sz="8" w:color="auto"/>
              <w:right w:val="single" w:sz="8" w:color="auto"/>
            </w:tcBorders>
            <w:shd w:val="clear" w:color="auto" w:fill="CCEEFF"/>
          </w:tcPr>
          <w:p>
            <w:pPr>
              <w:spacing w:after="0"/>
              <w:rPr>
                <w:sz w:val="19"/>
                <w:szCs w:val="19"/>
                <w:color w:val="auto"/>
              </w:rPr>
            </w:pPr>
          </w:p>
        </w:tc>
        <w:tc>
          <w:tcPr>
            <w:tcW w:w="2320" w:type="dxa"/>
            <w:vAlign w:val="bottom"/>
            <w:tcBorders>
              <w:bottom w:val="single" w:sz="8" w:color="auto"/>
              <w:right w:val="single" w:sz="8" w:color="auto"/>
            </w:tcBorders>
            <w:shd w:val="clear" w:color="auto" w:fill="CCEEFF"/>
          </w:tcPr>
          <w:p>
            <w:pPr>
              <w:spacing w:after="0"/>
              <w:rPr>
                <w:sz w:val="19"/>
                <w:szCs w:val="19"/>
                <w:color w:val="auto"/>
              </w:rPr>
            </w:pPr>
          </w:p>
        </w:tc>
        <w:tc>
          <w:tcPr>
            <w:tcW w:w="19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95"/>
        </w:trPr>
        <w:tc>
          <w:tcPr>
            <w:tcW w:w="2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24,035</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24,035</w:t>
            </w:r>
          </w:p>
        </w:tc>
      </w:tr>
    </w:tbl>
    <w:p>
      <w:pPr>
        <w:spacing w:after="0" w:line="18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Convertible notes payable is a Level 3 financial instrument that is measured at fair value on a recurring basis. The table below summarizes the activity for the years ended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Convertible Notes</w:t>
            </w:r>
          </w:p>
        </w:tc>
      </w:tr>
      <w:tr>
        <w:trPr>
          <w:trHeight w:val="202"/>
        </w:trPr>
        <w:tc>
          <w:tcPr>
            <w:tcW w:w="46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Payable at Fair Value</w:t>
            </w:r>
          </w:p>
        </w:tc>
      </w:tr>
      <w:tr>
        <w:trPr>
          <w:trHeight w:val="219"/>
        </w:trPr>
        <w:tc>
          <w:tcPr>
            <w:tcW w:w="464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9"/>
              </w:rPr>
              <w:t>KEUR</w:t>
            </w:r>
          </w:p>
        </w:tc>
      </w:tr>
      <w:tr>
        <w:trPr>
          <w:trHeight w:val="19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50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25,629</w:t>
            </w:r>
          </w:p>
        </w:tc>
      </w:tr>
      <w:tr>
        <w:trPr>
          <w:trHeight w:val="20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new borrowings</w:t>
            </w:r>
          </w:p>
        </w:tc>
        <w:tc>
          <w:tcPr>
            <w:tcW w:w="66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7,000</w:t>
            </w:r>
          </w:p>
        </w:tc>
      </w:tr>
      <w:tr>
        <w:trPr>
          <w:trHeight w:val="20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resulting from foreign exchange rates and other</w:t>
            </w:r>
          </w:p>
        </w:tc>
        <w:tc>
          <w:tcPr>
            <w:tcW w:w="6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329</w:t>
            </w:r>
          </w:p>
        </w:tc>
      </w:tr>
      <w:tr>
        <w:trPr>
          <w:trHeight w:val="20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measurement (gain)/loss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(8,923)</w:t>
            </w:r>
          </w:p>
        </w:tc>
      </w:tr>
      <w:tr>
        <w:trPr>
          <w:trHeight w:val="195"/>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2024</w:t>
            </w:r>
          </w:p>
        </w:tc>
        <w:tc>
          <w:tcPr>
            <w:tcW w:w="50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24,035</w:t>
            </w:r>
          </w:p>
        </w:tc>
      </w:tr>
      <w:tr>
        <w:trPr>
          <w:trHeight w:val="20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new borrowings</w:t>
            </w:r>
          </w:p>
        </w:tc>
        <w:tc>
          <w:tcPr>
            <w:tcW w:w="66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5,990</w:t>
            </w:r>
          </w:p>
        </w:tc>
      </w:tr>
      <w:tr>
        <w:trPr>
          <w:trHeight w:val="20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resulting from foreign exchange rates and other</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0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Fair value measurement (gain)/loss</w:t>
            </w:r>
          </w:p>
        </w:tc>
        <w:tc>
          <w:tcPr>
            <w:tcW w:w="6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(11,108)</w:t>
            </w:r>
          </w:p>
        </w:tc>
      </w:tr>
      <w:tr>
        <w:trPr>
          <w:trHeight w:val="20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for preferred stock September 5, 2025</w:t>
            </w:r>
          </w:p>
        </w:tc>
        <w:tc>
          <w:tcPr>
            <w:tcW w:w="6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r>
      <w:tr>
        <w:trPr>
          <w:trHeight w:val="211"/>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2025</w:t>
            </w:r>
          </w:p>
        </w:tc>
        <w:tc>
          <w:tcPr>
            <w:tcW w:w="5040" w:type="dxa"/>
            <w:vAlign w:val="bottom"/>
          </w:tcPr>
          <w:p>
            <w:pPr>
              <w:spacing w:after="0"/>
              <w:rPr>
                <w:sz w:val="18"/>
                <w:szCs w:val="18"/>
                <w:color w:val="auto"/>
              </w:rPr>
            </w:pPr>
          </w:p>
        </w:tc>
        <w:tc>
          <w:tcPr>
            <w:tcW w:w="15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388"/>
        </w:trPr>
        <w:tc>
          <w:tcPr>
            <w:tcW w:w="4640" w:type="dxa"/>
            <w:vAlign w:val="bottom"/>
          </w:tcPr>
          <w:p>
            <w:pPr>
              <w:spacing w:after="0"/>
              <w:rPr>
                <w:sz w:val="24"/>
                <w:szCs w:val="24"/>
                <w:color w:val="auto"/>
              </w:rPr>
            </w:pPr>
          </w:p>
        </w:tc>
        <w:tc>
          <w:tcPr>
            <w:tcW w:w="6600" w:type="dxa"/>
            <w:vAlign w:val="bottom"/>
            <w:gridSpan w:val="2"/>
          </w:tcPr>
          <w:p>
            <w:pPr>
              <w:jc w:val="right"/>
              <w:ind w:right="5376"/>
              <w:spacing w:after="0"/>
              <w:rPr>
                <w:sz w:val="20"/>
                <w:szCs w:val="20"/>
                <w:color w:val="auto"/>
              </w:rPr>
            </w:pPr>
            <w:r>
              <w:rPr>
                <w:rFonts w:ascii="Times New Roman" w:cs="Times New Roman" w:eastAsia="Times New Roman" w:hAnsi="Times New Roman"/>
                <w:sz w:val="17"/>
                <w:szCs w:val="17"/>
                <w:color w:val="auto"/>
              </w:rPr>
              <w:t>F-21</w:t>
            </w:r>
          </w:p>
        </w:tc>
      </w:tr>
      <w:tr>
        <w:trPr>
          <w:trHeight w:val="107"/>
        </w:trPr>
        <w:tc>
          <w:tcPr>
            <w:tcW w:w="4640" w:type="dxa"/>
            <w:vAlign w:val="bottom"/>
            <w:tcBorders>
              <w:bottom w:val="single" w:sz="8" w:color="auto"/>
            </w:tcBorders>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20" w:top="549"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color w:val="auto"/>
        </w:rPr>
        <w:t>SONO GROUP NV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SUBSEQUENT EVENTS</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Subsequent to December 31, 2025, the Company entered into the following material financing and digital-asset transactions. Management has evaluated these events in accordance with ASC 855, Subsequent Events, and determined that they represent non-recognized subsequent events requiring disclosure but no adjustment to the consolidated financial statements as of and for the year ended December 31, 2025.</w:t>
      </w:r>
    </w:p>
    <w:p>
      <w:pPr>
        <w:spacing w:after="0" w:line="165" w:lineRule="exact"/>
        <w:rPr>
          <w:sz w:val="20"/>
          <w:szCs w:val="20"/>
          <w:color w:val="auto"/>
        </w:rPr>
      </w:pPr>
    </w:p>
    <w:p>
      <w:pPr>
        <w:ind w:left="1340" w:hanging="597"/>
        <w:spacing w:after="0"/>
        <w:tabs>
          <w:tab w:leader="none" w:pos="13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Yorkville Financings</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2026 Convertible Debentures</w:t>
      </w:r>
    </w:p>
    <w:p>
      <w:pPr>
        <w:spacing w:after="0" w:line="213" w:lineRule="exact"/>
        <w:rPr>
          <w:sz w:val="20"/>
          <w:szCs w:val="20"/>
          <w:color w:val="auto"/>
        </w:rPr>
      </w:pPr>
    </w:p>
    <w:p>
      <w:pPr>
        <w:jc w:val="both"/>
        <w:ind w:left="740"/>
        <w:spacing w:after="0" w:line="251" w:lineRule="auto"/>
        <w:rPr>
          <w:sz w:val="20"/>
          <w:szCs w:val="20"/>
          <w:color w:val="auto"/>
        </w:rPr>
      </w:pPr>
      <w:r>
        <w:rPr>
          <w:rFonts w:ascii="Times New Roman" w:cs="Times New Roman" w:eastAsia="Times New Roman" w:hAnsi="Times New Roman"/>
          <w:sz w:val="17"/>
          <w:szCs w:val="17"/>
          <w:color w:val="auto"/>
        </w:rPr>
        <w:t>On January 26, 2026, the Company issued a convertible debenture to Yorkville in the aggregate principal amount of $600,000 (the “January 2026 Debenture”). The January 2026 Debenture matures on January 26, 2027, which maturity date may be extended at the option of Yorkville. Further, interest accrues on the outstanding principal balance of the January 2026 Debenture at an annual rate of 12%, which will increase to an annual rate of 18% upon an Event of Default (as defined in the January 2026 Debenture). for so long as such Event of Default remains uncured. Yorkville will have the right to convert the January 2026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January 2026 Debenture) then in effect or the nominal value of one Ordinary Share. Net proceeds to the Company from the January 2026 Debenture were $600,000.</w:t>
      </w:r>
    </w:p>
    <w:p>
      <w:pPr>
        <w:spacing w:after="0" w:line="184"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7"/>
          <w:szCs w:val="17"/>
          <w:color w:val="auto"/>
        </w:rPr>
        <w:t>In addition, on February 19, 2026, the Company issued a convertible debenture to Yorkville in the aggregate principal amount of $750,000 (the “February 2026 Debenture”). The February 2026 Debenture matures on February 19, 2027, which maturity date may be extended at the option of Yorkville. Further, interest accrues on the outstanding principal balance of the February 2026 Debenture at an annual rate of 12%, which will increase to an annual rate of 18% upon an Event of Default (as defined in the February 2026 Debenture), for so long as such Event of Default remains uncured. Yorkville will have the right to convert the February 2026 Debenture into Ordinary Shares of the Company at the Variable Conversion Price; provided that the Variable Conversion Price may not be lower than the Floor Price (as defined in the February 2026 Debenture) then in effect or the nominal value of one Ordinary Share. Net proceeds to the Company from the February 2026 Debenture were $750,000.</w:t>
      </w:r>
    </w:p>
    <w:p>
      <w:pPr>
        <w:spacing w:after="0" w:line="177"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7"/>
          <w:szCs w:val="17"/>
          <w:color w:val="auto"/>
        </w:rPr>
        <w:t>Further, on March 10, 2026, the Company issued a convertible debenture (the “March 2026 Debenture”) to Yorkville in the aggregate principal amount of $3,000,000. The March 2026 Debenture matures on March 10, 2027, which maturity date may be extended at the option of Yorkville. Further, interest accrues on the outstanding principal balance of the March 2026 Debenture at an annual rate of 12%, which will increase to an annual rate of 18% upon an Event of Default (as defined in the March 2026 Debenture), for so long as such Event of Default remains uncured. Yorkville will have the right to convert the March 2026 Debenture into Ordinary Shares of the Company at the Variable Conversion Price; provided that the Variable Conversion Price may not be lower than the Floor Price (as defined in the March 2026 Debenture) then in effect or the nominal value of one Ordinary Share. Net proceeds to the Company from the March 2026 Debenture were $3,000,000.</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i w:val="1"/>
          <w:iCs w:val="1"/>
          <w:color w:val="auto"/>
        </w:rPr>
        <w:t>Pre-Funded Warrant Private Placement</w:t>
      </w:r>
    </w:p>
    <w:p>
      <w:pPr>
        <w:spacing w:after="0" w:line="213" w:lineRule="exact"/>
        <w:rPr>
          <w:sz w:val="20"/>
          <w:szCs w:val="20"/>
          <w:color w:val="auto"/>
        </w:rPr>
      </w:pPr>
    </w:p>
    <w:p>
      <w:pPr>
        <w:jc w:val="both"/>
        <w:ind w:left="740"/>
        <w:spacing w:after="0" w:line="252" w:lineRule="auto"/>
        <w:rPr>
          <w:sz w:val="20"/>
          <w:szCs w:val="20"/>
          <w:color w:val="auto"/>
        </w:rPr>
      </w:pPr>
      <w:r>
        <w:rPr>
          <w:rFonts w:ascii="Times New Roman" w:cs="Times New Roman" w:eastAsia="Times New Roman" w:hAnsi="Times New Roman"/>
          <w:sz w:val="17"/>
          <w:szCs w:val="17"/>
          <w:color w:val="auto"/>
        </w:rPr>
        <w:t>As previously announced in the March 10 Current Report, concurrently with the entry into the March 2026 Debenture, on March 10, 2026, the Company and Yorkville entered into a Pre-Funded Warrant Securities Purchase Agreement, dated March 10, 2026 (the “Warrant Purchase Agreement”), pursuant to which, at the closing which occurred on March 10, 2026, the Company issued and sold to Yorkville a pre-funded warrant to purchase up to 283,367 Ordinary Shares of the Company (the “Warrant Shares”), exercisable in whole or in part at any time after issuance (the “Pre-Funded Warrant”). The aggregate subscription amount for the Pre-Funded Warrant was $2,000,004.29. Such amount was paid by Yorkville at the closing of the Warrant Purchase Agreement. The aggregate gross proceeds to the Company from the Private Placement were approximately $2,000,004.29, before deducting the offering expenses payable by the Company, which expenses consist solely of legal fees. The Company intends to use the net proceeds from the offering for working capital purposes. In addition, the per share exercise price of the Pre-Funded Warrant is €0.01.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6" w:name="page117"/>
    <w:bookmarkEnd w:id="116"/>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The Pre-Funded Warrant is exercisable for up to 283,367 Ordinary Shares at an exercise price of €0.01 per share (subject to certain adjustments), is exercisable immediately upon issuance, and may be exercised, in whole or in part, at any time until exercised in full. Yorkville (together with its Attribution Parties (as defined in the Pre-Funded Warrant)) may not exercise any Pre-Funded Warrant to the extent that Yorkville would own more than 4.99% of the outstanding Ordinary Shares immediately after giving effect to the issuance of Ordinary Shares issuable upon exercise of such Pre-Funded Warrant, which percentage may be changed at Yorkville’s election to a lower or higher percentage not in excess of 9.99% upon 61 days’ notice to the Company, subject to the terms of the Pre-Funded Warrant. The Pre-Funded Warrant provides for standard anti-dilution adjustments to the exercise price and the number of Warrant Shares issuable upon exercise in connection with stock dividends, splits, combinations, reclassifications and similar events.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Rights Agreement</w:t>
      </w:r>
    </w:p>
    <w:p>
      <w:pPr>
        <w:spacing w:after="0" w:line="213"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In connection with the Private Placement, the Company entered into a Registration Rights Agreement with Yorkville, dated March 10, 2026 (the “Registration Rights Agreement”). The Registration Rights Agreement provides that the Company shall file a registration statement covering the resale of all of the Warrant Shares and any other Registrable Securities (as defined in the Registration Rights Agreement) with the SEC no later than the 30th calendar day following the date of the Registration Rights Agreement, and have the registration statement declared effective by the SEC as promptly as practicable after the filing thereof, but in any event no later than the 90th calendar day following the date of the Registration Rights Agreement, or in the event of a “full review” by the SEC, the 120th day following the date of the Registration Rights Agreement.</w:t>
      </w:r>
    </w:p>
    <w:p>
      <w:pPr>
        <w:spacing w:after="0" w:line="17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Upon the occurrence of any Event (as defined in the Registration Rights Agreement), which, among others, prohibits Yorkville from reselling the Registrable Securities for more than ten consecutive calendar days or more than an aggregate of twenty calendar days during any twelve-month period, the Company is obligated to pay to Yorkville, on each monthly anniversary of each such Event, an amount in cash, as partial liquidated damages and not as a penalty, equal to the product of 1.0% multiplied by the aggregate subscription amount paid by Yorkville pursuant to the Warrant Purchase Agreement. All fees and expenses incident to the performance of or compliance with the Registration Rights Agreement by the Company will be borne by the Company, whether or not any Warrant Shares are sold pursuant to a registration statement.</w:t>
      </w:r>
    </w:p>
    <w:p>
      <w:pPr>
        <w:spacing w:after="0" w:line="171" w:lineRule="exact"/>
        <w:rPr>
          <w:sz w:val="20"/>
          <w:szCs w:val="20"/>
          <w:color w:val="auto"/>
        </w:rPr>
      </w:pPr>
    </w:p>
    <w:p>
      <w:pPr>
        <w:ind w:left="1220" w:hanging="617"/>
        <w:spacing w:after="0"/>
        <w:tabs>
          <w:tab w:leader="none" w:pos="122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Digital Asset Treasury Strategy</w:t>
      </w:r>
    </w:p>
    <w:p>
      <w:pPr>
        <w:spacing w:after="0" w:line="213" w:lineRule="exact"/>
        <w:rPr>
          <w:sz w:val="20"/>
          <w:szCs w:val="20"/>
          <w:color w:val="auto"/>
        </w:rPr>
      </w:pPr>
    </w:p>
    <w:p>
      <w:pPr>
        <w:jc w:val="both"/>
        <w:ind w:left="600"/>
        <w:spacing w:after="0" w:line="250" w:lineRule="auto"/>
        <w:rPr>
          <w:sz w:val="20"/>
          <w:szCs w:val="20"/>
          <w:color w:val="auto"/>
        </w:rPr>
      </w:pPr>
      <w:r>
        <w:rPr>
          <w:rFonts w:ascii="Times New Roman" w:cs="Times New Roman" w:eastAsia="Times New Roman" w:hAnsi="Times New Roman"/>
          <w:sz w:val="17"/>
          <w:szCs w:val="17"/>
          <w:color w:val="auto"/>
        </w:rPr>
        <w:t>As previously announced in the Company’s Current Report on Form 8-K filed with the SEC on March 16, 2026 (the “March 16 Current Report”), on March 10, 2026, in connection with the Treasury Strategy (as defined below), the Company entered into an International Swaps and Derivatives Association, Inc. (“ISDA”) 2002 ISDA Master Agreement, dated as of March 10, 2026 (the “ISDA Master Agreement”) with Blockchain.com (BVI) II Limited, a business company incorporated under the laws of the British Virgin Islands (“Blockchain.com”), facilitating the Company to enter into derivative and/or hedging transactions (collectively, the “Transactions”) to manage the risk associated with the Treasury Strategy. The derivative and hedging transactions will be governed by the ISDA Master Agreement, including the related Schedule to the ISDA Master Agreement executed by the Company and Blockchain.com on March 10, 2026 (the “Schedule”). The structure of the Transactions may include forwards, swaps, futures, options or other derivatives transactions in respect of digital assets. Certain events of default will apply to the Transactions under the ISDA Master Agreement and Schedule, including, but not limited to, failure to pay or deliver, breach of the agreement, credit support default, cross-defaults and misrepresentation. In addition, in connection with the ISDA Master Agreement, the Company and Blockchain.com entered into a Credit Support Annex to the Schedule to the ISDA Master Agreement, dated as of March 10, 2026 (the “Credit Support Annex”), which sets forth the terms and conditions upon which the Company will be required to deliver additional collateral to Blockchain.com (and Blockchain.com will be required to return collateral to the Company) depending upon the mark to market exposure under the ISDA Master Agreement and the value of the collateral. The ISDA Master Agreement, the Schedule and the Credit Support Annex are governed by the laws of England and Wales.</w:t>
      </w:r>
    </w:p>
    <w:p>
      <w:pPr>
        <w:spacing w:after="0" w:line="185"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As further announced in the March 16 Current Report, on March 14, 2026, the Company’s management board, with the approval of the supervisory board, ratified the Company’s entry into the ISDA Master Agreement, the Schedule and the Credit Support Annex and approved the adoption of a digital asset treasury strategy and digital asset treasury policy and the purchase by the Company of Bitcoin and other digital assets in connection therewith (the “Treasury Strategy”). Under the Treasury Strategy, the principal holding in the Company’s treasury reserve on its balance sheet will be allocated to digital assets, principally Bitcoin, by applying a covered-call yield strategy. The Company may use available liquidity, including proceeds from previously disclosed financing arrangements, to purchase Bitcoin and other digital assets, subject to applicable law and public disclosure requirements. The Company intends to solicit the ratification by its shareholders of the engagement by the Company in the Treasury Strategy.</w:t>
      </w:r>
    </w:p>
    <w:p>
      <w:pPr>
        <w:spacing w:after="0" w:line="173" w:lineRule="exact"/>
        <w:rPr>
          <w:sz w:val="20"/>
          <w:szCs w:val="20"/>
          <w:color w:val="auto"/>
        </w:rPr>
      </w:pPr>
    </w:p>
    <w:p>
      <w:pPr>
        <w:ind w:left="1240" w:hanging="637"/>
        <w:spacing w:after="0"/>
        <w:tabs>
          <w:tab w:leader="none" w:pos="12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Exit from Sono Motors GmbH</w:t>
      </w:r>
    </w:p>
    <w:p>
      <w:pPr>
        <w:spacing w:after="0" w:line="213"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As previously announced in the Company’s Current Report on Form 8-K filed with the SEC on March 19, 2026 (the “March 19 Current Report”), on March 14, 2026, our supervisory board resolved to terminate all current and future funding commitments to the Subsidiary and to exit the legacy solar operations conducted through the Subsidiary, with immediate effect. The Company’s decision was driven by the Subsidiary’s historical lack of profitability, which has resulted in the Company having to continuously provide funding to the Subsidiary, and thus incur losses, and a determination by the supervisory board that there was not a clear path for the Subsidiary to achieve profitability in a reasonably desirable timeframe and thus, avoid future losses by the Company. This decision was made in conjunction with the decision on March 14, 2026 by the Company’s management board, with the approval of the supervisory board, to adopt the Treasury Strategy, as previously announced. The Treasury Strategy is projected to generate cash flow for the Company in the first year of its execution. The Company is also exploring other strategic alternatives to maximize shareholder value.</w:t>
      </w:r>
    </w:p>
    <w:p>
      <w:pPr>
        <w:spacing w:after="0" w:line="180" w:lineRule="exact"/>
        <w:rPr>
          <w:sz w:val="20"/>
          <w:szCs w:val="20"/>
          <w:color w:val="auto"/>
        </w:rPr>
      </w:pPr>
    </w:p>
    <w:p>
      <w:pPr>
        <w:jc w:val="both"/>
        <w:ind w:left="600"/>
        <w:spacing w:after="0" w:line="271" w:lineRule="auto"/>
        <w:rPr>
          <w:sz w:val="20"/>
          <w:szCs w:val="20"/>
          <w:color w:val="auto"/>
        </w:rPr>
      </w:pPr>
      <w:r>
        <w:rPr>
          <w:rFonts w:ascii="Times New Roman" w:cs="Times New Roman" w:eastAsia="Times New Roman" w:hAnsi="Times New Roman"/>
          <w:sz w:val="16"/>
          <w:szCs w:val="16"/>
          <w:color w:val="auto"/>
        </w:rPr>
        <w:t>As announced in the March 19 Current Report, the Company is currently unable to make a good faith estimate of the total costs and charges, if any, that may be incurred in connection with the cessation of funding to the Subsidiary and the exit from the Company’s legacy solar business. The determination of any such costs is subject to significant uncertainties, including, among other things, the timing, scope and manner of any actions undertaken with respect to the Subsidiary following the cessation of funding, as well as the extent of any obligations of the Company in connection therewith. Potential costs, if any, may include legal, advisory and other professional fees and expenses associated with activities relating to the Subsidiary. Any such costs and expenditures, if incurred, are expected to be reduced by cash flow to the Company from the Treasury Strategy. The Company will amend the March 19 Current Report to disclose material costs, charges and cash expenditures to be borne directly by the Company, if and when such amounts become reasonably estimable.</w:t>
      </w:r>
    </w:p>
    <w:p>
      <w:pPr>
        <w:spacing w:after="0" w:line="16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Management concluded that these transactions occurred after year-end and therefore did not require adjustment to the accompanying consolidated financial statements.</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100"/>
          </w:cols>
          <w:pgMar w:left="460" w:top="553" w:right="339" w:bottom="1155"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60" w:type="dxa"/>
            <w:vAlign w:val="bottom"/>
            <w:gridSpan w:val="2"/>
          </w:tcPr>
          <w:p>
            <w:pPr>
              <w:ind w:left="1600"/>
              <w:spacing w:after="0"/>
              <w:rPr>
                <w:sz w:val="20"/>
                <w:szCs w:val="20"/>
                <w:color w:val="auto"/>
              </w:rPr>
            </w:pPr>
            <w:r>
              <w:rPr>
                <w:rFonts w:ascii="Times New Roman" w:cs="Times New Roman" w:eastAsia="Times New Roman" w:hAnsi="Times New Roman"/>
                <w:sz w:val="17"/>
                <w:szCs w:val="17"/>
                <w:b w:val="1"/>
                <w:bCs w:val="1"/>
                <w:color w:val="auto"/>
              </w:rPr>
              <w:t>List of Significant Subsidiaries</w:t>
            </w:r>
          </w:p>
        </w:tc>
      </w:tr>
      <w:tr>
        <w:trPr>
          <w:trHeight w:val="550"/>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6460" w:type="dxa"/>
            <w:vAlign w:val="bottom"/>
            <w:gridSpan w:val="2"/>
          </w:tcPr>
          <w:p>
            <w:pPr>
              <w:jc w:val="center"/>
              <w:ind w:left="4376"/>
              <w:spacing w:after="0"/>
              <w:rPr>
                <w:sz w:val="20"/>
                <w:szCs w:val="20"/>
                <w:color w:val="auto"/>
              </w:rPr>
            </w:pPr>
            <w:r>
              <w:rPr>
                <w:rFonts w:ascii="Times New Roman" w:cs="Times New Roman" w:eastAsia="Times New Roman" w:hAnsi="Times New Roman"/>
                <w:sz w:val="17"/>
                <w:szCs w:val="17"/>
                <w:b w:val="1"/>
                <w:bCs w:val="1"/>
                <w:color w:val="auto"/>
                <w:w w:val="99"/>
              </w:rPr>
              <w:t>Jurisdiction of organization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422"/>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Sono Motors GmbH</w:t>
            </w:r>
          </w:p>
        </w:tc>
        <w:tc>
          <w:tcPr>
            <w:tcW w:w="44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Germany</w:t>
            </w:r>
          </w:p>
        </w:tc>
      </w:tr>
      <w:tr>
        <w:trPr>
          <w:trHeight w:val="405"/>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Sono Group S.à r.l.</w:t>
            </w:r>
          </w:p>
        </w:tc>
        <w:tc>
          <w:tcPr>
            <w:tcW w:w="44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r>
    </w:tbl>
    <w:p>
      <w:pPr>
        <w:sectPr>
          <w:pgSz w:w="11900" w:h="16838" w:orient="portrait"/>
          <w:cols w:equalWidth="0" w:num="1">
            <w:col w:w="11240"/>
          </w:cols>
          <w:pgMar w:left="320" w:top="11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3"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(File No. 333-261241) of our report dated April 1, 2026, relating to the consolidated financial statements of Sono Group N.V. (the “Company”) appearing in this Annual Report on Form 10-K for the year ended December 31, 2025. Our report includes an explanatory paragraph regarding the existence of substantial doubt about the Company’s ability to continue as a going concern.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GRASSI &amp; CO., CPAs, P.C.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Glastonbury,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2026</w:t>
      </w:r>
    </w:p>
    <w:p>
      <w:pPr>
        <w:sectPr>
          <w:pgSz w:w="11900" w:h="16838" w:orient="portrait"/>
          <w:cols w:equalWidth="0" w:num="1">
            <w:col w:w="11240"/>
          </w:cols>
          <w:pgMar w:left="320" w:top="11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AND 15d-14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McGurn, certify that:</w:t>
      </w:r>
    </w:p>
    <w:p>
      <w:pPr>
        <w:spacing w:after="0" w:line="209" w:lineRule="exact"/>
        <w:rPr>
          <w:sz w:val="20"/>
          <w:szCs w:val="20"/>
          <w:color w:val="auto"/>
        </w:rPr>
      </w:pPr>
    </w:p>
    <w:p>
      <w:pPr>
        <w:ind w:left="460" w:hanging="459"/>
        <w:spacing w:after="0"/>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Sono Group N.V.;</w:t>
      </w:r>
    </w:p>
    <w:p>
      <w:pPr>
        <w:spacing w:after="0" w:line="209"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left="460" w:hanging="459"/>
        <w:spacing w:after="0" w:line="262"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920" w:right="280" w:hanging="463"/>
        <w:spacing w:after="0" w:line="262"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left="920" w:right="100" w:hanging="463"/>
        <w:spacing w:after="0" w:line="262"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920" w:right="140" w:hanging="463"/>
        <w:spacing w:after="0" w:line="276"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ind w:left="920" w:right="180" w:hanging="463"/>
        <w:spacing w:after="0" w:line="262"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Times New Roman" w:cs="Times New Roman" w:eastAsia="Times New Roman" w:hAnsi="Times New Roman"/>
          <w:sz w:val="17"/>
          <w:szCs w:val="17"/>
          <w:color w:val="auto"/>
        </w:rPr>
      </w:pPr>
    </w:p>
    <w:p>
      <w:pPr>
        <w:ind w:left="920" w:right="80" w:hanging="463"/>
        <w:spacing w:after="0" w:line="276"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920" w:right="300" w:hanging="463"/>
        <w:spacing w:after="0" w:line="276" w:lineRule="auto"/>
        <w:tabs>
          <w:tab w:leader="none" w:pos="9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 2026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7411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McGurn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AND 15d-14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Martin Scott Calhoun, certify that:</w:t>
      </w:r>
    </w:p>
    <w:p>
      <w:pPr>
        <w:spacing w:after="0" w:line="209" w:lineRule="exact"/>
        <w:rPr>
          <w:sz w:val="20"/>
          <w:szCs w:val="20"/>
          <w:color w:val="auto"/>
        </w:rPr>
      </w:pPr>
    </w:p>
    <w:p>
      <w:pPr>
        <w:ind w:left="460" w:hanging="459"/>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Sono Group N.V.;</w:t>
      </w:r>
    </w:p>
    <w:p>
      <w:pPr>
        <w:spacing w:after="0" w:line="209"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left="460" w:hanging="459"/>
        <w:spacing w:after="0" w:line="262"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ind w:left="920" w:right="280" w:hanging="463"/>
        <w:spacing w:after="0" w:line="262"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ind w:left="920" w:right="100" w:hanging="463"/>
        <w:spacing w:after="0" w:line="262"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920" w:right="140" w:hanging="463"/>
        <w:spacing w:after="0" w:line="276"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ind w:left="920" w:right="180" w:hanging="463"/>
        <w:spacing w:after="0" w:line="262"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460" w:hanging="459"/>
        <w:spacing w:after="0" w:line="276"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Times New Roman" w:cs="Times New Roman" w:eastAsia="Times New Roman" w:hAnsi="Times New Roman"/>
          <w:sz w:val="17"/>
          <w:szCs w:val="17"/>
          <w:color w:val="auto"/>
        </w:rPr>
      </w:pPr>
    </w:p>
    <w:p>
      <w:pPr>
        <w:ind w:left="920" w:right="80" w:hanging="463"/>
        <w:spacing w:after="0" w:line="276"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Times New Roman" w:cs="Times New Roman" w:eastAsia="Times New Roman" w:hAnsi="Times New Roman"/>
          <w:sz w:val="17"/>
          <w:szCs w:val="17"/>
          <w:color w:val="auto"/>
        </w:rPr>
      </w:pPr>
    </w:p>
    <w:p>
      <w:pPr>
        <w:ind w:left="920" w:right="300" w:hanging="463"/>
        <w:spacing w:after="0" w:line="276" w:lineRule="auto"/>
        <w:tabs>
          <w:tab w:leader="none" w:pos="9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 2026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2018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2018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Martin Scott Calhoun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Annual Report on Form 10-K of Sono Group N.V. (the “Company”) for the year ended December 31, 2025, as filed with the Securities and Exchange Commission on the date hereof (the “Report”), I, Kevin McGurn, hereby certify, in the capacity and on the date indicated below, pursuant to 18 U.S.C. Section 1350, as adopted pursuant to Section 906 of the Sarbanes-Oxley Act of 2002, that:</w:t>
      </w:r>
    </w:p>
    <w:p>
      <w:pPr>
        <w:spacing w:after="0" w:line="169" w:lineRule="exact"/>
        <w:rPr>
          <w:sz w:val="20"/>
          <w:szCs w:val="20"/>
          <w:color w:val="auto"/>
        </w:rPr>
      </w:pPr>
    </w:p>
    <w:p>
      <w:pPr>
        <w:ind w:left="1300" w:hanging="654"/>
        <w:spacing w:after="0"/>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9" w:lineRule="exact"/>
        <w:rPr>
          <w:rFonts w:ascii="Times New Roman" w:cs="Times New Roman" w:eastAsia="Times New Roman" w:hAnsi="Times New Roman"/>
          <w:sz w:val="17"/>
          <w:szCs w:val="17"/>
          <w:color w:val="auto"/>
        </w:rPr>
      </w:pPr>
    </w:p>
    <w:p>
      <w:pPr>
        <w:ind w:right="200" w:firstLine="646"/>
        <w:spacing w:after="0" w:line="496" w:lineRule="auto"/>
        <w:tabs>
          <w:tab w:leader="none" w:pos="130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1,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Kevin McGurn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-8890</wp:posOffset>
            </wp:positionV>
            <wp:extent cx="1741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Kevin McGurn</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sectPr>
          <w:pgSz w:w="11900" w:h="16838" w:orient="portrait"/>
          <w:cols w:equalWidth="0" w:num="1">
            <w:col w:w="11240"/>
          </w:cols>
          <w:pgMar w:left="320" w:top="11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Annual Report on Form 10-K of Sono Group N.V. (the “Company”) for the year ended December 31, 2025, as filed with the Securities and Exchange Commission on the date hereof (the “Report”), I, Martin Scott Calhoun, hereby certify, in the capacity and on the date indicated below, pursuant to 18 U.S.C. Section 1350, as adopted pursuant to Section 906 of the Sarbanes-Oxley Act of 2002, that:</w:t>
      </w:r>
    </w:p>
    <w:p>
      <w:pPr>
        <w:spacing w:after="0" w:line="169" w:lineRule="exact"/>
        <w:rPr>
          <w:sz w:val="20"/>
          <w:szCs w:val="20"/>
          <w:color w:val="auto"/>
        </w:rPr>
      </w:pPr>
    </w:p>
    <w:p>
      <w:pPr>
        <w:ind w:left="1300" w:hanging="654"/>
        <w:spacing w:after="0"/>
        <w:tabs>
          <w:tab w:leader="none" w:pos="1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9" w:lineRule="exact"/>
        <w:rPr>
          <w:rFonts w:ascii="Times New Roman" w:cs="Times New Roman" w:eastAsia="Times New Roman" w:hAnsi="Times New Roman"/>
          <w:sz w:val="17"/>
          <w:szCs w:val="17"/>
          <w:color w:val="auto"/>
        </w:rPr>
      </w:pPr>
    </w:p>
    <w:p>
      <w:pPr>
        <w:ind w:right="200" w:firstLine="646"/>
        <w:spacing w:after="0" w:line="496" w:lineRule="auto"/>
        <w:tabs>
          <w:tab w:leader="none" w:pos="130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1,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-8890</wp:posOffset>
            </wp:positionV>
            <wp:extent cx="17773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Martin Scott Calhoun</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lvl w:ilvl="1">
      <w:lvlJc w:val="left"/>
      <w:lvlText w:val="○"/>
      <w:numFmt w:val="bullet"/>
      <w:start w:val="1"/>
    </w:lvl>
  </w:abstractNum>
  <w:abstractNum w:abstractNumId="20">
    <w:nsid w:val="5577F8E1"/>
    <w:multiLevelType w:val="hybridMultilevel"/>
    <w:lvl w:ilvl="0">
      <w:lvlJc w:val="left"/>
      <w:lvlText w:val="●"/>
      <w:numFmt w:val="bullet"/>
      <w:start w:val="1"/>
    </w:lvl>
    <w:lvl w:ilvl="1">
      <w:lvlJc w:val="left"/>
      <w:lvlText w:val="○"/>
      <w:numFmt w:val="bullet"/>
      <w:start w:val="1"/>
    </w:lvl>
  </w:abstractNum>
  <w:abstractNum w:abstractNumId="21">
    <w:nsid w:val="440BADFC"/>
    <w:multiLevelType w:val="hybridMultilevel"/>
    <w:lvl w:ilvl="0">
      <w:lvlJc w:val="left"/>
      <w:lvlText w:val="●"/>
      <w:numFmt w:val="bullet"/>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23" Type="http://schemas.openxmlformats.org/officeDocument/2006/relationships/image" Target="media/image88.png"/><Relationship Id="rId142"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95" Type="http://schemas.openxmlformats.org/officeDocument/2006/relationships/hyperlink" Target="http://www.sec.gov/Archives/edgar/data/0001840416/000117184325007436/ex_890171.htm" TargetMode="External"/><Relationship Id="rId96" Type="http://schemas.openxmlformats.org/officeDocument/2006/relationships/hyperlink" Target="http://www.sec.gov/Archives/edgar/data/1840416/000110465921135375/tm212911d11_ex3-2.htm" TargetMode="External"/><Relationship Id="rId97" Type="http://schemas.openxmlformats.org/officeDocument/2006/relationships/hyperlink" Target="http://www.sec.gov/Archives/edgar/data/1840416/000110465921135375/tm212911d11_ex3-3.htm" TargetMode="External"/><Relationship Id="rId98" Type="http://schemas.openxmlformats.org/officeDocument/2006/relationships/hyperlink" Target="http://www.sec.gov/Archives/edgar/data/1840416/000117184325002284/ex_798206.htm" TargetMode="External"/><Relationship Id="rId99" Type="http://schemas.openxmlformats.org/officeDocument/2006/relationships/hyperlink" Target="http://www.sec.gov/Archives/edgar/data/0001840416/000117184326001464/exh_41.htm" TargetMode="External"/><Relationship Id="rId100" Type="http://schemas.openxmlformats.org/officeDocument/2006/relationships/hyperlink" Target="http://www.sec.gov/Archives/edgar/data/1840416/000110465921135375/tm212911d11_ex4-1.htm" TargetMode="External"/><Relationship Id="rId101" Type="http://schemas.openxmlformats.org/officeDocument/2006/relationships/hyperlink" Target="http://www.sec.gov/Archives/edgar/data/1840416/000110465921128923/tm212911d8_ex10-1.htm" TargetMode="External"/><Relationship Id="rId102" Type="http://schemas.openxmlformats.org/officeDocument/2006/relationships/hyperlink" Target="http://www.sec.gov/Archives/edgar/data/1840416/000110465921128923/tm212911d8_ex10-2.htm" TargetMode="External"/><Relationship Id="rId103" Type="http://schemas.openxmlformats.org/officeDocument/2006/relationships/hyperlink" Target="http://www.sec.gov/Archives/edgar/data/1840416/000110465921128923/tm212911d8_ex10-3.htm" TargetMode="External"/><Relationship Id="rId104" Type="http://schemas.openxmlformats.org/officeDocument/2006/relationships/hyperlink" Target="http://www.sec.gov/Archives/edgar/data/1840416/000110465921128923/tm212911d8_ex10-4.htm" TargetMode="External"/><Relationship Id="rId105" Type="http://schemas.openxmlformats.org/officeDocument/2006/relationships/hyperlink" Target="http://www.sec.gov/Archives/edgar/data/1840416/000110465922125230/tm2231376d3_ex4-1.htm" TargetMode="External"/><Relationship Id="rId106" Type="http://schemas.openxmlformats.org/officeDocument/2006/relationships/hyperlink" Target="http://www.sec.gov/Archives/edgar/data/1840416/000110465922125230/tm2231376d4_ex10-1.htm" TargetMode="External"/><Relationship Id="rId107" Type="http://schemas.openxmlformats.org/officeDocument/2006/relationships/hyperlink" Target="http://www.sec.gov/Archives/edgar/data/1840416/000110465922125230/tm2231376d4_ex10-2.htm" TargetMode="External"/><Relationship Id="rId108" Type="http://schemas.openxmlformats.org/officeDocument/2006/relationships/hyperlink" Target="http://www.sec.gov/Archives/edgar/data/1840416/000117184323007699/ex_607674.htm" TargetMode="External"/><Relationship Id="rId109" Type="http://schemas.openxmlformats.org/officeDocument/2006/relationships/hyperlink" Target="http://www.sec.gov/Archives/edgar/data/1840416/000117184324003572/ex_671709.htm" TargetMode="External"/><Relationship Id="rId110" Type="http://schemas.openxmlformats.org/officeDocument/2006/relationships/hyperlink" Target="http://www.sec.gov/Archives/edgar/data/1840416/000117184324003572/ex_671710.htm" TargetMode="External"/><Relationship Id="rId111" Type="http://schemas.openxmlformats.org/officeDocument/2006/relationships/hyperlink" Target="http://www.sec.gov/Archives/edgar/data/1840416/000117184323007699/ex_607675.htm" TargetMode="External"/><Relationship Id="rId112" Type="http://schemas.openxmlformats.org/officeDocument/2006/relationships/hyperlink" Target="http://www.sec.gov/Archives/edgar/data/1840416/000117184323007699/ex_607676.htm" TargetMode="External"/><Relationship Id="rId113" Type="http://schemas.openxmlformats.org/officeDocument/2006/relationships/hyperlink" Target="http://www.sec.gov/Archives/edgar/data/1840416/000117184324003572/ex_671711.htm" TargetMode="External"/><Relationship Id="rId114" Type="http://schemas.openxmlformats.org/officeDocument/2006/relationships/hyperlink" Target="http://www.sec.gov/Archives/edgar/data/1840416/000117184324003572/ex_671712.htm" TargetMode="External"/><Relationship Id="rId115" Type="http://schemas.openxmlformats.org/officeDocument/2006/relationships/hyperlink" Target="http://www.sec.gov/Archives/edgar/data/1840416/000117184323007699/ex_607677.htm" TargetMode="External"/><Relationship Id="rId116" Type="http://schemas.openxmlformats.org/officeDocument/2006/relationships/hyperlink" Target="http://www.sec.gov/Archives/edgar/data/1840416/000117184323007699/ex_607678.htm" TargetMode="External"/><Relationship Id="rId117" Type="http://schemas.openxmlformats.org/officeDocument/2006/relationships/hyperlink" Target="http://www.sec.gov/Archives/edgar/data/1840416/000117184323007699/ex_607679.htm" TargetMode="External"/><Relationship Id="rId118" Type="http://schemas.openxmlformats.org/officeDocument/2006/relationships/hyperlink" Target="http://www.sec.gov/Archives/edgar/data/1840416/000117184324003572/ex_671713.htm" TargetMode="External"/><Relationship Id="rId119" Type="http://schemas.openxmlformats.org/officeDocument/2006/relationships/hyperlink" Target="http://www.sec.gov/Archives/edgar/data/1840416/000117184323007699/ex_607680.htm" TargetMode="External"/><Relationship Id="rId120" Type="http://schemas.openxmlformats.org/officeDocument/2006/relationships/hyperlink" Target="http://www.sec.gov/Archives/edgar/data/1840416/000117184324001571/exh_991.htm" TargetMode="External"/><Relationship Id="rId121" Type="http://schemas.openxmlformats.org/officeDocument/2006/relationships/hyperlink" Target="http://www.sec.gov/Archives/edgar/data/1840416/000117184324001572/exh_991.htm" TargetMode="External"/><Relationship Id="rId122" Type="http://schemas.openxmlformats.org/officeDocument/2006/relationships/hyperlink" Target="http://www.sec.gov/Archives/edgar/data/1840416/000117184324003572/ex_678835.htm" TargetMode="External"/><Relationship Id="rId124" Type="http://schemas.openxmlformats.org/officeDocument/2006/relationships/hyperlink" Target="http://www.sec.gov/Archives/edgar/data/1840416/000117184324007104/exh_101.htm" TargetMode="External"/><Relationship Id="rId125" Type="http://schemas.openxmlformats.org/officeDocument/2006/relationships/hyperlink" Target="http://www.sec.gov/Archives/edgar/data/1840416/000117184324007104/exh_102.htm" TargetMode="External"/><Relationship Id="rId126" Type="http://schemas.openxmlformats.org/officeDocument/2006/relationships/hyperlink" Target="http://www.sec.gov/Archives/edgar/data/1840416/000117184324007104/exh_101.htm#coa" TargetMode="External"/><Relationship Id="rId127" Type="http://schemas.openxmlformats.org/officeDocument/2006/relationships/hyperlink" Target="http://www.sec.gov/Archives/edgar/data/1840416/000117184325000803/exh_101.htm" TargetMode="External"/><Relationship Id="rId128" Type="http://schemas.openxmlformats.org/officeDocument/2006/relationships/hyperlink" Target="http://www.sec.gov/Archives/edgar/data/1840416/000117184325000803/exh_102.htm" TargetMode="External"/><Relationship Id="rId129" Type="http://schemas.openxmlformats.org/officeDocument/2006/relationships/hyperlink" Target="http://www.sec.gov/Archives/edgar/data/1840416/000117184325001327/exh_101.htm" TargetMode="External"/><Relationship Id="rId130" Type="http://schemas.openxmlformats.org/officeDocument/2006/relationships/hyperlink" Target="http://www.sec.gov/Archives/edgar/data/1840416/000117184325001726/exh_101.htm" TargetMode="External"/><Relationship Id="rId131" Type="http://schemas.openxmlformats.org/officeDocument/2006/relationships/hyperlink" Target="http://www.sec.gov/Archives/edgar/data/1840416/000117184325001726/exh_102.htm" TargetMode="External"/><Relationship Id="rId132" Type="http://schemas.openxmlformats.org/officeDocument/2006/relationships/hyperlink" Target="http://www.sec.gov/Archives/edgar/data/1840416/000117184325002511/exh_101.htm" TargetMode="External"/><Relationship Id="rId133" Type="http://schemas.openxmlformats.org/officeDocument/2006/relationships/hyperlink" Target="http://www.sec.gov/Archives/edgar/data/1840416/000117184325002511/exh_102.htm" TargetMode="External"/><Relationship Id="rId134" Type="http://schemas.openxmlformats.org/officeDocument/2006/relationships/hyperlink" Target="http://www.sec.gov/Archives/edgar/data/0001840416/000117184325003467/exh_102.htm" TargetMode="External"/><Relationship Id="rId135" Type="http://schemas.openxmlformats.org/officeDocument/2006/relationships/hyperlink" Target="http://www.sec.gov/Archives/edgar/data/0001840416/000117184325003467/exh_101.htm" TargetMode="External"/><Relationship Id="rId136" Type="http://schemas.openxmlformats.org/officeDocument/2006/relationships/hyperlink" Target="http://www.sec.gov/Archives/edgar/data/0001840416/000117184325004369/exh_101.htm" TargetMode="External"/><Relationship Id="rId137" Type="http://schemas.openxmlformats.org/officeDocument/2006/relationships/hyperlink" Target="http://www.sec.gov/Archives/edgar/data/0001840416/000117184325005186/exh_101.htm" TargetMode="External"/><Relationship Id="rId138" Type="http://schemas.openxmlformats.org/officeDocument/2006/relationships/hyperlink" Target="http://www.sec.gov/Archives/edgar/data/0001840416/000117184325005186/exh_102.htm" TargetMode="External"/><Relationship Id="rId139" Type="http://schemas.openxmlformats.org/officeDocument/2006/relationships/hyperlink" Target="http://www.sec.gov/Archives/edgar/data/0001840416/000117184325005186/exh_103.htm" TargetMode="External"/><Relationship Id="rId140" Type="http://schemas.openxmlformats.org/officeDocument/2006/relationships/hyperlink" Target="http://www.sec.gov/Archives/edgar/data/0001840416/000117184325005499/ex_854680.htm" TargetMode="External"/><Relationship Id="rId141" Type="http://schemas.openxmlformats.org/officeDocument/2006/relationships/hyperlink" Target="http://www.sec.gov/Archives/edgar/data/0001840416/000117184325005499/ex_854681.htm" TargetMode="External"/><Relationship Id="rId143" Type="http://schemas.openxmlformats.org/officeDocument/2006/relationships/hyperlink" Target="http://www.sec.gov/Archives/edgar/data/0001840416/000117184325005755/exh_101.htm" TargetMode="External"/><Relationship Id="rId144" Type="http://schemas.openxmlformats.org/officeDocument/2006/relationships/hyperlink" Target="http://www.sec.gov/Archives/edgar/data/0001840416/000117184325005755/exh_102.htm" TargetMode="External"/><Relationship Id="rId145" Type="http://schemas.openxmlformats.org/officeDocument/2006/relationships/hyperlink" Target="http://www.sec.gov/Archives/edgar/data/0001840416/000117184326000517/exh_101.htm" TargetMode="External"/><Relationship Id="rId146" Type="http://schemas.openxmlformats.org/officeDocument/2006/relationships/hyperlink" Target="http://www.sec.gov/Archives/edgar/data/0001840416/000117184326001054/exh_101.htm" TargetMode="External"/><Relationship Id="rId147" Type="http://schemas.openxmlformats.org/officeDocument/2006/relationships/hyperlink" Target="http://www.sec.gov/Archives/edgar/data/0001840416/000117184326001464/exh_101.htm" TargetMode="External"/><Relationship Id="rId148" Type="http://schemas.openxmlformats.org/officeDocument/2006/relationships/hyperlink" Target="http://www.sec.gov/Archives/edgar/data/0001840416/000117184326001464/exh_102.htm" TargetMode="External"/><Relationship Id="rId149" Type="http://schemas.openxmlformats.org/officeDocument/2006/relationships/hyperlink" Target="http://www.sec.gov/Archives/edgar/data/0001840416/000117184326001464/exh_103.htm" TargetMode="External"/><Relationship Id="rId150" Type="http://schemas.openxmlformats.org/officeDocument/2006/relationships/hyperlink" Target="http://www.sec.gov/Archives/edgar/data/0001840416/000117184326001589/exh_101.htm" TargetMode="External"/><Relationship Id="rId151" Type="http://schemas.openxmlformats.org/officeDocument/2006/relationships/hyperlink" Target="http://www.sec.gov/Archives/edgar/data/0001840416/000117184326001589/exh_102.htm" TargetMode="External"/><Relationship Id="rId152" Type="http://schemas.openxmlformats.org/officeDocument/2006/relationships/hyperlink" Target="http://www.sec.gov/Archives/edgar/data/0001840416/000117184326001589/exh_103.htm" TargetMode="External"/><Relationship Id="rId153" Type="http://schemas.openxmlformats.org/officeDocument/2006/relationships/hyperlink" Target="http://www.sec.gov/Archives/edgar/data/0001840416/000117184325005779/exh_101.htm" TargetMode="External"/><Relationship Id="rId154" Type="http://schemas.openxmlformats.org/officeDocument/2006/relationships/hyperlink" Target="http://www.sec.gov/Archives/edgar/data/1840416/000117184325002284/ex_797687.htm" TargetMode="External"/><Relationship Id="rId155" Type="http://schemas.openxmlformats.org/officeDocument/2006/relationships/hyperlink" Target="http://www.sec.gov/Archives/edgar/data/1840416/000117184323007699/ex_60767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2026-04-01T16:38:37Z</dcterms:created>
  <dcterms:modified xsi:type="dcterms:W3CDTF">2026-04-01T16:38:37Z</dcterms:modified>
</cp:coreProperties>
</file>