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p>
      <w:pPr>
        <w:spacing w:after="0" w:line="200" w:lineRule="exact"/>
        <w:rPr>
          <w:sz w:val="24"/>
          <w:szCs w:val="24"/>
          <w:color w:val="auto"/>
        </w:rPr>
      </w:pPr>
    </w:p>
    <w:p>
      <w:pPr>
        <w:spacing w:after="0" w:line="38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Pre-commencement communications pursuant to Rule 13e-4(c) under the Exchange Act (17 CFR 240.13e-4(c)) </w:t>
      </w:r>
      <w:r>
        <w:rPr>
          <w:rFonts w:ascii="Times New Roman" w:cs="Times New Roman" w:eastAsia="Times New Roman" w:hAnsi="Times New Roman"/>
          <w:sz w:val="18"/>
          <w:szCs w:val="18"/>
          <w:color w:val="333333"/>
        </w:rPr>
        <w:t>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Ordinary shares</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SSM</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26, 2026, Sono Group N.V. (the “Company”) issued a convertible debenture (the “Debenture”) to YA II PN, Ltd. (“Yorkville”) in the aggregate principal amount of $600,000.</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Debenture matures on January 26, 2027, which maturity date may be extended at the option of Yorkville. Further, interest accrues on the outstanding principal balance of the Debenture at an annual rate of 12%, which will increase to an annual rate of 18% upon an Event of Default (as defined in the Debenture). for so long as such Event of Default remains uncured. Yorkville will have the right to convert the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Debenture) then in effect or the nominal value of one Ordinary Share. Net proceeds to the Company from the Debenture were $600,000.</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Debenture does not purport to be complete and is qualified in its entirety by reference to the full text of the Debenture,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1.01 above is incorporated by reference into this Item 3.02.</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Debenture was issued in a private placement in reliance on Section 4(a)(2) of the Securities Act of 1933, as amended. Any Ordinary Shares issuable upon conversion of the Debenture will be issued without registration under the Securities Act in reliance on applicable exemptions therefrom.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filed with this Current Report on Form 8-K:</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w:t>
        <w:tab/>
        <w:t>Description of Exhibit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Convertible Debenture dated January 26, 2026</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-7620</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DEBENTURE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$600,000_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January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SEV-8</w:t>
      </w:r>
    </w:p>
    <w:p>
      <w:pPr>
        <w:spacing w:after="0" w:line="20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The term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used herein shall mean this convertible debenture and any debenture issued in replacement thereof. Certain capitalized terms used herein are defined in Section 14.</w:t>
      </w:r>
    </w:p>
    <w:p>
      <w:pPr>
        <w:spacing w:after="0" w:line="189" w:lineRule="exact"/>
        <w:rPr>
          <w:sz w:val="20"/>
          <w:szCs w:val="20"/>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4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On the Issuance Date, upon the execution and delivery of this Debenture and the closing statement executed by the Company, the Holder shall pay to the Company the Principal Amount set forth above in immediately available funds to an account designated by the Company in writing in the closing statement, and the Company shall deliver this Debenture to the Holder with a Principal amount equal to the full Principal Amount set forth above, duly executed on behalf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1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January 26, 2027, as may be extended at the option of the Holder. Other than as specifically permitted by this Debenture, the Company may not prepay or redeem any portion of the outstanding Principal and accrued and unpaid Interest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9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0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2060" w:hanging="756"/>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5" w:lineRule="exact"/>
        <w:rPr>
          <w:rFonts w:ascii="Times New Roman" w:cs="Times New Roman" w:eastAsia="Times New Roman" w:hAnsi="Times New Roman"/>
          <w:sz w:val="18"/>
          <w:szCs w:val="18"/>
          <w:color w:val="auto"/>
        </w:rPr>
      </w:pPr>
    </w:p>
    <w:p>
      <w:pPr>
        <w:ind w:left="3720" w:hanging="1120"/>
        <w:spacing w:after="0"/>
        <w:tabs>
          <w:tab w:leader="none" w:pos="37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Guarantor’s failure to pay to the Holder any amount of Principal, Redemption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Interest, or other amounts when and as due under this Debenture or any other Transaction Document;</w:t>
      </w:r>
    </w:p>
    <w:p>
      <w:pPr>
        <w:spacing w:after="0" w:line="206" w:lineRule="exact"/>
        <w:rPr>
          <w:rFonts w:ascii="Times New Roman" w:cs="Times New Roman" w:eastAsia="Times New Roman" w:hAnsi="Times New Roman"/>
          <w:sz w:val="18"/>
          <w:szCs w:val="18"/>
          <w:color w:val="auto"/>
        </w:rPr>
      </w:pPr>
    </w:p>
    <w:p>
      <w:pPr>
        <w:jc w:val="both"/>
        <w:ind w:firstLine="2600"/>
        <w:spacing w:after="0" w:line="253" w:lineRule="auto"/>
        <w:tabs>
          <w:tab w:leader="none" w:pos="360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or there shall be commenced against the Company, any Subsidiary of the Company under any applicable bankruptcy or insolvency laws as now or hereafter in effect or any successor thereto, or the Company, any Subsidiary of the Company commences any other proceeding under any reorganization, arrangement, adjustment of debt, relief of debtors, dissolution, insolvency or liquidation or similar law of any jurisdiction whether now or hereafter in effect relating to the Company, any Subsidiary of the Company and any such bankruptcy, insolvency or other proceeding which remains undismissed for a period of sixty one (61) days; or the Company, any Subsidiary of the Company is adjudicated insolvent or bankrupt; or any order of relief or other order approving any such case or proceeding is entered; or the Company, any Subsidiary of the Company suffers any appointment of any custodian, private or court appointed receiver or the like for it or all or substantially all of its property which continues undischarged or unstayed for a period of sixty one (61) days; or the Company, any Subsidiary of the Company makes a general assignment of all or substantially all of its assets for the benefit of creditors; or the Company, any Subsidiary of the Company shall fail to pay, or shall state that it is unable to pay, or shall be unable to pay, its debts generally as they become due; or the Company, any Subsidiary of the Company shall call a meeting of its creditors with a view to arranging a composition, adjustment or restructuring of its debts; or the Company, any Subsidiary of the Company shall by any act or failure to act expressly indicate its consent to, approval of or acquiescence in any of the foregoing; or any corporate or other action is taken by the Company, any Subsidiary of the Company for the purpose of effecting any of the foregoing;</w:t>
      </w:r>
    </w:p>
    <w:p>
      <w:pPr>
        <w:spacing w:after="0" w:line="187"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4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187" w:lineRule="exact"/>
        <w:rPr>
          <w:rFonts w:ascii="Times New Roman" w:cs="Times New Roman" w:eastAsia="Times New Roman" w:hAnsi="Times New Roman"/>
          <w:sz w:val="18"/>
          <w:szCs w:val="18"/>
          <w:color w:val="auto"/>
        </w:rPr>
      </w:pPr>
    </w:p>
    <w:p>
      <w:pPr>
        <w:ind w:left="3580" w:hanging="980"/>
        <w:spacing w:after="0"/>
        <w:tabs>
          <w:tab w:leader="none" w:pos="3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shall be a party to any Change of Control Transaction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Section 14) unless in connection with such Change of Control Transaction this Debenture is retired;</w:t>
      </w:r>
    </w:p>
    <w:p>
      <w:pPr>
        <w:spacing w:after="0" w:line="206"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9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ind w:left="-1120" w:firstLine="2600"/>
        <w:spacing w:after="0" w:line="282" w:lineRule="auto"/>
        <w:tabs>
          <w:tab w:leader="none" w:pos="23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in Section 4(b)(ii) herein) within five Business Days after such payment is due;</w:t>
      </w:r>
    </w:p>
    <w:p>
      <w:pPr>
        <w:spacing w:after="0" w:line="161" w:lineRule="exact"/>
        <w:rPr>
          <w:rFonts w:ascii="Times New Roman" w:cs="Times New Roman" w:eastAsia="Times New Roman" w:hAnsi="Times New Roman"/>
          <w:sz w:val="18"/>
          <w:szCs w:val="18"/>
          <w:color w:val="auto"/>
        </w:rPr>
      </w:pPr>
    </w:p>
    <w:p>
      <w:pPr>
        <w:jc w:val="both"/>
        <w:ind w:left="-1120" w:firstLine="2600"/>
        <w:spacing w:after="0" w:line="255" w:lineRule="auto"/>
        <w:tabs>
          <w:tab w:leader="none" w:pos="23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88"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5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any Subsidiary of the Company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75" w:lineRule="exact"/>
        <w:rPr>
          <w:rFonts w:ascii="Times New Roman" w:cs="Times New Roman" w:eastAsia="Times New Roman" w:hAnsi="Times New Roman"/>
          <w:sz w:val="18"/>
          <w:szCs w:val="18"/>
          <w:color w:val="auto"/>
        </w:rPr>
      </w:pPr>
    </w:p>
    <w:p>
      <w:pPr>
        <w:jc w:val="both"/>
        <w:ind w:left="-1120" w:firstLine="2600"/>
        <w:spacing w:after="0" w:line="258" w:lineRule="auto"/>
        <w:tabs>
          <w:tab w:leader="none" w:pos="246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3" w:lineRule="exact"/>
        <w:rPr>
          <w:rFonts w:ascii="Times New Roman" w:cs="Times New Roman" w:eastAsia="Times New Roman" w:hAnsi="Times New Roman"/>
          <w:sz w:val="18"/>
          <w:szCs w:val="18"/>
          <w:color w:val="auto"/>
        </w:rPr>
      </w:pPr>
    </w:p>
    <w:p>
      <w:pPr>
        <w:jc w:val="both"/>
        <w:ind w:left="-1120" w:right="20" w:firstLine="2600"/>
        <w:spacing w:after="0" w:line="266" w:lineRule="auto"/>
        <w:tabs>
          <w:tab w:leader="none" w:pos="226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75"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2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ind w:left="2100" w:hanging="620"/>
        <w:spacing w:after="0"/>
        <w:tabs>
          <w:tab w:leader="none" w:pos="2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 w:name="page7"/>
    <w:bookmarkEnd w:id="6"/>
    <w:p>
      <w:pPr>
        <w:ind w:left="2060" w:hanging="756"/>
        <w:spacing w:after="0"/>
        <w:tabs>
          <w:tab w:leader="none" w:pos="2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Ordinary Shares, on the terms and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 4.</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88" w:lineRule="exact"/>
        <w:rPr>
          <w:rFonts w:ascii="Times New Roman" w:cs="Times New Roman" w:eastAsia="Times New Roman" w:hAnsi="Times New Roman"/>
          <w:sz w:val="18"/>
          <w:szCs w:val="18"/>
          <w:color w:val="auto"/>
        </w:rPr>
      </w:pPr>
    </w:p>
    <w:p>
      <w:pPr>
        <w:ind w:right="140" w:firstLine="2645"/>
        <w:spacing w:after="0" w:line="282" w:lineRule="auto"/>
        <w:tabs>
          <w:tab w:leader="none" w:pos="3347"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24"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187"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2" w:lineRule="auto"/>
        <w:tabs>
          <w:tab w:leader="none" w:pos="34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 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left="-1120" w:firstLine="2600"/>
        <w:spacing w:after="0" w:line="253" w:lineRule="auto"/>
        <w:tabs>
          <w:tab w:leader="none" w:pos="2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spacing w:after="0" w:line="194" w:lineRule="exact"/>
        <w:rPr>
          <w:rFonts w:ascii="Times New Roman" w:cs="Times New Roman" w:eastAsia="Times New Roman" w:hAnsi="Times New Roman"/>
          <w:sz w:val="18"/>
          <w:szCs w:val="18"/>
          <w:color w:val="auto"/>
        </w:rPr>
      </w:pPr>
    </w:p>
    <w:p>
      <w:pPr>
        <w:jc w:val="both"/>
        <w:ind w:left="-1120" w:firstLine="2600"/>
        <w:spacing w:after="0" w:line="256" w:lineRule="auto"/>
        <w:tabs>
          <w:tab w:leader="none" w:pos="242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spacing w:after="0" w:line="187"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2600"/>
        <w:spacing w:after="0" w:line="252" w:lineRule="auto"/>
        <w:tabs>
          <w:tab w:leader="none" w:pos="25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195" w:lineRule="exact"/>
        <w:rPr>
          <w:rFonts w:ascii="Times New Roman" w:cs="Times New Roman" w:eastAsia="Times New Roman" w:hAnsi="Times New Roman"/>
          <w:sz w:val="18"/>
          <w:szCs w:val="18"/>
          <w:color w:val="auto"/>
        </w:rPr>
      </w:pPr>
    </w:p>
    <w:p>
      <w:pPr>
        <w:jc w:val="both"/>
        <w:ind w:left="-1120" w:firstLine="2600"/>
        <w:spacing w:after="0" w:line="254"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issue any Ordinary Shares under this Debenture to the extent (but only to the extent) that after giving effect to such issuance the aggregate number of Ordinary Shares issued under this Debenture would exceed 19.99% of the aggregate number of Ordinary Shares issued and outstanding as of the Issuance Date of this Debenture, which number shall be reduced, on a share-for-share basis, by the number of Ordinary Shares issued or issuable pursuant to any transaction or series of transactions that may be aggregated with the transactions contemplated by this Note under the applicable rules of the rules or regulations of the Nasdaq Stock Market LLC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unless the Company’s stockholders have approved the issuance of Common Shares pursuant to this Note in excess of the Exchange Cap, or the Company is exempt from such requirements, in accordance with the applicable rules of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 w:name="page9"/>
    <w:bookmarkEnd w:id="8"/>
    <w:p>
      <w:pPr>
        <w:ind w:left="1580" w:hanging="748"/>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360" w:hanging="880"/>
        <w:spacing w:after="0"/>
        <w:tabs>
          <w:tab w:leader="none" w:pos="2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(4) shall be rounded to the nearest $0.0001 or whole share.</w:t>
      </w:r>
    </w:p>
    <w:p>
      <w:pPr>
        <w:spacing w:after="0" w:line="225" w:lineRule="exact"/>
        <w:rPr>
          <w:rFonts w:ascii="Times New Roman" w:cs="Times New Roman" w:eastAsia="Times New Roman" w:hAnsi="Times New Roman"/>
          <w:sz w:val="18"/>
          <w:szCs w:val="18"/>
          <w:color w:val="auto"/>
        </w:rPr>
      </w:pPr>
    </w:p>
    <w:p>
      <w:pPr>
        <w:jc w:val="both"/>
        <w:ind w:left="-1120" w:firstLine="2600"/>
        <w:spacing w:after="0" w:line="252" w:lineRule="auto"/>
        <w:tabs>
          <w:tab w:leader="none" w:pos="23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95" w:lineRule="exact"/>
        <w:rPr>
          <w:rFonts w:ascii="Times New Roman" w:cs="Times New Roman" w:eastAsia="Times New Roman" w:hAnsi="Times New Roman"/>
          <w:sz w:val="18"/>
          <w:szCs w:val="18"/>
          <w:color w:val="auto"/>
        </w:rPr>
      </w:pPr>
    </w:p>
    <w:p>
      <w:pPr>
        <w:jc w:val="both"/>
        <w:ind w:left="-1120" w:firstLine="2600"/>
        <w:spacing w:after="0" w:line="258" w:lineRule="auto"/>
        <w:tabs>
          <w:tab w:leader="none" w:pos="26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3"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58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Ordinary Shares</w:t>
      </w:r>
      <w:r>
        <w:rPr>
          <w:rFonts w:ascii="Times New Roman" w:cs="Times New Roman" w:eastAsia="Times New Roman" w:hAnsi="Times New Roman"/>
          <w:sz w:val="18"/>
          <w:szCs w:val="18"/>
          <w:color w:val="auto"/>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20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9" w:name="page10"/>
    <w:bookmarkEnd w:id="9"/>
    <w:p>
      <w:pPr>
        <w:jc w:val="both"/>
        <w:ind w:left="-1120" w:right="20" w:firstLine="1952"/>
        <w:spacing w:after="0" w:line="266" w:lineRule="auto"/>
        <w:tabs>
          <w:tab w:leader="none" w:pos="17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95"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6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8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0" w:name="page11"/>
    <w:bookmarkEnd w:id="10"/>
    <w:p>
      <w:pPr>
        <w:jc w:val="both"/>
        <w:ind w:firstLine="1952"/>
        <w:spacing w:after="0" w:line="261" w:lineRule="auto"/>
        <w:tabs>
          <w:tab w:leader="none" w:pos="271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ectPr>
          <w:pgSz w:w="11900" w:h="16838" w:orient="portrait"/>
          <w:cols w:equalWidth="0" w:num="1">
            <w:col w:w="11240"/>
          </w:cols>
          <w:pgMar w:left="320" w:top="796" w:right="339" w:bottom="1440" w:gutter="0" w:footer="0" w:header="0"/>
        </w:sectPr>
      </w:pP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80935 Munich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Kevin McGurn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kevin@kjmadv.com</w:t>
      </w:r>
    </w:p>
    <w:p>
      <w:pPr>
        <w:spacing w:after="0" w:line="200" w:lineRule="exact"/>
        <w:rPr>
          <w:sz w:val="20"/>
          <w:szCs w:val="20"/>
          <w:color w:val="auto"/>
        </w:rPr>
      </w:pPr>
    </w:p>
    <w:p>
      <w:pPr>
        <w:sectPr>
          <w:pgSz w:w="11900" w:h="16838" w:orient="portrait"/>
          <w:cols w:equalWidth="0" w:num="2">
            <w:col w:w="3240" w:space="720"/>
            <w:col w:w="7280"/>
          </w:cols>
          <w:pgMar w:left="320" w:top="796"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201-985-8300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Legal@yorkvilleadvisors.com</w:t>
      </w:r>
    </w:p>
    <w:p>
      <w:pPr>
        <w:spacing w:after="0" w:line="200" w:lineRule="exact"/>
        <w:rPr>
          <w:sz w:val="20"/>
          <w:szCs w:val="20"/>
          <w:color w:val="auto"/>
        </w:rPr>
      </w:pPr>
    </w:p>
    <w:p>
      <w:pPr>
        <w:sectPr>
          <w:pgSz w:w="11900" w:h="16838" w:orient="portrait"/>
          <w:cols w:equalWidth="0" w:num="2">
            <w:col w:w="3240" w:space="720"/>
            <w:col w:w="7280"/>
          </w:cols>
          <w:pgMar w:left="320" w:top="796" w:right="339" w:bottom="1440" w:gutter="0" w:footer="0" w:header="0"/>
          <w:type w:val="continuous"/>
        </w:sectPr>
      </w:pP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spacing w:after="0" w:line="183" w:lineRule="exact"/>
        <w:rPr>
          <w:sz w:val="20"/>
          <w:szCs w:val="20"/>
          <w:color w:val="auto"/>
        </w:rPr>
      </w:pPr>
    </w:p>
    <w:p>
      <w:pPr>
        <w:jc w:val="both"/>
        <w:ind w:firstLine="1304"/>
        <w:spacing w:after="0" w:line="256" w:lineRule="auto"/>
        <w:tabs>
          <w:tab w:leader="none" w:pos="2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both"/>
        <w:ind w:left="-1120" w:firstLine="1304"/>
        <w:spacing w:after="0" w:line="266" w:lineRule="auto"/>
        <w:tabs>
          <w:tab w:leader="none" w:pos="9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 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194" w:lineRule="exact"/>
        <w:rPr>
          <w:rFonts w:ascii="Times New Roman" w:cs="Times New Roman" w:eastAsia="Times New Roman" w:hAnsi="Times New Roman"/>
          <w:sz w:val="18"/>
          <w:szCs w:val="18"/>
          <w:color w:val="auto"/>
        </w:rPr>
      </w:pPr>
    </w:p>
    <w:p>
      <w:pPr>
        <w:ind w:left="-1120" w:firstLine="1304"/>
        <w:spacing w:after="0" w:line="282" w:lineRule="auto"/>
        <w:tabs>
          <w:tab w:leader="none" w:pos="9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or other obligation hereunder shall be due on a day other than a Business Day, such payment shall be 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2" w:name="page13"/>
    <w:bookmarkEnd w:id="12"/>
    <w:p>
      <w:pPr>
        <w:ind w:left="880" w:hanging="69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rFonts w:ascii="Times New Roman" w:cs="Times New Roman" w:eastAsia="Times New Roman" w:hAnsi="Times New Roman"/>
          <w:sz w:val="18"/>
          <w:szCs w:val="18"/>
          <w:color w:val="auto"/>
        </w:rPr>
      </w:pPr>
    </w:p>
    <w:p>
      <w:pPr>
        <w:ind w:left="-1120" w:firstLine="1952"/>
        <w:spacing w:after="0" w:line="282" w:lineRule="auto"/>
        <w:tabs>
          <w:tab w:leader="none" w:pos="13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6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spacing w:after="0" w:line="189" w:lineRule="exact"/>
        <w:rPr>
          <w:rFonts w:ascii="Times New Roman" w:cs="Times New Roman" w:eastAsia="Times New Roman" w:hAnsi="Times New Roman"/>
          <w:sz w:val="18"/>
          <w:szCs w:val="18"/>
          <w:color w:val="auto"/>
        </w:rPr>
      </w:pPr>
    </w:p>
    <w:p>
      <w:pPr>
        <w:ind w:left="-1120" w:firstLine="1952"/>
        <w:spacing w:after="0" w:line="282" w:lineRule="auto"/>
        <w:tabs>
          <w:tab w:leader="none" w:pos="160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61"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left="1560" w:hanging="728"/>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120" w:firstLine="1952"/>
        <w:spacing w:after="0" w:line="282" w:lineRule="auto"/>
        <w:tabs>
          <w:tab w:leader="none" w:pos="16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 Closing Price on the Trading Day immediately prior to the Issuance Date of this Debenture.</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6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188"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Sono Group N.V. Florida LLC.</w:t>
      </w:r>
    </w:p>
    <w:p>
      <w:pPr>
        <w:spacing w:after="0" w:line="225"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8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357505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3" w:name="page14"/>
    <w:bookmarkEnd w:id="13"/>
    <w:p>
      <w:pPr>
        <w:ind w:firstLine="1952"/>
        <w:spacing w:after="0" w:line="282" w:lineRule="auto"/>
        <w:tabs>
          <w:tab w:leader="none" w:pos="2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€0.01, of the Company and shares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convertible debentures, promissory notes, or other forms of indebtedness issued by the Holder to the Company after the date hereof.</w:t>
      </w:r>
    </w:p>
    <w:p>
      <w:pPr>
        <w:spacing w:after="0" w:line="162" w:lineRule="exact"/>
        <w:rPr>
          <w:sz w:val="20"/>
          <w:szCs w:val="20"/>
          <w:color w:val="auto"/>
        </w:rPr>
      </w:pPr>
    </w:p>
    <w:p>
      <w:pPr>
        <w:ind w:firstLine="1952"/>
        <w:spacing w:after="0" w:line="282" w:lineRule="auto"/>
        <w:tabs>
          <w:tab w:leader="none" w:pos="27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8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the Nasdaq Global Market, the Nasdaq Global Select Market, the Nasdaq Capital Market, The New York Stock Exchange, and any successor to any of the foregoing markets or exchanges.</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460" w:hanging="508"/>
        <w:spacing w:after="0"/>
        <w:tabs>
          <w:tab w:leader="none" w:pos="2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30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this Debenture, any Other Debentures, and any and all documents, agreements, instruments or other items executed or delivered in connection with any of the foregoing.</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hereof.</w:t>
      </w:r>
    </w:p>
    <w:p>
      <w:pPr>
        <w:spacing w:after="0" w:line="206" w:lineRule="exact"/>
        <w:rPr>
          <w:rFonts w:ascii="Times New Roman" w:cs="Times New Roman" w:eastAsia="Times New Roman" w:hAnsi="Times New Roman"/>
          <w:sz w:val="18"/>
          <w:szCs w:val="18"/>
          <w:color w:val="auto"/>
        </w:rPr>
      </w:pPr>
    </w:p>
    <w:p>
      <w:pPr>
        <w:jc w:val="both"/>
        <w:ind w:firstLine="1952"/>
        <w:spacing w:after="0" w:line="312" w:lineRule="auto"/>
        <w:tabs>
          <w:tab w:leader="none" w:pos="27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CEO and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PAYMENT</w:t>
      </w:r>
    </w:p>
    <w:p>
      <w:pPr>
        <w:spacing w:after="0" w:line="22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For good and valuable consideration, the receipt and sufficiency of which are hereby acknowledged, </w:t>
      </w:r>
      <w:r>
        <w:rPr>
          <w:rFonts w:ascii="Times New Roman" w:cs="Times New Roman" w:eastAsia="Times New Roman" w:hAnsi="Times New Roman"/>
          <w:sz w:val="18"/>
          <w:szCs w:val="18"/>
          <w:b w:val="1"/>
          <w:bCs w:val="1"/>
          <w:color w:val="auto"/>
        </w:rPr>
        <w:t>Sono Group N.V. Florida LLC</w:t>
      </w:r>
      <w:r>
        <w:rPr>
          <w:rFonts w:ascii="Times New Roman" w:cs="Times New Roman" w:eastAsia="Times New Roman" w:hAnsi="Times New Roman"/>
          <w:sz w:val="18"/>
          <w:szCs w:val="18"/>
          <w:color w:val="auto"/>
        </w:rPr>
        <w:t>, a Florida limited liability company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hereby absolutely, unconditionally and irrevocably guarantees to the Holder the full and prompt payment when due (whether at stated maturity, by acceleration, redemption, conversion settlement, or otherwise) of all Obligations of Sono Group N.V. under this Convertible Debenture (</w:t>
      </w:r>
      <w:r>
        <w:rPr>
          <w:rFonts w:ascii="Times New Roman" w:cs="Times New Roman" w:eastAsia="Times New Roman" w:hAnsi="Times New Roman"/>
          <w:sz w:val="18"/>
          <w:szCs w:val="18"/>
          <w:b w:val="1"/>
          <w:bCs w:val="1"/>
          <w:color w:val="auto"/>
        </w:rPr>
        <w:t>Debenture Number SEV-8, dated January 26, 2026)</w:t>
      </w:r>
      <w:r>
        <w:rPr>
          <w:rFonts w:ascii="Times New Roman" w:cs="Times New Roman" w:eastAsia="Times New Roman" w:hAnsi="Times New Roman"/>
          <w:sz w:val="18"/>
          <w:szCs w:val="18"/>
          <w:color w:val="auto"/>
        </w:rPr>
        <w:t xml:space="preserve"> (as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-704850</wp:posOffset>
            </wp:positionV>
            <wp:extent cx="1504315"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4315" cy="14986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-567690</wp:posOffset>
            </wp:positionV>
            <wp:extent cx="553085" cy="149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085" cy="1498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WITNESS WHEREOF, the Guarantor has executed this Guaranty as of </w:t>
      </w:r>
      <w:r>
        <w:rPr>
          <w:rFonts w:ascii="Times New Roman" w:cs="Times New Roman" w:eastAsia="Times New Roman" w:hAnsi="Times New Roman"/>
          <w:sz w:val="18"/>
          <w:szCs w:val="18"/>
          <w:b w:val="1"/>
          <w:bCs w:val="1"/>
          <w:color w:val="auto"/>
        </w:rPr>
        <w:t>January 26, 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-127000</wp:posOffset>
            </wp:positionV>
            <wp:extent cx="861695"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1695" cy="1498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SONO GROUP N.V. FLORIDA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SEV-8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Ordinary Shares in the following name and deliver them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1F16E9E8"/>
    <w:multiLevelType w:val="hybridMultilevel"/>
    <w:lvl w:ilvl="0">
      <w:lvlJc w:val="left"/>
      <w:lvlText w:val="%1"/>
      <w:numFmt w:val="lowerLetter"/>
      <w:start w:val="1"/>
    </w:lvl>
    <w:lvl w:ilvl="1">
      <w:lvlJc w:val="left"/>
      <w:lvlText w:val="(%2)"/>
      <w:numFmt w:val="lowerRoman"/>
      <w:start w:val="6"/>
    </w:lvl>
  </w:abstractNum>
  <w:abstractNum w:abstractNumId="4">
    <w:nsid w:val="1190CDE7"/>
    <w:multiLevelType w:val="hybridMultilevel"/>
    <w:lvl w:ilvl="0">
      <w:lvlJc w:val="left"/>
      <w:lvlText w:val="(%1)"/>
      <w:numFmt w:val="lowerLetter"/>
      <w:start w:val="2"/>
    </w:lvl>
    <w:lvl w:ilvl="1">
      <w:lvlJc w:val="left"/>
      <w:lvlText w:val="%2"/>
      <w:numFmt w:val="lowerRoman"/>
      <w:start w:val="1"/>
    </w:lvl>
  </w:abstractNum>
  <w:abstractNum w:abstractNumId="5">
    <w:nsid w:val="66EF438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
    <w:nsid w:val="140E0F76"/>
    <w:multiLevelType w:val="hybridMultilevel"/>
    <w:lvl w:ilvl="0">
      <w:lvlJc w:val="left"/>
      <w:lvlText w:val="%1"/>
      <w:numFmt w:val="lowerLetter"/>
      <w:start w:val="1"/>
    </w:lvl>
    <w:lvl w:ilvl="1">
      <w:lvlJc w:val="left"/>
      <w:lvlText w:val="(%2)"/>
      <w:numFmt w:val="lowerRoman"/>
      <w:start w:val="2"/>
    </w:lvl>
  </w:abstractNum>
  <w:abstractNum w:abstractNumId="7">
    <w:nsid w:val="3352255A"/>
    <w:multiLevelType w:val="hybridMultilevel"/>
    <w:lvl w:ilvl="0">
      <w:lvlJc w:val="left"/>
      <w:lvlText w:val="(%1)"/>
      <w:numFmt w:val="lowerLetter"/>
      <w:start w:val="3"/>
    </w:lvl>
    <w:lvl w:ilvl="1">
      <w:lvlJc w:val="left"/>
      <w:lvlText w:val="(%2)"/>
      <w:numFmt w:val="lowerRoman"/>
      <w:start w:val="1"/>
    </w:lvl>
  </w:abstractNum>
  <w:abstractNum w:abstractNumId="8">
    <w:nsid w:val="109CF92E"/>
    <w:multiLevelType w:val="hybridMultilevel"/>
    <w:lvl w:ilvl="0">
      <w:lvlJc w:val="left"/>
      <w:lvlText w:val="(%1)"/>
      <w:numFmt w:val="lowerLetter"/>
      <w:start w:val="4"/>
    </w:lvl>
    <w:lvl w:ilvl="1">
      <w:lvlJc w:val="left"/>
      <w:lvlText w:val="(%2)"/>
      <w:numFmt w:val="lowerRoman"/>
      <w:start w:val="1"/>
    </w:lvl>
  </w:abstractNum>
  <w:abstractNum w:abstractNumId="9">
    <w:nsid w:val="DED7263"/>
    <w:multiLevelType w:val="hybridMultilevel"/>
    <w:lvl w:ilvl="0">
      <w:lvlJc w:val="left"/>
      <w:lvlText w:val="%1"/>
      <w:numFmt w:val="decimal"/>
      <w:start w:val="1"/>
    </w:lvl>
    <w:lvl w:ilvl="1">
      <w:lvlJc w:val="left"/>
      <w:lvlText w:val="(%2)"/>
      <w:numFmt w:val="lowerLetter"/>
      <w:start w:val="7"/>
    </w:lvl>
  </w:abstractNum>
  <w:abstractNum w:abstractNumId="10">
    <w:nsid w:val="7FDCC233"/>
    <w:multiLevelType w:val="hybridMultilevel"/>
    <w:lvl w:ilvl="0">
      <w:lvlJc w:val="left"/>
      <w:lvlText w:val="(%1)"/>
      <w:numFmt w:val="decimal"/>
      <w:start w:val="5"/>
    </w:lvl>
    <w:lvl w:ilvl="1">
      <w:lvlJc w:val="left"/>
      <w:lvlText w:val="(%2)"/>
      <w:numFmt w:val="lowerLetter"/>
      <w:start w:val="1"/>
    </w:lvl>
  </w:abstractNum>
  <w:abstractNum w:abstractNumId="11">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2">
    <w:nsid w:val="41A7C4C9"/>
    <w:multiLevelType w:val="hybridMultilevel"/>
    <w:lvl w:ilvl="0">
      <w:lvlJc w:val="left"/>
      <w:lvlText w:val="(%1)"/>
      <w:numFmt w:val="lowerLetter"/>
      <w:start w:val="22"/>
    </w:lvl>
    <w:lvl w:ilvl="1">
      <w:lvlJc w:val="left"/>
      <w:lvlText w:val="(%2)"/>
      <w:numFmt w:val="decimal"/>
      <w:start w:val="6"/>
    </w:lvl>
    <w:lvl w:ilvl="2">
      <w:lvlJc w:val="left"/>
      <w:lvlText w:val="%3"/>
      <w:numFmt w:val="lowerLetter"/>
      <w:start w:val="1"/>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5"/>
    </w:lvl>
    <w:lvl w:ilvl="1">
      <w:lvlJc w:val="left"/>
      <w:lvlText w:val="(%2)"/>
      <w:numFmt w:val="lowerLetter"/>
      <w:start w:val="1"/>
    </w:lvl>
  </w:abstractNum>
  <w:abstractNum w:abstractNumId="16">
    <w:nsid w:val="519B500D"/>
    <w:multiLevelType w:val="hybridMultilevel"/>
    <w:lvl w:ilvl="0">
      <w:lvlJc w:val="left"/>
      <w:lvlText w:val="(%1)"/>
      <w:numFmt w:val="lowerLetter"/>
      <w:start w:val="12"/>
    </w:lvl>
  </w:abstractNum>
  <w:abstractNum w:abstractNumId="17">
    <w:nsid w:val="431BD7B7"/>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2026-01-29T16:43:45Z</dcterms:created>
  <dcterms:modified xsi:type="dcterms:W3CDTF">2026-01-29T16:43:45Z</dcterms:modified>
</cp:coreProperties>
</file>