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333333"/>
        </w:rPr>
        <w:t>UNITED STATES</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333333"/>
        </w:rPr>
        <w:t>SECURITIES AND EXCHANGE COMMISSION</w:t>
      </w:r>
    </w:p>
    <w:p>
      <w:pPr>
        <w:jc w:val="center"/>
        <w:ind w:right="-3"/>
        <w:spacing w:after="0"/>
        <w:rPr>
          <w:sz w:val="20"/>
          <w:szCs w:val="20"/>
          <w:color w:val="auto"/>
        </w:rPr>
      </w:pPr>
      <w:r>
        <w:rPr>
          <w:rFonts w:ascii="Times New Roman" w:cs="Times New Roman" w:eastAsia="Times New Roman" w:hAnsi="Times New Roman"/>
          <w:sz w:val="16"/>
          <w:szCs w:val="16"/>
          <w:b w:val="1"/>
          <w:bCs w:val="1"/>
          <w:color w:val="33333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155575</wp:posOffset>
            </wp:positionV>
            <wp:extent cx="17849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333333"/>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172085</wp:posOffset>
            </wp:positionV>
            <wp:extent cx="17849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333333"/>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333333"/>
        </w:rPr>
        <w:t>PURSUANT TO SECTION 13 OR 15(D)</w:t>
      </w:r>
    </w:p>
    <w:p>
      <w:pPr>
        <w:spacing w:after="0" w:line="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333333"/>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333333"/>
        </w:rPr>
        <w:t>Date of Report (Date of earliest event reported): 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168275</wp:posOffset>
            </wp:positionV>
            <wp:extent cx="17849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8"/>
          <w:szCs w:val="38"/>
          <w:b w:val="1"/>
          <w:bCs w:val="1"/>
          <w:color w:val="333333"/>
        </w:rPr>
        <w:t>Sono Group N.V.</w:t>
      </w:r>
    </w:p>
    <w:p>
      <w:pPr>
        <w:spacing w:after="0" w:line="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333333"/>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155575</wp:posOffset>
            </wp:positionV>
            <wp:extent cx="17849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9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tbl>
      <w:tblPr>
        <w:tblLayout w:type="fixed"/>
        <w:tblInd w:w="464" w:type="dxa"/>
        <w:tblCellMar>
          <w:top w:w="0" w:type="dxa"/>
          <w:left w:w="0" w:type="dxa"/>
          <w:bottom w:w="0" w:type="dxa"/>
          <w:right w:w="0" w:type="dxa"/>
        </w:tblCellMar>
      </w:tblPr>
      <w:tr>
        <w:trPr>
          <w:trHeight w:val="193"/>
        </w:trPr>
        <w:tc>
          <w:tcPr>
            <w:tcW w:w="4040" w:type="dxa"/>
            <w:vAlign w:val="bottom"/>
            <w:gridSpan w:val="2"/>
          </w:tcPr>
          <w:p>
            <w:pPr>
              <w:jc w:val="center"/>
              <w:ind w:right="1260"/>
              <w:spacing w:after="0"/>
              <w:rPr>
                <w:sz w:val="20"/>
                <w:szCs w:val="20"/>
                <w:color w:val="auto"/>
              </w:rPr>
            </w:pPr>
            <w:r>
              <w:rPr>
                <w:rFonts w:ascii="Times New Roman" w:cs="Times New Roman" w:eastAsia="Times New Roman" w:hAnsi="Times New Roman"/>
                <w:sz w:val="16"/>
                <w:szCs w:val="16"/>
                <w:b w:val="1"/>
                <w:bCs w:val="1"/>
                <w:color w:val="auto"/>
                <w:w w:val="99"/>
              </w:rPr>
              <w:t>The Netherlands</w:t>
            </w:r>
          </w:p>
        </w:tc>
        <w:tc>
          <w:tcPr>
            <w:tcW w:w="252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001-41066</w:t>
            </w:r>
          </w:p>
        </w:tc>
        <w:tc>
          <w:tcPr>
            <w:tcW w:w="680" w:type="dxa"/>
            <w:vAlign w:val="bottom"/>
          </w:tcPr>
          <w:p>
            <w:pPr>
              <w:spacing w:after="0"/>
              <w:rPr>
                <w:sz w:val="16"/>
                <w:szCs w:val="16"/>
                <w:color w:val="auto"/>
              </w:rPr>
            </w:pPr>
          </w:p>
        </w:tc>
        <w:tc>
          <w:tcPr>
            <w:tcW w:w="2800" w:type="dxa"/>
            <w:vAlign w:val="bottom"/>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98-1828632</w:t>
            </w:r>
          </w:p>
        </w:tc>
      </w:tr>
      <w:tr>
        <w:trPr>
          <w:trHeight w:val="208"/>
        </w:trPr>
        <w:tc>
          <w:tcPr>
            <w:tcW w:w="404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w w:val="99"/>
              </w:rPr>
              <w:t>(State or other jurisdiction of incorporation)</w:t>
            </w:r>
          </w:p>
        </w:tc>
        <w:tc>
          <w:tcPr>
            <w:tcW w:w="320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color w:val="auto"/>
              </w:rPr>
              <w:t>(Commission File Number)</w:t>
            </w:r>
          </w:p>
        </w:tc>
        <w:tc>
          <w:tcPr>
            <w:tcW w:w="280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66"/>
        </w:trPr>
        <w:tc>
          <w:tcPr>
            <w:tcW w:w="4040" w:type="dxa"/>
            <w:vAlign w:val="bottom"/>
            <w:gridSpan w:val="2"/>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9"/>
              </w:rPr>
              <w:t>Waldmeisterstrasse 93, Munich, Germany</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0" w:type="dxa"/>
            <w:vAlign w:val="bottom"/>
          </w:tcPr>
          <w:p>
            <w:pPr>
              <w:jc w:val="right"/>
              <w:ind w:right="1780"/>
              <w:spacing w:after="0"/>
              <w:rPr>
                <w:sz w:val="20"/>
                <w:szCs w:val="20"/>
                <w:color w:val="auto"/>
              </w:rPr>
            </w:pPr>
            <w:r>
              <w:rPr>
                <w:rFonts w:ascii="Times New Roman" w:cs="Times New Roman" w:eastAsia="Times New Roman" w:hAnsi="Times New Roman"/>
                <w:sz w:val="16"/>
                <w:szCs w:val="16"/>
                <w:b w:val="1"/>
                <w:bCs w:val="1"/>
                <w:color w:val="auto"/>
              </w:rPr>
              <w:t>80935</w:t>
            </w:r>
          </w:p>
        </w:tc>
      </w:tr>
      <w:tr>
        <w:trPr>
          <w:trHeight w:val="208"/>
        </w:trPr>
        <w:tc>
          <w:tcPr>
            <w:tcW w:w="4040" w:type="dxa"/>
            <w:vAlign w:val="bottom"/>
            <w:gridSpan w:val="2"/>
          </w:tcPr>
          <w:p>
            <w:pPr>
              <w:jc w:val="center"/>
              <w:ind w:left="58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0" w:type="dxa"/>
            <w:vAlign w:val="bottom"/>
          </w:tcPr>
          <w:p>
            <w:pPr>
              <w:jc w:val="center"/>
              <w:ind w:right="1240"/>
              <w:spacing w:after="0"/>
              <w:rPr>
                <w:sz w:val="20"/>
                <w:szCs w:val="20"/>
                <w:color w:val="auto"/>
              </w:rPr>
            </w:pPr>
            <w:r>
              <w:rPr>
                <w:rFonts w:ascii="Times New Roman" w:cs="Times New Roman" w:eastAsia="Times New Roman" w:hAnsi="Times New Roman"/>
                <w:sz w:val="16"/>
                <w:szCs w:val="16"/>
                <w:color w:val="auto"/>
              </w:rPr>
              <w:t>(Zip Code)</w:t>
            </w:r>
          </w:p>
        </w:tc>
      </w:tr>
      <w:tr>
        <w:trPr>
          <w:trHeight w:val="36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333333"/>
              </w:rPr>
              <w:t>+49 (0)89 4520 5818</w:t>
            </w:r>
          </w:p>
        </w:tc>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7240" w:type="dxa"/>
            <w:vAlign w:val="bottom"/>
            <w:gridSpan w:val="4"/>
          </w:tcPr>
          <w:p>
            <w:pPr>
              <w:jc w:val="center"/>
              <w:ind w:left="3000"/>
              <w:spacing w:after="0"/>
              <w:rPr>
                <w:sz w:val="20"/>
                <w:szCs w:val="20"/>
                <w:color w:val="auto"/>
              </w:rPr>
            </w:pPr>
            <w:r>
              <w:rPr>
                <w:rFonts w:ascii="Times New Roman" w:cs="Times New Roman" w:eastAsia="Times New Roman" w:hAnsi="Times New Roman"/>
                <w:sz w:val="16"/>
                <w:szCs w:val="16"/>
                <w:color w:val="333333"/>
                <w:w w:val="99"/>
              </w:rPr>
              <w:t>(Registrant's telephone number, including area code)</w:t>
            </w:r>
          </w:p>
        </w:tc>
        <w:tc>
          <w:tcPr>
            <w:tcW w:w="2800" w:type="dxa"/>
            <w:vAlign w:val="bottom"/>
          </w:tcPr>
          <w:p>
            <w:pPr>
              <w:spacing w:after="0"/>
              <w:rPr>
                <w:sz w:val="18"/>
                <w:szCs w:val="18"/>
                <w:color w:val="auto"/>
              </w:rPr>
            </w:pPr>
          </w:p>
        </w:tc>
      </w:tr>
      <w:tr>
        <w:trPr>
          <w:trHeight w:val="239"/>
        </w:trPr>
        <w:tc>
          <w:tcPr>
            <w:tcW w:w="3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0" w:lineRule="exact"/>
        <w:rPr>
          <w:sz w:val="24"/>
          <w:szCs w:val="24"/>
          <w:color w:val="auto"/>
        </w:rPr>
      </w:pPr>
    </w:p>
    <w:p>
      <w:pPr>
        <w:spacing w:after="0" w:line="23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333333"/>
        </w:rPr>
        <w:t>Check the appropriate box below if the Form 8-K filing is intended to simultaneously satisfy the filing obligation of the registrant under any of the following provisions (see</w:t>
      </w:r>
    </w:p>
    <w:p>
      <w:pPr>
        <w:spacing w:after="0" w:line="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333333"/>
        </w:rPr>
        <w:t>General Instruction A.2. below):</w:t>
      </w:r>
    </w:p>
    <w:p>
      <w:pPr>
        <w:spacing w:after="0" w:line="182"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333333"/>
        </w:rPr>
      </w:pPr>
      <w:r>
        <w:rPr>
          <w:rFonts w:ascii="Times New Roman" w:cs="Times New Roman" w:eastAsia="Times New Roman" w:hAnsi="Times New Roman"/>
          <w:sz w:val="16"/>
          <w:szCs w:val="16"/>
          <w:color w:val="333333"/>
        </w:rPr>
        <w:t>Written communications pursuant to Rule 425 under the Securities Act (17 CFR 230.425)</w:t>
      </w:r>
    </w:p>
    <w:p>
      <w:pPr>
        <w:spacing w:after="0" w:line="222" w:lineRule="exact"/>
        <w:rPr>
          <w:rFonts w:ascii="MS PGothic" w:cs="MS PGothic" w:eastAsia="MS PGothic" w:hAnsi="MS PGothic"/>
          <w:sz w:val="16"/>
          <w:szCs w:val="16"/>
          <w:color w:val="333333"/>
        </w:rPr>
      </w:pPr>
    </w:p>
    <w:p>
      <w:pPr>
        <w:ind w:left="464" w:hanging="464"/>
        <w:spacing w:after="0"/>
        <w:tabs>
          <w:tab w:leader="none" w:pos="464" w:val="left"/>
        </w:tabs>
        <w:numPr>
          <w:ilvl w:val="0"/>
          <w:numId w:val="1"/>
        </w:numPr>
        <w:rPr>
          <w:rFonts w:ascii="MS PGothic" w:cs="MS PGothic" w:eastAsia="MS PGothic" w:hAnsi="MS PGothic"/>
          <w:sz w:val="16"/>
          <w:szCs w:val="16"/>
          <w:color w:val="333333"/>
        </w:rPr>
      </w:pPr>
      <w:r>
        <w:rPr>
          <w:rFonts w:ascii="Times New Roman" w:cs="Times New Roman" w:eastAsia="Times New Roman" w:hAnsi="Times New Roman"/>
          <w:sz w:val="16"/>
          <w:szCs w:val="16"/>
          <w:color w:val="333333"/>
        </w:rPr>
        <w:t>Soliciting material pursuant to Rule 14a-12 under the Exchange Act (17 CFR 240.14a-12)</w:t>
      </w:r>
    </w:p>
    <w:p>
      <w:pPr>
        <w:spacing w:after="0" w:line="222" w:lineRule="exact"/>
        <w:rPr>
          <w:rFonts w:ascii="MS PGothic" w:cs="MS PGothic" w:eastAsia="MS PGothic" w:hAnsi="MS PGothic"/>
          <w:sz w:val="16"/>
          <w:szCs w:val="16"/>
          <w:color w:val="333333"/>
        </w:rPr>
      </w:pPr>
    </w:p>
    <w:p>
      <w:pPr>
        <w:ind w:left="464" w:hanging="464"/>
        <w:spacing w:after="0"/>
        <w:tabs>
          <w:tab w:leader="none" w:pos="464" w:val="left"/>
        </w:tabs>
        <w:numPr>
          <w:ilvl w:val="0"/>
          <w:numId w:val="1"/>
        </w:numPr>
        <w:rPr>
          <w:rFonts w:ascii="MS PGothic" w:cs="MS PGothic" w:eastAsia="MS PGothic" w:hAnsi="MS PGothic"/>
          <w:sz w:val="16"/>
          <w:szCs w:val="16"/>
          <w:color w:val="333333"/>
        </w:rPr>
      </w:pPr>
      <w:r>
        <w:rPr>
          <w:rFonts w:ascii="Times New Roman" w:cs="Times New Roman" w:eastAsia="Times New Roman" w:hAnsi="Times New Roman"/>
          <w:sz w:val="16"/>
          <w:szCs w:val="16"/>
          <w:color w:val="333333"/>
        </w:rPr>
        <w:t>Pre-commencement communications pursuant to Rule 14d-2(b) under the Exchange Act (17 CFR 240.14d-2(b))</w:t>
      </w:r>
    </w:p>
    <w:p>
      <w:pPr>
        <w:spacing w:after="0" w:line="222" w:lineRule="exact"/>
        <w:rPr>
          <w:rFonts w:ascii="MS PGothic" w:cs="MS PGothic" w:eastAsia="MS PGothic" w:hAnsi="MS PGothic"/>
          <w:sz w:val="16"/>
          <w:szCs w:val="16"/>
          <w:color w:val="333333"/>
        </w:rPr>
      </w:pPr>
    </w:p>
    <w:p>
      <w:pPr>
        <w:ind w:left="4" w:right="3680" w:hanging="4"/>
        <w:spacing w:after="0" w:line="510" w:lineRule="auto"/>
        <w:tabs>
          <w:tab w:leader="none" w:pos="459" w:val="left"/>
        </w:tabs>
        <w:numPr>
          <w:ilvl w:val="0"/>
          <w:numId w:val="1"/>
        </w:numPr>
        <w:rPr>
          <w:rFonts w:ascii="MS PGothic" w:cs="MS PGothic" w:eastAsia="MS PGothic" w:hAnsi="MS PGothic"/>
          <w:sz w:val="16"/>
          <w:szCs w:val="16"/>
          <w:color w:val="333333"/>
        </w:rPr>
      </w:pPr>
      <w:r>
        <w:rPr>
          <w:rFonts w:ascii="Times New Roman" w:cs="Times New Roman" w:eastAsia="Times New Roman" w:hAnsi="Times New Roman"/>
          <w:sz w:val="16"/>
          <w:szCs w:val="16"/>
          <w:color w:val="333333"/>
        </w:rPr>
        <w:t>Pre-commencement communications pursuant to Rule 13e-4(c) under the Exchange Act (17 CFR 240.13e-4(c)) Securities registered pursuant to Section 12(b) of the Act:</w:t>
      </w:r>
    </w:p>
    <w:tbl>
      <w:tblPr>
        <w:tblLayout w:type="fixed"/>
        <w:tblInd w:w="14" w:type="dxa"/>
        <w:tblCellMar>
          <w:top w:w="0" w:type="dxa"/>
          <w:left w:w="0" w:type="dxa"/>
          <w:bottom w:w="0" w:type="dxa"/>
          <w:right w:w="0" w:type="dxa"/>
        </w:tblCellMar>
      </w:tblPr>
      <w:tr>
        <w:trPr>
          <w:trHeight w:val="184"/>
        </w:trPr>
        <w:tc>
          <w:tcPr>
            <w:tcW w:w="31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Trading Symbol(s)</w:t>
            </w:r>
          </w:p>
        </w:tc>
        <w:tc>
          <w:tcPr>
            <w:tcW w:w="49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Name of each exchange on which registered</w:t>
            </w:r>
          </w:p>
        </w:tc>
      </w:tr>
      <w:tr>
        <w:trPr>
          <w:trHeight w:val="183"/>
        </w:trPr>
        <w:tc>
          <w:tcPr>
            <w:tcW w:w="31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Not Applicable</w:t>
            </w: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333333"/>
              </w:rPr>
              <w:t>Not Applicable</w:t>
            </w:r>
          </w:p>
        </w:tc>
      </w:tr>
    </w:tbl>
    <w:p>
      <w:pPr>
        <w:spacing w:after="0" w:line="175" w:lineRule="exact"/>
        <w:rPr>
          <w:sz w:val="24"/>
          <w:szCs w:val="24"/>
          <w:color w:val="auto"/>
        </w:rPr>
      </w:pPr>
    </w:p>
    <w:p>
      <w:pPr>
        <w:ind w:left="4" w:right="100"/>
        <w:spacing w:after="0" w:line="281" w:lineRule="auto"/>
        <w:rPr>
          <w:sz w:val="20"/>
          <w:szCs w:val="20"/>
          <w:color w:val="auto"/>
        </w:rPr>
      </w:pPr>
      <w:r>
        <w:rPr>
          <w:rFonts w:ascii="Times New Roman" w:cs="Times New Roman" w:eastAsia="Times New Roman" w:hAnsi="Times New Roman"/>
          <w:sz w:val="16"/>
          <w:szCs w:val="16"/>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ind w:left="9324"/>
        <w:spacing w:after="0" w:line="173" w:lineRule="exact"/>
        <w:rPr>
          <w:sz w:val="20"/>
          <w:szCs w:val="20"/>
          <w:color w:val="auto"/>
        </w:rPr>
      </w:pPr>
      <w:r>
        <w:rPr>
          <w:rFonts w:ascii="Times New Roman" w:cs="Times New Roman" w:eastAsia="Times New Roman" w:hAnsi="Times New Roman"/>
          <w:sz w:val="15"/>
          <w:szCs w:val="15"/>
          <w:color w:val="333333"/>
        </w:rPr>
        <w:t xml:space="preserve">Emerging growth company </w:t>
      </w:r>
      <w:r>
        <w:rPr>
          <w:rFonts w:ascii="MS PGothic" w:cs="MS PGothic" w:eastAsia="MS PGothic" w:hAnsi="MS PGothic"/>
          <w:sz w:val="15"/>
          <w:szCs w:val="15"/>
          <w:color w:val="333333"/>
        </w:rPr>
        <w:t>☒</w:t>
      </w:r>
    </w:p>
    <w:p>
      <w:pPr>
        <w:spacing w:after="0" w:line="246" w:lineRule="exact"/>
        <w:rPr>
          <w:sz w:val="24"/>
          <w:szCs w:val="24"/>
          <w:color w:val="auto"/>
        </w:rPr>
      </w:pPr>
    </w:p>
    <w:p>
      <w:pPr>
        <w:ind w:left="4" w:right="180"/>
        <w:spacing w:after="0" w:line="212" w:lineRule="exact"/>
        <w:rPr>
          <w:sz w:val="20"/>
          <w:szCs w:val="20"/>
          <w:color w:val="auto"/>
        </w:rPr>
      </w:pPr>
      <w:r>
        <w:rPr>
          <w:rFonts w:ascii="Times New Roman" w:cs="Times New Roman" w:eastAsia="Times New Roman" w:hAnsi="Times New Roman"/>
          <w:sz w:val="16"/>
          <w:szCs w:val="16"/>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4819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264"/>
          </w:cols>
          <w:pgMar w:left="316" w:top="19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On July 17, 2025, Sono Group N.V. (the “Company”) presented the investor presentation attached hereto as Exhibit 99.1 at the Emerging Growth Conference. The Company intends to use this presentation from time to time in meetings with investors, analysts, and other stakeholders. The presentation includes, among other things, updates regarding the Company’s market traction and expected order volume for the second half of 2025.</w:t>
      </w:r>
    </w:p>
    <w:p>
      <w:pPr>
        <w:spacing w:after="0" w:line="15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6"/>
          <w:szCs w:val="16"/>
          <w:color w:val="auto"/>
        </w:rPr>
        <w:t>A copy of the investor presentation is furnished as Exhibit 99.1 to this Current Report on Form 8-K and is also available on the Company’s investor relations website at ir.sonomotors.com.</w:t>
      </w:r>
    </w:p>
    <w:p>
      <w:pPr>
        <w:spacing w:after="0" w:line="143" w:lineRule="exact"/>
        <w:rPr>
          <w:sz w:val="20"/>
          <w:szCs w:val="20"/>
          <w:color w:val="auto"/>
        </w:rPr>
      </w:pPr>
    </w:p>
    <w:p>
      <w:pPr>
        <w:jc w:val="both"/>
        <w:ind w:right="80"/>
        <w:spacing w:after="0" w:line="315" w:lineRule="auto"/>
        <w:rPr>
          <w:sz w:val="20"/>
          <w:szCs w:val="20"/>
          <w:color w:val="auto"/>
        </w:rPr>
      </w:pPr>
      <w:r>
        <w:rPr>
          <w:rFonts w:ascii="Times New Roman" w:cs="Times New Roman" w:eastAsia="Times New Roman" w:hAnsi="Times New Roman"/>
          <w:sz w:val="15"/>
          <w:szCs w:val="15"/>
          <w:color w:val="auto"/>
        </w:rPr>
        <w:t>The Company undertakes no duty or obligation to publicly update or revise the information contained in this report, although it may do so from time to time as its management believes is warranted. Any such updates may be made through the filing of other reports or documents with the SEC, through press releases, or through other public disclosure.</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1993,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This Current Report on Form 8-K and the investor presentation furnished as Exhibit 99.1 hereto may contain forward-looking statements. The words “expect,” “anticipate,” “intend,” “plan,” “estimate,” “aim,” “forecast,” “project,” “target,” “will,” and similar expressions (or their negative) are intended to identify forward-looking statements. These statements are based on the current expectations, beliefs, and assumptions of Sono Group N.V. and its subsidiary Sono Motors GmbH (together, the “Company”) regarding future events and are subject to known and unknown risks, uncertainties, and other factors that could cause actual results, performance, or achievements to differ materially from those expressed or implied by such forward-looking statements.</w:t>
      </w:r>
    </w:p>
    <w:p>
      <w:pPr>
        <w:spacing w:after="0" w:line="1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These risks and uncertainties include, without limitation, the Company’s ability to meet the initial listing requirements of the Nasdaq Capital Market or NYSE American; the satisfaction of closing conditions under the Securities Purchase Agreement and Exchange Agreement entered into with YA II PN, Ltd. (“Yorkville”); the timing and impact of the transactions contemplated thereby; the Company’s ability to maintain adequate liquidity and comply with OTCQB, Nasdaq or NYSE listing standards; its ability to execute its stated business strategy, including the transition to focusing exclusively on retrofitting and integrating solar technology onto third-party vehicles; its capacity to raise additional capital beyond the current financing commitments; and its ability to maintain key relationships with creditors, suppliers, customers, employees, and other stakeholders. Additional risks and uncertainties are discussed in the Company’s filings with the U.S. Securities and Exchange Commission (“SEC”), including its Annual Report on Form 10-K for the year ended December 31, 2024, which is available on the SEC’s website at www.sec.gov and on the Company’s website at ir.sonomotors.com.</w:t>
      </w:r>
    </w:p>
    <w:p>
      <w:pPr>
        <w:spacing w:after="0" w:line="168"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6"/>
          <w:szCs w:val="16"/>
          <w:color w:val="auto"/>
        </w:rPr>
        <w:t>Many of these factors are beyond the Company’s control. Accordingly, readers are cautioned not to place undue reliance on these forward-looking statements. Any forward-looking statements speak only as of the date of this Form 8-K. The Company undertakes no obligation to update or revise any forward-looking statements to reflect events or circumstances after the date hereof, except as required by applicable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 The following exhibit is filed with this Current Report on Form 8-K: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w:t>
            </w:r>
          </w:p>
        </w:tc>
        <w:tc>
          <w:tcPr>
            <w:tcW w:w="1046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Description of Exhibit</w:t>
            </w:r>
          </w:p>
        </w:tc>
      </w:tr>
      <w:tr>
        <w:trPr>
          <w:trHeight w:val="363"/>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1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EE"/>
              </w:rPr>
              <w:t>Investor presentation</w:t>
            </w:r>
          </w:p>
        </w:tc>
        <w:tc>
          <w:tcPr>
            <w:tcW w:w="8700" w:type="dxa"/>
            <w:vAlign w:val="bottom"/>
          </w:tcPr>
          <w:p>
            <w:pPr>
              <w:spacing w:after="0"/>
              <w:rPr>
                <w:sz w:val="24"/>
                <w:szCs w:val="24"/>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780" w:type="dxa"/>
            <w:vAlign w:val="bottom"/>
            <w:gridSpan w:val="2"/>
          </w:tcPr>
          <w:p>
            <w:pPr>
              <w:spacing w:after="0" w:line="20" w:lineRule="exact"/>
              <w:rPr>
                <w:sz w:val="1"/>
                <w:szCs w:val="1"/>
                <w:color w:val="auto"/>
              </w:rPr>
            </w:pPr>
          </w:p>
        </w:tc>
      </w:t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542"/>
        </w:trPr>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9" w:right="319" w:bottom="1440" w:gutter="0" w:footer="0" w:header="0"/>
        </w:sectPr>
      </w:pPr>
    </w:p>
    <w:bookmarkStart w:id="2" w:name="page3"/>
    <w:bookmarkEnd w:id="2"/>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39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15240</wp:posOffset>
            </wp:positionV>
            <wp:extent cx="22866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6635" cy="7620"/>
                    </a:xfrm>
                    <a:prstGeom prst="rect">
                      <a:avLst/>
                    </a:prstGeom>
                    <a:noFill/>
                  </pic:spPr>
                </pic:pic>
              </a:graphicData>
            </a:graphic>
          </wp:anchor>
        </w:drawing>
      </w:r>
    </w:p>
    <w:p>
      <w:pPr>
        <w:spacing w:after="0" w:line="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Name: George O’Leary</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July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1139190</wp:posOffset>
            </wp:positionV>
            <wp:extent cx="714819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0840"/>
          </w:cols>
          <w:pgMar w:left="320" w:top="719" w:right="73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299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31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1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99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299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347345</wp:posOffset>
            </wp:positionV>
            <wp:extent cx="7203440" cy="4269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2691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2025-07-18T15:34:16Z</dcterms:created>
  <dcterms:modified xsi:type="dcterms:W3CDTF">2025-07-18T15:34:16Z</dcterms:modified>
</cp:coreProperties>
</file>