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December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93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of Sono Group N.V. (the “Company”)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Exhibit</w:t>
        <w:tab/>
        <w:t>Description of Exhibit</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Interim condensed consolidated financial statements as of and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1337310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40"/>
          </w:cols>
          <w:pgMar w:left="320" w:top="792" w:right="10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80"/>
          </w:cols>
          <w:pgMar w:left="320" w:top="792"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168275</wp:posOffset>
            </wp:positionV>
            <wp:extent cx="2374265" cy="235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002B41"/>
        </w:rPr>
        <w:t>Sono Group N.V. interim condensed consolidated financial statements as of and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40"/>
        </w:trPr>
        <w:tc>
          <w:tcPr>
            <w:tcW w:w="6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Income (Loss)</w:t>
            </w:r>
          </w:p>
        </w:tc>
        <w:tc>
          <w:tcPr>
            <w:tcW w:w="1720" w:type="dxa"/>
            <w:vAlign w:val="bottom"/>
            <w:gridSpan w:val="4"/>
          </w:tcPr>
          <w:p>
            <w:pPr>
              <w:spacing w:after="0"/>
              <w:rPr>
                <w:sz w:val="24"/>
                <w:szCs w:val="24"/>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3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Balance Sheets</w:t>
            </w:r>
          </w:p>
        </w:tc>
        <w:tc>
          <w:tcPr>
            <w:tcW w:w="980" w:type="dxa"/>
            <w:vAlign w:val="bottom"/>
            <w:gridSpan w:val="2"/>
          </w:tcPr>
          <w:p>
            <w:pPr>
              <w:spacing w:after="0"/>
              <w:rPr>
                <w:sz w:val="21"/>
                <w:szCs w:val="21"/>
                <w:color w:val="auto"/>
              </w:rPr>
            </w:pPr>
          </w:p>
        </w:tc>
        <w:tc>
          <w:tcPr>
            <w:tcW w:w="1720" w:type="dxa"/>
            <w:vAlign w:val="bottom"/>
            <w:gridSpan w:val="4"/>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3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Interim Condensed Consolidated Statement of Changes in Equity</w:t>
            </w:r>
          </w:p>
        </w:tc>
        <w:tc>
          <w:tcPr>
            <w:tcW w:w="1560" w:type="dxa"/>
            <w:vAlign w:val="bottom"/>
            <w:gridSpan w:val="3"/>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Cash Flows</w:t>
            </w:r>
          </w:p>
        </w:tc>
        <w:tc>
          <w:tcPr>
            <w:tcW w:w="360" w:type="dxa"/>
            <w:vAlign w:val="bottom"/>
            <w:gridSpan w:val="2"/>
          </w:tcPr>
          <w:p>
            <w:pPr>
              <w:spacing w:after="0"/>
              <w:rPr>
                <w:sz w:val="21"/>
                <w:szCs w:val="21"/>
                <w:color w:val="auto"/>
              </w:rPr>
            </w:pPr>
          </w:p>
        </w:tc>
        <w:tc>
          <w:tcPr>
            <w:tcW w:w="1560" w:type="dxa"/>
            <w:vAlign w:val="bottom"/>
            <w:gridSpan w:val="3"/>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3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2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Notes To the Interim Condensed Consolidated Financial Statements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44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EE"/>
              </w:rPr>
              <w:t>General information</w:t>
            </w:r>
          </w:p>
        </w:tc>
        <w:tc>
          <w:tcPr>
            <w:tcW w:w="1340" w:type="dxa"/>
            <w:vAlign w:val="bottom"/>
            <w:gridSpan w:val="2"/>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Basis of preparation of consolidated interim financial statements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Significant accounting policies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Segment information</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w w:val="99"/>
              </w:rPr>
              <w:t>Disclosures to the interim condensed consolidated statements of income or loss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560" w:type="dxa"/>
            <w:vAlign w:val="bottom"/>
            <w:tcBorders>
              <w:left w:val="single" w:sz="8" w:color="0000EE"/>
            </w:tcBorders>
            <w:gridSpan w:val="3"/>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Interim condensed consolidated balance sheet disclosures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Other disclosures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21</w:t>
            </w:r>
          </w:p>
        </w:tc>
      </w:tr>
      <w:tr>
        <w:trPr>
          <w:trHeight w:val="1020"/>
        </w:trPr>
        <w:tc>
          <w:tcPr>
            <w:tcW w:w="3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3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tcBorders>
              <w:left w:val="single" w:sz="8" w:color="auto"/>
            </w:tcBorders>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20" w:type="dxa"/>
            <w:vAlign w:val="bottom"/>
            <w:tcBorders>
              <w:lef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w:t>
      </w:r>
    </w:p>
    <w:p>
      <w:pPr>
        <w:spacing w:after="0" w:line="23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FFFFFF"/>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480" w:type="dxa"/>
            <w:vAlign w:val="bottom"/>
            <w:shd w:val="clear" w:color="auto" w:fill="A6A6A6"/>
          </w:tcPr>
          <w:p>
            <w:pPr>
              <w:spacing w:after="0"/>
              <w:rPr>
                <w:sz w:val="17"/>
                <w:szCs w:val="17"/>
                <w:color w:val="auto"/>
              </w:rPr>
            </w:pPr>
          </w:p>
        </w:tc>
        <w:tc>
          <w:tcPr>
            <w:tcW w:w="1800" w:type="dxa"/>
            <w:vAlign w:val="bottom"/>
            <w:shd w:val="clear" w:color="auto" w:fill="A6A6A6"/>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4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September 30,</w:t>
            </w:r>
          </w:p>
        </w:tc>
      </w:tr>
      <w:tr>
        <w:trPr>
          <w:trHeight w:val="216"/>
        </w:trPr>
        <w:tc>
          <w:tcPr>
            <w:tcW w:w="6520" w:type="dxa"/>
            <w:vAlign w:val="bottom"/>
          </w:tcPr>
          <w:p>
            <w:pPr>
              <w:spacing w:after="0"/>
              <w:rPr>
                <w:sz w:val="18"/>
                <w:szCs w:val="18"/>
                <w:color w:val="auto"/>
              </w:rPr>
            </w:pPr>
          </w:p>
        </w:tc>
        <w:tc>
          <w:tcPr>
            <w:tcW w:w="1480" w:type="dxa"/>
            <w:vAlign w:val="bottom"/>
            <w:shd w:val="clear" w:color="auto" w:fill="A6A6A6"/>
          </w:tcPr>
          <w:p>
            <w:pPr>
              <w:spacing w:after="0"/>
              <w:rPr>
                <w:sz w:val="18"/>
                <w:szCs w:val="18"/>
                <w:color w:val="auto"/>
              </w:rPr>
            </w:pPr>
          </w:p>
        </w:tc>
        <w:tc>
          <w:tcPr>
            <w:tcW w:w="180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4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38"/>
        </w:trPr>
        <w:tc>
          <w:tcPr>
            <w:tcW w:w="6520" w:type="dxa"/>
            <w:vAlign w:val="bottom"/>
          </w:tcPr>
          <w:p>
            <w:pPr>
              <w:spacing w:after="0"/>
              <w:rPr>
                <w:sz w:val="20"/>
                <w:szCs w:val="20"/>
                <w:color w:val="auto"/>
              </w:rPr>
            </w:pPr>
          </w:p>
        </w:tc>
        <w:tc>
          <w:tcPr>
            <w:tcW w:w="1480" w:type="dxa"/>
            <w:vAlign w:val="bottom"/>
            <w:shd w:val="clear" w:color="auto" w:fill="A6A6A6"/>
          </w:tcPr>
          <w:p>
            <w:pPr>
              <w:ind w:left="700"/>
              <w:spacing w:after="0"/>
              <w:rPr>
                <w:sz w:val="20"/>
                <w:szCs w:val="20"/>
                <w:color w:val="auto"/>
              </w:rPr>
            </w:pPr>
            <w:r>
              <w:rPr>
                <w:rFonts w:ascii="Times New Roman" w:cs="Times New Roman" w:eastAsia="Times New Roman" w:hAnsi="Times New Roman"/>
                <w:sz w:val="18"/>
                <w:szCs w:val="18"/>
                <w:b w:val="1"/>
                <w:bCs w:val="1"/>
                <w:color w:val="FFFFFF"/>
              </w:rPr>
              <w:t>Note</w:t>
            </w:r>
          </w:p>
        </w:tc>
        <w:tc>
          <w:tcPr>
            <w:tcW w:w="1800" w:type="dxa"/>
            <w:vAlign w:val="bottom"/>
            <w:shd w:val="clear" w:color="auto" w:fill="A6A6A6"/>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4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r>
      <w:tr>
        <w:trPr>
          <w:trHeight w:val="230"/>
        </w:trPr>
        <w:tc>
          <w:tcPr>
            <w:tcW w:w="6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kEUR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w w:val="97"/>
              </w:rPr>
              <w:t>5.2</w:t>
            </w:r>
          </w:p>
        </w:tc>
        <w:tc>
          <w:tcPr>
            <w:tcW w:w="18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42</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5.2</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development expenses</w:t>
            </w:r>
          </w:p>
        </w:tc>
        <w:tc>
          <w:tcPr>
            <w:tcW w:w="1480" w:type="dxa"/>
            <w:vAlign w:val="bottom"/>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w w:val="97"/>
              </w:rPr>
              <w:t>5.3</w:t>
            </w:r>
          </w:p>
        </w:tc>
        <w:tc>
          <w:tcPr>
            <w:tcW w:w="18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(1,075)</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(16,029)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80" w:type="dxa"/>
            <w:vAlign w:val="bottom"/>
          </w:tcPr>
          <w:p>
            <w:pPr>
              <w:spacing w:after="0"/>
              <w:rPr>
                <w:sz w:val="18"/>
                <w:szCs w:val="18"/>
                <w:color w:val="auto"/>
              </w:rPr>
            </w:pP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5.4</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(expenses)/income</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5.5</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4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5.5.1</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63,549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57,773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(38,427)</w:t>
            </w: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5.6</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5,176</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5.6</w:t>
            </w: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(4,942)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56,414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(36,316)</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480" w:type="dxa"/>
            <w:vAlign w:val="bottom"/>
          </w:tcPr>
          <w:p>
            <w:pPr>
              <w:spacing w:after="0"/>
              <w:rPr>
                <w:sz w:val="16"/>
                <w:szCs w:val="16"/>
                <w:color w:val="auto"/>
              </w:rPr>
            </w:pPr>
          </w:p>
        </w:tc>
        <w:tc>
          <w:tcPr>
            <w:tcW w:w="18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4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56,414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(36,316)</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per share in EUR</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7.1</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earnings per share (in 000’s)</w:t>
            </w:r>
          </w:p>
        </w:tc>
        <w:tc>
          <w:tcPr>
            <w:tcW w:w="1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108,682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106,658</w:t>
            </w:r>
          </w:p>
        </w:tc>
      </w:tr>
      <w:tr>
        <w:trPr>
          <w:trHeight w:val="993"/>
        </w:trPr>
        <w:tc>
          <w:tcPr>
            <w:tcW w:w="6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8"/>
        </w:trPr>
        <w:tc>
          <w:tcPr>
            <w:tcW w:w="652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shd w:val="clear" w:color="auto" w:fill="A6A6A6"/>
          </w:tcPr>
          <w:p>
            <w:pPr>
              <w:spacing w:after="0"/>
              <w:rPr>
                <w:sz w:val="17"/>
                <w:szCs w:val="17"/>
                <w:color w:val="auto"/>
              </w:rPr>
            </w:pPr>
          </w:p>
        </w:tc>
        <w:tc>
          <w:tcPr>
            <w:tcW w:w="3220" w:type="dxa"/>
            <w:vAlign w:val="bottom"/>
            <w:shd w:val="clear" w:color="auto" w:fill="A6A6A6"/>
          </w:tcPr>
          <w:p>
            <w:pPr>
              <w:spacing w:after="0"/>
              <w:rPr>
                <w:sz w:val="17"/>
                <w:szCs w:val="17"/>
                <w:color w:val="auto"/>
              </w:rPr>
            </w:pPr>
          </w:p>
        </w:tc>
        <w:tc>
          <w:tcPr>
            <w:tcW w:w="19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320" w:type="dxa"/>
            <w:vAlign w:val="bottom"/>
            <w:shd w:val="clear" w:color="auto" w:fill="A6A6A6"/>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Dec. 31,</w:t>
            </w:r>
          </w:p>
        </w:tc>
      </w:tr>
      <w:tr>
        <w:trPr>
          <w:trHeight w:val="216"/>
        </w:trPr>
        <w:tc>
          <w:tcPr>
            <w:tcW w:w="4760" w:type="dxa"/>
            <w:vAlign w:val="bottom"/>
            <w:shd w:val="clear" w:color="auto" w:fill="A6A6A6"/>
          </w:tcPr>
          <w:p>
            <w:pPr>
              <w:spacing w:after="0"/>
              <w:rPr>
                <w:sz w:val="18"/>
                <w:szCs w:val="18"/>
                <w:color w:val="auto"/>
              </w:rPr>
            </w:pPr>
          </w:p>
        </w:tc>
        <w:tc>
          <w:tcPr>
            <w:tcW w:w="3220" w:type="dxa"/>
            <w:vAlign w:val="bottom"/>
            <w:shd w:val="clear" w:color="auto" w:fill="A6A6A6"/>
          </w:tcPr>
          <w:p>
            <w:pPr>
              <w:spacing w:after="0"/>
              <w:rPr>
                <w:sz w:val="18"/>
                <w:szCs w:val="18"/>
                <w:color w:val="auto"/>
              </w:rPr>
            </w:pPr>
          </w:p>
        </w:tc>
        <w:tc>
          <w:tcPr>
            <w:tcW w:w="19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2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38"/>
        </w:trPr>
        <w:tc>
          <w:tcPr>
            <w:tcW w:w="4760" w:type="dxa"/>
            <w:vAlign w:val="bottom"/>
            <w:shd w:val="clear" w:color="auto" w:fill="A6A6A6"/>
          </w:tcPr>
          <w:p>
            <w:pPr>
              <w:spacing w:after="0"/>
              <w:rPr>
                <w:sz w:val="20"/>
                <w:szCs w:val="20"/>
                <w:color w:val="auto"/>
              </w:rPr>
            </w:pPr>
          </w:p>
        </w:tc>
        <w:tc>
          <w:tcPr>
            <w:tcW w:w="3220" w:type="dxa"/>
            <w:vAlign w:val="bottom"/>
            <w:shd w:val="clear" w:color="auto" w:fill="A6A6A6"/>
          </w:tcPr>
          <w:p>
            <w:pPr>
              <w:ind w:left="2460"/>
              <w:spacing w:after="0"/>
              <w:rPr>
                <w:sz w:val="20"/>
                <w:szCs w:val="20"/>
                <w:color w:val="auto"/>
              </w:rPr>
            </w:pPr>
            <w:r>
              <w:rPr>
                <w:rFonts w:ascii="Times New Roman" w:cs="Times New Roman" w:eastAsia="Times New Roman" w:hAnsi="Times New Roman"/>
                <w:sz w:val="18"/>
                <w:szCs w:val="18"/>
                <w:b w:val="1"/>
                <w:bCs w:val="1"/>
                <w:color w:val="FFFFFF"/>
              </w:rPr>
              <w:t>Note</w:t>
            </w:r>
          </w:p>
        </w:tc>
        <w:tc>
          <w:tcPr>
            <w:tcW w:w="19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Unaudited</w:t>
            </w:r>
          </w:p>
        </w:tc>
        <w:tc>
          <w:tcPr>
            <w:tcW w:w="1320" w:type="dxa"/>
            <w:vAlign w:val="bottom"/>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9"/>
              </w:rPr>
              <w:t>Audited</w:t>
            </w:r>
          </w:p>
        </w:tc>
      </w:tr>
      <w:tr>
        <w:trPr>
          <w:trHeight w:val="229"/>
        </w:trPr>
        <w:tc>
          <w:tcPr>
            <w:tcW w:w="47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40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6.1</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22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6.1.1</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985</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r>
      <w:tr>
        <w:trPr>
          <w:trHeight w:val="223"/>
        </w:trPr>
        <w:tc>
          <w:tcPr>
            <w:tcW w:w="47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1,115</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1,037</w:t>
            </w:r>
          </w:p>
        </w:tc>
      </w:tr>
      <w:tr>
        <w:trPr>
          <w:trHeight w:val="191"/>
        </w:trPr>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3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22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179</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6.2</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6.3</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424</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48"/>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2,956</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23"/>
        </w:trPr>
        <w:tc>
          <w:tcPr>
            <w:tcW w:w="47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3,559</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2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4,674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8,871</w:t>
            </w:r>
          </w:p>
        </w:tc>
      </w:tr>
      <w:tr>
        <w:trPr>
          <w:trHeight w:val="40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6.4</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322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10,844</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322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287,904</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287,926</w:t>
            </w: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2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(327,924)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(384,338)</w:t>
            </w:r>
          </w:p>
        </w:tc>
      </w:tr>
      <w:tr>
        <w:trPr>
          <w:trHeight w:val="252"/>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220" w:type="dxa"/>
            <w:vAlign w:val="bottom"/>
          </w:tcPr>
          <w:p>
            <w:pPr>
              <w:spacing w:after="0"/>
              <w:rPr>
                <w:sz w:val="21"/>
                <w:szCs w:val="21"/>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(29,176)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(85,572)</w:t>
            </w:r>
          </w:p>
        </w:tc>
      </w:tr>
      <w:tr>
        <w:trPr>
          <w:trHeight w:val="42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8"/>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3220" w:type="dxa"/>
            <w:vAlign w:val="bottom"/>
            <w:tcBorders>
              <w:bottom w:val="single" w:sz="8" w:color="auto"/>
            </w:tcBorders>
          </w:tcPr>
          <w:p>
            <w:pPr>
              <w:jc w:val="center"/>
              <w:ind w:left="1950"/>
              <w:spacing w:after="0"/>
              <w:rPr>
                <w:sz w:val="20"/>
                <w:szCs w:val="20"/>
                <w:color w:val="auto"/>
              </w:rPr>
            </w:pPr>
            <w:r>
              <w:rPr>
                <w:rFonts w:ascii="Times New Roman" w:cs="Times New Roman" w:eastAsia="Times New Roman" w:hAnsi="Times New Roman"/>
                <w:sz w:val="18"/>
                <w:szCs w:val="18"/>
                <w:color w:val="auto"/>
                <w:w w:val="97"/>
              </w:rPr>
              <w:t>6.6</w:t>
            </w: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938</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47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938</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w:t>
            </w:r>
          </w:p>
        </w:tc>
      </w:tr>
      <w:tr>
        <w:trPr>
          <w:trHeight w:val="407"/>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6.7</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31,689</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6.8</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955</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2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268</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6.9</w:t>
            </w: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r>
      <w:tr>
        <w:trPr>
          <w:trHeight w:val="248"/>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Parental guarantee</w:t>
            </w:r>
          </w:p>
        </w:tc>
        <w:tc>
          <w:tcPr>
            <w:tcW w:w="3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52,232</w:t>
            </w:r>
          </w:p>
        </w:tc>
      </w:tr>
      <w:tr>
        <w:trPr>
          <w:trHeight w:val="223"/>
        </w:trPr>
        <w:tc>
          <w:tcPr>
            <w:tcW w:w="47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32,912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93,456</w:t>
            </w:r>
          </w:p>
        </w:tc>
      </w:tr>
      <w:tr>
        <w:trPr>
          <w:trHeight w:val="22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4,674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8,871</w:t>
            </w:r>
          </w:p>
        </w:tc>
      </w:tr>
      <w:tr>
        <w:trPr>
          <w:trHeight w:val="777"/>
        </w:trPr>
        <w:tc>
          <w:tcPr>
            <w:tcW w:w="4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8"/>
        </w:trPr>
        <w:tc>
          <w:tcPr>
            <w:tcW w:w="476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4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5780" w:type="dxa"/>
            <w:vAlign w:val="bottom"/>
            <w:shd w:val="clear" w:color="auto" w:fill="A6A6A6"/>
          </w:tcPr>
          <w:p>
            <w:pPr>
              <w:spacing w:after="0"/>
              <w:rPr>
                <w:sz w:val="16"/>
                <w:szCs w:val="16"/>
                <w:color w:val="auto"/>
              </w:rPr>
            </w:pPr>
          </w:p>
        </w:tc>
        <w:tc>
          <w:tcPr>
            <w:tcW w:w="1840" w:type="dxa"/>
            <w:vAlign w:val="bottom"/>
            <w:shd w:val="clear" w:color="auto" w:fill="A6A6A6"/>
          </w:tcPr>
          <w:p>
            <w:pPr>
              <w:spacing w:after="0"/>
              <w:rPr>
                <w:sz w:val="16"/>
                <w:szCs w:val="16"/>
                <w:color w:val="auto"/>
              </w:rPr>
            </w:pPr>
          </w:p>
        </w:tc>
        <w:tc>
          <w:tcPr>
            <w:tcW w:w="124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rPr>
              <w:t>Capital &amp;</w:t>
            </w:r>
          </w:p>
        </w:tc>
        <w:tc>
          <w:tcPr>
            <w:tcW w:w="1240" w:type="dxa"/>
            <w:vAlign w:val="bottom"/>
            <w:shd w:val="clear" w:color="auto" w:fill="A6A6A6"/>
          </w:tcPr>
          <w:p>
            <w:pPr>
              <w:spacing w:after="0"/>
              <w:rPr>
                <w:sz w:val="16"/>
                <w:szCs w:val="16"/>
                <w:color w:val="auto"/>
              </w:rPr>
            </w:pPr>
          </w:p>
        </w:tc>
        <w:tc>
          <w:tcPr>
            <w:tcW w:w="1140" w:type="dxa"/>
            <w:vAlign w:val="bottom"/>
            <w:shd w:val="clear" w:color="auto" w:fill="A6A6A6"/>
          </w:tcPr>
          <w:p>
            <w:pPr>
              <w:spacing w:after="0"/>
              <w:rPr>
                <w:sz w:val="16"/>
                <w:szCs w:val="16"/>
                <w:color w:val="auto"/>
              </w:rPr>
            </w:pPr>
          </w:p>
        </w:tc>
      </w:tr>
      <w:tr>
        <w:trPr>
          <w:trHeight w:val="216"/>
        </w:trPr>
        <w:tc>
          <w:tcPr>
            <w:tcW w:w="5780" w:type="dxa"/>
            <w:vAlign w:val="bottom"/>
            <w:shd w:val="clear" w:color="auto" w:fill="A6A6A6"/>
          </w:tcPr>
          <w:p>
            <w:pPr>
              <w:spacing w:after="0"/>
              <w:rPr>
                <w:sz w:val="18"/>
                <w:szCs w:val="18"/>
                <w:color w:val="auto"/>
              </w:rPr>
            </w:pPr>
          </w:p>
        </w:tc>
        <w:tc>
          <w:tcPr>
            <w:tcW w:w="1840" w:type="dxa"/>
            <w:vAlign w:val="bottom"/>
            <w:shd w:val="clear" w:color="auto" w:fill="A6A6A6"/>
          </w:tcPr>
          <w:p>
            <w:pPr>
              <w:jc w:val="center"/>
              <w:ind w:left="490"/>
              <w:spacing w:after="0"/>
              <w:rPr>
                <w:sz w:val="20"/>
                <w:szCs w:val="20"/>
                <w:color w:val="auto"/>
              </w:rPr>
            </w:pPr>
            <w:r>
              <w:rPr>
                <w:rFonts w:ascii="Times New Roman" w:cs="Times New Roman" w:eastAsia="Times New Roman" w:hAnsi="Times New Roman"/>
                <w:sz w:val="18"/>
                <w:szCs w:val="18"/>
                <w:b w:val="1"/>
                <w:bCs w:val="1"/>
                <w:color w:val="FFFFFF"/>
                <w:w w:val="99"/>
              </w:rPr>
              <w:t>Subscribed</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Accumulated</w:t>
            </w:r>
          </w:p>
        </w:tc>
        <w:tc>
          <w:tcPr>
            <w:tcW w:w="1140" w:type="dxa"/>
            <w:vAlign w:val="bottom"/>
            <w:shd w:val="clear" w:color="auto" w:fill="A6A6A6"/>
          </w:tcPr>
          <w:p>
            <w:pPr>
              <w:spacing w:after="0"/>
              <w:rPr>
                <w:sz w:val="18"/>
                <w:szCs w:val="18"/>
                <w:color w:val="auto"/>
              </w:rPr>
            </w:pPr>
          </w:p>
        </w:tc>
      </w:tr>
      <w:tr>
        <w:trPr>
          <w:trHeight w:val="216"/>
        </w:trPr>
        <w:tc>
          <w:tcPr>
            <w:tcW w:w="5780" w:type="dxa"/>
            <w:vAlign w:val="bottom"/>
            <w:shd w:val="clear" w:color="auto" w:fill="A6A6A6"/>
          </w:tcPr>
          <w:p>
            <w:pPr>
              <w:spacing w:after="0"/>
              <w:rPr>
                <w:sz w:val="18"/>
                <w:szCs w:val="18"/>
                <w:color w:val="auto"/>
              </w:rPr>
            </w:pPr>
          </w:p>
        </w:tc>
        <w:tc>
          <w:tcPr>
            <w:tcW w:w="1840" w:type="dxa"/>
            <w:vAlign w:val="bottom"/>
            <w:shd w:val="clear" w:color="auto" w:fill="A6A6A6"/>
          </w:tcPr>
          <w:p>
            <w:pPr>
              <w:jc w:val="center"/>
              <w:ind w:left="490"/>
              <w:spacing w:after="0"/>
              <w:rPr>
                <w:sz w:val="20"/>
                <w:szCs w:val="20"/>
                <w:color w:val="auto"/>
              </w:rPr>
            </w:pPr>
            <w:r>
              <w:rPr>
                <w:rFonts w:ascii="Times New Roman" w:cs="Times New Roman" w:eastAsia="Times New Roman" w:hAnsi="Times New Roman"/>
                <w:sz w:val="18"/>
                <w:szCs w:val="18"/>
                <w:b w:val="1"/>
                <w:bCs w:val="1"/>
                <w:color w:val="FFFFFF"/>
              </w:rPr>
              <w:t>Capital</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Reserves</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Deficit</w:t>
            </w:r>
          </w:p>
        </w:tc>
        <w:tc>
          <w:tcPr>
            <w:tcW w:w="11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Total Equity</w:t>
            </w:r>
          </w:p>
        </w:tc>
      </w:tr>
      <w:tr>
        <w:trPr>
          <w:trHeight w:val="238"/>
        </w:trPr>
        <w:tc>
          <w:tcPr>
            <w:tcW w:w="5780" w:type="dxa"/>
            <w:vAlign w:val="bottom"/>
            <w:shd w:val="clear" w:color="auto" w:fill="A6A6A6"/>
          </w:tcPr>
          <w:p>
            <w:pPr>
              <w:spacing w:after="0"/>
              <w:rPr>
                <w:sz w:val="20"/>
                <w:szCs w:val="20"/>
                <w:color w:val="auto"/>
              </w:rPr>
            </w:pPr>
          </w:p>
        </w:tc>
        <w:tc>
          <w:tcPr>
            <w:tcW w:w="1840" w:type="dxa"/>
            <w:vAlign w:val="bottom"/>
            <w:shd w:val="clear" w:color="auto" w:fill="A6A6A6"/>
          </w:tcPr>
          <w:p>
            <w:pPr>
              <w:jc w:val="center"/>
              <w:ind w:left="49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2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1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r>
      <w:tr>
        <w:trPr>
          <w:trHeight w:val="230"/>
        </w:trPr>
        <w:tc>
          <w:tcPr>
            <w:tcW w:w="57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kEUR</w:t>
            </w:r>
          </w:p>
        </w:tc>
      </w:tr>
      <w:tr>
        <w:trPr>
          <w:trHeight w:val="22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on December 31, 2022</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9,957</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277,308</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(330,778)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(43,513)</w:t>
            </w:r>
          </w:p>
        </w:tc>
      </w:tr>
      <w:tr>
        <w:trPr>
          <w:trHeight w:val="205"/>
        </w:trPr>
        <w:tc>
          <w:tcPr>
            <w:tcW w:w="5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Convertible debt conversion</w:t>
            </w:r>
          </w:p>
        </w:tc>
        <w:tc>
          <w:tcPr>
            <w:tcW w:w="184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894</w:t>
            </w:r>
          </w:p>
        </w:tc>
        <w:tc>
          <w:tcPr>
            <w:tcW w:w="124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rPr>
              <w:t>10,111</w:t>
            </w:r>
          </w:p>
        </w:tc>
        <w:tc>
          <w:tcPr>
            <w:tcW w:w="124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11,005</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exercised</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1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nine months ended September 30, 2023</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(36,316)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(36,316)</w:t>
            </w:r>
          </w:p>
        </w:tc>
      </w:tr>
      <w:tr>
        <w:trPr>
          <w:trHeight w:val="22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September 30, 2023</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10,857</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286,348</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(367,026)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(69,821)</w:t>
            </w:r>
          </w:p>
        </w:tc>
      </w:tr>
      <w:tr>
        <w:trPr>
          <w:trHeight w:val="223"/>
        </w:trPr>
        <w:tc>
          <w:tcPr>
            <w:tcW w:w="57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57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December 31, 2023</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10,840</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287,926</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(384,338)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(85,572)</w:t>
            </w:r>
          </w:p>
        </w:tc>
      </w:tr>
      <w:tr>
        <w:trPr>
          <w:trHeight w:val="205"/>
        </w:trPr>
        <w:tc>
          <w:tcPr>
            <w:tcW w:w="5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w:t>
            </w:r>
          </w:p>
        </w:tc>
      </w:tr>
      <w:tr>
        <w:trPr>
          <w:trHeight w:val="248"/>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for the nine months ended September 30, 2024</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56,414</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56,414</w:t>
            </w:r>
          </w:p>
        </w:tc>
      </w:tr>
      <w:tr>
        <w:trPr>
          <w:trHeight w:val="22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September 30, 2024</w:t>
            </w:r>
          </w:p>
        </w:tc>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10,844</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287,904</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(327,924)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(29,176)</w:t>
            </w:r>
          </w:p>
        </w:tc>
      </w:tr>
      <w:tr>
        <w:trPr>
          <w:trHeight w:val="993"/>
        </w:trPr>
        <w:tc>
          <w:tcPr>
            <w:tcW w:w="5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578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4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tc>
        <w:tc>
          <w:tcPr>
            <w:tcW w:w="3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40" w:type="dxa"/>
            <w:vAlign w:val="bottom"/>
            <w:shd w:val="clear" w:color="auto" w:fill="A6A6A6"/>
          </w:tcPr>
          <w:p>
            <w:pPr>
              <w:spacing w:after="0"/>
              <w:rPr>
                <w:sz w:val="16"/>
                <w:szCs w:val="16"/>
                <w:color w:val="auto"/>
              </w:rPr>
            </w:pPr>
          </w:p>
        </w:tc>
        <w:tc>
          <w:tcPr>
            <w:tcW w:w="3240" w:type="dxa"/>
            <w:vAlign w:val="bottom"/>
            <w:shd w:val="clear" w:color="auto" w:fill="A6A6A6"/>
          </w:tcPr>
          <w:p>
            <w:pPr>
              <w:jc w:val="center"/>
              <w:ind w:left="189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16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A6A6A6"/>
          </w:tcPr>
          <w:p>
            <w:pPr>
              <w:spacing w:after="0"/>
              <w:rPr>
                <w:sz w:val="18"/>
                <w:szCs w:val="18"/>
                <w:color w:val="auto"/>
              </w:rPr>
            </w:pPr>
          </w:p>
        </w:tc>
        <w:tc>
          <w:tcPr>
            <w:tcW w:w="3240" w:type="dxa"/>
            <w:vAlign w:val="bottom"/>
            <w:shd w:val="clear" w:color="auto" w:fill="A6A6A6"/>
          </w:tcPr>
          <w:p>
            <w:pPr>
              <w:jc w:val="right"/>
              <w:ind w:right="37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116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A6A6A6"/>
          </w:tcPr>
          <w:p>
            <w:pPr>
              <w:spacing w:after="0"/>
              <w:rPr>
                <w:sz w:val="18"/>
                <w:szCs w:val="18"/>
                <w:color w:val="auto"/>
              </w:rPr>
            </w:pPr>
          </w:p>
        </w:tc>
        <w:tc>
          <w:tcPr>
            <w:tcW w:w="3240" w:type="dxa"/>
            <w:vAlign w:val="bottom"/>
            <w:shd w:val="clear" w:color="auto" w:fill="A6A6A6"/>
          </w:tcPr>
          <w:p>
            <w:pPr>
              <w:jc w:val="center"/>
              <w:ind w:left="1910"/>
              <w:spacing w:after="0"/>
              <w:rPr>
                <w:sz w:val="20"/>
                <w:szCs w:val="20"/>
                <w:color w:val="auto"/>
              </w:rPr>
            </w:pPr>
            <w:r>
              <w:rPr>
                <w:rFonts w:ascii="Times New Roman" w:cs="Times New Roman" w:eastAsia="Times New Roman" w:hAnsi="Times New Roman"/>
                <w:sz w:val="18"/>
                <w:szCs w:val="18"/>
                <w:b w:val="1"/>
                <w:bCs w:val="1"/>
                <w:color w:val="FFFFFF"/>
                <w:w w:val="99"/>
              </w:rPr>
              <w:t>kEUR</w:t>
            </w:r>
          </w:p>
        </w:tc>
        <w:tc>
          <w:tcPr>
            <w:tcW w:w="11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40" w:type="dxa"/>
            <w:vAlign w:val="bottom"/>
            <w:shd w:val="clear" w:color="auto" w:fill="A6A6A6"/>
          </w:tcPr>
          <w:p>
            <w:pPr>
              <w:spacing w:after="0"/>
              <w:rPr>
                <w:sz w:val="20"/>
                <w:szCs w:val="20"/>
                <w:color w:val="auto"/>
              </w:rPr>
            </w:pPr>
            <w:r>
              <w:rPr>
                <w:rFonts w:ascii="Times New Roman" w:cs="Times New Roman" w:eastAsia="Times New Roman" w:hAnsi="Times New Roman"/>
                <w:sz w:val="18"/>
                <w:szCs w:val="18"/>
                <w:b w:val="1"/>
                <w:bCs w:val="1"/>
                <w:color w:val="FFFFFF"/>
              </w:rPr>
              <w:t>For the Nine Months Ended</w:t>
            </w:r>
          </w:p>
        </w:tc>
        <w:tc>
          <w:tcPr>
            <w:tcW w:w="3240" w:type="dxa"/>
            <w:vAlign w:val="bottom"/>
            <w:shd w:val="clear" w:color="auto" w:fill="A6A6A6"/>
          </w:tcPr>
          <w:p>
            <w:pPr>
              <w:jc w:val="center"/>
              <w:ind w:left="1910"/>
              <w:spacing w:after="0"/>
              <w:rPr>
                <w:sz w:val="20"/>
                <w:szCs w:val="20"/>
                <w:color w:val="auto"/>
              </w:rPr>
            </w:pPr>
            <w:r>
              <w:rPr>
                <w:rFonts w:ascii="Times New Roman" w:cs="Times New Roman" w:eastAsia="Times New Roman" w:hAnsi="Times New Roman"/>
                <w:sz w:val="18"/>
                <w:szCs w:val="18"/>
                <w:b w:val="1"/>
                <w:bCs w:val="1"/>
                <w:color w:val="FFFFFF"/>
                <w:w w:val="98"/>
              </w:rPr>
              <w:t>Unaudited</w:t>
            </w:r>
          </w:p>
        </w:tc>
        <w:tc>
          <w:tcPr>
            <w:tcW w:w="11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Unaudited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7"/>
              </w:rPr>
              <w:t>kEUR</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Income/(loss) for the period</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56,414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right-to-use asset</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Expenses for share-based payment transactions</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expenses /(income)</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4,033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3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4,846</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provisions</w:t>
            </w:r>
          </w:p>
        </w:tc>
        <w:tc>
          <w:tcPr>
            <w:tcW w:w="3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(53,860)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trade receivables and other assets</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trade payables</w:t>
            </w:r>
          </w:p>
        </w:tc>
        <w:tc>
          <w:tcPr>
            <w:tcW w:w="3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Increase/(decrease) in advance payments received from customers</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(6,468)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from consolidation of Sono Motors GmbH</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equipment</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813</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on principal portion of lease liabilities</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 from/(used by) financing activities</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7,412</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September 30, 2024</w:t>
            </w: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2,956</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6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84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225" w:lineRule="exact"/>
        <w:rPr>
          <w:sz w:val="20"/>
          <w:szCs w:val="20"/>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w:t>
      </w:r>
      <w:r>
        <w:rPr>
          <w:rFonts w:ascii="Times New Roman" w:cs="Times New Roman" w:eastAsia="Times New Roman" w:hAnsi="Times New Roman"/>
          <w:sz w:val="18"/>
          <w:szCs w:val="18"/>
          <w:i w:val="1"/>
          <w:iCs w:val="1"/>
          <w:color w:val="auto"/>
        </w:rPr>
        <w:t>“Note 3.1 Going concern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of the condensed consolidated interim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Sono Group have been prepared in accordance with International Financial Reporting Standards (IFRS) as issued by the International Accounting Standards Board (IASB), and are presented in euro, which is also the Group’s functional currency. Unless otherwise stated, all amounts are presented in thousands of euros (“kEUR”).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2023. The consolidated balance sheet as of December 31, 2023 was derived from audited financial statements although certain amounts have been reclassified to conform to the 2024 presentation. Additionally, the Company corrected an error identified in the valuation of the parental guarantee at September 30, 2023 and the related impact to Other operating income for the six month period then ended. The accounting policies adopted are consistent with those of the previous financial year and corresponding interim reporting period. The Group did not have to change its accounting policies or make retrospective adjustments as a result of adopting new accounting standards.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reflect the assets, liabilities and results of operations of Sono N.V. and those of its wholly-owned subsidiary, Sono Motors, over which Sono N.V. had control. Control over an entity exists when Sono N.V. is exposed to, or has rights to, variable returns from its involvement with the entity and has the ability to affect those returns through its power to direct the activities of the entity. Sono Motors was fully consolidated into Sono N.V. On May 19, 2023, Sono N.V. lost control of Sono Motors due to the opening of the self-administration proceedings and the appointment of a custodian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After this event, Sono N.V. no longer had the power to direct the activities of Sono Motors. The results of Sono Motors are consolidated up until the loss of control in the consolidated financial statements. In accordance with IFRS 10 Consolidated Financial Statements, Sono Group derecognized the assets and liabilities of Sono Motors from the consolidated statement of financial position, which led to significant movements in the assets and liabilities. The interest in Sono Motors is accounted for as a financial instrument in Sono N.V. with a fair value of zero. The asset and liability balances that Sono N.V. had with Sono Motors were previously intercompany and therefore eliminated on consolidation. These balances were reinstated. Due to a hard comfort letter between Sono N.V. and Sono Motors, Sono N.V. then recognized a parental guaranteed provision (see accounting policies and Note 6.9 Provisions). Control was obtained again once Sono Motors exited its Self-Administration Proceedings on February 29, 2024, and therefore Sono Motors is consolidated once again on this date within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both Group entities corresponds to the calendar year ending December 31.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and liabilities of both companies included in the consolidated financial statements are recognized in accordance with the uniform accounting policies used within the Sono Group, which complies with IFRS.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periods of consolidation, September 30, 2024, the consolidation process involved adjusting the items in the separate financial statements of the parent and its subsidiary and presenting them as if they were those of a single economic entity. Therefore, all intra-group assets and liabilities, equity, income, expenses and cash flows relating to transactions between members of the Sono Group were eliminated upon consolidation.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taxes, if any, are recognized for consolidation adjustments, and deferred tax assets and liabilities are offset where taxes are levied by the same tax authority and have the same maturity.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Standards adopted in 2024</w:t>
            </w:r>
          </w:p>
        </w:tc>
        <w:tc>
          <w:tcPr>
            <w:tcW w:w="4900" w:type="dxa"/>
            <w:vAlign w:val="bottom"/>
          </w:tcPr>
          <w:p>
            <w:pPr>
              <w:spacing w:after="0"/>
              <w:rPr>
                <w:sz w:val="20"/>
                <w:szCs w:val="20"/>
                <w:color w:val="auto"/>
              </w:rPr>
            </w:pP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standards have been published and have mandatory adoption:</w:t>
            </w:r>
          </w:p>
        </w:tc>
        <w:tc>
          <w:tcPr>
            <w:tcW w:w="4900" w:type="dxa"/>
            <w:vAlign w:val="bottom"/>
          </w:tcPr>
          <w:p>
            <w:pPr>
              <w:spacing w:after="0"/>
              <w:rPr>
                <w:sz w:val="24"/>
                <w:szCs w:val="24"/>
                <w:color w:val="auto"/>
              </w:rPr>
            </w:pPr>
          </w:p>
        </w:tc>
      </w:tr>
      <w:tr>
        <w:trPr>
          <w:trHeight w:val="216"/>
        </w:trPr>
        <w:tc>
          <w:tcPr>
            <w:tcW w:w="6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29"/>
        </w:trPr>
        <w:tc>
          <w:tcPr>
            <w:tcW w:w="6340" w:type="dxa"/>
            <w:vAlign w:val="bottom"/>
            <w:shd w:val="clear" w:color="auto" w:fill="A6A6A6"/>
          </w:tcPr>
          <w:p>
            <w:pPr>
              <w:spacing w:after="0"/>
              <w:rPr>
                <w:sz w:val="19"/>
                <w:szCs w:val="19"/>
                <w:color w:val="auto"/>
              </w:rPr>
            </w:pPr>
          </w:p>
        </w:tc>
        <w:tc>
          <w:tcPr>
            <w:tcW w:w="4900" w:type="dxa"/>
            <w:vAlign w:val="bottom"/>
            <w:shd w:val="clear" w:color="auto" w:fill="A6A6A6"/>
          </w:tcPr>
          <w:p>
            <w:pPr>
              <w:ind w:left="840"/>
              <w:spacing w:after="0"/>
              <w:rPr>
                <w:sz w:val="20"/>
                <w:szCs w:val="20"/>
                <w:color w:val="auto"/>
              </w:rPr>
            </w:pPr>
            <w:r>
              <w:rPr>
                <w:rFonts w:ascii="Times New Roman" w:cs="Times New Roman" w:eastAsia="Times New Roman" w:hAnsi="Times New Roman"/>
                <w:sz w:val="18"/>
                <w:szCs w:val="18"/>
                <w:b w:val="1"/>
                <w:bCs w:val="1"/>
                <w:color w:val="FFFFFF"/>
              </w:rPr>
              <w:t>Mandatory for fiscal years beginning on or after</w:t>
            </w:r>
          </w:p>
        </w:tc>
      </w:tr>
      <w:tr>
        <w:trPr>
          <w:trHeight w:val="21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IAS 1 Classification of liabilities as current or non-current (Amendments)</w:t>
            </w:r>
          </w:p>
        </w:tc>
        <w:tc>
          <w:tcPr>
            <w:tcW w:w="4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IAS 7 and IFRS 7 supplier finance arrangements (Amendments)</w:t>
            </w:r>
          </w:p>
        </w:tc>
        <w:tc>
          <w:tcPr>
            <w:tcW w:w="4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IFRS 16 Leases on sale and leaseback (Amendments)</w:t>
            </w:r>
          </w:p>
        </w:tc>
        <w:tc>
          <w:tcPr>
            <w:tcW w:w="49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January 1, 2024</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Standards or amendments made to the existing Standards that have been issued by the International Accounting Standards Board and which were effective by January 1, 2024, were not applicable or material to the interim condensed consolidated financial statements of the Group.</w:t>
      </w:r>
    </w:p>
    <w:p>
      <w:pPr>
        <w:spacing w:after="0" w:line="158" w:lineRule="exact"/>
        <w:rPr>
          <w:sz w:val="20"/>
          <w:szCs w:val="20"/>
          <w:color w:val="auto"/>
        </w:rPr>
      </w:pPr>
    </w:p>
    <w:p>
      <w:pPr>
        <w:ind w:right="8340" w:firstLine="8"/>
        <w:spacing w:after="0" w:line="503" w:lineRule="auto"/>
        <w:tabs>
          <w:tab w:leader="none" w:pos="56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3.1 Going concern</w:t>
      </w: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Sono Group financed its operations primarily through capital raises and loans from shareholders and private investors (including its IPO in November 2021), as well as through advance payments received from customers. Since inception, Sono Group has incurred recurring losses and negative cash flows from operations. The accumulated deficit amounts to kEUR 327,924 and negative equity totals kEUR 29,176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half of 2022, however, attempts to raise additional financing through equity offerings failed due to deteriorating market conditions and investor sentiment and other factors. On December 7, 2022, the Company issued convertible debentures to YA II PN, Ltd. (“Yorkville”) with an aggregate nominal amount of kUSD 31,100 (kEUR 29,485). Given that this amount was insufficient to realize serial production and against the backdrop of otherwise unfavorable market conditions, Sono Group announced a special community campaign on December 8, 2022 with the goal of raising approximately kEUR 105,000, principally by means of additional prepayments from customers and/or additional investor financing. The campaign was not successful and hence no additional financing was raised. Consequently, on February 24, 2023, Management decided to terminate the Sion passenger car program and focus on the development of Sono Group’s solar technology solutions, which requires significantly lower levels of investment than the development of the Sion passenger car program. Sono Motors offered its reservation holders a repayment plan to reimburse reservation holders of Sono Motors for advance payments in three installments (May 2023, June 2024 and January 2025).</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15, 2023, due to the fact that the first installment to repay advance payments to customers became due and Sono Group had not succeeded in raising additional funds, the Company’s management ultimately concluded that Sono Motors was over-indebted and faced impending illiquidity (</w:t>
      </w:r>
      <w:r>
        <w:rPr>
          <w:rFonts w:ascii="Times New Roman" w:cs="Times New Roman" w:eastAsia="Times New Roman" w:hAnsi="Times New Roman"/>
          <w:sz w:val="18"/>
          <w:szCs w:val="18"/>
          <w:i w:val="1"/>
          <w:iCs w:val="1"/>
          <w:color w:val="auto"/>
        </w:rPr>
        <w:t>drohende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Zahlungsunfähigkeit) </w:t>
      </w:r>
      <w:r>
        <w:rPr>
          <w:rFonts w:ascii="Times New Roman" w:cs="Times New Roman" w:eastAsia="Times New Roman" w:hAnsi="Times New Roman"/>
          <w:sz w:val="18"/>
          <w:szCs w:val="18"/>
          <w:color w:val="auto"/>
        </w:rPr>
        <w:t>with Sono N.V., in turn, becoming over-indebted and also facing impending illiquidity. As a consequence, Management decided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for the opening of the Self-Administration Proceedings with respect to Sono N.V. and Sono Motors with the goal of sustainably restructuring both companies. Accordingly, on May 15, 2023, Sono N.V. applied to the insolvency court of the local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Sono Motors applied to the same Court to permit the opening of a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pursuant Section 270 (d) of the German Insolvency Code. On May 17 and May 19, 2023, respectively, the Court admitted the opening of Self-Administration Proceedings with respect to Sono N.V. and Sono Motors on a preliminary basis (the “Preliminary Self-Administration Proceedings”). The Court also appointed preliminary custodians for each of Sono N.V. and Sono Motors in their respective Preliminary Self-Administration Proceedings. On September 1, 2023, the Court opened the Self-Administration Proceedings with respect to Sono Motors (the “Subsidiary Self-Administration Proceedings”).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Yorkville, as one of the largest creditors of Sono N.V., started negotiations in the course of the insolvency proceedings and committed to provide financing to the Company (the “First Commitment”), subject to the Companies’ compliance with the terms of the investment-related agreements entered into by the Company and Yorkville in connection therewith, including, among others, the restructuring agreement (as amended from time to time, the “Restructuring Agreement”) and the funding commitment letter with respect to the First Commitment (as amended from time to time, the “Funding Commitment Letter” and together with the Restructuring Agreement and the ancillary agreements entered into in connection therewith, (the “Yorkville Agreements”)). Pursuant to the Yorkville Agreements, which became effective on November 20, 2023, Yorkville committed to provide limited financing to the Company, subject to the satisfaction of certain conditions precedent and our compliance with certain covenants and other obligations set forth in the Yorkville Agreements. The aim of the Yorkville Agreements and the transactions contemplated therein was the planned restructuring of Sono N.V. and Sono Motors, with the intention of enabling the Company to withdraw its application for its Preliminary Self-Administration Proceedings and enabling the Subsidiary to exit the Subsidiary Self-Administration Proceedings via a plan (the “Plan”) under the German Insolvency Code. The Plan was filed with the Court on December 7, 2023 for approval by the Subsidiary’s creditors and subsequent confirmation by the Court. Approval by the creditors and confirmation by the Court was obtained in the creditors meeting on December 21, 2023, and the Court confirmed on January 26, 2024 that the Plan became legally binding. On January 31, 2024, Sono N.V. withdrew its application for its Preliminary Self-Administration Proceedings with the Court. The Subsidiary exited its Self-Administration Proceedings on February 29, 2024.</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2024, Yorkville committed additional financing to the Company (the “Second Commitment” and together with the First Commitment, the “Yorkville Investment”) by way of an amendment to the Funding Commitment Letter. The Company expects the Yorkville Investment to position the Group to obtain sufficient funding for their restructured business operations through June 30, 2025 (the “Funding Period”), based on a mutually agreed business plan focused on the planned development of Sono Group’s business operations related to the Solar Bus Kit and similar retrofit solar products. The funding of the first tranche of the Yorkville Investment occurred on February 6, 2024 for mEUR 4.0 (or USD 4,317,600) (the “First Tranche”). The second funding of mEUR 3.0 occurred in September, 2024 (the “Second Tranche”). The third and the fourth tranches of mEUR 1.0 each are expected to be made in January 2025 and in April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Yorkville Agreements, the tranches of the Yorkville Investment are funded by way of new interest-bearing convertible debentures.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Under the terms of the continuation agreement between the Company and the Subsidiary and the back-to-back letter of comfort from the Company to the Subsidiary, each entered into in connection with the Yorkville Investment, funds are paid by the Company to the Subsidiary by way of intercompany loans. In the event of a shortfall during the Funding Period, Yorkville will provide additional funds to the Company, provided that agreements are reached in good faith on an adjusted budget for the Funding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Yorkville’s obligation to provide funding pursuant to the terms of the Funding Commitment letter is subject to the absence of certain termination events or events of default. If such an event occurs, Yorkville would have the right, at its sole discretion, to cancel any funding commitments still available, meaning that the Company would no longer be able to draw down on unused portions of the commitment amount, and to exercise all of its rights under any of the new convertible debentures as if an event of default had occurred. For details regarding termination events / events of default, refer to the Company’s Annual Report on Form 20-F for the year ended December 31, 2023, as filed with the SEC on June 21,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above-outlined plans, the Company’s going concern status is subject to various risks and uncertainties, as more fully described in “Item 3. Key Information—D. Risk Factors” in the Company’s Annual Report on Form 20-F for the year ended December 31, 2023. Some of the principal risks associated with the Company’s going concern status include, but are not limited to,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comply on an ongoing basis with the terms of the Yorkville Agreements and thereby gain access to the unfunded portion of the Yorkville Investment;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meet the assumptions underlying the mutually-agreed business plan with Yorkville (focusing on the development of the Solar Bus Kit business and similar retrofit solar products) so that the committed financing by Yorkville is sufficient to allow the Company to continue as a going concern through June 30, 2025, including, without limitation, Sono Group’s ability to enter into additional customer contracts to start generating additional revenues, Sono Group’s ability to reach commercial production with its offerings beyond the Solar Bus Kit; Sono Group’s ability to keep to cost assumptions and margins expected to be realized, Sono Group’s ability to retain essential employees, Sono Group’s ability to maintain relationships with suppliers and enter into planned relationships with new suppliers, Sono Group’s ability to find additional independent distributors for its Solar Bus Kit and similar retrofit solar products as planned;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obtain additional financing from third parties in order to fund the business from July 2025 onwards and to be able to repay any remaining amounts owed in connection with the funding provided by Yorkville when due (both for the convertible debentures liability of Sono N.V. and the intercompany loan to be paid back by Sono Motors);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attract additional and retain existing key employees and hire additional qualified technical and engineering personnel to develop the planned business;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defined termination conditions or events of default will occur, which can cause Yorkville, at its sole discretion, to cancel any additional funding commitments still available which can lead, in absence of alternative funding possibilities, to insolvency and liquidation of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risks and uncertainties, there is no certainty as to Sono Group’s ability to continue as a going concern. Sono Group will need to raise additional funds through public or private debt or equity financing or other means to fund the Group’s business beyond June 2025, should the Yorkville Investment continue to be concluded and implemented as planned. Sono Group’s access to required additional financing is limited, and for the foreseeable future will likely continue to be limited, if it is available at all, as of July 1, 2025 and beyond. Even though the Company and the Subsidiary have successfully emerged from their respective Self-Administration Proceedings, they might be adversely affected by the possible reluctance of prospective lenders or investors and other counterparties to do business with a company that has recently emerged from such proceedings. Therefore, adequate funds may not be available when needed or may not be available on favorable terms and thus the Company and Group might not be 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11060"/>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above, over the twelve-month period following the issuance date of the condensed consolidated financial statements, there is a risk that Sono Group deviates from the mutually-agreed business plan which could lead to Yorkville not providing the agreed financing or additional funding being required if funding requirements are greater than projected. Alternative funding would then need to be found through private debt or equity financing or other means. Consequently, there is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Group is a start-up company that has not yet started production. As all significant activities of the Group relate to the development of the retrofitting for commercial vehicles, and management makes decisions about allocating resources and assessing performance based on the entity as a whole, Management has determined that Sono Group operates in one operating and reportable business segment.</w:t>
      </w:r>
    </w:p>
    <w:p>
      <w:pPr>
        <w:spacing w:after="0" w:line="179" w:lineRule="exact"/>
        <w:rPr>
          <w:sz w:val="20"/>
          <w:szCs w:val="20"/>
          <w:color w:val="auto"/>
        </w:rPr>
      </w:pPr>
    </w:p>
    <w:p>
      <w:pPr>
        <w:ind w:right="4660" w:firstLine="8"/>
        <w:spacing w:after="0" w:line="503" w:lineRule="auto"/>
        <w:tabs>
          <w:tab w:leader="none" w:pos="56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interim condensed consolidated statements of income or loss 5.1 Significant events and transactions</w:t>
      </w: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2023 Sono Motors applied for the opening of its Self-Administration Proceedings. As a result, Sono Motors was deconsolidated due to a loss of control and was recorded as an equity method investment pursuant to IAS 21. The Subsidiary was deemed to have no fair value and accordingly the investment had no carrying value. Consistent with the equity method of accounting, losses sustained by Sono Motors during the period beginning May 15, 2023 through the date it exited the Subsidiary Self-Administration Proceedings and the Company regained control, February 29, 2024, were not reported in the consolidated results of operations. The impact of the Self-Administration Proceedings resulted in a complete extinguishment of debt for all claims related to the Sion endeavor and all assets, including cash, related to the same were relinquished to the Court for purposes of settling creditor claims. This transaction was accounted for as an extinguishment of debt and resulted in a recapitalization of Sono Motors. Beginning March 1, 2024, Sono Motors results of operations are included in the interim condensed consolidated statement of income or loss.</w:t>
      </w:r>
    </w:p>
    <w:p>
      <w:pPr>
        <w:spacing w:after="0" w:line="18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Revenue and 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nine-month period ended September 30, 2023 the Company recorded revenue and cost of goods sold in the amount of kEUR 42 and kEUR (70) respectively. Revenue and cost of goods sold mainly relates to the integration of Sono Group’s patented solar technology across other transportation platforms. Cost of goods sold include raw material consumed, personnel cost, change in provision for onerous contracts and impairment of work in progress for loss making contracts. For the nine months ended September 30, 2024, there was no revenue or cost of goods sold as the Company was undertaking restructuring initiatives related to pursuing retro fitting opportunities.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Cost of development</w:t>
            </w: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r>
      <w:tr>
        <w:trPr>
          <w:trHeight w:val="229"/>
        </w:trPr>
        <w:tc>
          <w:tcPr>
            <w:tcW w:w="500" w:type="dxa"/>
            <w:vAlign w:val="bottom"/>
            <w:shd w:val="clear" w:color="auto" w:fill="A6A6A6"/>
          </w:tcPr>
          <w:p>
            <w:pPr>
              <w:spacing w:after="0"/>
              <w:rPr>
                <w:sz w:val="19"/>
                <w:szCs w:val="19"/>
                <w:color w:val="auto"/>
              </w:rPr>
            </w:pPr>
          </w:p>
        </w:tc>
        <w:tc>
          <w:tcPr>
            <w:tcW w:w="7820" w:type="dxa"/>
            <w:vAlign w:val="bottom"/>
            <w:shd w:val="clear" w:color="auto" w:fill="A6A6A6"/>
          </w:tcPr>
          <w:p>
            <w:pPr>
              <w:spacing w:after="0"/>
              <w:rPr>
                <w:sz w:val="19"/>
                <w:szCs w:val="19"/>
                <w:color w:val="auto"/>
              </w:rPr>
            </w:pPr>
          </w:p>
        </w:tc>
        <w:tc>
          <w:tcPr>
            <w:tcW w:w="2920" w:type="dxa"/>
            <w:vAlign w:val="bottom"/>
            <w:gridSpan w:val="2"/>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FFFFFF"/>
              </w:rPr>
              <w:t>Nine Months Ended</w:t>
            </w:r>
          </w:p>
        </w:tc>
      </w:tr>
      <w:tr>
        <w:trPr>
          <w:trHeight w:val="243"/>
        </w:trPr>
        <w:tc>
          <w:tcPr>
            <w:tcW w:w="500" w:type="dxa"/>
            <w:vAlign w:val="bottom"/>
            <w:shd w:val="clear" w:color="auto" w:fill="A6A6A6"/>
          </w:tcPr>
          <w:p>
            <w:pPr>
              <w:spacing w:after="0"/>
              <w:rPr>
                <w:sz w:val="21"/>
                <w:szCs w:val="21"/>
                <w:color w:val="auto"/>
              </w:rPr>
            </w:pPr>
          </w:p>
        </w:tc>
        <w:tc>
          <w:tcPr>
            <w:tcW w:w="7820" w:type="dxa"/>
            <w:vAlign w:val="bottom"/>
            <w:shd w:val="clear" w:color="auto" w:fill="A6A6A6"/>
          </w:tcPr>
          <w:p>
            <w:pPr>
              <w:spacing w:after="0"/>
              <w:rPr>
                <w:sz w:val="21"/>
                <w:szCs w:val="21"/>
                <w:color w:val="auto"/>
              </w:rPr>
            </w:pPr>
          </w:p>
        </w:tc>
        <w:tc>
          <w:tcPr>
            <w:tcW w:w="1680" w:type="dxa"/>
            <w:vAlign w:val="bottom"/>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229"/>
        </w:trPr>
        <w:tc>
          <w:tcPr>
            <w:tcW w:w="50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05"/>
        </w:trPr>
        <w:tc>
          <w:tcPr>
            <w:tcW w:w="8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Development cost of prototypes</w:t>
            </w:r>
          </w:p>
        </w:tc>
        <w:tc>
          <w:tcPr>
            <w:tcW w:w="1680" w:type="dxa"/>
            <w:vAlign w:val="bottom"/>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258</w:t>
            </w:r>
          </w:p>
        </w:tc>
        <w:tc>
          <w:tcPr>
            <w:tcW w:w="12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4,082</w:t>
            </w:r>
          </w:p>
        </w:tc>
      </w:t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8,131</w:t>
            </w:r>
          </w:p>
        </w:tc>
      </w:t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w:t>
            </w:r>
          </w:p>
        </w:tc>
      </w:t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development</w:t>
            </w:r>
          </w:p>
        </w:tc>
        <w:tc>
          <w:tcPr>
            <w:tcW w:w="1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16,029</w:t>
            </w:r>
          </w:p>
        </w:tc>
      </w:tr>
      <w:tr>
        <w:trPr>
          <w:trHeight w:val="561"/>
        </w:trPr>
        <w:tc>
          <w:tcPr>
            <w:tcW w:w="5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782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first half of 2024 and prior periods, as the Group does not perform research. As the capitalization criteria for development cost have not been met, all development expenses were recognized in profit or loss as incurred in the reporting period and the previous reporting periods. The decrease in expenses relates to the discontinuation of Sono Motors’ 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in 2023 relates to fixed assets, namely property, plant and equipment and is the result of the decision to terminate the Sion passenger car program.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details on the general and administrative expenses:</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r>
      <w:tr>
        <w:trPr>
          <w:trHeight w:val="229"/>
        </w:trPr>
        <w:tc>
          <w:tcPr>
            <w:tcW w:w="500" w:type="dxa"/>
            <w:vAlign w:val="bottom"/>
            <w:shd w:val="clear" w:color="auto" w:fill="A6A6A6"/>
          </w:tcPr>
          <w:p>
            <w:pPr>
              <w:spacing w:after="0"/>
              <w:rPr>
                <w:sz w:val="19"/>
                <w:szCs w:val="19"/>
                <w:color w:val="auto"/>
              </w:rPr>
            </w:pPr>
          </w:p>
        </w:tc>
        <w:tc>
          <w:tcPr>
            <w:tcW w:w="7820" w:type="dxa"/>
            <w:vAlign w:val="bottom"/>
            <w:shd w:val="clear" w:color="auto" w:fill="A6A6A6"/>
          </w:tcPr>
          <w:p>
            <w:pPr>
              <w:spacing w:after="0"/>
              <w:rPr>
                <w:sz w:val="19"/>
                <w:szCs w:val="19"/>
                <w:color w:val="auto"/>
              </w:rPr>
            </w:pPr>
          </w:p>
        </w:tc>
        <w:tc>
          <w:tcPr>
            <w:tcW w:w="2920" w:type="dxa"/>
            <w:vAlign w:val="bottom"/>
            <w:gridSpan w:val="2"/>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FFFFFF"/>
              </w:rPr>
              <w:t>Nine Months Ended</w:t>
            </w:r>
          </w:p>
        </w:tc>
      </w:tr>
      <w:tr>
        <w:trPr>
          <w:trHeight w:val="243"/>
        </w:trPr>
        <w:tc>
          <w:tcPr>
            <w:tcW w:w="500" w:type="dxa"/>
            <w:vAlign w:val="bottom"/>
            <w:shd w:val="clear" w:color="auto" w:fill="A6A6A6"/>
          </w:tcPr>
          <w:p>
            <w:pPr>
              <w:spacing w:after="0"/>
              <w:rPr>
                <w:sz w:val="21"/>
                <w:szCs w:val="21"/>
                <w:color w:val="auto"/>
              </w:rPr>
            </w:pPr>
          </w:p>
        </w:tc>
        <w:tc>
          <w:tcPr>
            <w:tcW w:w="7820" w:type="dxa"/>
            <w:vAlign w:val="bottom"/>
            <w:shd w:val="clear" w:color="auto" w:fill="A6A6A6"/>
          </w:tcPr>
          <w:p>
            <w:pPr>
              <w:spacing w:after="0"/>
              <w:rPr>
                <w:sz w:val="21"/>
                <w:szCs w:val="21"/>
                <w:color w:val="auto"/>
              </w:rPr>
            </w:pPr>
          </w:p>
        </w:tc>
        <w:tc>
          <w:tcPr>
            <w:tcW w:w="1680" w:type="dxa"/>
            <w:vAlign w:val="bottom"/>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229"/>
        </w:trPr>
        <w:tc>
          <w:tcPr>
            <w:tcW w:w="500" w:type="dxa"/>
            <w:vAlign w:val="bottom"/>
            <w:tcBorders>
              <w:bottom w:val="single" w:sz="8" w:color="auto"/>
            </w:tcBorders>
          </w:tcPr>
          <w:p>
            <w:pPr>
              <w:spacing w:after="0"/>
              <w:rPr>
                <w:sz w:val="19"/>
                <w:szCs w:val="19"/>
                <w:color w:val="auto"/>
              </w:rPr>
            </w:pPr>
          </w:p>
        </w:tc>
        <w:tc>
          <w:tcPr>
            <w:tcW w:w="78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05"/>
        </w:trPr>
        <w:tc>
          <w:tcPr>
            <w:tcW w:w="8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Professional services</w:t>
            </w:r>
          </w:p>
        </w:tc>
        <w:tc>
          <w:tcPr>
            <w:tcW w:w="1680" w:type="dxa"/>
            <w:vAlign w:val="bottom"/>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2,452</w:t>
            </w:r>
          </w:p>
        </w:tc>
        <w:tc>
          <w:tcPr>
            <w:tcW w:w="12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4,122</w:t>
            </w:r>
          </w:p>
        </w:tc>
      </w:tr>
      <w:tr>
        <w:trPr>
          <w:trHeight w:val="22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w:t>
            </w:r>
          </w:p>
        </w:tc>
      </w:t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transfer fees</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8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w:t>
            </w:r>
          </w:p>
        </w:tc>
        <w:tc>
          <w:tcPr>
            <w:tcW w:w="1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expenses are mainly composed of employees responsible for Finance, Human Resources, Business Development, Administration etc. Professional services include accounting, tax and legal services as well as other services performed by external parties such as the preparation of annual and interim consolidated financial statements in accordance with IFRS, services provided by our independent auditor, as well as legal and tax services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3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Other operating income/expenses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details on the other operating income/expenses:</w:t>
      </w:r>
    </w:p>
    <w:p>
      <w:pPr>
        <w:spacing w:after="0" w:line="23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FFFFFF"/>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20" w:type="dxa"/>
            <w:vAlign w:val="bottom"/>
          </w:tcPr>
          <w:p>
            <w:pPr>
              <w:spacing w:after="0"/>
              <w:rPr>
                <w:sz w:val="19"/>
                <w:szCs w:val="19"/>
                <w:color w:val="auto"/>
              </w:rPr>
            </w:pPr>
          </w:p>
        </w:tc>
        <w:tc>
          <w:tcPr>
            <w:tcW w:w="110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580" w:type="dxa"/>
            <w:vAlign w:val="bottom"/>
            <w:shd w:val="clear" w:color="auto" w:fill="A6A6A6"/>
          </w:tcPr>
          <w:p>
            <w:pPr>
              <w:spacing w:after="0"/>
              <w:rPr>
                <w:sz w:val="19"/>
                <w:szCs w:val="19"/>
                <w:color w:val="auto"/>
              </w:rPr>
            </w:pP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198"/>
        </w:trPr>
        <w:tc>
          <w:tcPr>
            <w:tcW w:w="8320" w:type="dxa"/>
            <w:vAlign w:val="bottom"/>
          </w:tcPr>
          <w:p>
            <w:pPr>
              <w:spacing w:after="0"/>
              <w:rPr>
                <w:sz w:val="17"/>
                <w:szCs w:val="17"/>
                <w:color w:val="auto"/>
              </w:rPr>
            </w:pPr>
          </w:p>
        </w:tc>
        <w:tc>
          <w:tcPr>
            <w:tcW w:w="1100" w:type="dxa"/>
            <w:vAlign w:val="bottom"/>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rPr>
              <w:t>kEUR</w:t>
            </w:r>
          </w:p>
        </w:tc>
        <w:tc>
          <w:tcPr>
            <w:tcW w:w="580" w:type="dxa"/>
            <w:vAlign w:val="bottom"/>
          </w:tcPr>
          <w:p>
            <w:pPr>
              <w:spacing w:after="0"/>
              <w:rPr>
                <w:sz w:val="17"/>
                <w:szCs w:val="17"/>
                <w:color w:val="auto"/>
              </w:rPr>
            </w:pPr>
          </w:p>
        </w:tc>
        <w:tc>
          <w:tcPr>
            <w:tcW w:w="12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kEUR</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currency valuation</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101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2"/>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w:t>
            </w:r>
          </w:p>
        </w:tc>
      </w:tr>
      <w:tr>
        <w:trPr>
          <w:trHeight w:val="220"/>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189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1,433</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from currency valuation</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117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payments received from customers VAT</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7,763</w:t>
            </w:r>
          </w:p>
        </w:tc>
      </w:tr>
      <w:tr>
        <w:trPr>
          <w:trHeight w:val="212"/>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r>
      <w:tr>
        <w:trPr>
          <w:trHeight w:val="252"/>
        </w:trPr>
        <w:tc>
          <w:tcPr>
            <w:tcW w:w="9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122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10,645</w:t>
            </w:r>
          </w:p>
        </w:tc>
      </w:tr>
      <w:tr>
        <w:trPr>
          <w:trHeight w:val="232"/>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INCOME/(EXPENSES)</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(9,212)</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nominal amount of kEUR101 was received related to grant subsidy funding from the European Commission. There are no obligations related to continued commitment to or funding from the related project.</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5.5.1</w:t>
      </w:r>
      <w:r>
        <w:rPr>
          <w:sz w:val="20"/>
          <w:szCs w:val="20"/>
          <w:color w:val="auto"/>
        </w:rPr>
        <w:tab/>
      </w:r>
      <w:r>
        <w:rPr>
          <w:rFonts w:ascii="Times New Roman" w:cs="Times New Roman" w:eastAsia="Times New Roman" w:hAnsi="Times New Roman"/>
          <w:sz w:val="17"/>
          <w:szCs w:val="17"/>
          <w:b w:val="1"/>
          <w:bCs w:val="1"/>
          <w:color w:val="auto"/>
        </w:rPr>
        <w:t>Gain/(loss) on deconsolidation/reconsolidation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of 2023 Sono Motors GmbH entered into voluntary insolvency proceedings. As a result, Sono NV lost control of the subsidiary and deconsolidated the business unit. The Company recorded a deconsolidation loss of kEUR 2,688for the nine months ended September 30,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2 and 5.1 above, Sono NV entered into guarantee through the issuance of a comfort letter assuming responsibility for funding Sono Motors. On February 29, 2024 Sono Motors exited from voluntary insolvency through a negotiated settlement agreement. The agreement extinguished all debts by and between Sono NV and Sono Motors GmbH. At March 1, 2024, the parental guarantee and related debts were extinguished and the net assets of Sono Motors GmbH were reconsolidated resulting in a net gain of kEUR63,549.</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Interest and similar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similar expenses/income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similar expenses consist primarily of activity related to accounting for hybrid debt financing and derivative activity. Interest expense for the six-month periods ending September 30, 2024 and 2023 amounted to kEUR 4,942nd kEUR 3,065 respectively. Interest income for the six-month periods ending June 30, 2024 and 2023 amounted to kEUR 3,583 and 5,176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components of interest and similar expenses: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day-one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forex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interest and similar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FFFFFF"/>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-125095</wp:posOffset>
            </wp:positionV>
            <wp:extent cx="7132320" cy="29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225"/>
        </w:trPr>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30"/>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4"/>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ind w:left="2400" w:hanging="1212"/>
        <w:spacing w:after="0"/>
        <w:tabs>
          <w:tab w:leader="none" w:pos="2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3,431</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4,9423,065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-133985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388620</wp:posOffset>
            </wp:positionV>
            <wp:extent cx="71323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2">
            <w:col w:w="7600" w:space="720"/>
            <w:col w:w="2920"/>
          </w:cols>
          <w:pgMar w:left="320" w:top="229"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components of interest and similar income: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 forex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interest and similar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FFFFFF"/>
        </w:rPr>
        <w:t>Nine Months Ended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225"/>
        </w:trPr>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29"/>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3,480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w:t>
            </w:r>
          </w:p>
        </w:tc>
      </w:tr>
      <w:tr>
        <w:trPr>
          <w:trHeight w:val="243"/>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5,176</w:t>
            </w:r>
          </w:p>
        </w:tc>
      </w:tr>
    </w:tbl>
    <w:p>
      <w:pPr>
        <w:spacing w:after="0" w:line="200" w:lineRule="exact"/>
        <w:rPr>
          <w:sz w:val="20"/>
          <w:szCs w:val="20"/>
          <w:color w:val="auto"/>
        </w:rPr>
      </w:pPr>
    </w:p>
    <w:p>
      <w:pPr>
        <w:sectPr>
          <w:pgSz w:w="11900" w:h="16838" w:orient="portrait"/>
          <w:cols w:equalWidth="0" w:num="2">
            <w:col w:w="7600" w:space="720"/>
            <w:col w:w="2920"/>
          </w:cols>
          <w:pgMar w:left="320" w:top="229" w:right="339" w:bottom="1440" w:gutter="0" w:footer="0" w:header="0"/>
          <w:type w:val="continuous"/>
        </w:sectPr>
      </w:pPr>
    </w:p>
    <w:p>
      <w:pPr>
        <w:spacing w:after="0" w:line="7" w:lineRule="exact"/>
        <w:rPr>
          <w:sz w:val="20"/>
          <w:szCs w:val="20"/>
          <w:color w:val="auto"/>
        </w:rPr>
      </w:pPr>
    </w:p>
    <w:p>
      <w:pPr>
        <w:ind w:right="6280" w:firstLine="8"/>
        <w:spacing w:after="0" w:line="503" w:lineRule="auto"/>
        <w:tabs>
          <w:tab w:leader="none" w:pos="56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condensed consolidated balance sheet disclosures 6.1 Property, plant and equipment</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movement in the net book value of property, plant and equipment for the nine-month period ended September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shd w:val="clear" w:color="auto" w:fill="A6A6A6"/>
          </w:tcPr>
          <w:p>
            <w:pPr>
              <w:spacing w:after="0"/>
              <w:rPr>
                <w:sz w:val="19"/>
                <w:szCs w:val="19"/>
                <w:color w:val="auto"/>
              </w:rPr>
            </w:pPr>
          </w:p>
        </w:tc>
        <w:tc>
          <w:tcPr>
            <w:tcW w:w="2920" w:type="dxa"/>
            <w:vAlign w:val="bottom"/>
            <w:gridSpan w:val="2"/>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FFFFFF"/>
              </w:rPr>
              <w:t>Nine Months Ended</w:t>
            </w:r>
          </w:p>
        </w:tc>
      </w:tr>
      <w:tr>
        <w:trPr>
          <w:trHeight w:val="243"/>
        </w:trPr>
        <w:tc>
          <w:tcPr>
            <w:tcW w:w="8320" w:type="dxa"/>
            <w:vAlign w:val="bottom"/>
            <w:shd w:val="clear" w:color="auto" w:fill="A6A6A6"/>
          </w:tcPr>
          <w:p>
            <w:pPr>
              <w:spacing w:after="0"/>
              <w:rPr>
                <w:sz w:val="21"/>
                <w:szCs w:val="21"/>
                <w:color w:val="auto"/>
              </w:rPr>
            </w:pPr>
          </w:p>
        </w:tc>
        <w:tc>
          <w:tcPr>
            <w:tcW w:w="1700" w:type="dxa"/>
            <w:vAlign w:val="bottom"/>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2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r>
      <w:tr>
        <w:trPr>
          <w:trHeight w:val="229"/>
        </w:trPr>
        <w:tc>
          <w:tcPr>
            <w:tcW w:w="8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kEUR</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05"/>
        </w:trPr>
        <w:tc>
          <w:tcPr>
            <w:tcW w:w="83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Historical cost</w:t>
            </w: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subtractions</w:t>
            </w:r>
          </w:p>
        </w:tc>
        <w:tc>
          <w:tcPr>
            <w:tcW w:w="1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4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Reconsolidation additions</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187</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83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subtractions</w:t>
            </w:r>
          </w:p>
        </w:tc>
        <w:tc>
          <w:tcPr>
            <w:tcW w:w="17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Reconsolidation additions</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w:t>
            </w: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83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Carrying amount Jan 1,</w:t>
            </w:r>
          </w:p>
        </w:tc>
        <w:tc>
          <w:tcPr>
            <w:tcW w:w="170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371</w:t>
            </w:r>
          </w:p>
        </w:tc>
      </w:tr>
      <w:tr>
        <w:trPr>
          <w:trHeight w:val="252"/>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Carrying amount September 30,</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60"/>
        </w:trPr>
        <w:tc>
          <w:tcPr>
            <w:tcW w:w="8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8"/>
        </w:trPr>
        <w:tc>
          <w:tcPr>
            <w:tcW w:w="832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type w:val="continuous"/>
        </w:sectPr>
      </w:pPr>
    </w:p>
    <w:bookmarkStart w:id="17" w:name="page18"/>
    <w:bookmarkEnd w:id="17"/>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property, plant and equipment was primarily impacted by Sono Motors’ Self-Administration Proceedings. As of February 29, 2024, Sono Motors exited its Self-Administration Proceedings in accordance with the Plan, which settled creditor claims related to the legacy Sion business in exchange for certain assets of Sono Motors with the excluded assets remaining with the Company and reconsolidated. Accordingly, the movement in property, plant and equipment relates primarily to the implementation of the Plan and reconsolidation of the Subsidiary.</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color w:val="auto"/>
        </w:rPr>
        <w:t>Right of use asset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Motors leases buildings and warehouses at its headquarters in Munich. At September 30, 2024, the remaining lease terms for the buildings were 3.5 to 7.5 years.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Right-of-use assets on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right-of-use asset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Deconsolidation of Subsidiary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Right-of-use asset on December 31,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Reconsolidation of Subsidiary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right-of-use asset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Right-of-use asset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on lease liabilities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on lease liabilities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Other current financial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below table displays information on financial instruments included in other current financial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FFFFFF"/>
        </w:rPr>
        <w:t>Buildings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kEUR</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(703)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1,073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1070" w:lineRule="exact"/>
        <w:rPr>
          <w:sz w:val="20"/>
          <w:szCs w:val="20"/>
          <w:color w:val="auto"/>
        </w:rPr>
      </w:pPr>
    </w:p>
    <w:p>
      <w:pPr>
        <w:sectPr>
          <w:pgSz w:w="11900" w:h="16838" w:orient="portrait"/>
          <w:cols w:equalWidth="0" w:num="2">
            <w:col w:w="9480" w:space="720"/>
            <w:col w:w="1040"/>
          </w:cols>
          <w:pgMar w:left="320" w:top="229"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shd w:val="clear" w:color="auto" w:fill="A6A6A6"/>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440" w:type="dxa"/>
            <w:vAlign w:val="bottom"/>
            <w:shd w:val="clear" w:color="auto" w:fill="A6A6A6"/>
          </w:tcPr>
          <w:p>
            <w:pPr>
              <w:spacing w:after="0"/>
              <w:rPr>
                <w:sz w:val="19"/>
                <w:szCs w:val="19"/>
                <w:color w:val="auto"/>
              </w:rPr>
            </w:pPr>
          </w:p>
        </w:tc>
        <w:tc>
          <w:tcPr>
            <w:tcW w:w="128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12/31/23</w:t>
            </w:r>
          </w:p>
        </w:tc>
      </w:tr>
      <w:tr>
        <w:trPr>
          <w:trHeight w:val="229"/>
        </w:trPr>
        <w:tc>
          <w:tcPr>
            <w:tcW w:w="9520" w:type="dxa"/>
            <w:vAlign w:val="bottom"/>
            <w:tcBorders>
              <w:bottom w:val="single" w:sz="8" w:color="auto"/>
            </w:tcBorders>
          </w:tcPr>
          <w:p>
            <w:pPr>
              <w:jc w:val="center"/>
              <w:ind w:left="8630"/>
              <w:spacing w:after="0"/>
              <w:rPr>
                <w:sz w:val="20"/>
                <w:szCs w:val="20"/>
                <w:color w:val="auto"/>
              </w:rPr>
            </w:pPr>
            <w:r>
              <w:rPr>
                <w:rFonts w:ascii="Times New Roman" w:cs="Times New Roman" w:eastAsia="Times New Roman" w:hAnsi="Times New Roman"/>
                <w:sz w:val="18"/>
                <w:szCs w:val="18"/>
                <w:color w:val="auto"/>
                <w:w w:val="97"/>
              </w:rPr>
              <w:t>kEUR</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05"/>
        </w:trPr>
        <w:tc>
          <w:tcPr>
            <w:tcW w:w="9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jc w:val="right"/>
              <w:ind w:right="19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13</w:t>
            </w:r>
          </w:p>
        </w:tc>
      </w:tr>
      <w:tr>
        <w:trPr>
          <w:trHeight w:val="248"/>
        </w:trPr>
        <w:tc>
          <w:tcPr>
            <w:tcW w:w="9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Sublease asset - related party</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9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current financial assets</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terminated its sublease agreement with Sono Motors GmbH.. Other current financial assets consist primarily of prepayments related to salaries and wages.</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Other current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below table displays information on financial instruments included in other current non-financial assets:</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 w:type="dxa"/>
            <w:vAlign w:val="bottom"/>
            <w:shd w:val="clear" w:color="auto" w:fill="A6A6A6"/>
          </w:tcPr>
          <w:p>
            <w:pPr>
              <w:spacing w:after="0"/>
              <w:rPr>
                <w:sz w:val="16"/>
                <w:szCs w:val="16"/>
                <w:color w:val="auto"/>
              </w:rPr>
            </w:pPr>
          </w:p>
        </w:tc>
        <w:tc>
          <w:tcPr>
            <w:tcW w:w="7800" w:type="dxa"/>
            <w:vAlign w:val="bottom"/>
            <w:shd w:val="clear" w:color="auto" w:fill="A6A6A6"/>
          </w:tcPr>
          <w:p>
            <w:pPr>
              <w:spacing w:after="0"/>
              <w:rPr>
                <w:sz w:val="16"/>
                <w:szCs w:val="16"/>
                <w:color w:val="auto"/>
              </w:rPr>
            </w:pPr>
          </w:p>
        </w:tc>
        <w:tc>
          <w:tcPr>
            <w:tcW w:w="1740" w:type="dxa"/>
            <w:vAlign w:val="bottom"/>
            <w:shd w:val="clear" w:color="auto" w:fill="A6A6A6"/>
          </w:tcPr>
          <w:p>
            <w:pPr>
              <w:jc w:val="center"/>
              <w:ind w:left="3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30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A6A6A6"/>
          </w:tcPr>
          <w:p>
            <w:pPr>
              <w:spacing w:after="0"/>
              <w:rPr>
                <w:sz w:val="20"/>
                <w:szCs w:val="20"/>
                <w:color w:val="auto"/>
              </w:rPr>
            </w:pPr>
          </w:p>
        </w:tc>
        <w:tc>
          <w:tcPr>
            <w:tcW w:w="7800" w:type="dxa"/>
            <w:vAlign w:val="bottom"/>
            <w:shd w:val="clear" w:color="auto" w:fill="A6A6A6"/>
          </w:tcPr>
          <w:p>
            <w:pPr>
              <w:spacing w:after="0"/>
              <w:rPr>
                <w:sz w:val="20"/>
                <w:szCs w:val="20"/>
                <w:color w:val="auto"/>
              </w:rPr>
            </w:pPr>
          </w:p>
        </w:tc>
        <w:tc>
          <w:tcPr>
            <w:tcW w:w="174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0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31,2023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kEUR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vMerge w:val="continue"/>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current non-financial assets</w:t>
            </w: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September 30, 2024, prepayments reflect prepaid operating expense items and vendor deposits.</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6.4</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equity of Sono Group comprises subscribed capital, capital reserves, other reserves and accumulated deficit. At September 30, 2024 and December 31, 2023, the subscribed capital amounted to kEUR 10,844 and kEUR 10,840 respectively and represented 108,740,729 and 108,667,115 fully paid-in member shares with a par value of EUR 0.06 (ordinary shares EUR 0.06 and EUR 1.50 and high voting shares, EUR 1.50). Capital reserves include any amounts paid in by the owners that exceed the member shares’ par value. Other reserves include mainly effects from equity-settled stock-options. Accumulated deficit consists of losses from prior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1, 2023, through March 31, 2023 and in accordance with the convertible debenture agreements from December 7, December 8, and December 20, 2022, between the Company and Yorkville, the Company issued 14,625,800 ordinary shares to Yorkville to convert a principal amount of kUSD 10,850 (kEUR 10,099) plus accrued interest of kUSD 145 (kEUR 135)</w:t>
      </w:r>
    </w:p>
    <w:p>
      <w:pPr>
        <w:spacing w:after="0" w:line="17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Financial liabilities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6.5.1</w:t>
      </w:r>
      <w:r>
        <w:rPr>
          <w:sz w:val="20"/>
          <w:szCs w:val="20"/>
          <w:color w:val="auto"/>
        </w:rPr>
        <w:tab/>
      </w:r>
      <w:r>
        <w:rPr>
          <w:rFonts w:ascii="Times New Roman" w:cs="Times New Roman" w:eastAsia="Times New Roman" w:hAnsi="Times New Roman"/>
          <w:sz w:val="17"/>
          <w:szCs w:val="17"/>
          <w:b w:val="1"/>
          <w:bCs w:val="1"/>
          <w:color w:val="auto"/>
        </w:rPr>
        <w:t>Financial liabilities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6.5.1.1 Offsetting of financial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Group neither applies offsetting in the balance sheet nor has any instruments that are subject to a legally enforceable master netting arrangement or a similar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6.5.1.2 Carrying amounts and fair values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A6A6A6"/>
          </w:tcPr>
          <w:p>
            <w:pPr>
              <w:spacing w:after="0"/>
              <w:rPr>
                <w:sz w:val="19"/>
                <w:szCs w:val="19"/>
                <w:color w:val="auto"/>
              </w:rPr>
            </w:pPr>
          </w:p>
        </w:tc>
        <w:tc>
          <w:tcPr>
            <w:tcW w:w="1380" w:type="dxa"/>
            <w:vAlign w:val="bottom"/>
            <w:shd w:val="clear" w:color="auto" w:fill="A6A6A6"/>
          </w:tcPr>
          <w:p>
            <w:pPr>
              <w:spacing w:after="0"/>
              <w:rPr>
                <w:sz w:val="19"/>
                <w:szCs w:val="19"/>
                <w:color w:val="auto"/>
              </w:rPr>
            </w:pPr>
          </w:p>
        </w:tc>
        <w:tc>
          <w:tcPr>
            <w:tcW w:w="2420" w:type="dxa"/>
            <w:vAlign w:val="bottom"/>
            <w:gridSpan w:val="2"/>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September 30, 2024</w:t>
            </w:r>
          </w:p>
        </w:tc>
        <w:tc>
          <w:tcPr>
            <w:tcW w:w="1140" w:type="dxa"/>
            <w:vAlign w:val="bottom"/>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shd w:val="clear" w:color="auto" w:fill="A6A6A6"/>
          </w:tcPr>
          <w:p>
            <w:pPr>
              <w:spacing w:after="0"/>
              <w:rPr>
                <w:sz w:val="18"/>
                <w:szCs w:val="18"/>
                <w:color w:val="auto"/>
              </w:rPr>
            </w:pP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Carrying</w:t>
            </w:r>
          </w:p>
        </w:tc>
        <w:tc>
          <w:tcPr>
            <w:tcW w:w="1200" w:type="dxa"/>
            <w:vAlign w:val="bottom"/>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Category</w:t>
            </w:r>
          </w:p>
        </w:tc>
        <w:tc>
          <w:tcPr>
            <w:tcW w:w="1220" w:type="dxa"/>
            <w:vAlign w:val="bottom"/>
            <w:shd w:val="clear" w:color="auto" w:fill="A6A6A6"/>
          </w:tcPr>
          <w:p>
            <w:pPr>
              <w:spacing w:after="0"/>
              <w:rPr>
                <w:sz w:val="18"/>
                <w:szCs w:val="18"/>
                <w:color w:val="auto"/>
              </w:rPr>
            </w:pPr>
          </w:p>
        </w:tc>
        <w:tc>
          <w:tcPr>
            <w:tcW w:w="1140" w:type="dxa"/>
            <w:vAlign w:val="bottom"/>
            <w:shd w:val="clear" w:color="auto" w:fill="A6A6A6"/>
          </w:tcPr>
          <w:p>
            <w:pPr>
              <w:jc w:val="right"/>
              <w:ind w:right="5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0" w:type="dxa"/>
            <w:vAlign w:val="bottom"/>
          </w:tcPr>
          <w:p>
            <w:pPr>
              <w:spacing w:after="0"/>
              <w:rPr>
                <w:sz w:val="1"/>
                <w:szCs w:val="1"/>
                <w:color w:val="auto"/>
              </w:rPr>
            </w:pPr>
          </w:p>
        </w:tc>
      </w:tr>
      <w:tr>
        <w:trPr>
          <w:trHeight w:val="238"/>
        </w:trPr>
        <w:tc>
          <w:tcPr>
            <w:tcW w:w="6300" w:type="dxa"/>
            <w:vAlign w:val="bottom"/>
            <w:shd w:val="clear" w:color="auto" w:fill="A6A6A6"/>
          </w:tcPr>
          <w:p>
            <w:pPr>
              <w:spacing w:after="0"/>
              <w:rPr>
                <w:sz w:val="20"/>
                <w:szCs w:val="20"/>
                <w:color w:val="auto"/>
              </w:rPr>
            </w:pP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Amount</w:t>
            </w:r>
          </w:p>
        </w:tc>
        <w:tc>
          <w:tcPr>
            <w:tcW w:w="120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(IFRS 9)</w:t>
            </w:r>
          </w:p>
        </w:tc>
        <w:tc>
          <w:tcPr>
            <w:tcW w:w="1220" w:type="dxa"/>
            <w:vAlign w:val="bottom"/>
            <w:shd w:val="clear" w:color="auto" w:fill="A6A6A6"/>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11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Level</w:t>
            </w:r>
          </w:p>
        </w:tc>
        <w:tc>
          <w:tcPr>
            <w:tcW w:w="0" w:type="dxa"/>
            <w:vAlign w:val="bottom"/>
          </w:tcPr>
          <w:p>
            <w:pPr>
              <w:spacing w:after="0"/>
              <w:rPr>
                <w:sz w:val="1"/>
                <w:szCs w:val="1"/>
                <w:color w:val="auto"/>
              </w:rPr>
            </w:pPr>
          </w:p>
        </w:tc>
      </w:tr>
      <w:tr>
        <w:trPr>
          <w:trHeight w:val="234"/>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financial assets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2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kEUR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Security deposits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2,956</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debentures (host contracts)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25,189</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25,189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debentures (embedded derivatives)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6,415</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FVTPL</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6,415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6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payables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752</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A6A6A6"/>
          </w:tcPr>
          <w:p>
            <w:pPr>
              <w:spacing w:after="0"/>
              <w:rPr>
                <w:sz w:val="19"/>
                <w:szCs w:val="19"/>
                <w:color w:val="auto"/>
              </w:rPr>
            </w:pPr>
          </w:p>
        </w:tc>
        <w:tc>
          <w:tcPr>
            <w:tcW w:w="1380" w:type="dxa"/>
            <w:vAlign w:val="bottom"/>
            <w:shd w:val="clear" w:color="auto" w:fill="A6A6A6"/>
          </w:tcPr>
          <w:p>
            <w:pPr>
              <w:spacing w:after="0"/>
              <w:rPr>
                <w:sz w:val="19"/>
                <w:szCs w:val="19"/>
                <w:color w:val="auto"/>
              </w:rPr>
            </w:pPr>
          </w:p>
        </w:tc>
        <w:tc>
          <w:tcPr>
            <w:tcW w:w="2420" w:type="dxa"/>
            <w:vAlign w:val="bottom"/>
            <w:gridSpan w:val="2"/>
            <w:shd w:val="clear" w:color="auto" w:fill="A6A6A6"/>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December 31, 2023</w:t>
            </w:r>
          </w:p>
        </w:tc>
        <w:tc>
          <w:tcPr>
            <w:tcW w:w="1140" w:type="dxa"/>
            <w:vAlign w:val="bottom"/>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shd w:val="clear" w:color="auto" w:fill="A6A6A6"/>
          </w:tcPr>
          <w:p>
            <w:pPr>
              <w:spacing w:after="0"/>
              <w:rPr>
                <w:sz w:val="18"/>
                <w:szCs w:val="18"/>
                <w:color w:val="auto"/>
              </w:rPr>
            </w:pP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Carrying</w:t>
            </w:r>
          </w:p>
        </w:tc>
        <w:tc>
          <w:tcPr>
            <w:tcW w:w="1200" w:type="dxa"/>
            <w:vAlign w:val="bottom"/>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Category</w:t>
            </w:r>
          </w:p>
        </w:tc>
        <w:tc>
          <w:tcPr>
            <w:tcW w:w="1220" w:type="dxa"/>
            <w:vAlign w:val="bottom"/>
            <w:shd w:val="clear" w:color="auto" w:fill="A6A6A6"/>
          </w:tcPr>
          <w:p>
            <w:pPr>
              <w:spacing w:after="0"/>
              <w:rPr>
                <w:sz w:val="18"/>
                <w:szCs w:val="18"/>
                <w:color w:val="auto"/>
              </w:rPr>
            </w:pPr>
          </w:p>
        </w:tc>
        <w:tc>
          <w:tcPr>
            <w:tcW w:w="1140" w:type="dxa"/>
            <w:vAlign w:val="bottom"/>
            <w:shd w:val="clear" w:color="auto" w:fill="A6A6A6"/>
          </w:tcPr>
          <w:p>
            <w:pPr>
              <w:jc w:val="right"/>
              <w:ind w:right="5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0" w:type="dxa"/>
            <w:vAlign w:val="bottom"/>
          </w:tcPr>
          <w:p>
            <w:pPr>
              <w:spacing w:after="0"/>
              <w:rPr>
                <w:sz w:val="1"/>
                <w:szCs w:val="1"/>
                <w:color w:val="auto"/>
              </w:rPr>
            </w:pPr>
          </w:p>
        </w:tc>
      </w:tr>
      <w:tr>
        <w:trPr>
          <w:trHeight w:val="238"/>
        </w:trPr>
        <w:tc>
          <w:tcPr>
            <w:tcW w:w="6300" w:type="dxa"/>
            <w:vAlign w:val="bottom"/>
            <w:shd w:val="clear" w:color="auto" w:fill="A6A6A6"/>
          </w:tcPr>
          <w:p>
            <w:pPr>
              <w:spacing w:after="0"/>
              <w:rPr>
                <w:sz w:val="20"/>
                <w:szCs w:val="20"/>
                <w:color w:val="auto"/>
              </w:rPr>
            </w:pP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Amount</w:t>
            </w:r>
          </w:p>
        </w:tc>
        <w:tc>
          <w:tcPr>
            <w:tcW w:w="120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(IFRS 9)</w:t>
            </w:r>
          </w:p>
        </w:tc>
        <w:tc>
          <w:tcPr>
            <w:tcW w:w="1220" w:type="dxa"/>
            <w:vAlign w:val="bottom"/>
            <w:shd w:val="clear" w:color="auto" w:fill="A6A6A6"/>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11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Level</w:t>
            </w:r>
          </w:p>
        </w:tc>
        <w:tc>
          <w:tcPr>
            <w:tcW w:w="0" w:type="dxa"/>
            <w:vAlign w:val="bottom"/>
          </w:tcPr>
          <w:p>
            <w:pPr>
              <w:spacing w:after="0"/>
              <w:rPr>
                <w:sz w:val="1"/>
                <w:szCs w:val="1"/>
                <w:color w:val="auto"/>
              </w:rPr>
            </w:pPr>
          </w:p>
        </w:tc>
      </w:tr>
      <w:tr>
        <w:trPr>
          <w:trHeight w:val="234"/>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financial assets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2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kEUR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asset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Security deposits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Sublease asset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7,412</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payable</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14,798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debentures (host contracts)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15,042</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16,771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debentures (embedded derivatives)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5,808</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FVTPL</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5,808</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debentures (deferred day 1 gain)</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2,311</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1,221</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payables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FLAC</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each of the categories listed above as defined according to IFRS 9 as of the reporting dates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measured at amortized cost (AC)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 measured at amortized cost (FLAC)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 measured at fair value through profit or loss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December</w:t>
            </w:r>
          </w:p>
        </w:tc>
      </w:tr>
      <w:tr>
        <w:trPr>
          <w:trHeight w:val="233"/>
        </w:trPr>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31,2023</w:t>
            </w:r>
          </w:p>
        </w:tc>
      </w:tr>
      <w:tr>
        <w:trPr>
          <w:trHeight w:val="229"/>
        </w:trPr>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kEUR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r>
      <w:tr>
        <w:trPr>
          <w:trHeight w:val="230"/>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29"/>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26,144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w:t>
            </w:r>
          </w:p>
        </w:tc>
      </w:tr>
      <w:tr>
        <w:trPr>
          <w:trHeight w:val="234"/>
        </w:trPr>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r>
    </w:tbl>
    <w:p>
      <w:pPr>
        <w:spacing w:after="0" w:line="200" w:lineRule="exact"/>
        <w:rPr>
          <w:sz w:val="20"/>
          <w:szCs w:val="20"/>
          <w:color w:val="auto"/>
        </w:rPr>
      </w:pPr>
    </w:p>
    <w:p>
      <w:pPr>
        <w:sectPr>
          <w:pgSz w:w="11900" w:h="16838" w:orient="portrait"/>
          <w:cols w:equalWidth="0" w:num="2">
            <w:col w:w="7860" w:space="720"/>
            <w:col w:w="2660"/>
          </w:cols>
          <w:pgMar w:left="320" w:top="229" w:right="339" w:bottom="1440" w:gutter="0" w:footer="0" w:header="0"/>
          <w:type w:val="continuous"/>
        </w:sectPr>
      </w:pPr>
    </w:p>
    <w:p>
      <w:pPr>
        <w:spacing w:after="0" w:line="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consolidated financial statements are categorized according to the fair value hierarchy, described as follows, based on the lowest level input that is significant to the fair value measurement as a whole: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(unadjusted)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within Level 1, which are directly or indirectly observable.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for the asset or liability.</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6.5.2</w:t>
      </w:r>
      <w:r>
        <w:rPr>
          <w:sz w:val="20"/>
          <w:szCs w:val="20"/>
          <w:color w:val="auto"/>
        </w:rPr>
        <w:tab/>
      </w:r>
      <w:r>
        <w:rPr>
          <w:rFonts w:ascii="Times New Roman" w:cs="Times New Roman" w:eastAsia="Times New Roman" w:hAnsi="Times New Roman"/>
          <w:sz w:val="17"/>
          <w:szCs w:val="17"/>
          <w:b w:val="1"/>
          <w:bCs w:val="1"/>
          <w:color w:val="auto"/>
        </w:rPr>
        <w:t>Convertible debentures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Debentures 1-3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January 1, 2023, through March 31, 2023 and in accordance with the 2022 convertible debenture agreements from December 7, December 8, and December 20, 2022, between the Company and Yorkville, the Company issued 14,625,800 ordinary shares to Yorkville to convert a principal amount of kUSD 10,850 (kEUR 10,099) plus accrued interest of kUSD 145 (kEUR 135).</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contractual terms of the 2022 convertible debentures were renegotiated and significantly amended. The amendment resulted in substantially different terms of the contract and, consequently, in derecognition of the original financial liability. A new financial liability, the modified convertible debentures, was recognized.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significant differences to the 2022 convertible debentures are as follows: If not converted (either partially or in whole), the modified convertible debentures are repayable, including interest, at maturity on July 1, 2025; The conversion price is the lower of USD 0.25 and 85% of the minimum daily volume-weighted average price on the seven trading days before conversion but not lower than the “floor price” of 20% of the closing price on the trading day immediately prior to the effective date of the amendment to convertible debentures, dated as of November 17, 2023; The trading volume limitations are the same as the 2022 convertible debentures, including that Yorkville shall not have the right to convert any portion of the debentures or receive ordinary shares that would result in it and its affiliates beneficially owing in excess of 4.99% of the number of ordinary shares outstanding immediately after conversion, other than the change in the “fixed conversion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day-one gains will be amortized pro rata on a straight-line basis until the end of October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Debentures 4 &amp; 5</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 2024 the Company issued a convertible debenture to Yorkville with an aggregate nominal amount of kUSD 4,318 (kEUR 4,000) and an interest rate of 12% p.a. (18% p.a. upon event of default or “triggering event”). On August 30, 2024 the Company issued a convertible debenture to Yorkville with an aggregate nominal amount of kUSD 3,338 (kEUR 3,000) and an interest rate of 12% p.a. (18% p.a. upon event of default or “triggering event”). The 2024 convertible debentures are convertible into ordinary shares of the Company. The number of ordinary shares issuable upon conversion is determined by dividing the conversion amount (portion of principal and/or accrued interest to be converted) by the conversion price. The conversion price was the lower of USD .25 or 85% of the minimum daily volume-weighted average price on the seven trading days before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conversion is subject to certain limitations and conditions, including that Yorkville shall not have the right to convert any portion of the debentures or receive ordinary shares that would result in it and its affiliates beneficially owing in excess of 4.99% of the number of ordinary shares outstanding immediately after conversion.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limitations were the trading volume, the conversion price of the shares, and the conversion amount. The agreement was subject to several default event clauses, which could have accelerated repayment.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contractual rights, in particular the conversion rights, can lead to changed cash flows and represent embedded derivative, so that the contract consisted of a host contract and embedded derivative as financial instruments. The embedded derivative (measured at FVTPL) was separated from the host (measured at amortized cost) and accounted for separately, as the economic characteristics and risks are not closely related to the host. The conversion rights of the 2024 convertible debentures were not an equity instrument but a liability, as the conversion features of the loan lead to a conversion into a variable number of shares. The conversion features and any other options provided for in the contracts of the 2024 convertible debentures that have to be bifurcated were treated as a combined embedded derivative as they share the same risk exposure and are interdependent. As the fair value of the 2024 convertible debentures (total fair values of the host contract and embedded derivatives) differed from the transaction price at initial recognition, this difference kEUR 755 was deferred (day-one loss) calculated as the difference between the inception date fair of kEUR 4,755 and net proceeds of kEUR 4,000. The carrying amount of the host contracts and embedded derivatives are presented in the same financial statement line item net of the deferred day-one losses or gains. The deferred day-one losses are being amortized pro rata on a straight-line basis until the end of October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input factors that flow into the valuation model include the observable input factors share price, exchange rate USD/ EUR and risk-free interest rate. Management assessed that the main unobservable input factors are the credit spread, probability of default, expected recovery rate in case of event of default, expected monthly conversion amounts in equity and expected share price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judgments, estimates and assumptions were made in relation to these input factors:</w:t>
      </w:r>
    </w:p>
    <w:p>
      <w:pPr>
        <w:spacing w:after="0" w:line="225" w:lineRule="exact"/>
        <w:rPr>
          <w:sz w:val="20"/>
          <w:szCs w:val="20"/>
          <w:color w:val="auto"/>
        </w:rPr>
      </w:pPr>
    </w:p>
    <w:p>
      <w:pPr>
        <w:ind w:left="660" w:right="2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12-month rates of Secured Overnight Financing Rates (SOFR) which is in line with the 12-month time horizon of the maturity date and simulation model.</w:t>
      </w: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used in the discounted cash flow model is adjusted for the credit spread with the assumption that Sono Group ́scredit risk is equivalent to a Standard &amp; Poor's rating scale of C or a Moody's rating scale of Caa-3.</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schedule for the convertible debentures is based on three possible scenarios weighted with relevant probabilities. Scenario one: expected average monthly trading volumes over the time period until the conversion of the total amount of the modified convertible debentures at the end of October 2024. Scenario two: expected average monthly trading volumes over the time period until the conversion of the total amount of the modified convertible debentures at the end of June 2025. Scenario three: expected average monthly trading volumes over the time period until the conversion of the total amount of the modified convertible debentures at the end of December 2025, which would include an extension of the maturity of the modified convertible debentures to December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stock trading volume for the Group’s shares being significantly lower than in the previous year, a peer group of shares with similar characteristics as Sono Group was used instead of Sono Group’s shares to assess the expected share price volatility for the modified convertible debentures.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December 31, 2023 and September 30, 2024 balance sheet dates, the contractual rights to extend the term or to early repay the modified convertible debentures was assumed not to be exercised, based on the expected conversion schedule, therefore these rights are not modeled. This is not necessarily indicative of exercise patterns that may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carrying amount of the total hybrid :</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4"/>
        </w:trPr>
        <w:tc>
          <w:tcPr>
            <w:tcW w:w="5440" w:type="dxa"/>
            <w:vAlign w:val="bottom"/>
            <w:shd w:val="clear" w:color="auto" w:fill="A6A6A6"/>
          </w:tcPr>
          <w:p>
            <w:pPr>
              <w:spacing w:after="0"/>
              <w:rPr>
                <w:sz w:val="16"/>
                <w:szCs w:val="16"/>
                <w:color w:val="auto"/>
              </w:rPr>
            </w:pPr>
          </w:p>
        </w:tc>
        <w:tc>
          <w:tcPr>
            <w:tcW w:w="1560" w:type="dxa"/>
            <w:vAlign w:val="bottom"/>
            <w:shd w:val="clear" w:color="auto" w:fill="A6A6A6"/>
          </w:tcPr>
          <w:p>
            <w:pPr>
              <w:spacing w:after="0"/>
              <w:rPr>
                <w:sz w:val="16"/>
                <w:szCs w:val="16"/>
                <w:color w:val="auto"/>
              </w:rPr>
            </w:pPr>
          </w:p>
        </w:tc>
        <w:tc>
          <w:tcPr>
            <w:tcW w:w="1480" w:type="dxa"/>
            <w:vAlign w:val="bottom"/>
            <w:shd w:val="clear" w:color="auto" w:fill="A6A6A6"/>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FFFFFF"/>
                <w:w w:val="98"/>
              </w:rPr>
              <w:t>Subordinated</w:t>
            </w:r>
          </w:p>
        </w:tc>
        <w:tc>
          <w:tcPr>
            <w:tcW w:w="1560" w:type="dxa"/>
            <w:vAlign w:val="bottom"/>
            <w:shd w:val="clear" w:color="auto" w:fill="A6A6A6"/>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FFFFFF"/>
                <w:w w:val="98"/>
              </w:rPr>
              <w:t>Convertible</w:t>
            </w:r>
          </w:p>
        </w:tc>
        <w:tc>
          <w:tcPr>
            <w:tcW w:w="1200" w:type="dxa"/>
            <w:vAlign w:val="bottom"/>
            <w:shd w:val="clear" w:color="auto" w:fill="A6A6A6"/>
          </w:tcPr>
          <w:p>
            <w:pPr>
              <w:spacing w:after="0"/>
              <w:rPr>
                <w:sz w:val="16"/>
                <w:szCs w:val="16"/>
                <w:color w:val="auto"/>
              </w:rPr>
            </w:pPr>
          </w:p>
        </w:tc>
      </w:tr>
      <w:tr>
        <w:trPr>
          <w:trHeight w:val="238"/>
        </w:trPr>
        <w:tc>
          <w:tcPr>
            <w:tcW w:w="5440" w:type="dxa"/>
            <w:vAlign w:val="bottom"/>
            <w:shd w:val="clear" w:color="auto" w:fill="A6A6A6"/>
          </w:tcPr>
          <w:p>
            <w:pPr>
              <w:spacing w:after="0"/>
              <w:rPr>
                <w:sz w:val="20"/>
                <w:szCs w:val="20"/>
                <w:color w:val="auto"/>
              </w:rPr>
            </w:pPr>
          </w:p>
        </w:tc>
        <w:tc>
          <w:tcPr>
            <w:tcW w:w="1560" w:type="dxa"/>
            <w:vAlign w:val="bottom"/>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Loan 1</w:t>
            </w:r>
          </w:p>
        </w:tc>
        <w:tc>
          <w:tcPr>
            <w:tcW w:w="148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Loans</w:t>
            </w:r>
          </w:p>
        </w:tc>
        <w:tc>
          <w:tcPr>
            <w:tcW w:w="1560" w:type="dxa"/>
            <w:vAlign w:val="bottom"/>
            <w:shd w:val="clear" w:color="auto" w:fill="A6A6A6"/>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rPr>
              <w:t>Debentures*</w:t>
            </w:r>
          </w:p>
        </w:tc>
        <w:tc>
          <w:tcPr>
            <w:tcW w:w="1200" w:type="dxa"/>
            <w:vAlign w:val="bottom"/>
            <w:shd w:val="clear" w:color="auto" w:fill="A6A6A6"/>
          </w:tcPr>
          <w:p>
            <w:pPr>
              <w:jc w:val="right"/>
              <w:ind w:right="39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29"/>
        </w:trPr>
        <w:tc>
          <w:tcPr>
            <w:tcW w:w="5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kEUR</w:t>
            </w: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1,318</w:t>
            </w: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2,475</w:t>
            </w: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28,448</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32,241</w:t>
            </w:r>
          </w:p>
        </w:tc>
      </w:tr>
      <w:tr>
        <w:trPr>
          <w:trHeight w:val="205"/>
        </w:trPr>
        <w:tc>
          <w:tcPr>
            <w:tcW w:w="5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Subsequent measurement</w:t>
            </w:r>
          </w:p>
        </w:tc>
        <w:tc>
          <w:tcPr>
            <w:tcW w:w="156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19</w:t>
            </w:r>
          </w:p>
        </w:tc>
        <w:tc>
          <w:tcPr>
            <w:tcW w:w="148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57</w:t>
            </w:r>
          </w:p>
        </w:tc>
        <w:tc>
          <w:tcPr>
            <w:tcW w:w="1560" w:type="dxa"/>
            <w:vAlign w:val="bottom"/>
          </w:tcPr>
          <w:p>
            <w:pPr>
              <w:jc w:val="right"/>
              <w:ind w:right="270"/>
              <w:spacing w:after="0" w:line="205" w:lineRule="exact"/>
              <w:rPr>
                <w:sz w:val="20"/>
                <w:szCs w:val="20"/>
                <w:color w:val="auto"/>
              </w:rPr>
            </w:pPr>
            <w:r>
              <w:rPr>
                <w:rFonts w:ascii="Times New Roman" w:cs="Times New Roman" w:eastAsia="Times New Roman" w:hAnsi="Times New Roman"/>
                <w:sz w:val="18"/>
                <w:szCs w:val="18"/>
                <w:color w:val="auto"/>
              </w:rPr>
              <w:t>6,338</w:t>
            </w:r>
          </w:p>
        </w:tc>
        <w:tc>
          <w:tcPr>
            <w:tcW w:w="120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6,414</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subsidiary</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(1,337)</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(2,532)</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r>
      <w:tr>
        <w:trPr>
          <w:trHeight w:val="252"/>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23,161</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23,161</w:t>
            </w:r>
          </w:p>
        </w:tc>
      </w:tr>
      <w:tr>
        <w:trPr>
          <w:trHeight w:val="205"/>
        </w:trPr>
        <w:tc>
          <w:tcPr>
            <w:tcW w:w="5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Initial recognition</w:t>
            </w:r>
          </w:p>
        </w:tc>
        <w:tc>
          <w:tcPr>
            <w:tcW w:w="156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70"/>
              <w:spacing w:after="0" w:line="205" w:lineRule="exact"/>
              <w:rPr>
                <w:sz w:val="20"/>
                <w:szCs w:val="20"/>
                <w:color w:val="auto"/>
              </w:rPr>
            </w:pPr>
            <w:r>
              <w:rPr>
                <w:rFonts w:ascii="Times New Roman" w:cs="Times New Roman" w:eastAsia="Times New Roman" w:hAnsi="Times New Roman"/>
                <w:sz w:val="18"/>
                <w:szCs w:val="18"/>
                <w:color w:val="auto"/>
              </w:rPr>
              <w:t>4,000</w:t>
            </w:r>
          </w:p>
        </w:tc>
        <w:tc>
          <w:tcPr>
            <w:tcW w:w="120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4,000</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Subsequent measurement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727</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52"/>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31,689</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spacing w:after="0" w:line="276" w:lineRule="auto"/>
        <w:rPr>
          <w:sz w:val="20"/>
          <w:szCs w:val="20"/>
          <w:color w:val="auto"/>
        </w:rPr>
      </w:pPr>
      <w:r>
        <w:rPr>
          <w:rFonts w:ascii="Times New Roman" w:cs="Times New Roman" w:eastAsia="Times New Roman" w:hAnsi="Times New Roman"/>
          <w:sz w:val="18"/>
          <w:szCs w:val="18"/>
          <w:color w:val="auto"/>
        </w:rPr>
        <w:t>*amounts presented are for the 2022 convertible debentures and the modified convertible debentures; amounts presented are the sum of the host contracts, embedded derivatives and deferred day-one losses or gains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6.6</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noncurrent financial liabilities</w:t>
            </w:r>
          </w:p>
        </w:tc>
        <w:tc>
          <w:tcPr>
            <w:tcW w:w="38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4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4"/>
        </w:trPr>
        <w:tc>
          <w:tcPr>
            <w:tcW w:w="400" w:type="dxa"/>
            <w:vAlign w:val="bottom"/>
            <w:shd w:val="clear" w:color="auto" w:fill="A6A6A6"/>
          </w:tcPr>
          <w:p>
            <w:pPr>
              <w:spacing w:after="0"/>
              <w:rPr>
                <w:sz w:val="16"/>
                <w:szCs w:val="16"/>
                <w:color w:val="auto"/>
              </w:rPr>
            </w:pPr>
          </w:p>
        </w:tc>
        <w:tc>
          <w:tcPr>
            <w:tcW w:w="5580" w:type="dxa"/>
            <w:vAlign w:val="bottom"/>
            <w:shd w:val="clear" w:color="auto" w:fill="A6A6A6"/>
          </w:tcPr>
          <w:p>
            <w:pPr>
              <w:spacing w:after="0"/>
              <w:rPr>
                <w:sz w:val="16"/>
                <w:szCs w:val="16"/>
                <w:color w:val="auto"/>
              </w:rPr>
            </w:pPr>
          </w:p>
        </w:tc>
        <w:tc>
          <w:tcPr>
            <w:tcW w:w="3880" w:type="dxa"/>
            <w:vAlign w:val="bottom"/>
            <w:shd w:val="clear" w:color="auto" w:fill="A6A6A6"/>
          </w:tcPr>
          <w:p>
            <w:pPr>
              <w:jc w:val="center"/>
              <w:ind w:left="233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38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rPr>
              <w:t>December 31,</w:t>
            </w:r>
          </w:p>
        </w:tc>
      </w:tr>
      <w:tr>
        <w:trPr>
          <w:trHeight w:val="238"/>
        </w:trPr>
        <w:tc>
          <w:tcPr>
            <w:tcW w:w="400" w:type="dxa"/>
            <w:vAlign w:val="bottom"/>
            <w:shd w:val="clear" w:color="auto" w:fill="A6A6A6"/>
          </w:tcPr>
          <w:p>
            <w:pPr>
              <w:spacing w:after="0"/>
              <w:rPr>
                <w:sz w:val="20"/>
                <w:szCs w:val="20"/>
                <w:color w:val="auto"/>
              </w:rPr>
            </w:pPr>
          </w:p>
        </w:tc>
        <w:tc>
          <w:tcPr>
            <w:tcW w:w="5580" w:type="dxa"/>
            <w:vAlign w:val="bottom"/>
            <w:shd w:val="clear" w:color="auto" w:fill="A6A6A6"/>
          </w:tcPr>
          <w:p>
            <w:pPr>
              <w:spacing w:after="0"/>
              <w:rPr>
                <w:sz w:val="20"/>
                <w:szCs w:val="20"/>
                <w:color w:val="auto"/>
              </w:rPr>
            </w:pPr>
          </w:p>
        </w:tc>
        <w:tc>
          <w:tcPr>
            <w:tcW w:w="3880" w:type="dxa"/>
            <w:vAlign w:val="bottom"/>
            <w:shd w:val="clear" w:color="auto" w:fill="A6A6A6"/>
          </w:tcPr>
          <w:p>
            <w:pPr>
              <w:jc w:val="center"/>
              <w:ind w:left="231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29"/>
        </w:trPr>
        <w:tc>
          <w:tcPr>
            <w:tcW w:w="40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jc w:val="center"/>
              <w:ind w:left="2310"/>
              <w:spacing w:after="0"/>
              <w:rPr>
                <w:sz w:val="20"/>
                <w:szCs w:val="20"/>
                <w:color w:val="auto"/>
              </w:rPr>
            </w:pPr>
            <w:r>
              <w:rPr>
                <w:rFonts w:ascii="Times New Roman" w:cs="Times New Roman" w:eastAsia="Times New Roman" w:hAnsi="Times New Roman"/>
                <w:sz w:val="18"/>
                <w:szCs w:val="18"/>
                <w:color w:val="auto"/>
                <w:w w:val="97"/>
              </w:rPr>
              <w:t>kEUR</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r>
      <w:tr>
        <w:trPr>
          <w:trHeight w:val="223"/>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938</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financial liabilities</w:t>
            </w:r>
          </w:p>
        </w:tc>
        <w:tc>
          <w:tcPr>
            <w:tcW w:w="3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938</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liability relates to the Company’s corporate offices and the balance consists of the remaining lease payment obligation due from September 30, 2025 through the end of the lease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6.7</w:t>
            </w: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4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 w:type="dxa"/>
            <w:vAlign w:val="bottom"/>
            <w:shd w:val="clear" w:color="auto" w:fill="A6A6A6"/>
          </w:tcPr>
          <w:p>
            <w:pPr>
              <w:spacing w:after="0"/>
              <w:rPr>
                <w:sz w:val="16"/>
                <w:szCs w:val="16"/>
                <w:color w:val="auto"/>
              </w:rPr>
            </w:pPr>
          </w:p>
        </w:tc>
        <w:tc>
          <w:tcPr>
            <w:tcW w:w="5200" w:type="dxa"/>
            <w:vAlign w:val="bottom"/>
            <w:shd w:val="clear" w:color="auto" w:fill="A6A6A6"/>
          </w:tcPr>
          <w:p>
            <w:pPr>
              <w:spacing w:after="0"/>
              <w:rPr>
                <w:sz w:val="16"/>
                <w:szCs w:val="16"/>
                <w:color w:val="auto"/>
              </w:rPr>
            </w:pPr>
          </w:p>
        </w:tc>
        <w:tc>
          <w:tcPr>
            <w:tcW w:w="4140" w:type="dxa"/>
            <w:vAlign w:val="bottom"/>
            <w:shd w:val="clear" w:color="auto" w:fill="A6A6A6"/>
          </w:tcPr>
          <w:p>
            <w:pPr>
              <w:jc w:val="center"/>
              <w:ind w:left="259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38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rPr>
              <w:t>December 31,</w:t>
            </w:r>
          </w:p>
        </w:tc>
        <w:tc>
          <w:tcPr>
            <w:tcW w:w="0" w:type="dxa"/>
            <w:vAlign w:val="bottom"/>
          </w:tcPr>
          <w:p>
            <w:pPr>
              <w:spacing w:after="0"/>
              <w:rPr>
                <w:sz w:val="1"/>
                <w:szCs w:val="1"/>
                <w:color w:val="auto"/>
              </w:rPr>
            </w:pPr>
          </w:p>
        </w:tc>
      </w:tr>
      <w:tr>
        <w:trPr>
          <w:trHeight w:val="238"/>
        </w:trPr>
        <w:tc>
          <w:tcPr>
            <w:tcW w:w="520" w:type="dxa"/>
            <w:vAlign w:val="bottom"/>
            <w:shd w:val="clear" w:color="auto" w:fill="A6A6A6"/>
          </w:tcPr>
          <w:p>
            <w:pPr>
              <w:spacing w:after="0"/>
              <w:rPr>
                <w:sz w:val="20"/>
                <w:szCs w:val="20"/>
                <w:color w:val="auto"/>
              </w:rPr>
            </w:pPr>
          </w:p>
        </w:tc>
        <w:tc>
          <w:tcPr>
            <w:tcW w:w="5200" w:type="dxa"/>
            <w:vAlign w:val="bottom"/>
            <w:shd w:val="clear" w:color="auto" w:fill="A6A6A6"/>
          </w:tcPr>
          <w:p>
            <w:pPr>
              <w:spacing w:after="0"/>
              <w:rPr>
                <w:sz w:val="20"/>
                <w:szCs w:val="20"/>
                <w:color w:val="auto"/>
              </w:rPr>
            </w:pPr>
          </w:p>
        </w:tc>
        <w:tc>
          <w:tcPr>
            <w:tcW w:w="4140" w:type="dxa"/>
            <w:vAlign w:val="bottom"/>
            <w:shd w:val="clear" w:color="auto" w:fill="A6A6A6"/>
          </w:tcPr>
          <w:p>
            <w:pPr>
              <w:jc w:val="center"/>
              <w:ind w:left="257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c>
          <w:tcPr>
            <w:tcW w:w="0" w:type="dxa"/>
            <w:vAlign w:val="bottom"/>
          </w:tcPr>
          <w:p>
            <w:pPr>
              <w:spacing w:after="0"/>
              <w:rPr>
                <w:sz w:val="1"/>
                <w:szCs w:val="1"/>
                <w:color w:val="auto"/>
              </w:rPr>
            </w:pPr>
          </w:p>
        </w:tc>
      </w:tr>
      <w:tr>
        <w:trPr>
          <w:trHeight w:val="225"/>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5200" w:type="dxa"/>
            <w:vAlign w:val="bottom"/>
          </w:tcPr>
          <w:p>
            <w:pPr>
              <w:spacing w:after="0"/>
              <w:rPr>
                <w:sz w:val="19"/>
                <w:szCs w:val="19"/>
                <w:color w:val="auto"/>
              </w:rPr>
            </w:pPr>
          </w:p>
        </w:tc>
        <w:tc>
          <w:tcPr>
            <w:tcW w:w="41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7"/>
              </w:rPr>
              <w:t>kEUR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5200" w:type="dxa"/>
            <w:vAlign w:val="bottom"/>
          </w:tcPr>
          <w:p>
            <w:pPr>
              <w:spacing w:after="0"/>
              <w:rPr>
                <w:sz w:val="18"/>
                <w:szCs w:val="18"/>
                <w:color w:val="auto"/>
              </w:rPr>
            </w:pPr>
          </w:p>
        </w:tc>
        <w:tc>
          <w:tcPr>
            <w:tcW w:w="4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31,604</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23,161</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payables (affiliated companies)</w:t>
            </w:r>
          </w:p>
        </w:tc>
        <w:tc>
          <w:tcPr>
            <w:tcW w:w="4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14,798</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financial liabilities</w:t>
            </w:r>
          </w:p>
        </w:tc>
        <w:tc>
          <w:tcPr>
            <w:tcW w:w="4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31,689</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38,102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affiliate company balance relates to amounts owed to Sono Motors with no repayment terms and therefore classified as current. This balance was settled as part of the Plan to exit insolvency that was presented and accepted by the Court effective February 29, 2024.</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Trade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00" w:type="dxa"/>
            <w:vAlign w:val="bottom"/>
            <w:shd w:val="clear" w:color="auto" w:fill="A6A6A6"/>
          </w:tcPr>
          <w:p>
            <w:pPr>
              <w:spacing w:after="0"/>
              <w:rPr>
                <w:sz w:val="16"/>
                <w:szCs w:val="16"/>
                <w:color w:val="auto"/>
              </w:rPr>
            </w:pPr>
          </w:p>
        </w:tc>
        <w:tc>
          <w:tcPr>
            <w:tcW w:w="3560" w:type="dxa"/>
            <w:vAlign w:val="bottom"/>
            <w:shd w:val="clear" w:color="auto" w:fill="A6A6A6"/>
          </w:tcPr>
          <w:p>
            <w:pPr>
              <w:spacing w:after="0"/>
              <w:rPr>
                <w:sz w:val="16"/>
                <w:szCs w:val="16"/>
                <w:color w:val="auto"/>
              </w:rPr>
            </w:pPr>
          </w:p>
        </w:tc>
        <w:tc>
          <w:tcPr>
            <w:tcW w:w="3200" w:type="dxa"/>
            <w:vAlign w:val="bottom"/>
            <w:shd w:val="clear" w:color="auto" w:fill="A6A6A6"/>
          </w:tcPr>
          <w:p>
            <w:pPr>
              <w:spacing w:after="0"/>
              <w:rPr>
                <w:sz w:val="16"/>
                <w:szCs w:val="16"/>
                <w:color w:val="auto"/>
              </w:rPr>
            </w:pPr>
          </w:p>
        </w:tc>
        <w:tc>
          <w:tcPr>
            <w:tcW w:w="1280" w:type="dxa"/>
            <w:vAlign w:val="bottom"/>
            <w:shd w:val="clear" w:color="auto" w:fill="A6A6A6"/>
          </w:tcPr>
          <w:p>
            <w:pPr>
              <w:spacing w:after="0"/>
              <w:rPr>
                <w:sz w:val="16"/>
                <w:szCs w:val="16"/>
                <w:color w:val="auto"/>
              </w:rPr>
            </w:pPr>
          </w:p>
        </w:tc>
        <w:tc>
          <w:tcPr>
            <w:tcW w:w="142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138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rPr>
              <w:t>December 31,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A6A6A6"/>
          </w:tcPr>
          <w:p>
            <w:pPr>
              <w:spacing w:after="0"/>
              <w:rPr>
                <w:sz w:val="20"/>
                <w:szCs w:val="20"/>
                <w:color w:val="auto"/>
              </w:rPr>
            </w:pPr>
          </w:p>
        </w:tc>
        <w:tc>
          <w:tcPr>
            <w:tcW w:w="3560" w:type="dxa"/>
            <w:vAlign w:val="bottom"/>
            <w:shd w:val="clear" w:color="auto" w:fill="A6A6A6"/>
          </w:tcPr>
          <w:p>
            <w:pPr>
              <w:spacing w:after="0"/>
              <w:rPr>
                <w:sz w:val="20"/>
                <w:szCs w:val="20"/>
                <w:color w:val="auto"/>
              </w:rPr>
            </w:pPr>
          </w:p>
        </w:tc>
        <w:tc>
          <w:tcPr>
            <w:tcW w:w="3200" w:type="dxa"/>
            <w:vAlign w:val="bottom"/>
            <w:shd w:val="clear" w:color="auto" w:fill="A6A6A6"/>
          </w:tcPr>
          <w:p>
            <w:pPr>
              <w:spacing w:after="0"/>
              <w:rPr>
                <w:sz w:val="20"/>
                <w:szCs w:val="20"/>
                <w:color w:val="auto"/>
              </w:rPr>
            </w:pPr>
          </w:p>
        </w:tc>
        <w:tc>
          <w:tcPr>
            <w:tcW w:w="1280" w:type="dxa"/>
            <w:vAlign w:val="bottom"/>
            <w:shd w:val="clear" w:color="auto" w:fill="A6A6A6"/>
          </w:tcPr>
          <w:p>
            <w:pPr>
              <w:spacing w:after="0"/>
              <w:rPr>
                <w:sz w:val="20"/>
                <w:szCs w:val="20"/>
                <w:color w:val="auto"/>
              </w:rPr>
            </w:pPr>
          </w:p>
        </w:tc>
        <w:tc>
          <w:tcPr>
            <w:tcW w:w="14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203</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752</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3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955</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6.9</w:t>
            </w: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 w:type="dxa"/>
            <w:vAlign w:val="bottom"/>
            <w:shd w:val="clear" w:color="auto" w:fill="A6A6A6"/>
          </w:tcPr>
          <w:p>
            <w:pPr>
              <w:spacing w:after="0"/>
              <w:rPr>
                <w:sz w:val="16"/>
                <w:szCs w:val="16"/>
                <w:color w:val="auto"/>
              </w:rPr>
            </w:pPr>
          </w:p>
        </w:tc>
        <w:tc>
          <w:tcPr>
            <w:tcW w:w="3560" w:type="dxa"/>
            <w:vAlign w:val="bottom"/>
            <w:shd w:val="clear" w:color="auto" w:fill="A6A6A6"/>
          </w:tcPr>
          <w:p>
            <w:pPr>
              <w:spacing w:after="0"/>
              <w:rPr>
                <w:sz w:val="16"/>
                <w:szCs w:val="16"/>
                <w:color w:val="auto"/>
              </w:rPr>
            </w:pPr>
          </w:p>
        </w:tc>
        <w:tc>
          <w:tcPr>
            <w:tcW w:w="3200" w:type="dxa"/>
            <w:vAlign w:val="bottom"/>
            <w:shd w:val="clear" w:color="auto" w:fill="A6A6A6"/>
          </w:tcPr>
          <w:p>
            <w:pPr>
              <w:spacing w:after="0"/>
              <w:rPr>
                <w:sz w:val="16"/>
                <w:szCs w:val="16"/>
                <w:color w:val="auto"/>
              </w:rPr>
            </w:pPr>
          </w:p>
        </w:tc>
        <w:tc>
          <w:tcPr>
            <w:tcW w:w="1280" w:type="dxa"/>
            <w:vAlign w:val="bottom"/>
            <w:shd w:val="clear" w:color="auto" w:fill="A6A6A6"/>
          </w:tcPr>
          <w:p>
            <w:pPr>
              <w:spacing w:after="0"/>
              <w:rPr>
                <w:sz w:val="16"/>
                <w:szCs w:val="16"/>
                <w:color w:val="auto"/>
              </w:rPr>
            </w:pPr>
          </w:p>
        </w:tc>
        <w:tc>
          <w:tcPr>
            <w:tcW w:w="1420" w:type="dxa"/>
            <w:vAlign w:val="bottom"/>
            <w:shd w:val="clear" w:color="auto" w:fill="A6A6A6"/>
          </w:tcPr>
          <w:p>
            <w:pPr>
              <w:spacing w:after="0"/>
              <w:rPr>
                <w:sz w:val="16"/>
                <w:szCs w:val="16"/>
                <w:color w:val="auto"/>
              </w:rPr>
            </w:pPr>
          </w:p>
        </w:tc>
        <w:tc>
          <w:tcPr>
            <w:tcW w:w="138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rPr>
              <w:t>Balance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A6A6A6"/>
          </w:tcPr>
          <w:p>
            <w:pPr>
              <w:spacing w:after="0"/>
              <w:rPr>
                <w:sz w:val="18"/>
                <w:szCs w:val="18"/>
                <w:color w:val="auto"/>
              </w:rPr>
            </w:pPr>
          </w:p>
        </w:tc>
        <w:tc>
          <w:tcPr>
            <w:tcW w:w="3560" w:type="dxa"/>
            <w:vAlign w:val="bottom"/>
            <w:shd w:val="clear" w:color="auto" w:fill="A6A6A6"/>
          </w:tcPr>
          <w:p>
            <w:pPr>
              <w:spacing w:after="0"/>
              <w:rPr>
                <w:sz w:val="18"/>
                <w:szCs w:val="18"/>
                <w:color w:val="auto"/>
              </w:rPr>
            </w:pPr>
          </w:p>
        </w:tc>
        <w:tc>
          <w:tcPr>
            <w:tcW w:w="3200" w:type="dxa"/>
            <w:vAlign w:val="bottom"/>
            <w:shd w:val="clear" w:color="auto" w:fill="A6A6A6"/>
          </w:tcPr>
          <w:p>
            <w:pPr>
              <w:jc w:val="center"/>
              <w:ind w:left="1230"/>
              <w:spacing w:after="0"/>
              <w:rPr>
                <w:sz w:val="20"/>
                <w:szCs w:val="20"/>
                <w:color w:val="auto"/>
              </w:rPr>
            </w:pPr>
            <w:r>
              <w:rPr>
                <w:rFonts w:ascii="Times New Roman" w:cs="Times New Roman" w:eastAsia="Times New Roman" w:hAnsi="Times New Roman"/>
                <w:sz w:val="18"/>
                <w:szCs w:val="18"/>
                <w:b w:val="1"/>
                <w:bCs w:val="1"/>
                <w:color w:val="FFFFFF"/>
                <w:w w:val="98"/>
              </w:rPr>
              <w:t>Balance January</w:t>
            </w:r>
          </w:p>
        </w:tc>
        <w:tc>
          <w:tcPr>
            <w:tcW w:w="1280" w:type="dxa"/>
            <w:vAlign w:val="bottom"/>
            <w:shd w:val="clear" w:color="auto" w:fill="A6A6A6"/>
          </w:tcPr>
          <w:p>
            <w:pPr>
              <w:spacing w:after="0"/>
              <w:rPr>
                <w:sz w:val="18"/>
                <w:szCs w:val="18"/>
                <w:color w:val="auto"/>
              </w:rPr>
            </w:pPr>
          </w:p>
        </w:tc>
        <w:tc>
          <w:tcPr>
            <w:tcW w:w="1420" w:type="dxa"/>
            <w:vAlign w:val="bottom"/>
            <w:shd w:val="clear" w:color="auto" w:fill="A6A6A6"/>
          </w:tcPr>
          <w:p>
            <w:pPr>
              <w:spacing w:after="0"/>
              <w:rPr>
                <w:sz w:val="18"/>
                <w:szCs w:val="18"/>
                <w:color w:val="auto"/>
              </w:rPr>
            </w:pP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 w:type="dxa"/>
            <w:vAlign w:val="bottom"/>
            <w:shd w:val="clear" w:color="auto" w:fill="A6A6A6"/>
          </w:tcPr>
          <w:p>
            <w:pPr>
              <w:spacing w:after="0"/>
              <w:rPr>
                <w:sz w:val="20"/>
                <w:szCs w:val="20"/>
                <w:color w:val="auto"/>
              </w:rPr>
            </w:pPr>
          </w:p>
        </w:tc>
        <w:tc>
          <w:tcPr>
            <w:tcW w:w="3560" w:type="dxa"/>
            <w:vAlign w:val="bottom"/>
            <w:shd w:val="clear" w:color="auto" w:fill="A6A6A6"/>
          </w:tcPr>
          <w:p>
            <w:pPr>
              <w:spacing w:after="0"/>
              <w:rPr>
                <w:sz w:val="20"/>
                <w:szCs w:val="20"/>
                <w:color w:val="auto"/>
              </w:rPr>
            </w:pPr>
          </w:p>
        </w:tc>
        <w:tc>
          <w:tcPr>
            <w:tcW w:w="3200" w:type="dxa"/>
            <w:vAlign w:val="bottom"/>
            <w:shd w:val="clear" w:color="auto" w:fill="A6A6A6"/>
          </w:tcPr>
          <w:p>
            <w:pPr>
              <w:jc w:val="center"/>
              <w:ind w:left="1210"/>
              <w:spacing w:after="0"/>
              <w:rPr>
                <w:sz w:val="20"/>
                <w:szCs w:val="20"/>
                <w:color w:val="auto"/>
              </w:rPr>
            </w:pPr>
            <w:r>
              <w:rPr>
                <w:rFonts w:ascii="Times New Roman" w:cs="Times New Roman" w:eastAsia="Times New Roman" w:hAnsi="Times New Roman"/>
                <w:sz w:val="18"/>
                <w:szCs w:val="18"/>
                <w:b w:val="1"/>
                <w:bCs w:val="1"/>
                <w:color w:val="FFFFFF"/>
                <w:w w:val="99"/>
              </w:rPr>
              <w:t>1, 2024</w:t>
            </w:r>
          </w:p>
        </w:tc>
        <w:tc>
          <w:tcPr>
            <w:tcW w:w="1280" w:type="dxa"/>
            <w:vAlign w:val="bottom"/>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Usage</w:t>
            </w:r>
          </w:p>
        </w:tc>
        <w:tc>
          <w:tcPr>
            <w:tcW w:w="14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Reversals</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32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7"/>
              </w:rPr>
              <w:t>kEUR</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kEUR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397</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cost</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Audit provisions</w:t>
            </w:r>
          </w:p>
        </w:tc>
        <w:tc>
          <w:tcPr>
            <w:tcW w:w="3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1,231</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provisions</w:t>
            </w:r>
          </w:p>
        </w:tc>
        <w:tc>
          <w:tcPr>
            <w:tcW w:w="3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1,628</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(1,628)</w:t>
            </w:r>
          </w:p>
        </w:tc>
        <w:tc>
          <w:tcPr>
            <w:tcW w:w="1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relates primarily to services to prepare consolidated annual financial statements in accordance with IFRS and services provided by our independent auditors. Provisions established at December 31, 2023 were expended and the Company had no additional provisional items to accrue at September 30, 2024.</w:t>
      </w:r>
    </w:p>
    <w:p>
      <w:pPr>
        <w:spacing w:after="0" w:line="17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6.9.1</w:t>
      </w:r>
      <w:r>
        <w:rPr>
          <w:sz w:val="20"/>
          <w:szCs w:val="20"/>
          <w:color w:val="auto"/>
        </w:rPr>
        <w:tab/>
      </w:r>
      <w:r>
        <w:rPr>
          <w:rFonts w:ascii="Times New Roman" w:cs="Times New Roman" w:eastAsia="Times New Roman" w:hAnsi="Times New Roman"/>
          <w:sz w:val="17"/>
          <w:szCs w:val="17"/>
          <w:b w:val="1"/>
          <w:bCs w:val="1"/>
          <w:color w:val="auto"/>
        </w:rPr>
        <w:t>Parental guarantee</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Sono N.V. signed a hard comfort letter for the benefit of Sono Motors and had the obligation to provide Sono Motors with financial resources in such a way that Sono Motors is able to meet all its current and future obligations as the obligations fall due for payment. This obligation is recognized as a provision in 2023. Sono Motors exited voluntary insolvency proceedings in February of 2024 and as an integral part of the negotiated settlement agreement was relinquished from all debt by and between Sono NV and Sono Motors. Accordingly, the liability was extinguished with a corresponding charge to income.</w:t>
      </w:r>
    </w:p>
    <w:p>
      <w:pPr>
        <w:spacing w:after="0" w:line="160" w:lineRule="exact"/>
        <w:rPr>
          <w:sz w:val="20"/>
          <w:szCs w:val="20"/>
          <w:color w:val="auto"/>
        </w:rPr>
      </w:pPr>
    </w:p>
    <w:p>
      <w:pPr>
        <w:ind w:right="9200" w:firstLine="8"/>
        <w:spacing w:after="0" w:line="503" w:lineRule="auto"/>
        <w:tabs>
          <w:tab w:leader="none" w:pos="5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disclosures 7.1 Earnings per share</w:t>
      </w: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There are currently no factors resulting in a dilution of earnings per share due to the income/(loss) for each period presented. As a result, basic earnings per share equals diluted earnings per share.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shd w:val="clear" w:color="auto" w:fill="A6A6A6"/>
          </w:tcPr>
          <w:p>
            <w:pPr>
              <w:spacing w:after="0"/>
              <w:rPr>
                <w:sz w:val="19"/>
                <w:szCs w:val="19"/>
                <w:color w:val="auto"/>
              </w:rPr>
            </w:pPr>
          </w:p>
        </w:tc>
        <w:tc>
          <w:tcPr>
            <w:tcW w:w="2920" w:type="dxa"/>
            <w:vAlign w:val="bottom"/>
            <w:gridSpan w:val="2"/>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FFFFFF"/>
              </w:rPr>
              <w:t>Nine Months Ended</w:t>
            </w:r>
          </w:p>
        </w:tc>
        <w:tc>
          <w:tcPr>
            <w:tcW w:w="0" w:type="dxa"/>
            <w:vAlign w:val="bottom"/>
          </w:tcPr>
          <w:p>
            <w:pPr>
              <w:spacing w:after="0"/>
              <w:rPr>
                <w:sz w:val="1"/>
                <w:szCs w:val="1"/>
                <w:color w:val="auto"/>
              </w:rPr>
            </w:pPr>
          </w:p>
        </w:tc>
      </w:tr>
      <w:tr>
        <w:trPr>
          <w:trHeight w:val="243"/>
        </w:trPr>
        <w:tc>
          <w:tcPr>
            <w:tcW w:w="8320" w:type="dxa"/>
            <w:vAlign w:val="bottom"/>
            <w:shd w:val="clear" w:color="auto" w:fill="A6A6A6"/>
          </w:tcPr>
          <w:p>
            <w:pPr>
              <w:spacing w:after="0"/>
              <w:rPr>
                <w:sz w:val="21"/>
                <w:szCs w:val="21"/>
                <w:color w:val="auto"/>
              </w:rPr>
            </w:pPr>
          </w:p>
        </w:tc>
        <w:tc>
          <w:tcPr>
            <w:tcW w:w="1680" w:type="dxa"/>
            <w:vAlign w:val="bottom"/>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9/30/24</w:t>
            </w:r>
          </w:p>
        </w:tc>
        <w:tc>
          <w:tcPr>
            <w:tcW w:w="1240" w:type="dxa"/>
            <w:vAlign w:val="bottom"/>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9/30/23</w:t>
            </w:r>
          </w:p>
        </w:tc>
        <w:tc>
          <w:tcPr>
            <w:tcW w:w="0" w:type="dxa"/>
            <w:vAlign w:val="bottom"/>
          </w:tcPr>
          <w:p>
            <w:pPr>
              <w:spacing w:after="0"/>
              <w:rPr>
                <w:sz w:val="1"/>
                <w:szCs w:val="1"/>
                <w:color w:val="auto"/>
              </w:rPr>
            </w:pPr>
          </w:p>
        </w:tc>
      </w:tr>
      <w:tr>
        <w:trPr>
          <w:trHeight w:val="225"/>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kEUR</w:t>
            </w: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56,414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108,682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106,658</w:t>
            </w:r>
          </w:p>
        </w:tc>
        <w:tc>
          <w:tcPr>
            <w:tcW w:w="0" w:type="dxa"/>
            <w:vAlign w:val="bottom"/>
          </w:tcPr>
          <w:p>
            <w:pPr>
              <w:spacing w:after="0"/>
              <w:rPr>
                <w:sz w:val="1"/>
                <w:szCs w:val="1"/>
                <w:color w:val="auto"/>
              </w:rPr>
            </w:pPr>
          </w:p>
        </w:tc>
      </w:tr>
      <w:tr>
        <w:trPr>
          <w:trHeight w:val="24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567"/>
        </w:trPr>
        <w:tc>
          <w:tcPr>
            <w:tcW w:w="8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32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1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shareholders - Jona Christians and Laurin Hahn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SVSE, LLC</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SVSE, LLC (“SVSE”) owns 17,306,251 Ordinary Shares of the Company and 3,000,000 high voting shares of the Company. The sole member of SVSE is George O’Leary, our chief executive officer and chief financial officer and the sole member of the Company’s management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N.V. controlled Sono Motors GmbH through May of 2023 when it lost control due to insolvency proceedings. In February 2024, Sono Motors GmbH exited the Subsidiary Self-Administration Proceedings and Sono N.V. regained control.</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7, 2024 the Company held an extraordinary general meeting (“EGM”), during which shareholders voted in favor of all key initiatives designed to advance the Company’s planned uplisting to the Nasdaq Capital Market. At the EGM, Mr. Owen May was appointed as a new member of the Company’s supervisory board as of the close of the EGM, for a period up to and including the annual general meeting of the Company in 2026.</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2024-12-11T16:05:12Z</dcterms:created>
  <dcterms:modified xsi:type="dcterms:W3CDTF">2024-12-11T16:05:12Z</dcterms:modified>
</cp:coreProperties>
</file>