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333333"/>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333333"/>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Washington, D.C. 20549</w:t>
      </w:r>
    </w:p>
    <w:p>
      <w:pPr>
        <w:spacing w:after="0" w:line="201"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333333"/>
        </w:rPr>
        <w:t>FORM 8-K</w:t>
      </w:r>
    </w:p>
    <w:p>
      <w:pPr>
        <w:spacing w:after="0" w:line="45"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333333"/>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Date of Report (Date of earliest event reported): April 24, 2025</w:t>
      </w:r>
    </w:p>
    <w:p>
      <w:pPr>
        <w:spacing w:after="0" w:line="225"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333333"/>
        </w:rPr>
        <w:t>Sono Group N.V.</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(Exact name of registrant as specified in its charter)</w:t>
      </w:r>
    </w:p>
    <w:p>
      <w:pPr>
        <w:spacing w:after="0" w:line="7"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ectPr>
          <w:pgSz w:w="11900" w:h="16838" w:orient="portrait"/>
          <w:cols w:equalWidth="0" w:num="1">
            <w:col w:w="11240"/>
          </w:cols>
          <w:pgMar w:left="320" w:top="443" w:right="339" w:bottom="1440" w:gutter="0" w:footer="0" w:header="0"/>
        </w:sectPr>
      </w:pPr>
    </w:p>
    <w:p>
      <w:pPr>
        <w:spacing w:after="0" w:line="200" w:lineRule="exact"/>
        <w:rPr>
          <w:sz w:val="24"/>
          <w:szCs w:val="24"/>
          <w:color w:val="auto"/>
        </w:rPr>
      </w:pPr>
    </w:p>
    <w:p>
      <w:pPr>
        <w:spacing w:after="0" w:line="219"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333333"/>
        </w:rPr>
        <w:t>The Netherlands</w:t>
      </w:r>
    </w:p>
    <w:p>
      <w:pPr>
        <w:spacing w:after="0" w:line="31"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7"/>
          <w:szCs w:val="17"/>
          <w:color w:val="333333"/>
        </w:rPr>
        <w:t>(State or other jurisdiction</w:t>
      </w:r>
    </w:p>
    <w:p>
      <w:pPr>
        <w:spacing w:after="0" w:line="21"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333333"/>
        </w:rPr>
        <w:t>of incorporation)</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8"/>
          <w:szCs w:val="18"/>
          <w:b w:val="1"/>
          <w:bCs w:val="1"/>
          <w:color w:val="333333"/>
        </w:rPr>
        <w:t>001-41066</w:t>
      </w:r>
    </w:p>
    <w:p>
      <w:pPr>
        <w:spacing w:after="0" w:line="31"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7"/>
          <w:szCs w:val="17"/>
          <w:color w:val="333333"/>
        </w:rPr>
        <w:t>(Commission File Number)</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333333"/>
        </w:rPr>
        <w:t>98-1828632</w:t>
      </w:r>
    </w:p>
    <w:p>
      <w:pPr>
        <w:spacing w:after="0" w:line="3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333333"/>
        </w:rPr>
        <w:t>(IRS Employer</w:t>
      </w:r>
    </w:p>
    <w:p>
      <w:pPr>
        <w:spacing w:after="0" w:line="9"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333333"/>
        </w:rPr>
        <w:t>Identification No.)</w:t>
      </w:r>
    </w:p>
    <w:p>
      <w:pPr>
        <w:spacing w:after="0" w:line="211" w:lineRule="exact"/>
        <w:rPr>
          <w:sz w:val="24"/>
          <w:szCs w:val="24"/>
          <w:color w:val="auto"/>
        </w:rPr>
      </w:pPr>
    </w:p>
    <w:p>
      <w:pPr>
        <w:sectPr>
          <w:pgSz w:w="11900" w:h="16838" w:orient="portrait"/>
          <w:cols w:equalWidth="0" w:num="3">
            <w:col w:w="3980" w:space="720"/>
            <w:col w:w="3300" w:space="720"/>
            <w:col w:w="2520"/>
          </w:cols>
          <w:pgMar w:left="320" w:top="443" w:right="339" w:bottom="1440" w:gutter="0" w:footer="0" w:header="0"/>
          <w:type w:val="continuous"/>
        </w:sectPr>
      </w:pPr>
    </w:p>
    <w:p>
      <w:pPr>
        <w:spacing w:after="0" w:line="3"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b w:val="1"/>
          <w:bCs w:val="1"/>
          <w:color w:val="333333"/>
        </w:rPr>
        <w:t>Waldmeisterstrasse 93, Munich, Germany</w:t>
      </w:r>
    </w:p>
    <w:p>
      <w:pPr>
        <w:spacing w:after="0" w:line="43"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color w:val="333333"/>
        </w:rPr>
        <w:t>(Address of principal executive offices)</w:t>
      </w:r>
    </w:p>
    <w:p>
      <w:pPr>
        <w:spacing w:after="0" w:line="20" w:lineRule="exact"/>
        <w:rPr>
          <w:sz w:val="24"/>
          <w:szCs w:val="24"/>
          <w:color w:val="auto"/>
        </w:rPr>
      </w:pPr>
      <w:r>
        <w:rPr>
          <w:sz w:val="24"/>
          <w:szCs w:val="24"/>
          <w:color w:val="auto"/>
        </w:rPr>
        <w:br w:type="column"/>
      </w:r>
    </w:p>
    <w:p>
      <w:pPr>
        <w:jc w:val="center"/>
        <w:ind w:right="1860"/>
        <w:spacing w:after="0"/>
        <w:rPr>
          <w:sz w:val="20"/>
          <w:szCs w:val="20"/>
          <w:color w:val="auto"/>
        </w:rPr>
      </w:pPr>
      <w:r>
        <w:rPr>
          <w:rFonts w:ascii="Times New Roman" w:cs="Times New Roman" w:eastAsia="Times New Roman" w:hAnsi="Times New Roman"/>
          <w:sz w:val="18"/>
          <w:szCs w:val="18"/>
          <w:b w:val="1"/>
          <w:bCs w:val="1"/>
          <w:color w:val="333333"/>
        </w:rPr>
        <w:t>80935</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color w:val="333333"/>
        </w:rPr>
        <w:t>(Zip Code)</w:t>
      </w:r>
    </w:p>
    <w:p>
      <w:pPr>
        <w:spacing w:after="0" w:line="200" w:lineRule="exact"/>
        <w:rPr>
          <w:sz w:val="24"/>
          <w:szCs w:val="24"/>
          <w:color w:val="auto"/>
        </w:rPr>
      </w:pPr>
    </w:p>
    <w:p>
      <w:pPr>
        <w:sectPr>
          <w:pgSz w:w="11900" w:h="16838" w:orient="portrait"/>
          <w:cols w:equalWidth="0" w:num="2">
            <w:col w:w="7860" w:space="720"/>
            <w:col w:w="2660"/>
          </w:cols>
          <w:pgMar w:left="320" w:top="443" w:right="339" w:bottom="1440" w:gutter="0" w:footer="0" w:header="0"/>
          <w:type w:val="continuous"/>
        </w:sect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333333"/>
        </w:rPr>
        <w:t>+49 (0)89 4520 5818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333333"/>
        </w:rPr>
        <w:t>(Registrant's telephone number, including area code)</w:t>
      </w:r>
    </w:p>
    <w:p>
      <w:pPr>
        <w:sectPr>
          <w:pgSz w:w="11900" w:h="16838" w:orient="portrait"/>
          <w:cols w:equalWidth="0" w:num="1">
            <w:col w:w="11240"/>
          </w:cols>
          <w:pgMar w:left="320" w:top="443" w:right="339" w:bottom="1440" w:gutter="0" w:footer="0" w:header="0"/>
          <w:type w:val="continuous"/>
        </w:sectPr>
      </w:pPr>
    </w:p>
    <w:p>
      <w:pPr>
        <w:spacing w:after="0" w:line="214"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200" w:lineRule="exact"/>
        <w:rPr>
          <w:sz w:val="24"/>
          <w:szCs w:val="24"/>
          <w:color w:val="auto"/>
        </w:rPr>
      </w:pPr>
    </w:p>
    <w:p>
      <w:pPr>
        <w:spacing w:after="0" w:line="24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333333"/>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333333"/>
        </w:rPr>
      </w:pPr>
      <w:r>
        <w:rPr>
          <w:rFonts w:ascii="Times New Roman" w:cs="Times New Roman" w:eastAsia="Times New Roman" w:hAnsi="Times New Roman"/>
          <w:sz w:val="18"/>
          <w:szCs w:val="18"/>
          <w:color w:val="333333"/>
        </w:rPr>
        <w:t>Written communications pursuant to Rule 425 under the Securities Act (17 CFR 230.425)</w:t>
      </w:r>
    </w:p>
    <w:p>
      <w:pPr>
        <w:spacing w:after="0" w:line="225" w:lineRule="exact"/>
        <w:rPr>
          <w:rFonts w:ascii="MS PGothic" w:cs="MS PGothic" w:eastAsia="MS PGothic" w:hAnsi="MS PGothic"/>
          <w:sz w:val="18"/>
          <w:szCs w:val="18"/>
          <w:color w:val="333333"/>
        </w:rPr>
      </w:pPr>
    </w:p>
    <w:p>
      <w:pPr>
        <w:ind w:left="220" w:hanging="212"/>
        <w:spacing w:after="0"/>
        <w:tabs>
          <w:tab w:leader="none" w:pos="220" w:val="left"/>
        </w:tabs>
        <w:numPr>
          <w:ilvl w:val="0"/>
          <w:numId w:val="1"/>
        </w:numPr>
        <w:rPr>
          <w:rFonts w:ascii="MS PGothic" w:cs="MS PGothic" w:eastAsia="MS PGothic" w:hAnsi="MS PGothic"/>
          <w:sz w:val="18"/>
          <w:szCs w:val="18"/>
          <w:color w:val="333333"/>
        </w:rPr>
      </w:pPr>
      <w:r>
        <w:rPr>
          <w:rFonts w:ascii="Times New Roman" w:cs="Times New Roman" w:eastAsia="Times New Roman" w:hAnsi="Times New Roman"/>
          <w:sz w:val="18"/>
          <w:szCs w:val="18"/>
          <w:color w:val="333333"/>
        </w:rPr>
        <w:t>Soliciting material pursuant to Rule 14a-12 under the Exchange Act (17 CFR 240.14a-12)</w:t>
      </w:r>
    </w:p>
    <w:p>
      <w:pPr>
        <w:spacing w:after="0" w:line="225" w:lineRule="exact"/>
        <w:rPr>
          <w:rFonts w:ascii="MS PGothic" w:cs="MS PGothic" w:eastAsia="MS PGothic" w:hAnsi="MS PGothic"/>
          <w:sz w:val="18"/>
          <w:szCs w:val="18"/>
          <w:color w:val="333333"/>
        </w:rPr>
      </w:pPr>
    </w:p>
    <w:p>
      <w:pPr>
        <w:ind w:left="220" w:hanging="212"/>
        <w:spacing w:after="0"/>
        <w:tabs>
          <w:tab w:leader="none" w:pos="220" w:val="left"/>
        </w:tabs>
        <w:numPr>
          <w:ilvl w:val="0"/>
          <w:numId w:val="1"/>
        </w:numPr>
        <w:rPr>
          <w:rFonts w:ascii="MS PGothic" w:cs="MS PGothic" w:eastAsia="MS PGothic" w:hAnsi="MS PGothic"/>
          <w:sz w:val="18"/>
          <w:szCs w:val="18"/>
          <w:color w:val="333333"/>
        </w:rPr>
      </w:pPr>
      <w:r>
        <w:rPr>
          <w:rFonts w:ascii="Times New Roman" w:cs="Times New Roman" w:eastAsia="Times New Roman" w:hAnsi="Times New Roman"/>
          <w:sz w:val="18"/>
          <w:szCs w:val="18"/>
          <w:color w:val="333333"/>
        </w:rPr>
        <w:t>Pre-commencement communications pursuant to Rule 14d-2(b) under the Exchange Act (17 CFR 240.14d-2(b))</w:t>
      </w:r>
    </w:p>
    <w:p>
      <w:pPr>
        <w:spacing w:after="0" w:line="225" w:lineRule="exact"/>
        <w:rPr>
          <w:rFonts w:ascii="MS PGothic" w:cs="MS PGothic" w:eastAsia="MS PGothic" w:hAnsi="MS PGothic"/>
          <w:sz w:val="18"/>
          <w:szCs w:val="18"/>
          <w:color w:val="333333"/>
        </w:rPr>
      </w:pPr>
    </w:p>
    <w:p>
      <w:pPr>
        <w:ind w:right="2980" w:firstLine="8"/>
        <w:spacing w:after="0" w:line="511" w:lineRule="auto"/>
        <w:tabs>
          <w:tab w:leader="none" w:pos="207" w:val="left"/>
        </w:tabs>
        <w:numPr>
          <w:ilvl w:val="0"/>
          <w:numId w:val="1"/>
        </w:numPr>
        <w:rPr>
          <w:rFonts w:ascii="MS PGothic" w:cs="MS PGothic" w:eastAsia="MS PGothic" w:hAnsi="MS PGothic"/>
          <w:sz w:val="18"/>
          <w:szCs w:val="18"/>
          <w:color w:val="333333"/>
        </w:rPr>
      </w:pPr>
      <w:r>
        <w:rPr>
          <w:rFonts w:ascii="Times New Roman" w:cs="Times New Roman" w:eastAsia="Times New Roman" w:hAnsi="Times New Roman"/>
          <w:sz w:val="18"/>
          <w:szCs w:val="18"/>
          <w:color w:val="333333"/>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31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333333"/>
              </w:rPr>
              <w:t>Title of each class</w:t>
            </w:r>
          </w:p>
        </w:tc>
        <w:tc>
          <w:tcPr>
            <w:tcW w:w="31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333333"/>
              </w:rPr>
              <w:t>Trading Symbol(s)</w:t>
            </w:r>
          </w:p>
        </w:tc>
        <w:tc>
          <w:tcPr>
            <w:tcW w:w="49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333333"/>
              </w:rPr>
              <w:t>Name of each exchange on which registered</w:t>
            </w:r>
          </w:p>
        </w:tc>
      </w:tr>
      <w:tr>
        <w:trPr>
          <w:trHeight w:val="209"/>
        </w:trPr>
        <w:tc>
          <w:tcPr>
            <w:tcW w:w="3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333333"/>
              </w:rPr>
              <w:t>Not Applicable</w:t>
            </w:r>
          </w:p>
        </w:tc>
        <w:tc>
          <w:tcPr>
            <w:tcW w:w="3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333333"/>
              </w:rPr>
              <w:t>Not Applicable</w:t>
            </w:r>
          </w:p>
        </w:tc>
        <w:tc>
          <w:tcPr>
            <w:tcW w:w="49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333333"/>
              </w:rPr>
              <w:t>Not Applicable</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333333"/>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333333"/>
        </w:rPr>
        <w:t xml:space="preserve">Emerging growth company </w:t>
      </w:r>
      <w:r>
        <w:rPr>
          <w:rFonts w:ascii="MS PGothic" w:cs="MS PGothic" w:eastAsia="MS PGothic" w:hAnsi="MS PGothic"/>
          <w:sz w:val="17"/>
          <w:szCs w:val="17"/>
          <w:color w:val="333333"/>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333333"/>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333333"/>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under Item 3.02 below is incorporated by reference into this Item 1.01.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under Item 3.02 below is incorporated by reference into this Item 2.03.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As previously disclosed, Sono Group N.V. (the “Company”) and YA II PN, Ltd. (“Yorkville”), entered into (i) a securities purchase agreement, dated December 30, 2024 (as amended, the “Securities Purchase Agreement”), pursuant to which the Company agreed to sell and issue to Yorkville a new convertible debenture (the “Debenture”) in the aggregate principal amount of $5,000,000 and (ii) an exchange agreement, dated December 30, 2024 (as amended, the “Exchange Agreement”), pursuant to which the Company agreed to issue shares of preferred stock of the Company to Yorkville in exchange for the surrender and cancellation of all of the debentures held by Yorkville. The obligations of the parties under the Securities Purchase Agreement and the Exchange Agreement are subject to certain conditions and limitations, including the Company’s receipt of notice from Nasdaq that the Company has met all the applicable requirements for listing of the Company’s ordinary shares (the “Ordinary Shares”) on the Nasdaq Capital Market. The Company and Yorkville subsequently entered into three Omnibus Amendments to Transaction Documents, respectively dated February 12, 2025 (the “First Omnibus Amendment”), March 7, 2025 and March 25, 2025 (the “Third Omnibus Amendment”), pursuant to which the Company and Yorkville agreed to modify certain terms of the Securities Purchase Agreement and the Exchange Agreement.</w:t>
      </w:r>
    </w:p>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April 24, 2025, the Company and Yorkville entered into a fourth Omnibus Amendment to Transaction Documents (the “New Omnibus Amendment”), pursuant to which the parties agreed to modify the terms of the Securities Purchase Agreement to, among other things, provide for an immediate advance by Yorkville to the Company of $500,000 in the form of a secured convertible debenture in the aggregate principal amount of $500,000 (the “Third Debenture”). As previously disclosed, a prior advance of $1,000,000 was funded on February 12, 2025 in connection with the First Omnibus Amendment in the form of a secured convertible debenture in the aggregate principal amount of $1,000,000 (the “First Debenture”) and a second advance was funded on March 25, 2025 in connection with the Third Omnibus Amendment in the form of a secured convertible debenture in the aggregate principal amount of $1,000,000 (the “Second Debenture” and together with the First Debenture and the Third Debenture, the “Advance Debentures”). As a result of the issuance of the Advance Debentures, and pursuant to the New Omnibus Amendment, the Debenture to be issued to Yorkville, upon the satisfaction of all of the conditions set forth in the Securities Purchase Agreement, will have an aggregate principal amount of $2,500,000. Under the terms of the New Omnibus Amendment, Debenture 6 (as defined in the Exchange Agreement), will collectively consist of the Debenture and the Advance Debentures for purposes of the transactions contemplated by the Exchange Agreement.</w:t>
      </w:r>
    </w:p>
    <w:p>
      <w:pPr>
        <w:spacing w:after="0" w:line="19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Third Debenture will mature on April 24, 2026, which maturity date may be extended at the option of Yorkville. Further, interest accrues on the outstanding principal balance of the Third Debenture at an annual rate of 12%, which will increase to an annual rate of 18% upon an Event of Default (as defined in the Third Debenture) for so long as such Event of Default remains uncured. Yorkville will have the right to convert the Third Debenture into Ordinary Shares of the Company at the lower of (i) a price per Ordinary Share equal to $18.75 or (ii) 85% of the lowest daily volume weighted average price of the Ordinary Shares during the seven consecutive trading days immediately preceding the conversion date or other date of determination (the “Variable Conversion Date”); provided that the Variable Conversion Date may not be lower than the Floor Price (as defined in the Third Debenture) then in effect or the nominal value of one Ordinary Share. Net proceeds to the Company from the Third Debenture were $500,000.</w:t>
      </w:r>
    </w:p>
    <w:p>
      <w:pPr>
        <w:spacing w:after="0" w:line="18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Third Debenture and New Omnibus Amendment does not purport to be complete and is qualified in its entirety by the terms of the Third Debenture and New Omnibus Amendment, which are attached hereto as Exhibits 10.1 and 10.2, respectively, and are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 The following exhibits are filed with this Form 8-K:</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Exhibit</w:t>
            </w:r>
          </w:p>
        </w:tc>
        <w:tc>
          <w:tcPr>
            <w:tcW w:w="760" w:type="dxa"/>
            <w:vAlign w:val="bottom"/>
          </w:tcPr>
          <w:p>
            <w:pPr>
              <w:spacing w:after="0"/>
              <w:rPr>
                <w:sz w:val="18"/>
                <w:szCs w:val="18"/>
                <w:color w:val="auto"/>
              </w:rPr>
            </w:pPr>
          </w:p>
        </w:tc>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Description of Exhibit</w:t>
            </w:r>
          </w:p>
        </w:tc>
        <w:tc>
          <w:tcPr>
            <w:tcW w:w="8320" w:type="dxa"/>
            <w:vAlign w:val="bottom"/>
            <w:gridSpan w:val="3"/>
          </w:tcPr>
          <w:p>
            <w:pPr>
              <w:spacing w:after="0"/>
              <w:rPr>
                <w:sz w:val="18"/>
                <w:szCs w:val="18"/>
                <w:color w:val="auto"/>
              </w:rPr>
            </w:pPr>
          </w:p>
        </w:tc>
      </w:tr>
      <w:tr>
        <w:trPr>
          <w:trHeight w:val="41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Secured Convertible Debenture dated April 24, 2025</w:t>
            </w:r>
          </w:p>
        </w:tc>
      </w:tr>
      <w:tr>
        <w:trPr>
          <w:trHeight w:val="412"/>
        </w:trPr>
        <w:tc>
          <w:tcPr>
            <w:tcW w:w="3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54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Omnibus Amendment to Transaction Documents</w:t>
            </w:r>
          </w:p>
        </w:tc>
        <w:tc>
          <w:tcPr>
            <w:tcW w:w="260" w:type="dxa"/>
            <w:vAlign w:val="bottom"/>
            <w:tcBorders>
              <w:top w:val="single" w:sz="8" w:color="0000EE"/>
            </w:tcBorders>
          </w:tcPr>
          <w:p>
            <w:pPr>
              <w:spacing w:after="0"/>
              <w:rPr>
                <w:sz w:val="24"/>
                <w:szCs w:val="24"/>
                <w:color w:val="auto"/>
              </w:rPr>
            </w:pPr>
          </w:p>
        </w:tc>
        <w:tc>
          <w:tcPr>
            <w:tcW w:w="6140" w:type="dxa"/>
            <w:vAlign w:val="bottom"/>
          </w:tcPr>
          <w:p>
            <w:pPr>
              <w:spacing w:after="0"/>
              <w:rPr>
                <w:sz w:val="24"/>
                <w:szCs w:val="24"/>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15"/>
        </w:trPr>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140" w:type="dxa"/>
            <w:vAlign w:val="bottom"/>
          </w:tcPr>
          <w:p>
            <w:pPr>
              <w:spacing w:after="0"/>
              <w:rPr>
                <w:sz w:val="24"/>
                <w:szCs w:val="24"/>
                <w:color w:val="auto"/>
              </w:rPr>
            </w:pPr>
          </w:p>
        </w:tc>
      </w:tr>
      <w:tr>
        <w:trPr>
          <w:trHeight w:val="68"/>
        </w:trPr>
        <w:tc>
          <w:tcPr>
            <w:tcW w:w="32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1620" w:type="dxa"/>
            <w:vAlign w:val="bottom"/>
            <w:shd w:val="clear" w:color="auto" w:fill="000000"/>
          </w:tcPr>
          <w:p>
            <w:pPr>
              <w:spacing w:after="0"/>
              <w:rPr>
                <w:sz w:val="5"/>
                <w:szCs w:val="5"/>
                <w:color w:val="auto"/>
              </w:rPr>
            </w:pPr>
          </w:p>
        </w:tc>
        <w:tc>
          <w:tcPr>
            <w:tcW w:w="192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614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4" w:lineRule="exact"/>
        <w:rPr>
          <w:sz w:val="20"/>
          <w:szCs w:val="20"/>
          <w:color w:val="auto"/>
        </w:rPr>
      </w:pPr>
    </w:p>
    <w:tbl>
      <w:tblPr>
        <w:tblLayout w:type="fixed"/>
        <w:tblInd w:w="5640" w:type="dxa"/>
        <w:tblCellMar>
          <w:top w:w="0" w:type="dxa"/>
          <w:left w:w="0" w:type="dxa"/>
          <w:bottom w:w="0" w:type="dxa"/>
          <w:right w:w="0" w:type="dxa"/>
        </w:tblCellMar>
      </w:tblPr>
      <w:tr>
        <w:trPr>
          <w:trHeight w:val="238"/>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Sono Group N.V.</w:t>
            </w:r>
          </w:p>
        </w:tc>
        <w:tc>
          <w:tcPr>
            <w:tcW w:w="4120" w:type="dxa"/>
            <w:vAlign w:val="bottom"/>
          </w:tcPr>
          <w:p>
            <w:pPr>
              <w:spacing w:after="0"/>
              <w:rPr>
                <w:sz w:val="20"/>
                <w:szCs w:val="20"/>
                <w:color w:val="auto"/>
              </w:rPr>
            </w:pPr>
          </w:p>
        </w:tc>
      </w:tr>
      <w:tr>
        <w:trPr>
          <w:trHeight w:val="64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 George O'Leary</w:t>
            </w:r>
          </w:p>
        </w:tc>
      </w:tr>
      <w:tr>
        <w:trPr>
          <w:trHeight w:val="191"/>
        </w:trPr>
        <w:tc>
          <w:tcPr>
            <w:tcW w:w="560" w:type="dxa"/>
            <w:vAlign w:val="bottom"/>
          </w:tcPr>
          <w:p>
            <w:pPr>
              <w:spacing w:after="0"/>
              <w:rPr>
                <w:sz w:val="16"/>
                <w:szCs w:val="16"/>
                <w:color w:val="auto"/>
              </w:rPr>
            </w:pPr>
          </w:p>
        </w:tc>
        <w:tc>
          <w:tcPr>
            <w:tcW w:w="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12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George O'Leary</w:t>
            </w:r>
          </w:p>
        </w:tc>
      </w:tr>
      <w:tr>
        <w:trPr>
          <w:trHeight w:val="234"/>
        </w:trPr>
        <w:tc>
          <w:tcPr>
            <w:tcW w:w="56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25, 2025</w:t>
      </w:r>
    </w:p>
    <w:p>
      <w:pPr>
        <w:sectPr>
          <w:pgSz w:w="11900" w:h="16838" w:orient="portrait"/>
          <w:cols w:equalWidth="0" w:num="1">
            <w:col w:w="11240"/>
          </w:cols>
          <w:pgMar w:left="320" w:top="576"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NEITHER THIS SECURED DEBENTURE NOR THE SECURITIES INTO WHICH THIS DEBENTURE IS CONVERTIBLE HAVE BEEN REGISTERED WITH THE SECURITIES AND EXCHANGE COMMISSION OR THE SECURITIES COMMISSION OF ANY STATE. THESE SECURITIES HAVE BEEN SOLD IN RELIANCE UPON AN EXEMPTION FROM REGISTRATION UNDER THE SECURITIES ACT OF 1933, AS AMENDED (THE “</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b w:val="1"/>
          <w:bCs w:val="1"/>
          <w:color w:val="auto"/>
        </w:rPr>
        <w: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sono group 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2"/>
          <w:szCs w:val="12"/>
          <w:b w:val="1"/>
          <w:bCs w:val="1"/>
          <w:color w:val="auto"/>
        </w:rPr>
        <w:t>v</w:t>
      </w:r>
      <w:r>
        <w:rPr>
          <w:rFonts w:ascii="Times New Roman" w:cs="Times New Roman" w:eastAsia="Times New Roman" w:hAnsi="Times New Roman"/>
          <w:sz w:val="17"/>
          <w:szCs w:val="17"/>
          <w:b w:val="1"/>
          <w:bCs w:val="1"/>
          <w:color w:val="auto"/>
        </w:rPr>
        <w:t>.</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ecured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onvertible</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ebenture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Amount: USD 500,000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Debenture Issuance Date: April 24,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Debenture Number: SEV-6c</w:t>
      </w:r>
    </w:p>
    <w:p>
      <w:pPr>
        <w:spacing w:after="0" w:line="20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b w:val="1"/>
          <w:bCs w:val="1"/>
          <w:color w:val="auto"/>
        </w:rPr>
        <w:t>FOR VALUE RECEIVED, SONO GROUP N.V.</w:t>
      </w:r>
      <w:r>
        <w:rPr>
          <w:rFonts w:ascii="Times New Roman" w:cs="Times New Roman" w:eastAsia="Times New Roman" w:hAnsi="Times New Roman"/>
          <w:sz w:val="18"/>
          <w:szCs w:val="18"/>
          <w:color w:val="auto"/>
        </w:rPr>
        <w:t>, a Dutch public 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hereby promises to pay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the order of </w:t>
      </w:r>
      <w:r>
        <w:rPr>
          <w:rFonts w:ascii="Times New Roman" w:cs="Times New Roman" w:eastAsia="Times New Roman" w:hAnsi="Times New Roman"/>
          <w:sz w:val="18"/>
          <w:szCs w:val="18"/>
          <w:b w:val="1"/>
          <w:bCs w:val="1"/>
          <w:color w:val="auto"/>
        </w:rPr>
        <w:t>YA II PN, Ltd.</w:t>
      </w:r>
      <w:r>
        <w:rPr>
          <w:rFonts w:ascii="Times New Roman" w:cs="Times New Roman" w:eastAsia="Times New Roman" w:hAnsi="Times New Roman"/>
          <w:sz w:val="18"/>
          <w:szCs w:val="18"/>
          <w:color w:val="auto"/>
        </w:rPr>
        <w:t>, or its registered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the amount set out above as the principal amount (as reduced or increased pursuant to the terms hereof pursuant to redemption, conversion or otherwise, the “</w:t>
      </w:r>
      <w:r>
        <w:rPr>
          <w:rFonts w:ascii="Times New Roman" w:cs="Times New Roman" w:eastAsia="Times New Roman" w:hAnsi="Times New Roman"/>
          <w:sz w:val="18"/>
          <w:szCs w:val="18"/>
          <w:u w:val="single" w:color="auto"/>
          <w:color w:val="auto"/>
        </w:rPr>
        <w:t>Principal</w:t>
      </w:r>
      <w:r>
        <w:rPr>
          <w:rFonts w:ascii="Times New Roman" w:cs="Times New Roman" w:eastAsia="Times New Roman" w:hAnsi="Times New Roman"/>
          <w:sz w:val="18"/>
          <w:szCs w:val="18"/>
          <w:color w:val="auto"/>
        </w:rPr>
        <w:t>”) when due, whether upon the Maturity Date (as defined below), acceleration, redemption or otherwise (in each case in accordance with the terms hereof) and to pay interest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on any outstanding Principal at the applicable Interest Rate from the date set out above as the Debenture Issuance Date (the “</w:t>
      </w:r>
      <w:r>
        <w:rPr>
          <w:rFonts w:ascii="Times New Roman" w:cs="Times New Roman" w:eastAsia="Times New Roman" w:hAnsi="Times New Roman"/>
          <w:sz w:val="18"/>
          <w:szCs w:val="18"/>
          <w:u w:val="single" w:color="auto"/>
          <w:color w:val="auto"/>
        </w:rPr>
        <w:t>Issuance Date</w:t>
      </w:r>
      <w:r>
        <w:rPr>
          <w:rFonts w:ascii="Times New Roman" w:cs="Times New Roman" w:eastAsia="Times New Roman" w:hAnsi="Times New Roman"/>
          <w:sz w:val="18"/>
          <w:szCs w:val="18"/>
          <w:color w:val="auto"/>
        </w:rPr>
        <w:t>”) until the same becomes due and payable, whether upon the Maturity Date or acceleration, conversion, redemption or otherwise (in each case in accordance with the terms hereof). This Secured Convertible Debenture (including all debentures issued in exchange, transfer or replacement hereof, this “</w:t>
      </w:r>
      <w:r>
        <w:rPr>
          <w:rFonts w:ascii="Times New Roman" w:cs="Times New Roman" w:eastAsia="Times New Roman" w:hAnsi="Times New Roman"/>
          <w:sz w:val="18"/>
          <w:szCs w:val="18"/>
          <w:u w:val="single" w:color="auto"/>
          <w:color w:val="auto"/>
        </w:rPr>
        <w:t>Debenture</w:t>
      </w:r>
      <w:r>
        <w:rPr>
          <w:rFonts w:ascii="Times New Roman" w:cs="Times New Roman" w:eastAsia="Times New Roman" w:hAnsi="Times New Roman"/>
          <w:sz w:val="18"/>
          <w:szCs w:val="18"/>
          <w:color w:val="auto"/>
        </w:rPr>
        <w:t>”) was originally issued pursuant to the Securities Purchase Agreement dated as of December 30, 2024, as it may be amended from time to time (the “</w:t>
      </w:r>
      <w:r>
        <w:rPr>
          <w:rFonts w:ascii="Times New Roman" w:cs="Times New Roman" w:eastAsia="Times New Roman" w:hAnsi="Times New Roman"/>
          <w:sz w:val="18"/>
          <w:szCs w:val="18"/>
          <w:u w:val="single" w:color="auto"/>
          <w:color w:val="auto"/>
        </w:rPr>
        <w:t>Securities Purchase Agreement</w:t>
      </w:r>
      <w:r>
        <w:rPr>
          <w:rFonts w:ascii="Times New Roman" w:cs="Times New Roman" w:eastAsia="Times New Roman" w:hAnsi="Times New Roman"/>
          <w:sz w:val="18"/>
          <w:szCs w:val="18"/>
          <w:color w:val="auto"/>
        </w:rPr>
        <w:t>”) between the Company and the Holder. All Obligations owed by the Company to the Holder under this Debenture and each other Transaction Document are guaranteed by the Guarantors pursuant to the Guaranty and secured by the Company and the Guarantors pursuant to the Security Documents. Certain capitalized terms used herein are defined in Section 14.</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GENERAL TERMS</w:t>
      </w:r>
    </w:p>
    <w:p>
      <w:pPr>
        <w:spacing w:after="0" w:line="225"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Maturity Date</w:t>
      </w:r>
      <w:r>
        <w:rPr>
          <w:rFonts w:ascii="Times New Roman" w:cs="Times New Roman" w:eastAsia="Times New Roman" w:hAnsi="Times New Roman"/>
          <w:sz w:val="18"/>
          <w:szCs w:val="18"/>
          <w:color w:val="auto"/>
        </w:rPr>
        <w:t>. On the Maturity Date, the Company shall pay to the Holder an amount in cash representing all outstanding Principal, accrued and unpaid Interest, and any other amounts outstanding pursuant to the terms of this Debenture. The “</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shall be April 24, 2026, as may be extended at the option of the Holder. Other than as specifically permitted by this Debenture, the Company may not prepay or redeem any portion of the outstanding Principal and accrued and unpaid Interest</w:t>
      </w:r>
    </w:p>
    <w:p>
      <w:pPr>
        <w:spacing w:after="0" w:line="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Interest Rate and Payment of Interest</w:t>
      </w:r>
      <w:r>
        <w:rPr>
          <w:rFonts w:ascii="Times New Roman" w:cs="Times New Roman" w:eastAsia="Times New Roman" w:hAnsi="Times New Roman"/>
          <w:sz w:val="18"/>
          <w:szCs w:val="18"/>
          <w:color w:val="auto"/>
        </w:rPr>
        <w:t>. Interest shall accrue on the outstanding Principal balance hereof at an annual rate equal to 12% (“</w:t>
      </w:r>
      <w:r>
        <w:rPr>
          <w:rFonts w:ascii="Times New Roman" w:cs="Times New Roman" w:eastAsia="Times New Roman" w:hAnsi="Times New Roman"/>
          <w:sz w:val="18"/>
          <w:szCs w:val="18"/>
          <w:u w:val="single" w:color="auto"/>
          <w:color w:val="auto"/>
        </w:rPr>
        <w:t>Interest Rate</w:t>
      </w:r>
      <w:r>
        <w:rPr>
          <w:rFonts w:ascii="Times New Roman" w:cs="Times New Roman" w:eastAsia="Times New Roman" w:hAnsi="Times New Roman"/>
          <w:sz w:val="18"/>
          <w:szCs w:val="18"/>
          <w:color w:val="auto"/>
        </w:rPr>
        <w:t>”), which Interest Rate shall increase to an annual rate of 18% upon an Event of Default for so long as it remains uncured. Interest shall be calculated based on a 365-day year and the actual number of days elapsed, to the extent permitted by applicable law.</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PAYMENTS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RESERVED</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Early Redemption</w:t>
      </w:r>
      <w:r>
        <w:rPr>
          <w:rFonts w:ascii="Times New Roman" w:cs="Times New Roman" w:eastAsia="Times New Roman" w:hAnsi="Times New Roman"/>
          <w:sz w:val="18"/>
          <w:szCs w:val="18"/>
          <w:color w:val="auto"/>
        </w:rPr>
        <w:t>. The Company at its option shall have the right, but not the obligation, to redeem (“</w:t>
      </w:r>
      <w:r>
        <w:rPr>
          <w:rFonts w:ascii="Times New Roman" w:cs="Times New Roman" w:eastAsia="Times New Roman" w:hAnsi="Times New Roman"/>
          <w:sz w:val="18"/>
          <w:szCs w:val="18"/>
          <w:u w:val="single" w:color="auto"/>
          <w:color w:val="auto"/>
        </w:rPr>
        <w:t>Optional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xml:space="preserve">”) early a portion or all amounts outstanding under this Debenture as described in this Section;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the trading price of the Ordinary Shares is less than the Fixed Conversion Price and (ii) the Company provides the Holder with at least five (5) Business Days’ prior written notice (each, a “</w:t>
      </w:r>
      <w:r>
        <w:rPr>
          <w:rFonts w:ascii="Times New Roman" w:cs="Times New Roman" w:eastAsia="Times New Roman" w:hAnsi="Times New Roman"/>
          <w:sz w:val="18"/>
          <w:szCs w:val="18"/>
          <w:u w:val="single" w:color="auto"/>
          <w:color w:val="auto"/>
        </w:rPr>
        <w:t>Redemption Notice</w:t>
      </w:r>
      <w:r>
        <w:rPr>
          <w:rFonts w:ascii="Times New Roman" w:cs="Times New Roman" w:eastAsia="Times New Roman" w:hAnsi="Times New Roman"/>
          <w:sz w:val="18"/>
          <w:szCs w:val="18"/>
          <w:color w:val="auto"/>
        </w:rPr>
        <w:t>”) of its desire to exercise an Optional Redemption. Each Redemption Notice shall be irrevocable and shall specify the outstanding balance of the Secured Convertible Debenture to be redeemed and the applicable Redemption Premium. The “</w:t>
      </w:r>
      <w:r>
        <w:rPr>
          <w:rFonts w:ascii="Times New Roman" w:cs="Times New Roman" w:eastAsia="Times New Roman" w:hAnsi="Times New Roman"/>
          <w:sz w:val="18"/>
          <w:szCs w:val="18"/>
          <w:u w:val="single" w:color="auto"/>
          <w:color w:val="auto"/>
        </w:rPr>
        <w:t>Redemption Amount</w:t>
      </w:r>
      <w:r>
        <w:rPr>
          <w:rFonts w:ascii="Times New Roman" w:cs="Times New Roman" w:eastAsia="Times New Roman" w:hAnsi="Times New Roman"/>
          <w:sz w:val="18"/>
          <w:szCs w:val="18"/>
          <w:color w:val="auto"/>
        </w:rPr>
        <w:t>” shall be equal to the outstanding Principal balance being redeemed by the Company, plus the applicable Redemption Premium, plus all accrued and unpaid interest. After receipt of the Redemption Notice, the Holder shall have five (5) Business Days to elect to convert all or any portion of the Debenture. On the 6th Business Day after the Redemption Notice, the Company shall deliver to the Holder the Redemption Amount with respect to the Principal amount redeemed after giving effect to conversions effected during the five (5) Business Day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EVENTS OF DEFAULT</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(a)            An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wherever used herein, means any one of the following events (whatever the reason and whether it shall be voluntary or involuntary or effected by operation of law or pursuant to any judgment, decree or order of any court, or any order, rule or regulation of any administrative or governmental body):</w:t>
      </w:r>
    </w:p>
    <w:p>
      <w:pPr>
        <w:spacing w:after="0" w:line="176" w:lineRule="exact"/>
        <w:rPr>
          <w:sz w:val="20"/>
          <w:szCs w:val="20"/>
          <w:color w:val="auto"/>
        </w:rPr>
      </w:pPr>
    </w:p>
    <w:p>
      <w:pPr>
        <w:jc w:val="both"/>
        <w:ind w:firstLine="2592"/>
        <w:spacing w:after="0" w:line="282" w:lineRule="auto"/>
        <w:rPr>
          <w:sz w:val="20"/>
          <w:szCs w:val="20"/>
          <w:color w:val="auto"/>
        </w:rPr>
      </w:pPr>
      <w:r>
        <w:rPr>
          <w:rFonts w:ascii="Times New Roman" w:cs="Times New Roman" w:eastAsia="Times New Roman" w:hAnsi="Times New Roman"/>
          <w:sz w:val="18"/>
          <w:szCs w:val="18"/>
          <w:color w:val="auto"/>
        </w:rPr>
        <w:t>(i)               the Company’s or any Guarantor’s failure to pay to the Holder any amount of Principal, Redemption Premium, Interest, or other amounts when and as due under this Debenture or any other Transaction Document;</w:t>
      </w:r>
    </w:p>
    <w:p>
      <w:pPr>
        <w:spacing w:after="0" w:line="162" w:lineRule="exact"/>
        <w:rPr>
          <w:sz w:val="20"/>
          <w:szCs w:val="20"/>
          <w:color w:val="auto"/>
        </w:rPr>
      </w:pPr>
    </w:p>
    <w:p>
      <w:pPr>
        <w:jc w:val="both"/>
        <w:ind w:firstLine="2592"/>
        <w:spacing w:after="0" w:line="252" w:lineRule="auto"/>
        <w:rPr>
          <w:sz w:val="20"/>
          <w:szCs w:val="20"/>
          <w:color w:val="auto"/>
        </w:rPr>
      </w:pPr>
      <w:r>
        <w:rPr>
          <w:rFonts w:ascii="Times New Roman" w:cs="Times New Roman" w:eastAsia="Times New Roman" w:hAnsi="Times New Roman"/>
          <w:sz w:val="18"/>
          <w:szCs w:val="18"/>
          <w:color w:val="auto"/>
        </w:rPr>
        <w:t>(ii)              The Company, any Subsidiary of the Company, or any Guarantor shall commence, or there shall be commenced against the Company, any Subsidiary of the Company, or any Guarantor under any applicable bankruptcy or insolvency laws as now or hereafter in effect or any successor thereto, or the Company, any Subsidiary of the Company, or any Guarantor commences any other proceeding under any reorganization, arrangement, adjustment of debt, relief of debtors, dissolution, insolvency or liquidation or similar law of any jurisdiction whether now or hereafter in effect relating to the Company, any Subsidiary of the Company, or any Guarantor and any such bankruptcy, insolvency or other proceeding which remains undismissed for a period of sixty one (61) days; or the Company, any Subsidiary of the Company, or any Guarantor is adjudicated insolvent or bankrupt; or any order of relief or other order approving any such case or proceeding is entered; or the Company, any Subsidiary of the Company, or any Guarantor suffers any appointment of any custodian, private or court appointed receiver or the like for it or all or substantially all of its property which continues undischarged or unstayed for a period of sixty one (61) days; or the Company, any Subsidiary of the Company, or any Guarantor makes a general assignment of all or substantially all of its assets for the benefit of creditors; or the Company, any Subsidiary of the Company, or any Guarantor shall fail to pay, or shall state that it is unable to pay, or shall be unable to pay, its debts generally as they become due; or the Company, any Subsidiary of the Company, or any Guarantor shall call a meeting of its creditors with a view to arranging a composition, adjustment or restructuring of its debts; or the Company, any Subsidiary of the Company, or any Guarantor shall by any act or failure to act expressly indicate its consent to, approval of or acquiescence in any of the foregoing; or any corporate or other action is taken by the Company, any Subsidiary of the Company, or any Guarantor for the purpose of effecting any of the foregoing;</w:t>
      </w:r>
    </w:p>
    <w:p>
      <w:pPr>
        <w:spacing w:after="0" w:line="196" w:lineRule="exact"/>
        <w:rPr>
          <w:sz w:val="20"/>
          <w:szCs w:val="20"/>
          <w:color w:val="auto"/>
        </w:rPr>
      </w:pPr>
    </w:p>
    <w:p>
      <w:pPr>
        <w:jc w:val="both"/>
        <w:ind w:firstLine="2592"/>
        <w:spacing w:after="0" w:line="256" w:lineRule="auto"/>
        <w:rPr>
          <w:sz w:val="20"/>
          <w:szCs w:val="20"/>
          <w:color w:val="auto"/>
        </w:rPr>
      </w:pPr>
      <w:r>
        <w:rPr>
          <w:rFonts w:ascii="Times New Roman" w:cs="Times New Roman" w:eastAsia="Times New Roman" w:hAnsi="Times New Roman"/>
          <w:sz w:val="18"/>
          <w:szCs w:val="18"/>
          <w:color w:val="auto"/>
        </w:rPr>
        <w:t>(iii)             The Company, any Subsidiary of the Company, or any Guarantor shall default in any of its obligations under any obligation or any promissory note, mortgage, credit agreement or other facility, indenture agreement, factoring agreement or other instrument under which there may be issued, or by which there may be secured or evidenced any indebtedness for borrowed money or money due under any long term leasing or factoring arrangement of the Company, any Subsidiary of the Company, or any Guarantor in an amount exceeding EUR 200,000, whether such indebtedness now exists or shall hereafter be created and such default shall result in such indebtedness becoming or being declared due and payable and such default is not thereafter cured within five (5) Business Days;</w:t>
      </w:r>
    </w:p>
    <w:p>
      <w:pPr>
        <w:spacing w:after="0" w:line="187" w:lineRule="exact"/>
        <w:rPr>
          <w:sz w:val="20"/>
          <w:szCs w:val="20"/>
          <w:color w:val="auto"/>
        </w:rPr>
      </w:pPr>
    </w:p>
    <w:p>
      <w:pPr>
        <w:jc w:val="both"/>
        <w:ind w:right="20" w:firstLine="2592"/>
        <w:spacing w:after="0" w:line="282" w:lineRule="auto"/>
        <w:rPr>
          <w:sz w:val="20"/>
          <w:szCs w:val="20"/>
          <w:color w:val="auto"/>
        </w:rPr>
      </w:pPr>
      <w:r>
        <w:rPr>
          <w:rFonts w:ascii="Times New Roman" w:cs="Times New Roman" w:eastAsia="Times New Roman" w:hAnsi="Times New Roman"/>
          <w:sz w:val="18"/>
          <w:szCs w:val="18"/>
          <w:color w:val="auto"/>
        </w:rPr>
        <w:t>(iv)              The Company, any Subsidiary of the Company or any Guarantor shall be a party to any Change of Control Transaction (as defined in Section 14) unless in connection with such Change of Control Transaction this Debenture is retired;</w:t>
      </w:r>
    </w:p>
    <w:p>
      <w:pPr>
        <w:spacing w:after="0" w:line="162" w:lineRule="exact"/>
        <w:rPr>
          <w:sz w:val="20"/>
          <w:szCs w:val="20"/>
          <w:color w:val="auto"/>
        </w:rPr>
      </w:pPr>
    </w:p>
    <w:p>
      <w:pPr>
        <w:jc w:val="both"/>
        <w:ind w:firstLine="2592"/>
        <w:spacing w:after="0" w:line="261" w:lineRule="auto"/>
        <w:rPr>
          <w:sz w:val="20"/>
          <w:szCs w:val="20"/>
          <w:color w:val="auto"/>
        </w:rPr>
      </w:pPr>
      <w:r>
        <w:rPr>
          <w:rFonts w:ascii="Times New Roman" w:cs="Times New Roman" w:eastAsia="Times New Roman" w:hAnsi="Times New Roman"/>
          <w:sz w:val="18"/>
          <w:szCs w:val="18"/>
          <w:color w:val="auto"/>
        </w:rPr>
        <w:t>(v)             The Company’s (A) failure to issue and deliver the required number of Ordinary Shares to the Holder within four (4) Business Days after the applicable Share Delivery Date or (B) notice, written or oral, to any holder of the Debenture, including by way of public announcement, at any time, of its intention not to comply with a request for conversion of the Debenture into Ordinary Shares that is tendered in accordance with the provisions of the Debenture, other than pursuant to Section 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 w:name="page6"/>
    <w:bookmarkEnd w:id="5"/>
    <w:p>
      <w:pPr>
        <w:jc w:val="both"/>
        <w:ind w:firstLine="2592"/>
        <w:spacing w:after="0" w:line="282" w:lineRule="auto"/>
        <w:rPr>
          <w:sz w:val="20"/>
          <w:szCs w:val="20"/>
          <w:color w:val="auto"/>
        </w:rPr>
      </w:pPr>
      <w:r>
        <w:rPr>
          <w:rFonts w:ascii="Times New Roman" w:cs="Times New Roman" w:eastAsia="Times New Roman" w:hAnsi="Times New Roman"/>
          <w:sz w:val="18"/>
          <w:szCs w:val="18"/>
          <w:color w:val="auto"/>
        </w:rPr>
        <w:t>(vi)            The Company shall fail for any reason to deliver the payment in cash pursuant to a Buy-In (as defined in Section 4(b)(ii) herein) within five Business Days after such payment is due;</w:t>
      </w:r>
    </w:p>
    <w:p>
      <w:pPr>
        <w:spacing w:after="0" w:line="162" w:lineRule="exact"/>
        <w:rPr>
          <w:sz w:val="20"/>
          <w:szCs w:val="20"/>
          <w:color w:val="auto"/>
        </w:rPr>
      </w:pPr>
    </w:p>
    <w:p>
      <w:pPr>
        <w:jc w:val="both"/>
        <w:ind w:firstLine="2592"/>
        <w:spacing w:after="0" w:line="255" w:lineRule="auto"/>
        <w:rPr>
          <w:sz w:val="20"/>
          <w:szCs w:val="20"/>
          <w:color w:val="auto"/>
        </w:rPr>
      </w:pPr>
      <w:r>
        <w:rPr>
          <w:rFonts w:ascii="Times New Roman" w:cs="Times New Roman" w:eastAsia="Times New Roman" w:hAnsi="Times New Roman"/>
          <w:sz w:val="18"/>
          <w:szCs w:val="18"/>
          <w:color w:val="auto"/>
        </w:rPr>
        <w:t>(vii)           The Company’s failure to timely file with the Commission any Periodic Report on or before the due date of such filing as established by the Commission, it being understood, for the avoidance of doubt, that due date includes any permitted filing deadline extension under Rule 12b-25 under the Exchange Act . For purposes hereof, “</w:t>
      </w:r>
      <w:r>
        <w:rPr>
          <w:rFonts w:ascii="Times New Roman" w:cs="Times New Roman" w:eastAsia="Times New Roman" w:hAnsi="Times New Roman"/>
          <w:sz w:val="18"/>
          <w:szCs w:val="18"/>
          <w:u w:val="single" w:color="auto"/>
          <w:color w:val="auto"/>
        </w:rPr>
        <w:t>Periodic Reports</w:t>
      </w:r>
      <w:r>
        <w:rPr>
          <w:rFonts w:ascii="Times New Roman" w:cs="Times New Roman" w:eastAsia="Times New Roman" w:hAnsi="Times New Roman"/>
          <w:sz w:val="18"/>
          <w:szCs w:val="18"/>
          <w:color w:val="auto"/>
        </w:rPr>
        <w:t xml:space="preserve">” means the Company’s (i) Annual Report on Form 10-K for the fiscal year ending December 31, 2024, (ii) any current report to be filed on Form 8-K, and (iii) all other reports required to be filed by the Company with the Commission under applicable laws and regulations (including, without limitation, Regulation S-K) for so long as any amounts are outstanding under this Debenture;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all such Periodic Reports shall include, when filed, all information, financial statements, audit reports (when applicable) and other information required to be included in such Periodic Reports in compliance with all applicable laws and regulations;</w:t>
      </w:r>
    </w:p>
    <w:p>
      <w:pPr>
        <w:spacing w:after="0" w:line="189" w:lineRule="exact"/>
        <w:rPr>
          <w:sz w:val="20"/>
          <w:szCs w:val="20"/>
          <w:color w:val="auto"/>
        </w:rPr>
      </w:pPr>
    </w:p>
    <w:p>
      <w:pPr>
        <w:jc w:val="both"/>
        <w:ind w:firstLine="2592"/>
        <w:spacing w:after="0" w:line="266" w:lineRule="auto"/>
        <w:rPr>
          <w:sz w:val="20"/>
          <w:szCs w:val="20"/>
          <w:color w:val="auto"/>
        </w:rPr>
      </w:pPr>
      <w:r>
        <w:rPr>
          <w:rFonts w:ascii="Times New Roman" w:cs="Times New Roman" w:eastAsia="Times New Roman" w:hAnsi="Times New Roman"/>
          <w:sz w:val="18"/>
          <w:szCs w:val="18"/>
          <w:color w:val="auto"/>
        </w:rPr>
        <w:t>(viii)              Any representation or warranty made or deemed made by the Company, any Subsidiary of the Company or any Guarantor in any Transaction Document shall prove to have been incorrect in any material respect (or, in the case of any such representation or warranty already qualified by materiality, such representation or warranty shall prove to have been incorrect) when made or deemed made;</w:t>
      </w:r>
    </w:p>
    <w:p>
      <w:pPr>
        <w:spacing w:after="0" w:line="176" w:lineRule="exact"/>
        <w:rPr>
          <w:sz w:val="20"/>
          <w:szCs w:val="20"/>
          <w:color w:val="auto"/>
        </w:rPr>
      </w:pPr>
    </w:p>
    <w:p>
      <w:pPr>
        <w:jc w:val="both"/>
        <w:ind w:firstLine="2592"/>
        <w:spacing w:after="0" w:line="258" w:lineRule="auto"/>
        <w:rPr>
          <w:sz w:val="20"/>
          <w:szCs w:val="20"/>
          <w:color w:val="auto"/>
        </w:rPr>
      </w:pPr>
      <w:r>
        <w:rPr>
          <w:rFonts w:ascii="Times New Roman" w:cs="Times New Roman" w:eastAsia="Times New Roman" w:hAnsi="Times New Roman"/>
          <w:sz w:val="18"/>
          <w:szCs w:val="18"/>
          <w:color w:val="auto"/>
        </w:rPr>
        <w:t>(ix)               Any material provision of any Transaction Document, at any time after its execution and delivery and for any reason other than as expressly permitted hereunder or thereunder or satisfaction in full of all Obligations, ceases to be in full force and effect; or the Company or any other Person contests in writing the validity or enforceability of any provision of any Transaction Document; or the Company or any Guarantor denies in writing that it has any or further liability or obligation under any Transaction Document, or purports in writing to revoke, terminate (other than in line with the relevant termination provisions) or rescind any Transaction Document;</w:t>
      </w:r>
    </w:p>
    <w:p>
      <w:pPr>
        <w:spacing w:after="0" w:line="183" w:lineRule="exact"/>
        <w:rPr>
          <w:sz w:val="20"/>
          <w:szCs w:val="20"/>
          <w:color w:val="auto"/>
        </w:rPr>
      </w:pPr>
    </w:p>
    <w:p>
      <w:pPr>
        <w:jc w:val="both"/>
        <w:ind w:firstLine="2592"/>
        <w:spacing w:after="0" w:line="266" w:lineRule="auto"/>
        <w:rPr>
          <w:sz w:val="20"/>
          <w:szCs w:val="20"/>
          <w:color w:val="auto"/>
        </w:rPr>
      </w:pPr>
      <w:r>
        <w:rPr>
          <w:rFonts w:ascii="Times New Roman" w:cs="Times New Roman" w:eastAsia="Times New Roman" w:hAnsi="Times New Roman"/>
          <w:sz w:val="18"/>
          <w:szCs w:val="18"/>
          <w:color w:val="auto"/>
        </w:rPr>
        <w:t>(x)             The Company or any Guarantor shall fail to observe or perform any material covenant, agreement or warranty contained in, or otherwise commit any material breach or default of any provision of this Debenture (except as may be covered by Section (3)(a)(i) through (3)(a)(ix) hereof) or any other Transaction Document (as defined in Section 14) which is not cured or remedied within the time prescribed (if any);</w:t>
      </w:r>
    </w:p>
    <w:p>
      <w:pPr>
        <w:spacing w:after="0" w:line="176" w:lineRule="exact"/>
        <w:rPr>
          <w:sz w:val="20"/>
          <w:szCs w:val="20"/>
          <w:color w:val="auto"/>
        </w:rPr>
      </w:pPr>
    </w:p>
    <w:p>
      <w:pPr>
        <w:jc w:val="both"/>
        <w:ind w:firstLine="2600"/>
        <w:spacing w:after="0" w:line="266" w:lineRule="auto"/>
        <w:tabs>
          <w:tab w:leader="none" w:pos="333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of Default (as defined in the Other Debentures or in any Transaction Document other than this Debenture) occurs respect to any Other Debentures held by the Holder or any breach of any material term of any other debenture, note, or instrument held by the Holder in the Company or any agreement between or among the Company and the Holder; or</w:t>
      </w:r>
    </w:p>
    <w:p>
      <w:pPr>
        <w:spacing w:after="0" w:line="175" w:lineRule="exact"/>
        <w:rPr>
          <w:rFonts w:ascii="Times New Roman" w:cs="Times New Roman" w:eastAsia="Times New Roman" w:hAnsi="Times New Roman"/>
          <w:sz w:val="18"/>
          <w:szCs w:val="18"/>
          <w:color w:val="auto"/>
        </w:rPr>
      </w:pPr>
    </w:p>
    <w:p>
      <w:pPr>
        <w:jc w:val="both"/>
        <w:ind w:firstLine="2600"/>
        <w:spacing w:after="0" w:line="261" w:lineRule="auto"/>
        <w:tabs>
          <w:tab w:leader="none" w:pos="32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Document (including this Debenture) covering a material portion of the Collateral shall cease to create a valid and perfected lien, with the priority required by the Security Documents (including this Debenture) on and security interest in any material</w:t>
      </w:r>
    </w:p>
    <w:p>
      <w:pPr>
        <w:spacing w:after="0"/>
        <w:rPr>
          <w:sz w:val="20"/>
          <w:szCs w:val="20"/>
          <w:color w:val="auto"/>
        </w:rPr>
      </w:pPr>
      <w:r>
        <w:rPr>
          <w:rFonts w:ascii="Times New Roman" w:cs="Times New Roman" w:eastAsia="Times New Roman" w:hAnsi="Times New Roman"/>
          <w:sz w:val="18"/>
          <w:szCs w:val="18"/>
          <w:color w:val="auto"/>
        </w:rPr>
        <w:t>portion of the Collateral covered thereby.</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1" w:lineRule="auto"/>
        <w:rPr>
          <w:sz w:val="20"/>
          <w:szCs w:val="20"/>
          <w:color w:val="auto"/>
        </w:rPr>
      </w:pPr>
      <w:r>
        <w:rPr>
          <w:rFonts w:ascii="Times New Roman" w:cs="Times New Roman" w:eastAsia="Times New Roman" w:hAnsi="Times New Roman"/>
          <w:sz w:val="18"/>
          <w:szCs w:val="18"/>
          <w:color w:val="auto"/>
        </w:rPr>
        <w:t xml:space="preserve">(b)           During the time that any portion of this Debenture is outstanding, if any Event of Default has occurred and has not been cured within the applicable cure period, if any, (other than an event with respect to the Company described in Section 3(a)(ii)) the full unpaid Principal amount of this Debenture, together with interest and other amounts owing in respect thereof and other Obligations accrued hereunder and under any other Transaction Document, to the date of acceleration shall become at the Holder's election given by notice pursuant to Section 7, immediately due and payable in cash;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case of any event with respect to the Company described in Section 3(a)(ii), the full unpaid Principal amount of this Debenture, together with interest and other amounts owing in respect thereof and other Obligations accrued hereunder and under any other Transaction Document, to the date of acceleration, shall automatically become due and payable, in each case without presentment, demand, protest or other notice of any kind, all of which are hereby waived by the Company. Furthermore, in addition to any other remedies, the Holder shall have the right (but not the obligation) to convert, at the Conversion Rate, on one or more occasions all or part of the Conversion Amount in accordance with Section 4 hereof (subject to the beneficial ownership limitations set out in Section (4)(c)) at any time after (x) an Event of Default (provided that such Event of Default is continuing) or (y) the Maturity Date. The Holder need not provide, and the Company hereby waives, any presentment, demand, protest or other notice of any kind (other than required notice of conversion) and the Holder may immediately enforce any and all of its rights and remedies hereunder and all other remedies available to it under applicable law. Such declaration may be rescinded and annulled by the Holder in writing at any time prior to payment hereunder. No such rescission or annulment shall affect any subsequent Event of Default or impair any right consequent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 w:name="page7"/>
    <w:bookmarkEnd w:id="6"/>
    <w:p>
      <w:pPr>
        <w:ind w:left="1300"/>
        <w:spacing w:after="0"/>
        <w:rPr>
          <w:sz w:val="20"/>
          <w:szCs w:val="20"/>
          <w:color w:val="auto"/>
        </w:rPr>
      </w:pPr>
      <w:r>
        <w:rPr>
          <w:rFonts w:ascii="Times New Roman" w:cs="Times New Roman" w:eastAsia="Times New Roman" w:hAnsi="Times New Roman"/>
          <w:sz w:val="17"/>
          <w:szCs w:val="17"/>
          <w:color w:val="auto"/>
        </w:rPr>
        <w:t>(4)         </w:t>
      </w:r>
      <w:r>
        <w:rPr>
          <w:rFonts w:ascii="Times New Roman" w:cs="Times New Roman" w:eastAsia="Times New Roman" w:hAnsi="Times New Roman"/>
          <w:sz w:val="17"/>
          <w:szCs w:val="17"/>
          <w:u w:val="single" w:color="auto"/>
          <w:color w:val="auto"/>
        </w:rPr>
        <w:t>  CONVERSION OF DEBENTURE</w:t>
      </w:r>
      <w:r>
        <w:rPr>
          <w:rFonts w:ascii="Times New Roman" w:cs="Times New Roman" w:eastAsia="Times New Roman" w:hAnsi="Times New Roman"/>
          <w:sz w:val="17"/>
          <w:szCs w:val="17"/>
          <w:color w:val="auto"/>
        </w:rPr>
        <w:t>. This Debenture shall be convertible into Ordinary Shares, on the terms and conditions set forth</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Section 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Conversion Right</w:t>
      </w:r>
      <w:r>
        <w:rPr>
          <w:rFonts w:ascii="Times New Roman" w:cs="Times New Roman" w:eastAsia="Times New Roman" w:hAnsi="Times New Roman"/>
          <w:sz w:val="18"/>
          <w:szCs w:val="18"/>
          <w:color w:val="auto"/>
        </w:rPr>
        <w:t>. Subject to the limitations of Section (4)(c), at any time or times on or after the Issuance Date, the Holder shall be entitled to convert any portion of the outstanding and unpaid Conversion Amount (as defined below) into fully paid and non-assessable (meaning that the holders of the Ordinary Shares will not by reason of merely being such a holder, be subject to assessment or calls by the Company or its creditors for further payment on such Ordinary Shares) Ordinary Shares in accordance with Section (4)(b), at the Conversion Rate (as defined below). The number of Ordinary Shares issuable upon conversion of any Conversion Amount pursuant to this Section (4)(a) shall be determined by dividing (x) such Conversion Amount by (y) the Conversion Price (the “</w:t>
      </w:r>
      <w:r>
        <w:rPr>
          <w:rFonts w:ascii="Times New Roman" w:cs="Times New Roman" w:eastAsia="Times New Roman" w:hAnsi="Times New Roman"/>
          <w:sz w:val="18"/>
          <w:szCs w:val="18"/>
          <w:u w:val="single" w:color="auto"/>
          <w:color w:val="auto"/>
        </w:rPr>
        <w:t>Conversion Rate</w:t>
      </w:r>
      <w:r>
        <w:rPr>
          <w:rFonts w:ascii="Times New Roman" w:cs="Times New Roman" w:eastAsia="Times New Roman" w:hAnsi="Times New Roman"/>
          <w:sz w:val="18"/>
          <w:szCs w:val="18"/>
          <w:color w:val="auto"/>
        </w:rPr>
        <w:t>”). The Company shall not issue any fraction of an Ordinary Share upon any conversion. If the issuance would result in the issuance of a fraction of an Ordinary Share, the Company shall round such fraction of an Ordinary Share up to the nearest whole share. The Company shall pay any and all issuance tax, stamp duties and similar documentary taxes that may be payable with respect to the issuance and delivery of Ordinary Shares upon conversion of any Conversion Amount.</w:t>
      </w:r>
    </w:p>
    <w:p>
      <w:pPr>
        <w:spacing w:after="0" w:line="193" w:lineRule="exact"/>
        <w:rPr>
          <w:sz w:val="20"/>
          <w:szCs w:val="20"/>
          <w:color w:val="auto"/>
        </w:rPr>
      </w:pPr>
    </w:p>
    <w:p>
      <w:pPr>
        <w:ind w:right="220" w:firstLine="2592"/>
        <w:spacing w:after="0" w:line="282" w:lineRule="auto"/>
        <w:rPr>
          <w:sz w:val="20"/>
          <w:szCs w:val="20"/>
          <w:color w:val="auto"/>
        </w:rPr>
      </w:pPr>
      <w:r>
        <w:rPr>
          <w:rFonts w:ascii="Times New Roman" w:cs="Times New Roman" w:eastAsia="Times New Roman" w:hAnsi="Times New Roman"/>
          <w:sz w:val="18"/>
          <w:szCs w:val="18"/>
          <w:color w:val="auto"/>
        </w:rPr>
        <w:t> (i)             “</w:t>
      </w:r>
      <w:r>
        <w:rPr>
          <w:rFonts w:ascii="Times New Roman" w:cs="Times New Roman" w:eastAsia="Times New Roman" w:hAnsi="Times New Roman"/>
          <w:sz w:val="18"/>
          <w:szCs w:val="18"/>
          <w:u w:val="single" w:color="auto"/>
          <w:color w:val="auto"/>
        </w:rPr>
        <w:t>Conversion Amount</w:t>
      </w:r>
      <w:r>
        <w:rPr>
          <w:rFonts w:ascii="Times New Roman" w:cs="Times New Roman" w:eastAsia="Times New Roman" w:hAnsi="Times New Roman"/>
          <w:sz w:val="18"/>
          <w:szCs w:val="18"/>
          <w:color w:val="auto"/>
        </w:rPr>
        <w:t>” means the portion of the Principal and/or accrued Interest to be converted, redeemed or otherwise with respect to which this determination is being made.</w:t>
      </w:r>
    </w:p>
    <w:p>
      <w:pPr>
        <w:spacing w:after="0" w:line="162" w:lineRule="exact"/>
        <w:rPr>
          <w:sz w:val="20"/>
          <w:szCs w:val="20"/>
          <w:color w:val="auto"/>
        </w:rPr>
      </w:pPr>
    </w:p>
    <w:p>
      <w:pPr>
        <w:jc w:val="both"/>
        <w:ind w:firstLine="2592"/>
        <w:spacing w:after="0" w:line="256"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Conversion Price</w:t>
      </w:r>
      <w:r>
        <w:rPr>
          <w:rFonts w:ascii="Times New Roman" w:cs="Times New Roman" w:eastAsia="Times New Roman" w:hAnsi="Times New Roman"/>
          <w:sz w:val="18"/>
          <w:szCs w:val="18"/>
          <w:color w:val="auto"/>
        </w:rPr>
        <w:t>” means, as of any Conversion Date (as defined below) or other date of determination the lower of (i) a price per Ordinary Share equal to USD 18.75 (the “</w:t>
      </w:r>
      <w:r>
        <w:rPr>
          <w:rFonts w:ascii="Times New Roman" w:cs="Times New Roman" w:eastAsia="Times New Roman" w:hAnsi="Times New Roman"/>
          <w:sz w:val="18"/>
          <w:szCs w:val="18"/>
          <w:u w:val="single" w:color="auto"/>
          <w:color w:val="auto"/>
        </w:rPr>
        <w:t>Fixed Conversion Price</w:t>
      </w:r>
      <w:r>
        <w:rPr>
          <w:rFonts w:ascii="Times New Roman" w:cs="Times New Roman" w:eastAsia="Times New Roman" w:hAnsi="Times New Roman"/>
          <w:sz w:val="18"/>
          <w:szCs w:val="18"/>
          <w:color w:val="auto"/>
        </w:rPr>
        <w:t>”), or (ii) 85% of the lowest daily VWAP of the Ordinary Shares during the seven (7) consecutive Trading Days immediately preceding the Conversion Date or other date of determination (the “</w:t>
      </w:r>
      <w:r>
        <w:rPr>
          <w:rFonts w:ascii="Times New Roman" w:cs="Times New Roman" w:eastAsia="Times New Roman" w:hAnsi="Times New Roman"/>
          <w:sz w:val="18"/>
          <w:szCs w:val="18"/>
          <w:u w:val="single" w:color="auto"/>
          <w:color w:val="auto"/>
        </w:rPr>
        <w:t>Variable 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Price</w:t>
      </w:r>
      <w:r>
        <w:rPr>
          <w:rFonts w:ascii="Times New Roman" w:cs="Times New Roman" w:eastAsia="Times New Roman" w:hAnsi="Times New Roman"/>
          <w:sz w:val="18"/>
          <w:szCs w:val="18"/>
          <w:color w:val="auto"/>
        </w:rPr>
        <w:t>”), provided that the Variable Conversion Price shall not be lower than the Floor Price then in effect; provided, further, that under no circumstances, will the Conversion Price per Ordinary Share be less than the nominal value of one Ordinary Share (translated into USD on the applicable Share Delivery Date (as defined below)). The Conversion Price shall be adjusted from time to time pursuant to the other terms and conditions of this Debenture.</w:t>
      </w:r>
    </w:p>
    <w:p>
      <w:pPr>
        <w:spacing w:after="0" w:line="18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Mechanics of Conversion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2592"/>
        <w:spacing w:after="0" w:line="252"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Optional Conversion</w:t>
      </w:r>
      <w:r>
        <w:rPr>
          <w:rFonts w:ascii="Times New Roman" w:cs="Times New Roman" w:eastAsia="Times New Roman" w:hAnsi="Times New Roman"/>
          <w:sz w:val="18"/>
          <w:szCs w:val="18"/>
          <w:color w:val="auto"/>
        </w:rPr>
        <w:t>. To convert any Conversion Amount into Ordinary Shares on any date (a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xml:space="preserve">”), the Holder shall (A) transmit by email (or otherwise deliver), for receipt on or prior to 11:59 p.m., New York Time, on such date, a copy of an executed notice of conversion in the form attached hereto as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Conversion Notice</w:t>
      </w:r>
      <w:r>
        <w:rPr>
          <w:rFonts w:ascii="Times New Roman" w:cs="Times New Roman" w:eastAsia="Times New Roman" w:hAnsi="Times New Roman"/>
          <w:sz w:val="18"/>
          <w:szCs w:val="18"/>
          <w:color w:val="auto"/>
        </w:rPr>
        <w:t>”) to the Company and (B) if required by Section (4)(b)(iii), surrender this Debenture to a nationally recognized overnight delivery service for delivery to the Company (or an indemnification undertaking reasonably satisfactory to the Company with respect to this Debenture in the case of its loss, theft or destruction). On or before the third (3rd) Trading Day following the date of receipt of a Conversion Notice (the “</w:t>
      </w:r>
      <w:r>
        <w:rPr>
          <w:rFonts w:ascii="Times New Roman" w:cs="Times New Roman" w:eastAsia="Times New Roman" w:hAnsi="Times New Roman"/>
          <w:sz w:val="18"/>
          <w:szCs w:val="18"/>
          <w:u w:val="single" w:color="auto"/>
          <w:color w:val="auto"/>
        </w:rPr>
        <w:t>Share Delivery Date</w:t>
      </w:r>
      <w:r>
        <w:rPr>
          <w:rFonts w:ascii="Times New Roman" w:cs="Times New Roman" w:eastAsia="Times New Roman" w:hAnsi="Times New Roman"/>
          <w:sz w:val="18"/>
          <w:szCs w:val="18"/>
          <w:color w:val="auto"/>
        </w:rPr>
        <w:t>”), the Company shall (X) if legends are not required to be placed on certificates of Ordinary Shares and provided that the Transfer Agent is participating in the Depository Trust Company's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Fast Automated Securities Transfer Program, credit such aggregate number of Ordinary Shares to which the Holder shall be entitled to the Holder's or its designee's balance account with DTC through its Deposit Withdrawal Agent Commission system or (Y) if the Transfer Agent is not participating in the DTC Fast Automated Securities Transfer Program, issue and deliver to the address as specified in the Conversion Notice, a certificate, registered Ordinary Shares in the name of the Holder or its designee, for the number of Ordinary Shares to which the Holder shall be entitled which certificates shall not bear any restrictive legends unless required pursuant to rules and regulations of the Commission. If this Debenture is physically surrendered for conversion and the outstanding Principal of this Debenture is greater than the Principal portion of the Conversion Amount being converted, then the Company shall as soon as practicable and in no event later than three (3) Business Days after receipt of this Debenture and at its own expense, issue and deliver to the holder a new Debenture representing the outstanding Principal not converted. The Person or Persons entitled to receive the Ordinary Shares issuable upon a conversion of this Debenture shall be treated for all purposes as the record holder or holders of such Ordinary Shares upon the transmission of a Conversion Notice. In connection with any conversion of a Conversion Amount into Ordinary Shares on a Conversion Date, the Company shall, on the relevant Share Delivery Date, set off (</w:t>
      </w:r>
      <w:r>
        <w:rPr>
          <w:rFonts w:ascii="Times New Roman" w:cs="Times New Roman" w:eastAsia="Times New Roman" w:hAnsi="Times New Roman"/>
          <w:sz w:val="18"/>
          <w:szCs w:val="18"/>
          <w:i w:val="1"/>
          <w:iCs w:val="1"/>
          <w:color w:val="auto"/>
        </w:rPr>
        <w:t>verrekenen</w:t>
      </w:r>
      <w:r>
        <w:rPr>
          <w:rFonts w:ascii="Times New Roman" w:cs="Times New Roman" w:eastAsia="Times New Roman" w:hAnsi="Times New Roman"/>
          <w:sz w:val="18"/>
          <w:szCs w:val="18"/>
          <w:color w:val="auto"/>
        </w:rPr>
        <w:t>) its debt under the relevant Debenture(s) to pay such Conversion Amount against its receivable from the Holder to pay up in full, and satisfy the issue price, for the relevant Ordinary Shares issuable upon such conversion (and, for that purpose, such issue price shall be the same amount as the Conversion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 w:name="page8"/>
    <w:bookmarkEnd w:id="7"/>
    <w:p>
      <w:pPr>
        <w:jc w:val="both"/>
        <w:ind w:firstLine="2592"/>
        <w:spacing w:after="0" w:line="253"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u w:val="single" w:color="auto"/>
          <w:color w:val="auto"/>
        </w:rPr>
        <w:t>Company's Failure to Timely Convert</w:t>
      </w:r>
      <w:r>
        <w:rPr>
          <w:rFonts w:ascii="Times New Roman" w:cs="Times New Roman" w:eastAsia="Times New Roman" w:hAnsi="Times New Roman"/>
          <w:sz w:val="18"/>
          <w:szCs w:val="18"/>
          <w:color w:val="auto"/>
        </w:rPr>
        <w:t>. If within three (3) Trading Days after the Company's receipt of an email copy of a Conversion Notice the Company shall fail to issue and deliver a certificate to the Holder or credit the Holder's balance account with DTC for the number of Ordinary Shares to which the Holder is entitled upon its conversion of any Conversion Amount, and if on or after such Trading Day the Holder purchases (in an open market transaction or otherwise) Ordinary Shares to deliver in satisfaction of a sale by the Holder of Ordinary Shares issuable upon such conversion that the Holder anticipated receiving from the Company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within three (3) Business Days after the Holder's request and in the Holder's discretion, either (i) pay cash to the Holder in an amount equal to the Holder's total purchase price (including brokerage commissions and other out of pocket expenses, if any) for the Ordinary Shares so purchased (the “</w:t>
      </w:r>
      <w:r>
        <w:rPr>
          <w:rFonts w:ascii="Times New Roman" w:cs="Times New Roman" w:eastAsia="Times New Roman" w:hAnsi="Times New Roman"/>
          <w:sz w:val="18"/>
          <w:szCs w:val="18"/>
          <w:u w:val="single" w:color="auto"/>
          <w:color w:val="auto"/>
        </w:rPr>
        <w:t>Buy-In Price</w:t>
      </w:r>
      <w:r>
        <w:rPr>
          <w:rFonts w:ascii="Times New Roman" w:cs="Times New Roman" w:eastAsia="Times New Roman" w:hAnsi="Times New Roman"/>
          <w:sz w:val="18"/>
          <w:szCs w:val="18"/>
          <w:color w:val="auto"/>
        </w:rPr>
        <w:t>”), at which point the Company's obligation to deliver such certificate (and to issue such Ordinary Shares) shall terminate, or (ii) promptly honor its obligation to deliver to the Holder a certificate or certificates representing such Ordinary Shares and pay cash to the Holder in an amount equal to the excess (if any) of the Buy-In Price over the product of (A) such number of Ordinary Shares, times (B) the Closing Price on the Conversion Date.</w:t>
      </w:r>
    </w:p>
    <w:p>
      <w:pPr>
        <w:spacing w:after="0" w:line="194" w:lineRule="exact"/>
        <w:rPr>
          <w:sz w:val="20"/>
          <w:szCs w:val="20"/>
          <w:color w:val="auto"/>
        </w:rPr>
      </w:pPr>
    </w:p>
    <w:p>
      <w:pPr>
        <w:jc w:val="both"/>
        <w:ind w:firstLine="2592"/>
        <w:spacing w:after="0" w:line="256" w:lineRule="auto"/>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u w:val="single" w:color="auto"/>
          <w:color w:val="auto"/>
        </w:rPr>
        <w:t>Book-Entry</w:t>
      </w:r>
      <w:r>
        <w:rPr>
          <w:rFonts w:ascii="Times New Roman" w:cs="Times New Roman" w:eastAsia="Times New Roman" w:hAnsi="Times New Roman"/>
          <w:sz w:val="18"/>
          <w:szCs w:val="18"/>
          <w:color w:val="auto"/>
        </w:rPr>
        <w:t>. Notwithstanding anything to the contrary set forth herein, upon conversion of any portion of this Debenture in accordance with the terms hereof, the Holder shall not be required to physically surrender this Debenture to the Company unless (A) the full Conversion Amount represented by this Debenture is being converted or (B) the Holder has provided the Company with prior written notice (which notice may be included in a Conversion Notice) requesting reissuance of this Debenture upon physical surrender of this Debenture. The Holder and the Company shall maintain records showing the Principal and Interest converted and the dates of such conversions or shall use such other method, reasonably satisfactory to the Holder and the Company, so as not to require physical surrender of this Debenture upon conversion.</w:t>
      </w:r>
    </w:p>
    <w:p>
      <w:pPr>
        <w:spacing w:after="0" w:line="18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Limitations on Conversions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2592"/>
        <w:spacing w:after="0" w:line="266" w:lineRule="auto"/>
        <w:rPr>
          <w:sz w:val="20"/>
          <w:szCs w:val="20"/>
          <w:color w:val="auto"/>
        </w:rPr>
      </w:pPr>
      <w:r>
        <w:rPr>
          <w:rFonts w:ascii="Times New Roman" w:cs="Times New Roman" w:eastAsia="Times New Roman" w:hAnsi="Times New Roman"/>
          <w:sz w:val="17"/>
          <w:szCs w:val="17"/>
          <w:color w:val="auto"/>
        </w:rPr>
        <w:t xml:space="preserve">(i)               </w:t>
      </w:r>
      <w:r>
        <w:rPr>
          <w:rFonts w:ascii="Times New Roman" w:cs="Times New Roman" w:eastAsia="Times New Roman" w:hAnsi="Times New Roman"/>
          <w:sz w:val="17"/>
          <w:szCs w:val="17"/>
          <w:u w:val="single" w:color="auto"/>
          <w:color w:val="auto"/>
        </w:rPr>
        <w:t>Beneficial Ownership</w:t>
      </w:r>
      <w:r>
        <w:rPr>
          <w:rFonts w:ascii="Times New Roman" w:cs="Times New Roman" w:eastAsia="Times New Roman" w:hAnsi="Times New Roman"/>
          <w:sz w:val="17"/>
          <w:szCs w:val="17"/>
          <w:color w:val="auto"/>
        </w:rPr>
        <w:t>. The Holder shall not have the right to convert any portion of this Debenture or receive Ordinary Shares hereunder to the extent that after giving effect to such conversion or receipt of such Ordinary Shares, the Holder, together with any affiliate thereof, would beneficially own (as determined in accordance with Section 13(d) of the Exchange Act and the rules promulgated thereunder) in excess of 4.99% of the number of Ordinary Shares outstanding immediately after giving effect to such conversion or receipt of shares as payment of interest. Since the Holder will not be obligated to report to the Company the number of Ordinary Shares it may hold at the time of a conversion hereunder, unless the conversion at issue would result in the issuance of Ordinary Shares in excess of 4.99% of the then outstanding Ordinary Shares without regard to any other shares which may be beneficially owned by the Holder or an affiliate thereof, the Holder shall have the authority and obligation to determine whether the restriction contained in this Section will limit any particular conversion hereunder and to the extent that the Holder determines that the limitation contained in this Section applies, the determination of which portion of the Principal amount of this Debenture is convertible shall be the responsibility and obligation of the Holder. If the Holder has delivered a Conversion Notice for a Principal amount of this Debenture that, without regard to any other shares that the Holder or its affiliates may beneficially own, would result in the issuance in excess of the permitted amount hereunder, the Company shall notify the Holder of this fact and shall honor the conversion for the maximum Principal amount permitted to be converted on such Conversion Date in accordance with Section (4)(a) and, any Principal amount tendered for conversion in excess of the permitted amount hereunder shall remain outstanding under this Debenture. The provisions of this Section may be waived by the Holder upon not less than 65 days prior notice to the Company.</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Other Provisions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(i)                All calculations under this Section (4) shall be rounded to the nearest $0.0001 or whole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 w:name="page9"/>
    <w:bookmarkEnd w:id="8"/>
    <w:p>
      <w:pPr>
        <w:jc w:val="both"/>
        <w:ind w:firstLine="2592"/>
        <w:spacing w:after="0" w:line="251" w:lineRule="auto"/>
        <w:rPr>
          <w:sz w:val="20"/>
          <w:szCs w:val="20"/>
          <w:color w:val="auto"/>
        </w:rPr>
      </w:pPr>
      <w:r>
        <w:rPr>
          <w:rFonts w:ascii="Times New Roman" w:cs="Times New Roman" w:eastAsia="Times New Roman" w:hAnsi="Times New Roman"/>
          <w:sz w:val="18"/>
          <w:szCs w:val="18"/>
          <w:color w:val="auto"/>
        </w:rPr>
        <w:t>(ii)              The Company covenants that the number of Ordinary Shares comprised in the Company's authorized share capital but unissued and not otherwise reserved for issuance (including (i) in relation to equity or debt securities convertible into or exchangeable or exercisable for or that can be settled in Ordinary Shares (other than the Debenture and the Other Debentures) and (ii) Ordinary Shares remaining available for issuance under the Company's equity incentive plans) shall be not less than the maximum number of Ordinary Shares issuable upon conversion of this Debenture and the Other Debentures (assuming for purposes hereof that (x) each debenture is convertible at the Floor Price stated therein as of the date of determination, (y) any such conversion shall not take into account any limitations on the conversion of each debenture set forth herein, including the Floor Price (the “</w:t>
      </w:r>
      <w:r>
        <w:rPr>
          <w:rFonts w:ascii="Times New Roman" w:cs="Times New Roman" w:eastAsia="Times New Roman" w:hAnsi="Times New Roman"/>
          <w:sz w:val="18"/>
          <w:szCs w:val="18"/>
          <w:u w:val="single" w:color="auto"/>
          <w:color w:val="auto"/>
        </w:rPr>
        <w:t>Required Reserve Amount</w:t>
      </w:r>
      <w:r>
        <w:rPr>
          <w:rFonts w:ascii="Times New Roman" w:cs="Times New Roman" w:eastAsia="Times New Roman" w:hAnsi="Times New Roman"/>
          <w:sz w:val="18"/>
          <w:szCs w:val="18"/>
          <w:color w:val="auto"/>
        </w:rPr>
        <w:t>”), provided that at no time shall the number of Ordinary Shares reserved pursuant to this section 4(d)(ii) be reduced other than proportionally with respect to all Ordinary Shares in connection with any conversion (other than pursuant to the conversion of this Debenture and the Other Debentures in accordance with their terms) and/or cancellation, or reverse stock split. If at any time the number of Ordinary Shares reserved pursuant to this section 4(d)(ii) becomes less than the Required Reserve Amount, the Company will promptly take all corporate action necessary to propose to its general meeting of shareholders an increase of its authorized share capital necessary to meet the Company's obligations pursuant to this Debenture, recommending that shareholders vote in favor of such an increase. The Company covenants that, upon issuance in accordance with conversion of this Debenture in accordance with its terms, the Ordinary Shares, when issued, will be validly issued, fully paid and non-assessable (meaning that the holders of the Ordinary Shares will not by reason of merely being such a holder, be subject to assessment or calls by the Company or its creditors for further payment on such Ordinary Shares).</w:t>
      </w:r>
    </w:p>
    <w:p>
      <w:pPr>
        <w:spacing w:after="0" w:line="1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2592"/>
        <w:spacing w:after="0" w:line="250" w:lineRule="auto"/>
        <w:rPr>
          <w:sz w:val="20"/>
          <w:szCs w:val="20"/>
          <w:color w:val="auto"/>
        </w:rPr>
      </w:pPr>
      <w:r>
        <w:rPr>
          <w:rFonts w:ascii="Times New Roman" w:cs="Times New Roman" w:eastAsia="Times New Roman" w:hAnsi="Times New Roman"/>
          <w:sz w:val="18"/>
          <w:szCs w:val="18"/>
          <w:color w:val="auto"/>
        </w:rPr>
        <w:t>(iii)              Nothing herein shall limit the Holder's right to pursue actual damages or declare an Event of Default pursuant to Section (3) herein for the Company’s failure to deliver certificates representing Ordinary Shares upon conversion within the period specified herein and the Holder shall have the right to pursue all remedies available to it at law or in equity including, without limitation, a decree of specific performance and/or injunctive relief, in each case without the need to post a bond or provide other security. The exercise of any such rights shall not prohibit the Holder from seeking to enforce damages pursuant to any other Section hereof or under applicable law.</w:t>
      </w:r>
    </w:p>
    <w:p>
      <w:pPr>
        <w:spacing w:after="0" w:line="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2592"/>
        <w:spacing w:after="0" w:line="250" w:lineRule="auto"/>
        <w:rPr>
          <w:sz w:val="20"/>
          <w:szCs w:val="20"/>
          <w:color w:val="auto"/>
        </w:rPr>
      </w:pPr>
      <w:r>
        <w:rPr>
          <w:rFonts w:ascii="Times New Roman" w:cs="Times New Roman" w:eastAsia="Times New Roman" w:hAnsi="Times New Roman"/>
          <w:sz w:val="18"/>
          <w:szCs w:val="18"/>
          <w:color w:val="auto"/>
        </w:rPr>
        <w:t xml:space="preserve">(iv)             </w:t>
      </w:r>
      <w:r>
        <w:rPr>
          <w:rFonts w:ascii="Times New Roman" w:cs="Times New Roman" w:eastAsia="Times New Roman" w:hAnsi="Times New Roman"/>
          <w:sz w:val="18"/>
          <w:szCs w:val="18"/>
          <w:u w:val="single" w:color="auto"/>
          <w:color w:val="auto"/>
        </w:rPr>
        <w:t>Legal Opinions</w:t>
      </w:r>
      <w:r>
        <w:rPr>
          <w:rFonts w:ascii="Times New Roman" w:cs="Times New Roman" w:eastAsia="Times New Roman" w:hAnsi="Times New Roman"/>
          <w:sz w:val="18"/>
          <w:szCs w:val="18"/>
          <w:color w:val="auto"/>
        </w:rPr>
        <w:t>. The Company is obligated to cause its legal counsel to deliver legal opinions to the Company’s transfer agent or registrar, as may be required in connection with any legend removal upon the expiration of any holding period or other requirement for which the Underlying Shares may bear legends restricting the transfer thereof.</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(e)          </w:t>
      </w:r>
      <w:r>
        <w:rPr>
          <w:rFonts w:ascii="Times New Roman" w:cs="Times New Roman" w:eastAsia="Times New Roman" w:hAnsi="Times New Roman"/>
          <w:sz w:val="17"/>
          <w:szCs w:val="17"/>
          <w:u w:val="single" w:color="auto"/>
          <w:color w:val="auto"/>
        </w:rPr>
        <w:t>  Adjustment of Conversion Price upon Subdivision or Combination of Ordinary Shares</w:t>
      </w:r>
      <w:r>
        <w:rPr>
          <w:rFonts w:ascii="Times New Roman" w:cs="Times New Roman" w:eastAsia="Times New Roman" w:hAnsi="Times New Roman"/>
          <w:sz w:val="17"/>
          <w:szCs w:val="17"/>
          <w:color w:val="auto"/>
        </w:rPr>
        <w:t>. If the Company, at any time while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Debenture is outstanding, shall (a) pay a stock dividend or otherwise make a distribution or distributions on its Ordinary Shares or any other equity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equivalent securities payable in Ordinary Shares, (b) subdivide outstanding Ordinary Shares into a larger number of shares, (c) combine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way of reverse stock split) outstanding Ordinary Shares into a smaller number of shares, or (d) issue by reclassification of shares of the Ordinary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shares of capital stock of the Company, then each of the Fixed Conversion Price and the Floor Price shall be multiplied by a fraction of which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numerator shall be the number of Ordinary Shares (excluding treasury shares, if any) outstanding before such event and of which the denominator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Ordinary Shares outstanding after such event. Any adjustment made pursuant to this Section shall become effective immediately after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 date for the determination of stockholders entitled to receive such dividend or distribution and shall become effective immediately after the effective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in the case of a subdivision, combination or re-classification.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Other Corporate Events</w:t>
      </w:r>
      <w:r>
        <w:rPr>
          <w:rFonts w:ascii="Times New Roman" w:cs="Times New Roman" w:eastAsia="Times New Roman" w:hAnsi="Times New Roman"/>
          <w:sz w:val="18"/>
          <w:szCs w:val="18"/>
          <w:color w:val="auto"/>
        </w:rPr>
        <w:t>. In addition to and not in substitution for any other rights hereunder, prior to the consummation of any Fundamental Transaction pursuant to which holders of Ordinary Shares are entitled to receive securities or other assets with respect to or in exchange for Ordinary Shares (a “</w:t>
      </w:r>
      <w:r>
        <w:rPr>
          <w:rFonts w:ascii="Times New Roman" w:cs="Times New Roman" w:eastAsia="Times New Roman" w:hAnsi="Times New Roman"/>
          <w:sz w:val="18"/>
          <w:szCs w:val="18"/>
          <w:u w:val="single" w:color="auto"/>
          <w:color w:val="auto"/>
        </w:rPr>
        <w:t>Corporate Event</w:t>
      </w:r>
      <w:r>
        <w:rPr>
          <w:rFonts w:ascii="Times New Roman" w:cs="Times New Roman" w:eastAsia="Times New Roman" w:hAnsi="Times New Roman"/>
          <w:sz w:val="18"/>
          <w:szCs w:val="18"/>
          <w:color w:val="auto"/>
        </w:rPr>
        <w:t>”), the Company shall make appropriate provision to ensure that the Holder will thereafter have the right to receive upon a conversion of this Debenture, at the Holder's option, (i) in addition to the Ordinary Shares receivable upon such conversion, such securities or other assets to which the Holder would have been entitled with respect to such Ordinary Shares had such Ordinary Shares been held by the Holder upon the consummation of such Corporate Event (without taking into account any limitations or restrictions on the convertibility of this Debenture) or (ii) in lieu of the Ordinary Shares otherwise receivable upon such conversion, such securities or other assets received by the holders of Ordinary Shares in connection with the consummation of such Corporate Event in such amounts as the Holder would have been entitled to receive had this Debenture initially been issued with conversion rights for the form of such consideration (as opposed to Ordinary Shares) at a conversion rate for such consideration commensurate with the Conversion Rate. Provision made pursuant to the preceding sentence shall be in a form and substance satisfactory to the Holder. The provisions of this Section shall apply similarly and equally to successive Corporate Events and shall be applied without regard to any limitations on the conversion or redemption of this Debenture. Notwithstanding the foregoing, the Company shall have the right to pay in cash the Principal amount of this Debenture, together with interest and other amounts owing in respect thereof, immediately prior to the consummation of the Fundamental Transaction in accordance with the early redemption provisions set forth in Section 2(b).</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 w:name="page10"/>
    <w:bookmarkEnd w:id="9"/>
    <w:p>
      <w:pPr>
        <w:jc w:val="both"/>
        <w:ind w:firstLine="1944"/>
        <w:spacing w:after="0" w:line="276" w:lineRule="auto"/>
        <w:rPr>
          <w:sz w:val="20"/>
          <w:szCs w:val="20"/>
          <w:color w:val="auto"/>
        </w:rPr>
      </w:pPr>
      <w:r>
        <w:rPr>
          <w:rFonts w:ascii="Times New Roman" w:cs="Times New Roman" w:eastAsia="Times New Roman" w:hAnsi="Times New Roman"/>
          <w:sz w:val="17"/>
          <w:szCs w:val="17"/>
          <w:color w:val="auto"/>
        </w:rPr>
        <w:t>(g)            Whenever the Conversion Price is adjusted pursuant to Section 4 hereof, the Company shall promptly provide the Holder with a written notice setting forth the Conversion Price after such adjustment and setting forth a brief statement of the facts requiring such adjustment.</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(h)            In case of any (1) merger or consolidation of the Company or any Subsidiary of the Company with or into another Person, or (2) sale by the Company or any Subsidiary of the Company of more than one-half of the assets of the Company in one or a series of related transactions, the Holder shall have the right to (A) exercise any rights under Section (3)(b), (B) convert the aggregate amount of this Debenture then outstanding into the shares of stock and other securities, cash and property receivable upon or deemed to be held by holders of Ordinary Shares following such merger, consolidation or sale, and the Holder shall be entitled upon such event or series of related events to receive such amount of securities, cash and property as the Ordinary Shares into which such aggregate outstanding amount of this Debenture could have been converted immediately prior to such merger, consolidation or sales, would have been entitled to receive, or (C) in the case of a merger or consolidation, require the surviving entity to issue to the Holder a convertible Debenture with a Principal amount equal to the aggregate Principal amount of this Debenture then held by the Holder, plus all accrued and unpaid interest and other amounts owing thereon, which such newly issued convertible Debenture shall have terms identical (including with respect to conversion) to the terms of this Debenture, and shall be entitled to all of the rights and privileges of the Holder of this Debenture set forth herein and the agreements pursuant to which this Debenture was issued. In the case of clause (C), the conversion price applicable for the newly issued shares of convertible preferred stock or convertible debentures shall be based upon the amount of securities, cash and property that each share of Ordinary Shares would receive in such transaction and the Conversion Price in effect immediately prior to the effectiveness or closing date for such transaction. The terms of any such merger, sale or consolidation shall include such terms so as to continue to give the Holder the right to receive the securities, cash and property set forth in this Section upon any conversion or redemption following such event. This provision shall similarly apply to successive such events.  </w:t>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REISSUANCE OF THIS DEBENTURE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Transfer</w:t>
      </w:r>
      <w:r>
        <w:rPr>
          <w:rFonts w:ascii="Times New Roman" w:cs="Times New Roman" w:eastAsia="Times New Roman" w:hAnsi="Times New Roman"/>
          <w:sz w:val="18"/>
          <w:szCs w:val="18"/>
          <w:color w:val="auto"/>
        </w:rPr>
        <w:t>. If this Debenture is to be transferred, the Holder shall surrender this Debenture to the Company, whereupon the Company will forthwith issue and deliver upon the order of the Holder a new Debenture (in accordance with Section (7)(d)), registered in the name of the registered transferee or assignee, representing the outstanding Principal being transferred by the Holder (along with any accrued and unpaid interest thereof) and, if less than the entire outstanding Principal is being transferred, a new Debenture (in accordance with Section (7)(d)) to the Holder representing the outstanding Principal not being transferred. The Holder and any assignee, by acceptance of this Debenture, acknowledge and agree that, by reason of the provisions of Section (4)(b)(iii) following conversion or redemption of any portion of this Debenture, the outstanding Principal represented by this Debenture may be less than the Principal stated on the face of this Debenture.</w:t>
      </w:r>
    </w:p>
    <w:p>
      <w:pPr>
        <w:spacing w:after="0" w:line="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Lost, Stolen or Mutilated Debenture</w:t>
      </w:r>
      <w:r>
        <w:rPr>
          <w:rFonts w:ascii="Times New Roman" w:cs="Times New Roman" w:eastAsia="Times New Roman" w:hAnsi="Times New Roman"/>
          <w:sz w:val="18"/>
          <w:szCs w:val="18"/>
          <w:color w:val="auto"/>
        </w:rPr>
        <w:t>. Upon receipt by the Company of evidence reasonably satisfactory to the Company of the loss, theft, destruction or mutilation of this Debenture, and, in the case of loss, theft or destruction, of any indemnification undertaking by the Holder to the Company in customary form and, in the case of mutilation, upon surrender and cancellation of this Debenture, the Company shall execute and deliver to the Holder a new Debenture (in accordance with Section (5)(d)) representing the outstanding Principal.</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Debenture Exchangeable for Different Denominations</w:t>
      </w:r>
      <w:r>
        <w:rPr>
          <w:rFonts w:ascii="Times New Roman" w:cs="Times New Roman" w:eastAsia="Times New Roman" w:hAnsi="Times New Roman"/>
          <w:sz w:val="18"/>
          <w:szCs w:val="18"/>
          <w:color w:val="auto"/>
        </w:rPr>
        <w:t>. This Debenture is exchangeable, upon the surrender hereof by the Holder at the principal office of the Company, for a new Debenture or Debentures (in accordance with Section (5)(d)) representing in the aggregate the outstanding Principal of this Debenture, and each such new Debenture will represent such portion of such outstanding Principal as is designated by the Holder at the time of such surrender.</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 w:name="page11"/>
    <w:bookmarkEnd w:id="10"/>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Issuance of New Debentures</w:t>
      </w:r>
      <w:r>
        <w:rPr>
          <w:rFonts w:ascii="Times New Roman" w:cs="Times New Roman" w:eastAsia="Times New Roman" w:hAnsi="Times New Roman"/>
          <w:sz w:val="18"/>
          <w:szCs w:val="18"/>
          <w:color w:val="auto"/>
        </w:rPr>
        <w:t>. Whenever the Company is required to issue a new Debenture pursuant to the terms of this Debenture, such new Debenture (i) shall be of like tenor with this Debenture, (ii) shall represent, as indicated on the face of such new Debenture, the Principal remaining outstanding (or in the case of a new Debenture being issued pursuant to Section (5)(a) or Section (5)(c), the Principal designated by the Holder which, when added to the Principal represented by the other new Debentures issued in connection with such issuance, does not exceed the Principal remaining outstanding under this Debenture immediately prior to such issuance of new Debentures), (iii) shall have an issuance date, as indicated on the face of such new Debenture, which is the same as the Issuance Date of this Debenture, (iv) shall have the same rights and conditions as this Debenture, and</w:t>
      </w:r>
    </w:p>
    <w:p>
      <w:pPr>
        <w:spacing w:after="0" w:line="5"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represent accrued and unpaid Interest from the Issuance Date.</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296"/>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Any notices, consents, waivers or other communications required or permitted to be given under the terms hereof must be in writing by letter and email and will be deemed to have been delivered: upon the later of (A) either (i) receipt, when delivered personally or (ii) one (1) Business Day after deposit with an express courier service, in each case, properly addressed to the party to receive the same and (B) receipt, when sent by electronic mail. The addresses and e-mail addresses for such communications shall be: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 If to the Company, to:</w:t>
            </w: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Sono Group N.V.</w:t>
            </w:r>
          </w:p>
        </w:tc>
        <w:tc>
          <w:tcPr>
            <w:tcW w:w="0" w:type="dxa"/>
            <w:vAlign w:val="bottom"/>
          </w:tcPr>
          <w:p>
            <w:pPr>
              <w:spacing w:after="0"/>
              <w:rPr>
                <w:sz w:val="1"/>
                <w:szCs w:val="1"/>
                <w:color w:val="auto"/>
              </w:rPr>
            </w:pPr>
          </w:p>
        </w:tc>
      </w:tr>
      <w:tr>
        <w:trPr>
          <w:trHeight w:val="220"/>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Waldmeisterstraße 93</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80935 Munich</w:t>
            </w:r>
          </w:p>
        </w:tc>
        <w:tc>
          <w:tcPr>
            <w:tcW w:w="0" w:type="dxa"/>
            <w:vAlign w:val="bottom"/>
          </w:tcPr>
          <w:p>
            <w:pPr>
              <w:spacing w:after="0"/>
              <w:rPr>
                <w:sz w:val="1"/>
                <w:szCs w:val="1"/>
                <w:color w:val="auto"/>
              </w:rPr>
            </w:pPr>
          </w:p>
        </w:tc>
      </w:tr>
      <w:tr>
        <w:trPr>
          <w:trHeight w:val="216"/>
        </w:trPr>
        <w:tc>
          <w:tcPr>
            <w:tcW w:w="3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16"/>
        </w:trPr>
        <w:tc>
          <w:tcPr>
            <w:tcW w:w="3760" w:type="dxa"/>
            <w:vAlign w:val="bottom"/>
            <w:vMerge w:val="continue"/>
          </w:tcPr>
          <w:p>
            <w:pPr>
              <w:spacing w:after="0"/>
              <w:rPr>
                <w:sz w:val="18"/>
                <w:szCs w:val="18"/>
                <w:color w:val="auto"/>
              </w:rPr>
            </w:pP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Attn: Legal Department</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Email: legal@sonomotors.com</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DLA Piper Nederland N.V.</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Strawinskyhuis Prinses</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Amaliaplein 3 1077 XS Amsterdam</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Netherlands</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+31 (0)20 541 98 88</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Attention: Pabe Suurd</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E-Mail: Pabe.Suurd@dlapiper.com</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If to the Holder:</w:t>
            </w: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YA II PN, Ltd</w:t>
            </w:r>
          </w:p>
        </w:tc>
        <w:tc>
          <w:tcPr>
            <w:tcW w:w="0" w:type="dxa"/>
            <w:vAlign w:val="bottom"/>
          </w:tcPr>
          <w:p>
            <w:pPr>
              <w:spacing w:after="0"/>
              <w:rPr>
                <w:sz w:val="1"/>
                <w:szCs w:val="1"/>
                <w:color w:val="auto"/>
              </w:rPr>
            </w:pPr>
          </w:p>
        </w:tc>
      </w:tr>
      <w:tr>
        <w:trPr>
          <w:trHeight w:val="220"/>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 Yorkville Advisors Global, LLC</w:t>
            </w:r>
          </w:p>
        </w:tc>
        <w:tc>
          <w:tcPr>
            <w:tcW w:w="0" w:type="dxa"/>
            <w:vAlign w:val="bottom"/>
          </w:tcPr>
          <w:p>
            <w:pPr>
              <w:spacing w:after="0"/>
              <w:rPr>
                <w:sz w:val="1"/>
                <w:szCs w:val="1"/>
                <w:color w:val="auto"/>
              </w:rPr>
            </w:pPr>
          </w:p>
        </w:tc>
      </w:tr>
      <w:tr>
        <w:trPr>
          <w:trHeight w:val="216"/>
        </w:trPr>
        <w:tc>
          <w:tcPr>
            <w:tcW w:w="3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1012 Springfield Avenue</w:t>
            </w:r>
          </w:p>
        </w:tc>
        <w:tc>
          <w:tcPr>
            <w:tcW w:w="0" w:type="dxa"/>
            <w:vAlign w:val="bottom"/>
          </w:tcPr>
          <w:p>
            <w:pPr>
              <w:spacing w:after="0"/>
              <w:rPr>
                <w:sz w:val="1"/>
                <w:szCs w:val="1"/>
                <w:color w:val="auto"/>
              </w:rPr>
            </w:pPr>
          </w:p>
        </w:tc>
      </w:tr>
      <w:tr>
        <w:trPr>
          <w:trHeight w:val="212"/>
        </w:trPr>
        <w:tc>
          <w:tcPr>
            <w:tcW w:w="3760" w:type="dxa"/>
            <w:vAlign w:val="bottom"/>
            <w:vMerge w:val="continue"/>
          </w:tcPr>
          <w:p>
            <w:pPr>
              <w:spacing w:after="0"/>
              <w:rPr>
                <w:sz w:val="18"/>
                <w:szCs w:val="18"/>
                <w:color w:val="auto"/>
              </w:rPr>
            </w:pP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Mountainside, NJ 07092</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Attention: Mark Angelo</w:t>
            </w:r>
          </w:p>
        </w:tc>
        <w:tc>
          <w:tcPr>
            <w:tcW w:w="0" w:type="dxa"/>
            <w:vAlign w:val="bottom"/>
          </w:tcPr>
          <w:p>
            <w:pPr>
              <w:spacing w:after="0"/>
              <w:rPr>
                <w:sz w:val="1"/>
                <w:szCs w:val="1"/>
                <w:color w:val="auto"/>
              </w:rPr>
            </w:pPr>
          </w:p>
        </w:tc>
      </w:tr>
      <w:tr>
        <w:trPr>
          <w:trHeight w:val="220"/>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Telephone: 201-985-8300</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Email:  Legal@yorkvilleadvisors.com</w:t>
            </w:r>
          </w:p>
        </w:tc>
        <w:tc>
          <w:tcPr>
            <w:tcW w:w="0" w:type="dxa"/>
            <w:vAlign w:val="bottom"/>
          </w:tcPr>
          <w:p>
            <w:pPr>
              <w:spacing w:after="0"/>
              <w:rPr>
                <w:sz w:val="1"/>
                <w:szCs w:val="1"/>
                <w:color w:val="auto"/>
              </w:rPr>
            </w:pPr>
          </w:p>
        </w:tc>
      </w:t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3" w:lineRule="auto"/>
        <w:rPr>
          <w:sz w:val="20"/>
          <w:szCs w:val="20"/>
          <w:color w:val="auto"/>
        </w:rPr>
      </w:pPr>
      <w:r>
        <w:rPr>
          <w:rFonts w:ascii="Times New Roman" w:cs="Times New Roman" w:eastAsia="Times New Roman" w:hAnsi="Times New Roman"/>
          <w:sz w:val="18"/>
          <w:szCs w:val="18"/>
          <w:color w:val="auto"/>
        </w:rPr>
        <w:t>or at such other address and/or email and/or to the attention of such other person as the recipient party has specified by written notice given to each other party three (3) Business Days prior to the effectiveness of such change. Written confirmation of receipt (i) given by the recipient of such notice, consent, waiver or other communication, (ii) electronically generated by the sender's email service provider containing the time, date, recipient email address or (iii) provided by a nationally recognized overnight delivery service, shall be rebuttable evidence of personal service, receipt by email or receipt from a nationally recognized overnight delivery service in accordance with clause (i), (ii) or (iii) above, respectively.   </w:t>
      </w:r>
    </w:p>
    <w:p>
      <w:pPr>
        <w:spacing w:after="0" w:line="205"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(7)           Except as expressly provided herein, no provision of this Debenture shall alter or impair the obligations of the Company, which are absolute and unconditional, to pay the Principal of, interest and other charges (if any) on, this Debenture at the time, place, and rate, and in the coin or currency, herein prescribed. This Debenture is a direct obligation of the Company. As long as this Debenture is outstanding, the Company shall not and shall cause its Subsidiaries not to, without the consent of the Holder, (i) amend its articles of association so as to materially and adversely affect any rights of the Holder; (ii) repay, repurchase or offer to repay, repurchase or otherwise acquire Ordinary Shares or other equity securities; or (iii) enter into any agreement with respect to any of the foregoing.</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 w:name="page12"/>
    <w:bookmarkEnd w:id="11"/>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(8)           This Debenture shall not entitle the Holder to any of the rights of a stockholder of the Company, including without limitation, the right to vote, to receive dividends and other distributions, or to receive any notice of, or to attend, meetings of stockholders or any other proceedings of the Company, unless and to the extent converted into Ordinary Shares in accordance with the terms hereof.</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(9)           After the Issuance Date, without the Holder’s consent, the Company will not and will not permit any of its Subsidiaries to, directly or indirectly, enter into, create, incur, assume or suffer to exist any indebtedness or any security interests or liens of any kind, on or with respect to any of its property or assets now owned or hereafter acquired or any interest therein or any income or profits therefrom.</w:t>
      </w:r>
    </w:p>
    <w:p>
      <w:pPr>
        <w:spacing w:after="0" w:line="186" w:lineRule="exact"/>
        <w:rPr>
          <w:sz w:val="20"/>
          <w:szCs w:val="20"/>
          <w:color w:val="auto"/>
        </w:rPr>
      </w:pPr>
    </w:p>
    <w:p>
      <w:pPr>
        <w:ind w:left="1960" w:hanging="656"/>
        <w:spacing w:after="0"/>
        <w:tabs>
          <w:tab w:leader="none" w:pos="1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 VENUE</w:t>
      </w: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2592"/>
        <w:spacing w:after="0" w:line="250" w:lineRule="auto"/>
        <w:rPr>
          <w:sz w:val="20"/>
          <w:szCs w:val="20"/>
          <w:color w:val="auto"/>
        </w:rPr>
      </w:pPr>
      <w:r>
        <w:rPr>
          <w:rFonts w:ascii="Times New Roman" w:cs="Times New Roman" w:eastAsia="Times New Roman" w:hAnsi="Times New Roman"/>
          <w:sz w:val="18"/>
          <w:szCs w:val="18"/>
          <w:color w:val="auto"/>
        </w:rPr>
        <w:t>This Debenture shall be governed by and construed in accordance with the laws of the State of New York, without giving effect to conflicts of laws thereof. Each of the parties consents to the jurisdiction of the Supreme Court of the State of New York located in the City of New York, Borough of Manhattan, and the U.S. District Court for the Southern District of New York in connection with any dispute arising under this Debenture and hereby waives, to the maximum extent permitted by law, any objection, including any objection based on forum non conveniens to the bringing of any such proceeding in such jurisdictions. THE PARTIES HEREBY KNOWINGLY, VOLUNTARILY AND INTENTIONALLY WAIVE THE RIGHT ANY OF THEM MAY HAVE TO A TRIAL BY JURY IN RESPECT OF ANY LITIGATION BASED HEREON OR ARISING OUT OF, UNDER OR IN CONNECTION WITH THIS AGREEMENT OR ANY TRANSACTION DOCUMENT OR ANY COURSE OF CONDUCT, COURSE OF DEALING, STATEMENTS (WHETHER VERBAL OR WRITTEN) OR ACTIONS OF ANY PARTY. THIS PROVISION IS A MATERIAL INDUCEMENT FOR THE PARTIES’ ACCEPTANCE OF THIS AGREEMENT.</w:t>
      </w:r>
    </w:p>
    <w:p>
      <w:pPr>
        <w:spacing w:after="0" w:line="4"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(11)         If the Company or any Guarantor fails to materially comply with the terms of this Debenture and/or any other Transaction Documents, then, to the extent reasonably incurred and documented, the Company shall reimburse the Holder for all fees, costs and expenses, including, without limitation, attorneys’ fees and expenses incurred by the Holder in any action in connection with this Debenture and/or any other Transaction Document, including, without limitation, those incurred: (i) during any workout, attempted workout, and/or in connection with the rendering of legal advice as to the Holder’s rights, remedies and obligations, (ii) collecting any sums which become due to the Holder, (iii) defending or prosecuting any proceeding or any counterclaim to any proceeding or appeal; or (iv) the protection, preservation or enforcement of any rights or remedies of the Holder.</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(12)         Any waiver by the Holder of a breach of any provision of this Debenture shall not operate as or be construed to be a waiver of any other breach of such provision or of any breach of any other provision of this Debenture. The failure of the Holder to insist upon strict adherence to any term of this Debenture on one or more occasions shall not be considered a waiver or deprive that party of the right thereafter to insist upon strict adherence to that term or any other term of this Debenture. Any waiver must be in writing.  </w:t>
      </w:r>
    </w:p>
    <w:p>
      <w:pPr>
        <w:spacing w:after="0" w:line="207"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(13)         If any provision of this Debenture is invalid, illegal or unenforceable, the balance of this Debenture shall remain in effect, and if any provision is inapplicable to any person or circumstance, it shall nevertheless remain applicable to all other persons and circumstances. If it shall be found that any interest or other amount deemed interest due hereunder shall violate applicable laws governing usury, the applicable rate of interest due hereunder shall automatically be lowered to equal the maximum permitted rate of interest. The Company covenants (to the extent that it may lawfully do so) that it shall not at any time insist upon, plead, or in any manner whatsoever claim or take the benefit or advantage of, any stay, extension or usury law or other law which would prohibit or forgive the Company from paying all or any portion of the Principal of or interest on this Debenture as contemplated herein, wherever enacted, now or at any time hereafter in force, or which may affect the covenants or the performance of this indenture, and the Company (to the extent it may lawfully do so) hereby expressly waives all benefits or advantage of any such law, and covenants that it will not, by resort to any such law, hinder, delay or impeded the execution of any power herein granted to the Holder, but will suffer and permit the execution of every such as though no such law has been enacted.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356870</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auto"/>
        </w:rPr>
        <w:t>(14)         Whenever any payment or other obligation hereunder shall be due on a day other than a Business Day, such payment shall be made on the next succeeding Business Day.</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  CERTAIN DEFINITIONS.</w:t>
      </w:r>
      <w:r>
        <w:rPr>
          <w:rFonts w:ascii="Times New Roman" w:cs="Times New Roman" w:eastAsia="Times New Roman" w:hAnsi="Times New Roman"/>
          <w:sz w:val="18"/>
          <w:szCs w:val="18"/>
          <w:color w:val="auto"/>
        </w:rPr>
        <w:t xml:space="preserve"> For purposes of this Debenture, the following terms shall have the following meanings: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520" w:hanging="568"/>
        <w:spacing w:after="0"/>
        <w:tabs>
          <w:tab w:leader="none" w:pos="2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means Bloomberg Financial Markets.</w:t>
      </w:r>
    </w:p>
    <w:p>
      <w:pPr>
        <w:spacing w:after="0" w:line="9"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firstLine="1952"/>
        <w:spacing w:after="0" w:line="250" w:lineRule="auto"/>
        <w:tabs>
          <w:tab w:leader="none" w:pos="248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except Saturday, Sunday and any day which shall be a federal legal holiday in the United States or a day on which banking institutions are authorized or required by law or other government action to close.</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Change of Control Transaction</w:t>
      </w:r>
      <w:r>
        <w:rPr>
          <w:rFonts w:ascii="Times New Roman" w:cs="Times New Roman" w:eastAsia="Times New Roman" w:hAnsi="Times New Roman"/>
          <w:sz w:val="18"/>
          <w:szCs w:val="18"/>
          <w:color w:val="auto"/>
        </w:rPr>
        <w:t>” means the occurrence of (a) an acquisition after the date hereof by an individual or legal entity or “group” (as described in Rule 13d-5(b)(1) promulgated under the Exchange Act) of effective control (whether through legal or beneficial ownership of capital stock of the Company, by contract or otherwise) of in excess of fifty percent (50%) of the voting power of the Company (except that the acquisition of voting securities by the Holder or any other current holder of convertible securities of the Company shall not constitute a Change of Control Transaction for purposes hereof), (b) a replacement at one time or over time of more than one-half of the members of the management board or supervisory board of the Company (other than as due to the death or disability of a member of the management board or supervisory board) which is not approved by a majority of those individuals who are members of the management board or supervisory board on the date hereof (or by those individuals who are serving as members of the board of directors on any date whose nomination to the management board or supervisory board was approved by a majority of the members of the management board or supervisory board who are members on the date hereof), (c) the merger, consolidation or sale of fifty percent (50%) or more of the assets of the Company or any Subsidiary of the Company in one or a series of related transactions with or into another entity, or (d) the execution by the Company of an agreement to which the Company is a party or by which it is bound, providing for any of the events set forth above in (a), (b) or (c). No transfer to a wholly-owned Subsidiary shall be deemed a Change of Control Transaction under this provision.  </w:t>
      </w:r>
    </w:p>
    <w:p>
      <w:pPr>
        <w:spacing w:after="0" w:line="210" w:lineRule="exact"/>
        <w:rPr>
          <w:sz w:val="20"/>
          <w:szCs w:val="20"/>
          <w:color w:val="auto"/>
        </w:rPr>
      </w:pPr>
    </w:p>
    <w:p>
      <w:pPr>
        <w:ind w:firstLine="1952"/>
        <w:spacing w:after="0" w:line="260" w:lineRule="auto"/>
        <w:tabs>
          <w:tab w:leader="none" w:pos="251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Price</w:t>
      </w:r>
      <w:r>
        <w:rPr>
          <w:rFonts w:ascii="Times New Roman" w:cs="Times New Roman" w:eastAsia="Times New Roman" w:hAnsi="Times New Roman"/>
          <w:sz w:val="18"/>
          <w:szCs w:val="18"/>
          <w:color w:val="auto"/>
        </w:rPr>
        <w:t>” means the price per share in the last reported trade of the Ordinary Shares on a Primary Market or on the exchange or over-the-counter market on which the Ordinary Shares is then listed as quoted by Bloomberg.</w:t>
      </w:r>
    </w:p>
    <w:p>
      <w:pPr>
        <w:spacing w:after="0" w:line="181"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has the meaning given to such term in the Security Agreement and the Pledge Agreement.</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520" w:hanging="568"/>
        <w:spacing w:after="0"/>
        <w:tabs>
          <w:tab w:leader="none" w:pos="2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Securities and Exchange Commission.</w:t>
      </w:r>
    </w:p>
    <w:p>
      <w:pPr>
        <w:spacing w:after="0" w:line="9"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2540" w:hanging="588"/>
        <w:spacing w:after="0"/>
        <w:tabs>
          <w:tab w:leader="none" w:pos="2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9"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952"/>
        <w:spacing w:after="0" w:line="250" w:lineRule="auto"/>
        <w:tabs>
          <w:tab w:leader="none" w:pos="2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 Price</w:t>
      </w:r>
      <w:r>
        <w:rPr>
          <w:rFonts w:ascii="Times New Roman" w:cs="Times New Roman" w:eastAsia="Times New Roman" w:hAnsi="Times New Roman"/>
          <w:sz w:val="18"/>
          <w:szCs w:val="18"/>
          <w:color w:val="auto"/>
        </w:rPr>
        <w:t>” solely with respect to the Variable Conversion Price, shall mean a price per share equal to 20% of the Closing Price on the Trading Day immediately prior to the Issuance Date of this Debenture. Notwithstanding the foregoing, the Company may reduce the</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Floor Price to any amounts set forth in a written notice to the Holder; provided that such reduction shall be irrevocable and shall not be subject to increase thereafter.</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2"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xml:space="preserve"> means any of the following: (1) the Company effects any merger or consolidation of the Company with or into another Person and the Company is the non-surviving company (other than a merger or consolidation with a wholly owned Subsidiary of the Company for the purpose of redomiciling the Company), (2) the Company effects any sale of all or substantially all of its assets in one or a series of related transactions, (3) any tender offer or exchange offer (whether by the Company or another Person) is completed pursuant to which holders of Ordinary Shares are permitted to tender or exchange their shares for other securities, cash or property, or (4) the Company effects any reclassification of the Ordinary Shares or any compulsory share exchange pursuant to which the Ordinary Shares is effectively converted into or exchanged for other securities, cash or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 w:name="page14"/>
    <w:bookmarkEnd w:id="13"/>
    <w:p>
      <w:pPr>
        <w:ind w:left="2440" w:hanging="488"/>
        <w:spacing w:after="0"/>
        <w:tabs>
          <w:tab w:leader="none" w:pos="2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means each of the guarantors from time to time party to the Guaranty.</w:t>
      </w:r>
    </w:p>
    <w:p>
      <w:pPr>
        <w:spacing w:after="0" w:line="27"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firstLine="1952"/>
        <w:spacing w:after="0" w:line="260" w:lineRule="auto"/>
        <w:tabs>
          <w:tab w:leader="none" w:pos="25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means that certain Guaranty Agreement, dated as of June 20, 2024, made by each of the Guarantors party thereto from time to time in favor of the Holder, as may be amended, restated, supplemented or otherwise modified from time to time.</w:t>
      </w:r>
    </w:p>
    <w:p>
      <w:pPr>
        <w:spacing w:after="0" w:line="181" w:lineRule="exact"/>
        <w:rPr>
          <w:sz w:val="20"/>
          <w:szCs w:val="20"/>
          <w:color w:val="auto"/>
        </w:rPr>
      </w:pPr>
    </w:p>
    <w:p>
      <w:pPr>
        <w:jc w:val="both"/>
        <w:ind w:firstLine="1944"/>
        <w:spacing w:after="0" w:line="267" w:lineRule="auto"/>
        <w:rPr>
          <w:sz w:val="20"/>
          <w:szCs w:val="20"/>
          <w:color w:val="auto"/>
        </w:rPr>
      </w:pPr>
      <w:r>
        <w:rPr>
          <w:rFonts w:ascii="Times New Roman" w:cs="Times New Roman" w:eastAsia="Times New Roman" w:hAnsi="Times New Roman"/>
          <w:sz w:val="17"/>
          <w:szCs w:val="17"/>
          <w:color w:val="auto"/>
        </w:rPr>
        <w:t>(k)            “</w:t>
      </w:r>
      <w:r>
        <w:rPr>
          <w:rFonts w:ascii="Times New Roman" w:cs="Times New Roman" w:eastAsia="Times New Roman" w:hAnsi="Times New Roman"/>
          <w:sz w:val="17"/>
          <w:szCs w:val="17"/>
          <w:u w:val="single" w:color="auto"/>
          <w:color w:val="auto"/>
        </w:rPr>
        <w:t>Obligations</w:t>
      </w:r>
      <w:r>
        <w:rPr>
          <w:rFonts w:ascii="Times New Roman" w:cs="Times New Roman" w:eastAsia="Times New Roman" w:hAnsi="Times New Roman"/>
          <w:sz w:val="17"/>
          <w:szCs w:val="17"/>
          <w:color w:val="auto"/>
        </w:rPr>
        <w:t>” means all of the Company’s and each Guarantor’s now existing and hereafter created or arising obligations, indebtedness and liabilities of any kind (whether primary or secondary, conditional or unconditional, contingent or noncontingent, joint or several) owed to the Holder, whether existing, created, incurred or arising in the Company’s or such Guarantor’s capacity as a borrower, guarantor, indemnitor, customer, purchaser, lessee, licensee, applicant, counterparty, debtor or other obligor, including (a) any loan amount, principal, interest (including interest accruing during the pendency of any bankruptcy, insolvency, receivership or other similar proceeding, regardless of whether allowed or allowable in such proceeding), fee, charge, indemnification obligation, reimbursement obligation, royalty, premium, cost, expense, price, rent or other amount owed by the Company or such Guarantor to the Holder at any time, including future advances, protective advances and other financial accommodations, (b) any obligations, indebtedness or liabilities of the Company and the Guarantors to the Holder under any Transaction Document at any time, and (c) any of the foregoing that may have been, or that may be, acquired by the Holder from any third party, the Company or any Guarantor at any time.</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60"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means the Ordinary Shares, nominal value €0.06, of the Company and shares of any other class into which such shares may hereafter be changed or reclassified.</w:t>
      </w:r>
    </w:p>
    <w:p>
      <w:pPr>
        <w:spacing w:after="0" w:line="181" w:lineRule="exact"/>
        <w:rPr>
          <w:sz w:val="20"/>
          <w:szCs w:val="20"/>
          <w:color w:val="auto"/>
        </w:rPr>
      </w:pPr>
    </w:p>
    <w:p>
      <w:pPr>
        <w:jc w:val="both"/>
        <w:ind w:firstLine="1952"/>
        <w:spacing w:after="0" w:line="255" w:lineRule="auto"/>
        <w:tabs>
          <w:tab w:leader="none" w:pos="253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Debentures</w:t>
      </w:r>
      <w:r>
        <w:rPr>
          <w:rFonts w:ascii="Times New Roman" w:cs="Times New Roman" w:eastAsia="Times New Roman" w:hAnsi="Times New Roman"/>
          <w:sz w:val="18"/>
          <w:szCs w:val="18"/>
          <w:color w:val="auto"/>
        </w:rPr>
        <w:t>” means (i) the convertible debenture issued on December 7, 2022 in the original principal amount of USD 11,100,000 and designated as “SEV-1,” (ii) the convertible debenture issued on December 8, 2022 in the original principal amount of USD 10,000,000 and designated as “SEV-2,”(iii) the convertible debenture issued on December 20, 2022 in the original principal amount of USD 10,000,000 and designated as “SEV-3,” (iv) the convertible debenture issued on February 5, 2024 in the original principal amount of USD 4,317,600 and designated as “SEV-4,” (v) the convertible debenture issued on August 30, 2024 in the original principal amount of USD 3,338,100 and designated as “SEV-5,” (vi) the convertible debenture issued on February 12, 2025 in the original principal amount of USD 1,000,000 and designated as “SEV-6a,” and (vii) the convertible debenture issued on March 25, 2025 in the original principal amount of USD 1,000,000 and designated as “SEV-6b.”</w:t>
      </w:r>
    </w:p>
    <w:p>
      <w:pPr>
        <w:spacing w:after="0" w:line="189" w:lineRule="exact"/>
        <w:rPr>
          <w:sz w:val="20"/>
          <w:szCs w:val="20"/>
          <w:color w:val="auto"/>
        </w:rPr>
      </w:pPr>
    </w:p>
    <w:p>
      <w:pPr>
        <w:ind w:right="20" w:firstLine="1944"/>
        <w:spacing w:after="0" w:line="282"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 corporation, an association, a partnership, organization, a business, an individual, a government or political subdivision thereof or a governmental agency.</w:t>
      </w:r>
    </w:p>
    <w:p>
      <w:pPr>
        <w:spacing w:after="0" w:line="162" w:lineRule="exact"/>
        <w:rPr>
          <w:sz w:val="20"/>
          <w:szCs w:val="20"/>
          <w:color w:val="auto"/>
        </w:rPr>
      </w:pPr>
    </w:p>
    <w:p>
      <w:pPr>
        <w:ind w:firstLine="1952"/>
        <w:spacing w:after="0" w:line="261" w:lineRule="auto"/>
        <w:tabs>
          <w:tab w:leader="none" w:pos="261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 Agreement</w:t>
      </w:r>
      <w:r>
        <w:rPr>
          <w:rFonts w:ascii="Times New Roman" w:cs="Times New Roman" w:eastAsia="Times New Roman" w:hAnsi="Times New Roman"/>
          <w:sz w:val="18"/>
          <w:szCs w:val="18"/>
          <w:color w:val="auto"/>
        </w:rPr>
        <w:t>” means that certain Pledge Agreement, dated as of February 5, 2024, by the Company and the Guarantors from time to time party thereto in favor of the Holder, as may be amended, restated, supplemented or otherwise modified from time to time.</w:t>
      </w: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0"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Primary Market</w:t>
      </w:r>
      <w:r>
        <w:rPr>
          <w:rFonts w:ascii="Times New Roman" w:cs="Times New Roman" w:eastAsia="Times New Roman" w:hAnsi="Times New Roman"/>
          <w:sz w:val="18"/>
          <w:szCs w:val="18"/>
          <w:color w:val="auto"/>
        </w:rPr>
        <w:t>” means any of OTCQB, The New York Stock Exchange, the Nasdaq Global Market or the Nasdaq Global Select Market, and any successor to any of the foregoing markets or exchanges.</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u w:val="single" w:color="auto"/>
          <w:color w:val="auto"/>
        </w:rPr>
        <w:t>Redemption Premium</w:t>
      </w:r>
      <w:r>
        <w:rPr>
          <w:rFonts w:ascii="Times New Roman" w:cs="Times New Roman" w:eastAsia="Times New Roman" w:hAnsi="Times New Roman"/>
          <w:sz w:val="18"/>
          <w:szCs w:val="18"/>
          <w:color w:val="auto"/>
        </w:rPr>
        <w:t>” means four percent (4%) of the Principal amount being redeemed or paid.</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07" w:lineRule="exact"/>
        <w:rPr>
          <w:sz w:val="20"/>
          <w:szCs w:val="20"/>
          <w:color w:val="auto"/>
        </w:rPr>
      </w:pPr>
    </w:p>
    <w:p>
      <w:pPr>
        <w:ind w:firstLine="1952"/>
        <w:spacing w:after="0" w:line="282" w:lineRule="auto"/>
        <w:tabs>
          <w:tab w:leader="none" w:pos="253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Agreement</w:t>
      </w:r>
      <w:r>
        <w:rPr>
          <w:rFonts w:ascii="Times New Roman" w:cs="Times New Roman" w:eastAsia="Times New Roman" w:hAnsi="Times New Roman"/>
          <w:sz w:val="18"/>
          <w:szCs w:val="18"/>
          <w:color w:val="auto"/>
        </w:rPr>
        <w:t>” means that certain Security Agreement, dated as of February 5, 2024, by the Company and the Guarantors from time to time party thereto in favor of the Holder, as may be amended, restated, supplemented or otherwise modified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 w:name="page15"/>
    <w:bookmarkEnd w:id="14"/>
    <w:p>
      <w:pPr>
        <w:jc w:val="both"/>
        <w:ind w:firstLine="1952"/>
        <w:spacing w:after="0" w:line="257" w:lineRule="auto"/>
        <w:tabs>
          <w:tab w:leader="none" w:pos="263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Documents</w:t>
      </w:r>
      <w:r>
        <w:rPr>
          <w:rFonts w:ascii="Times New Roman" w:cs="Times New Roman" w:eastAsia="Times New Roman" w:hAnsi="Times New Roman"/>
          <w:sz w:val="18"/>
          <w:szCs w:val="18"/>
          <w:color w:val="auto"/>
        </w:rPr>
        <w:t>” means, collectively, the Security Agreement, the Pledge Agreement, and any other security agreements, pledge agreements or other similar agreements delivered to the Holder, the Guaranty and each of the other agreements, instruments or documents that creates a lien or guaranty in favor of the Holder.</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Ordinary Shares are quoted or traded on a Primary Market on which the Ordinary Shares are then quoted or listed; provided, that in the event that the Ordinary Shares are not listed or quoted, then Trading Day shall mean a Business Day.</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Transaction Document</w:t>
      </w:r>
      <w:r>
        <w:rPr>
          <w:rFonts w:ascii="Times New Roman" w:cs="Times New Roman" w:eastAsia="Times New Roman" w:hAnsi="Times New Roman"/>
          <w:sz w:val="18"/>
          <w:szCs w:val="18"/>
          <w:color w:val="auto"/>
        </w:rPr>
        <w:t>” means, each of, the Securities Purchase Agreement, the Registration Rights Agreement, the Other Debentures, the Security Documents and any and all documents, agreements, instruments or other items executed or delivered in connection with any of the foregoing.</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u w:val="single" w:color="auto"/>
          <w:color w:val="auto"/>
        </w:rPr>
        <w:t>Underlying Shares</w:t>
      </w:r>
      <w:r>
        <w:rPr>
          <w:rFonts w:ascii="Times New Roman" w:cs="Times New Roman" w:eastAsia="Times New Roman" w:hAnsi="Times New Roman"/>
          <w:sz w:val="18"/>
          <w:szCs w:val="18"/>
          <w:color w:val="auto"/>
        </w:rPr>
        <w:t>” means the Ordinary Shares issuable upon conversion of this Debenture or as payment of interest in accordance with the terms hereof.</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65" w:lineRule="auto"/>
        <w:rPr>
          <w:sz w:val="20"/>
          <w:szCs w:val="20"/>
          <w:color w:val="auto"/>
        </w:rPr>
      </w:pPr>
      <w:r>
        <w:rPr>
          <w:rFonts w:ascii="Times New Roman" w:cs="Times New Roman" w:eastAsia="Times New Roman" w:hAnsi="Times New Roman"/>
          <w:sz w:val="17"/>
          <w:szCs w:val="17"/>
          <w:color w:val="auto"/>
        </w:rPr>
        <w:t>(x)           “</w:t>
      </w:r>
      <w:r>
        <w:rPr>
          <w:rFonts w:ascii="Times New Roman" w:cs="Times New Roman" w:eastAsia="Times New Roman" w:hAnsi="Times New Roman"/>
          <w:sz w:val="17"/>
          <w:szCs w:val="17"/>
          <w:u w:val="single" w:color="auto"/>
          <w:color w:val="auto"/>
        </w:rPr>
        <w:t>VWAP</w:t>
      </w:r>
      <w:r>
        <w:rPr>
          <w:rFonts w:ascii="Times New Roman" w:cs="Times New Roman" w:eastAsia="Times New Roman" w:hAnsi="Times New Roman"/>
          <w:sz w:val="17"/>
          <w:szCs w:val="17"/>
          <w:color w:val="auto"/>
        </w:rPr>
        <w:t>” means, for any security as of any date, the daily dollar volume-weighted average price for such security on the Primary Market during regular trading hours as reported by Bloomberg through its “Historical Prices - Px Table with Average Daily Volume” functions.</w:t>
      </w: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1600200</wp:posOffset>
            </wp:positionV>
            <wp:extent cx="71323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Company has caused this Secured Convertible Debenture to be duly executed by a duly authorized officer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set forth above.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tbl>
      <w:tblPr>
        <w:tblLayout w:type="fixed"/>
        <w:tblInd w:w="0" w:type="dxa"/>
        <w:tblCellMar>
          <w:top w:w="0" w:type="dxa"/>
          <w:left w:w="0" w:type="dxa"/>
          <w:bottom w:w="0" w:type="dxa"/>
          <w:right w:w="0" w:type="dxa"/>
        </w:tblCellMar>
      </w:tblPr>
      <w:tr>
        <w:trPr>
          <w:trHeight w:val="203"/>
        </w:trPr>
        <w:tc>
          <w:tcPr>
            <w:tcW w:w="28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 </w:t>
            </w:r>
          </w:p>
        </w:tc>
        <w:tc>
          <w:tcPr>
            <w:tcW w:w="6080" w:type="dxa"/>
            <w:vAlign w:val="bottom"/>
            <w:gridSpan w:val="2"/>
          </w:tcPr>
          <w:p>
            <w:pPr>
              <w:ind w:left="2800"/>
              <w:spacing w:after="0" w:line="203" w:lineRule="exact"/>
              <w:rPr>
                <w:sz w:val="20"/>
                <w:szCs w:val="20"/>
                <w:color w:val="auto"/>
              </w:rPr>
            </w:pPr>
            <w:r>
              <w:rPr>
                <w:rFonts w:ascii="Times New Roman" w:cs="Times New Roman" w:eastAsia="Times New Roman" w:hAnsi="Times New Roman"/>
                <w:sz w:val="18"/>
                <w:szCs w:val="18"/>
                <w:b w:val="1"/>
                <w:bCs w:val="1"/>
                <w:color w:val="auto"/>
              </w:rPr>
              <w:t>COMPANY:</w:t>
            </w:r>
          </w:p>
        </w:tc>
        <w:tc>
          <w:tcPr>
            <w:tcW w:w="2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080" w:type="dxa"/>
            <w:vAlign w:val="bottom"/>
            <w:gridSpan w:val="2"/>
          </w:tcPr>
          <w:p>
            <w:pPr>
              <w:ind w:left="2800"/>
              <w:spacing w:after="0"/>
              <w:rPr>
                <w:sz w:val="20"/>
                <w:szCs w:val="20"/>
                <w:color w:val="auto"/>
              </w:rPr>
            </w:pPr>
            <w:r>
              <w:rPr>
                <w:rFonts w:ascii="Times New Roman" w:cs="Times New Roman" w:eastAsia="Times New Roman" w:hAnsi="Times New Roman"/>
                <w:sz w:val="18"/>
                <w:szCs w:val="18"/>
                <w:b w:val="1"/>
                <w:bCs w:val="1"/>
                <w:color w:val="auto"/>
              </w:rPr>
              <w:t>SONO GROUP N.V.</w:t>
            </w: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080" w:type="dxa"/>
            <w:vAlign w:val="bottom"/>
            <w:gridSpan w:val="2"/>
            <w:vMerge w:val="restart"/>
          </w:tcPr>
          <w:p>
            <w:pPr>
              <w:ind w:left="2780"/>
              <w:spacing w:after="0"/>
              <w:rPr>
                <w:sz w:val="20"/>
                <w:szCs w:val="20"/>
                <w:color w:val="auto"/>
              </w:rPr>
            </w:pPr>
            <w:r>
              <w:rPr>
                <w:rFonts w:ascii="Times New Roman" w:cs="Times New Roman" w:eastAsia="Times New Roman" w:hAnsi="Times New Roman"/>
                <w:sz w:val="18"/>
                <w:szCs w:val="18"/>
                <w:color w:val="auto"/>
              </w:rPr>
              <w:t>By: /s/ George G. O’Leary</w:t>
            </w:r>
          </w:p>
        </w:tc>
        <w:tc>
          <w:tcPr>
            <w:tcW w:w="2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6080" w:type="dxa"/>
            <w:vAlign w:val="bottom"/>
            <w:gridSpan w:val="2"/>
            <w:vMerge w:val="continue"/>
          </w:tcPr>
          <w:p>
            <w:pPr>
              <w:spacing w:after="0"/>
              <w:rPr>
                <w:sz w:val="18"/>
                <w:szCs w:val="18"/>
                <w:color w:val="auto"/>
              </w:rPr>
            </w:pP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vMerge w:val="continu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820" w:type="dxa"/>
            <w:vAlign w:val="bottom"/>
            <w:vMerge w:val="continue"/>
          </w:tcPr>
          <w:p>
            <w:pPr>
              <w:spacing w:after="0"/>
              <w:rPr>
                <w:sz w:val="16"/>
                <w:szCs w:val="16"/>
                <w:color w:val="auto"/>
              </w:rPr>
            </w:pPr>
          </w:p>
        </w:tc>
        <w:tc>
          <w:tcPr>
            <w:tcW w:w="6080" w:type="dxa"/>
            <w:vAlign w:val="bottom"/>
            <w:gridSpan w:val="2"/>
          </w:tcPr>
          <w:p>
            <w:pPr>
              <w:ind w:left="2800"/>
              <w:spacing w:after="0" w:line="191" w:lineRule="exact"/>
              <w:rPr>
                <w:sz w:val="20"/>
                <w:szCs w:val="20"/>
                <w:color w:val="auto"/>
              </w:rPr>
            </w:pPr>
            <w:r>
              <w:rPr>
                <w:rFonts w:ascii="Times New Roman" w:cs="Times New Roman" w:eastAsia="Times New Roman" w:hAnsi="Times New Roman"/>
                <w:sz w:val="18"/>
                <w:szCs w:val="18"/>
                <w:color w:val="auto"/>
              </w:rPr>
              <w:t>Name: George G. O’Leary</w:t>
            </w:r>
          </w:p>
        </w:tc>
        <w:tc>
          <w:tcPr>
            <w:tcW w:w="2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08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Title: CEO and Managing Director</w:t>
            </w: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1"/>
        </w:trPr>
        <w:tc>
          <w:tcPr>
            <w:tcW w:w="28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820" w:type="dxa"/>
            <w:vAlign w:val="bottom"/>
            <w:shd w:val="clear" w:color="auto" w:fill="000000"/>
          </w:tcPr>
          <w:p>
            <w:pPr>
              <w:spacing w:after="0"/>
              <w:rPr>
                <w:sz w:val="5"/>
                <w:szCs w:val="5"/>
                <w:color w:val="auto"/>
              </w:rPr>
            </w:pPr>
          </w:p>
        </w:tc>
        <w:tc>
          <w:tcPr>
            <w:tcW w:w="3040" w:type="dxa"/>
            <w:vAlign w:val="bottom"/>
            <w:shd w:val="clear" w:color="auto" w:fill="000000"/>
          </w:tcPr>
          <w:p>
            <w:pPr>
              <w:spacing w:after="0"/>
              <w:rPr>
                <w:sz w:val="5"/>
                <w:szCs w:val="5"/>
                <w:color w:val="auto"/>
              </w:rPr>
            </w:pPr>
          </w:p>
        </w:tc>
        <w:tc>
          <w:tcPr>
            <w:tcW w:w="3040" w:type="dxa"/>
            <w:vAlign w:val="bottom"/>
            <w:shd w:val="clear" w:color="auto" w:fill="000000"/>
          </w:tcPr>
          <w:p>
            <w:pPr>
              <w:spacing w:after="0"/>
              <w:rPr>
                <w:sz w:val="5"/>
                <w:szCs w:val="5"/>
                <w:color w:val="auto"/>
              </w:rPr>
            </w:pPr>
          </w:p>
        </w:tc>
        <w:tc>
          <w:tcPr>
            <w:tcW w:w="234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EXHIBIT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CONVERSION NOTICE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executed by the Holder in order to Convert the Debenture)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SONO GROUP N.V.</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Email: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 xml:space="preserve">The undersigned hereby irrevocably elects to convert a portion of the outstanding and unpaid Conversion Amount of Debenture No. SEV-6c into Ordinary Shares of </w:t>
      </w:r>
      <w:r>
        <w:rPr>
          <w:rFonts w:ascii="Times New Roman" w:cs="Times New Roman" w:eastAsia="Times New Roman" w:hAnsi="Times New Roman"/>
          <w:sz w:val="18"/>
          <w:szCs w:val="18"/>
          <w:b w:val="1"/>
          <w:bCs w:val="1"/>
          <w:color w:val="auto"/>
        </w:rPr>
        <w:t>SONO GROUP N.V.</w:t>
      </w:r>
      <w:r>
        <w:rPr>
          <w:rFonts w:ascii="Times New Roman" w:cs="Times New Roman" w:eastAsia="Times New Roman" w:hAnsi="Times New Roman"/>
          <w:sz w:val="18"/>
          <w:szCs w:val="18"/>
          <w:color w:val="auto"/>
        </w:rPr>
        <w:t>, according to the conditions stated therein, as of the Conversion Date written below.</w:t>
      </w:r>
    </w:p>
    <w:p>
      <w:pPr>
        <w:spacing w:after="0" w:line="177" w:lineRule="exact"/>
        <w:rPr>
          <w:sz w:val="20"/>
          <w:szCs w:val="20"/>
          <w:color w:val="auto"/>
        </w:rPr>
      </w:pPr>
    </w:p>
    <w:p>
      <w:pPr>
        <w:spacing w:after="0"/>
        <w:tabs>
          <w:tab w:leader="none" w:pos="4720" w:val="left"/>
        </w:tabs>
        <w:rPr>
          <w:sz w:val="20"/>
          <w:szCs w:val="20"/>
          <w:color w:val="auto"/>
        </w:rPr>
      </w:pPr>
      <w:r>
        <w:rPr>
          <w:rFonts w:ascii="Times New Roman" w:cs="Times New Roman" w:eastAsia="Times New Roman" w:hAnsi="Times New Roman"/>
          <w:sz w:val="18"/>
          <w:szCs w:val="18"/>
          <w:b w:val="1"/>
          <w:bCs w:val="1"/>
          <w:color w:val="auto"/>
        </w:rPr>
        <w:t>Conversion Date:</w:t>
      </w:r>
      <w:r>
        <w:rPr>
          <w:sz w:val="20"/>
          <w:szCs w:val="20"/>
          <w:color w:val="auto"/>
        </w:rPr>
        <w:tab/>
      </w:r>
      <w:r>
        <w:rPr>
          <w:rFonts w:ascii="Times New Roman" w:cs="Times New Roman" w:eastAsia="Times New Roman" w:hAnsi="Times New Roman"/>
          <w:sz w:val="18"/>
          <w:szCs w:val="18"/>
          <w:color w:val="auto"/>
        </w:rPr>
        <w:t> </w:t>
      </w:r>
    </w:p>
    <w:p>
      <w:pPr>
        <w:spacing w:after="0" w:line="31" w:lineRule="exact"/>
        <w:rPr>
          <w:sz w:val="20"/>
          <w:szCs w:val="20"/>
          <w:color w:val="auto"/>
        </w:rPr>
      </w:pPr>
    </w:p>
    <w:p>
      <w:pPr>
        <w:spacing w:after="0"/>
        <w:tabs>
          <w:tab w:leader="none" w:pos="4720" w:val="left"/>
        </w:tabs>
        <w:rPr>
          <w:sz w:val="20"/>
          <w:szCs w:val="20"/>
          <w:color w:val="auto"/>
        </w:rPr>
      </w:pPr>
      <w:r>
        <w:rPr>
          <w:rFonts w:ascii="Times New Roman" w:cs="Times New Roman" w:eastAsia="Times New Roman" w:hAnsi="Times New Roman"/>
          <w:sz w:val="18"/>
          <w:szCs w:val="18"/>
          <w:b w:val="1"/>
          <w:bCs w:val="1"/>
          <w:color w:val="auto"/>
        </w:rPr>
        <w:t>Principal Amount to be Converted:</w:t>
      </w:r>
      <w:r>
        <w:rPr>
          <w:sz w:val="20"/>
          <w:szCs w:val="20"/>
          <w:color w:val="auto"/>
        </w:rPr>
        <w:tab/>
      </w: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tabs>
          <w:tab w:leader="none" w:pos="4720" w:val="left"/>
        </w:tabs>
        <w:rPr>
          <w:sz w:val="20"/>
          <w:szCs w:val="20"/>
          <w:color w:val="auto"/>
        </w:rPr>
      </w:pPr>
      <w:r>
        <w:rPr>
          <w:rFonts w:ascii="Times New Roman" w:cs="Times New Roman" w:eastAsia="Times New Roman" w:hAnsi="Times New Roman"/>
          <w:sz w:val="18"/>
          <w:szCs w:val="18"/>
          <w:b w:val="1"/>
          <w:bCs w:val="1"/>
          <w:color w:val="auto"/>
        </w:rPr>
        <w:t>Accrued Interest to be Converted:</w:t>
      </w:r>
      <w:r>
        <w:rPr>
          <w:sz w:val="20"/>
          <w:szCs w:val="20"/>
          <w:color w:val="auto"/>
        </w:rPr>
        <w:tab/>
      </w: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tabs>
          <w:tab w:leader="none" w:pos="4720" w:val="left"/>
        </w:tabs>
        <w:rPr>
          <w:sz w:val="20"/>
          <w:szCs w:val="20"/>
          <w:color w:val="auto"/>
        </w:rPr>
      </w:pPr>
      <w:r>
        <w:rPr>
          <w:rFonts w:ascii="Times New Roman" w:cs="Times New Roman" w:eastAsia="Times New Roman" w:hAnsi="Times New Roman"/>
          <w:sz w:val="18"/>
          <w:szCs w:val="18"/>
          <w:b w:val="1"/>
          <w:bCs w:val="1"/>
          <w:color w:val="auto"/>
        </w:rPr>
        <w:t>Total Conversion Amount to be converted:</w:t>
      </w:r>
      <w:r>
        <w:rPr>
          <w:sz w:val="20"/>
          <w:szCs w:val="20"/>
          <w:color w:val="auto"/>
        </w:rPr>
        <w:tab/>
      </w: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tabs>
          <w:tab w:leader="none" w:pos="4720" w:val="left"/>
        </w:tabs>
        <w:rPr>
          <w:sz w:val="20"/>
          <w:szCs w:val="20"/>
          <w:color w:val="auto"/>
        </w:rPr>
      </w:pPr>
      <w:r>
        <w:rPr>
          <w:rFonts w:ascii="Times New Roman" w:cs="Times New Roman" w:eastAsia="Times New Roman" w:hAnsi="Times New Roman"/>
          <w:sz w:val="18"/>
          <w:szCs w:val="18"/>
          <w:b w:val="1"/>
          <w:bCs w:val="1"/>
          <w:color w:val="auto"/>
        </w:rPr>
        <w:t>Fixed Conversion Price:</w:t>
      </w:r>
      <w:r>
        <w:rPr>
          <w:sz w:val="20"/>
          <w:szCs w:val="20"/>
          <w:color w:val="auto"/>
        </w:rPr>
        <w:tab/>
      </w: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tabs>
          <w:tab w:leader="none" w:pos="4720" w:val="left"/>
        </w:tabs>
        <w:rPr>
          <w:sz w:val="20"/>
          <w:szCs w:val="20"/>
          <w:color w:val="auto"/>
        </w:rPr>
      </w:pPr>
      <w:r>
        <w:rPr>
          <w:rFonts w:ascii="Times New Roman" w:cs="Times New Roman" w:eastAsia="Times New Roman" w:hAnsi="Times New Roman"/>
          <w:sz w:val="18"/>
          <w:szCs w:val="18"/>
          <w:b w:val="1"/>
          <w:bCs w:val="1"/>
          <w:color w:val="auto"/>
        </w:rPr>
        <w:t>Variable Conversion Price:</w:t>
      </w:r>
      <w:r>
        <w:rPr>
          <w:sz w:val="20"/>
          <w:szCs w:val="20"/>
          <w:color w:val="auto"/>
        </w:rPr>
        <w:tab/>
      </w: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tabs>
          <w:tab w:leader="none" w:pos="4720" w:val="left"/>
        </w:tabs>
        <w:rPr>
          <w:sz w:val="20"/>
          <w:szCs w:val="20"/>
          <w:color w:val="auto"/>
        </w:rPr>
      </w:pPr>
      <w:r>
        <w:rPr>
          <w:rFonts w:ascii="Times New Roman" w:cs="Times New Roman" w:eastAsia="Times New Roman" w:hAnsi="Times New Roman"/>
          <w:sz w:val="18"/>
          <w:szCs w:val="18"/>
          <w:b w:val="1"/>
          <w:bCs w:val="1"/>
          <w:color w:val="auto"/>
        </w:rPr>
        <w:t>Applicable Conversion Price:</w:t>
      </w:r>
      <w:r>
        <w:rPr>
          <w:sz w:val="20"/>
          <w:szCs w:val="20"/>
          <w:color w:val="auto"/>
        </w:rPr>
        <w:tab/>
      </w: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tabs>
          <w:tab w:leader="none" w:pos="4720" w:val="left"/>
        </w:tabs>
        <w:rPr>
          <w:sz w:val="20"/>
          <w:szCs w:val="20"/>
          <w:color w:val="auto"/>
        </w:rPr>
      </w:pPr>
      <w:r>
        <w:rPr>
          <w:rFonts w:ascii="Times New Roman" w:cs="Times New Roman" w:eastAsia="Times New Roman" w:hAnsi="Times New Roman"/>
          <w:sz w:val="18"/>
          <w:szCs w:val="18"/>
          <w:b w:val="1"/>
          <w:bCs w:val="1"/>
          <w:color w:val="auto"/>
        </w:rPr>
        <w:t>Number of Ordinary Shares to be issued:</w:t>
      </w:r>
      <w:r>
        <w:rPr>
          <w:sz w:val="20"/>
          <w:szCs w:val="20"/>
          <w:color w:val="auto"/>
        </w:rPr>
        <w:tab/>
      </w:r>
      <w:r>
        <w:rPr>
          <w:rFonts w:ascii="Times New Roman" w:cs="Times New Roman" w:eastAsia="Times New Roman" w:hAnsi="Times New Roman"/>
          <w:sz w:val="18"/>
          <w:szCs w:val="18"/>
          <w:color w:val="auto"/>
        </w:rPr>
        <w:t> </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860" w:type="dxa"/>
            <w:vAlign w:val="bottom"/>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 to:</w:t>
            </w: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Broker DTC Participant Code:</w:t>
            </w: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Account Number:</w:t>
            </w: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Authorized Signature:</w:t>
            </w:r>
          </w:p>
        </w:tc>
        <w:tc>
          <w:tcPr>
            <w:tcW w:w="7860" w:type="dxa"/>
            <w:vAlign w:val="bottom"/>
            <w:tcBorders>
              <w:bottom w:val="single" w:sz="8" w:color="auto"/>
            </w:tcBorders>
          </w:tcPr>
          <w:p>
            <w:pPr>
              <w:spacing w:after="0"/>
              <w:rPr>
                <w:sz w:val="20"/>
                <w:szCs w:val="20"/>
                <w:color w:val="auto"/>
              </w:rPr>
            </w:pPr>
          </w:p>
        </w:tc>
      </w:tr>
      <w:tr>
        <w:trPr>
          <w:trHeight w:val="210"/>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7860" w:type="dxa"/>
            <w:vAlign w:val="bottom"/>
            <w:tcBorders>
              <w:bottom w:val="single" w:sz="8" w:color="auto"/>
            </w:tcBorders>
          </w:tcPr>
          <w:p>
            <w:pPr>
              <w:spacing w:after="0"/>
              <w:rPr>
                <w:sz w:val="18"/>
                <w:szCs w:val="18"/>
                <w:color w:val="auto"/>
              </w:rPr>
            </w:pPr>
          </w:p>
        </w:tc>
      </w:tr>
      <w:tr>
        <w:trPr>
          <w:trHeight w:val="210"/>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7860" w:type="dxa"/>
            <w:vAlign w:val="bottom"/>
            <w:tcBorders>
              <w:bottom w:val="single" w:sz="8" w:color="auto"/>
            </w:tcBorders>
          </w:tcPr>
          <w:p>
            <w:pPr>
              <w:spacing w:after="0"/>
              <w:rPr>
                <w:sz w:val="18"/>
                <w:szCs w:val="18"/>
                <w:color w:val="auto"/>
              </w:rPr>
            </w:pPr>
          </w:p>
        </w:tc>
      </w:tr>
      <w:tr>
        <w:trPr>
          <w:trHeight w:val="21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7860" w:type="dxa"/>
            <w:vAlign w:val="bottom"/>
          </w:tcPr>
          <w:p>
            <w:pPr>
              <w:spacing w:after="0"/>
              <w:rPr>
                <w:sz w:val="18"/>
                <w:szCs w:val="18"/>
                <w:color w:val="auto"/>
              </w:rPr>
            </w:pPr>
          </w:p>
        </w:tc>
      </w:tr>
      <w:tr>
        <w:trPr>
          <w:trHeight w:val="909"/>
        </w:trPr>
        <w:tc>
          <w:tcPr>
            <w:tcW w:w="3380" w:type="dxa"/>
            <w:vAlign w:val="bottom"/>
          </w:tcPr>
          <w:p>
            <w:pPr>
              <w:spacing w:after="0"/>
              <w:rPr>
                <w:sz w:val="24"/>
                <w:szCs w:val="24"/>
                <w:color w:val="auto"/>
              </w:rPr>
            </w:pPr>
          </w:p>
        </w:tc>
        <w:tc>
          <w:tcPr>
            <w:tcW w:w="7860" w:type="dxa"/>
            <w:vAlign w:val="bottom"/>
          </w:tcPr>
          <w:p>
            <w:pPr>
              <w:spacing w:after="0"/>
              <w:rPr>
                <w:sz w:val="24"/>
                <w:szCs w:val="24"/>
                <w:color w:val="auto"/>
              </w:rPr>
            </w:pPr>
          </w:p>
        </w:tc>
      </w:tr>
      <w:tr>
        <w:trPr>
          <w:trHeight w:val="68"/>
        </w:trPr>
        <w:tc>
          <w:tcPr>
            <w:tcW w:w="3380" w:type="dxa"/>
            <w:vAlign w:val="bottom"/>
            <w:shd w:val="clear" w:color="auto" w:fill="000000"/>
          </w:tcPr>
          <w:p>
            <w:pPr>
              <w:spacing w:after="0"/>
              <w:rPr>
                <w:sz w:val="5"/>
                <w:szCs w:val="5"/>
                <w:color w:val="auto"/>
              </w:rPr>
            </w:pPr>
          </w:p>
        </w:tc>
        <w:tc>
          <w:tcPr>
            <w:tcW w:w="786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792"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OMNIBUS AMENDMENT TO TRANSACTION DOCUMENTS</w:t>
      </w:r>
    </w:p>
    <w:p>
      <w:pPr>
        <w:spacing w:after="0" w:line="229" w:lineRule="exact"/>
        <w:rPr>
          <w:sz w:val="20"/>
          <w:szCs w:val="20"/>
          <w:color w:val="auto"/>
        </w:rPr>
      </w:pPr>
    </w:p>
    <w:p>
      <w:pPr>
        <w:jc w:val="both"/>
        <w:ind w:firstLine="847"/>
        <w:spacing w:after="0" w:line="258" w:lineRule="auto"/>
        <w:rPr>
          <w:sz w:val="20"/>
          <w:szCs w:val="20"/>
          <w:color w:val="auto"/>
        </w:rPr>
      </w:pPr>
      <w:r>
        <w:rPr>
          <w:rFonts w:ascii="Times New Roman" w:cs="Times New Roman" w:eastAsia="Times New Roman" w:hAnsi="Times New Roman"/>
          <w:sz w:val="18"/>
          <w:szCs w:val="18"/>
          <w:color w:val="auto"/>
        </w:rPr>
        <w:t>This Omnibus Amendment to Transaction Documents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April 24, 2025 by and between Sono Group N.V., a Dutch public 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YA II PN, LTD., a Cayman Islands exempt limited partnership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with reference to (1) the Exchange Agreement entered into on December 30, 2024 between the Company to the Investor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 (2) the Securities Purchase Agreement entered into on December 30, 2024 between the Company and the Investor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each as previously amended.</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the Securities Purchase Agreement, the Investor shall advance to the Company $5,000,000, which shall be evidenced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convertible debenture in the form attached thereto (the “</w:t>
      </w:r>
      <w:r>
        <w:rPr>
          <w:rFonts w:ascii="Times New Roman" w:cs="Times New Roman" w:eastAsia="Times New Roman" w:hAnsi="Times New Roman"/>
          <w:sz w:val="18"/>
          <w:szCs w:val="18"/>
          <w:u w:val="single" w:color="auto"/>
          <w:color w:val="auto"/>
        </w:rPr>
        <w:t>Convertible Debenture</w:t>
      </w:r>
      <w:r>
        <w:rPr>
          <w:rFonts w:ascii="Times New Roman" w:cs="Times New Roman" w:eastAsia="Times New Roman" w:hAnsi="Times New Roman"/>
          <w:sz w:val="18"/>
          <w:szCs w:val="18"/>
          <w:color w:val="auto"/>
        </w:rPr>
        <w:t>”) in the aggregate principal amount of $5,000,000, upon the satisfaction of the terms and conditions set forth therein, which conditions have not yet been satisfied;</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February 12, 2025, the Company requested, and the Investor agreed to, an advance of $1,000,000 of the $5,000,000, and, on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the Investor advanced $1,000,000 to the Company and the Company issued to the Investor a Convertible Debenture in the principal amount of $1,000,000 (“</w:t>
      </w:r>
      <w:r>
        <w:rPr>
          <w:rFonts w:ascii="Times New Roman" w:cs="Times New Roman" w:eastAsia="Times New Roman" w:hAnsi="Times New Roman"/>
          <w:sz w:val="18"/>
          <w:szCs w:val="18"/>
          <w:u w:val="single" w:color="auto"/>
          <w:color w:val="auto"/>
        </w:rPr>
        <w:t>Debenture No. SEV-6a</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March 25, 2025, the Company requested, and the Investor agreed to, an advance of an additional $1,000,000 of the $5,000,000,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on such date the Investor advanced $1,000,000 to the Company and the Company issued to the Investor a Convertible Debenture in the principal amount of $1,000,000 (“</w:t>
      </w:r>
      <w:r>
        <w:rPr>
          <w:rFonts w:ascii="Times New Roman" w:cs="Times New Roman" w:eastAsia="Times New Roman" w:hAnsi="Times New Roman"/>
          <w:sz w:val="18"/>
          <w:szCs w:val="18"/>
          <w:u w:val="single" w:color="auto"/>
          <w:color w:val="auto"/>
        </w:rPr>
        <w:t>Debenture No. SEV-6b</w:t>
      </w:r>
      <w:r>
        <w:rPr>
          <w:rFonts w:ascii="Times New Roman" w:cs="Times New Roman" w:eastAsia="Times New Roman" w:hAnsi="Times New Roman"/>
          <w:sz w:val="18"/>
          <w:szCs w:val="18"/>
          <w:color w:val="auto"/>
        </w:rPr>
        <w:t>”); and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has requested, and the Investor has agreed to, an additional advance of $500,000 of the $5,000,000 on the date 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remaining $2,500,000 to be advanced upon the satisfaction of all of the conditions set forth in the Securities Purchase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this Amendment, the Company and Lender have agreed to the following terms:</w:t>
      </w:r>
    </w:p>
    <w:p>
      <w:pPr>
        <w:spacing w:after="0" w:line="221"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Modifications to the Securities Purchase Agreement</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ind w:left="1140" w:right="240" w:hanging="457"/>
        <w:spacing w:after="0" w:line="261" w:lineRule="auto"/>
        <w:tabs>
          <w:tab w:leader="none" w:pos="11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satisfaction of the conditions set forth in Section 6 and 7 of the Securities Purchase Agreement, as modified by this Agreement, the parties hereby agree that on the date hereof, the Investor shall advance to the Company the principal amount of $500,000 and the Company shall issue and deliver to the Investor a Convertible Debenture, duly executed on behalf of the Company, with an aggregate principal amount of $500,000 (the “</w:t>
      </w:r>
      <w:r>
        <w:rPr>
          <w:rFonts w:ascii="Times New Roman" w:cs="Times New Roman" w:eastAsia="Times New Roman" w:hAnsi="Times New Roman"/>
          <w:sz w:val="18"/>
          <w:szCs w:val="18"/>
          <w:u w:val="single" w:color="auto"/>
          <w:color w:val="auto"/>
        </w:rPr>
        <w:t>Third Convertible Debenture</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140" w:right="640" w:hanging="457"/>
        <w:spacing w:after="0" w:line="282" w:lineRule="auto"/>
        <w:tabs>
          <w:tab w:leader="none" w:pos="11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in connection with the closing of the issuance of the Third Convertible Debenture, the Investor waives the satisfaction of the conditions set forth in Section 7(d) and 7(i) of the Securities Purchase Agreement.</w:t>
      </w:r>
    </w:p>
    <w:p>
      <w:pPr>
        <w:spacing w:after="0" w:line="161" w:lineRule="exact"/>
        <w:rPr>
          <w:rFonts w:ascii="Times New Roman" w:cs="Times New Roman" w:eastAsia="Times New Roman" w:hAnsi="Times New Roman"/>
          <w:sz w:val="18"/>
          <w:szCs w:val="18"/>
          <w:color w:val="auto"/>
        </w:rPr>
      </w:pPr>
    </w:p>
    <w:p>
      <w:pPr>
        <w:ind w:left="1140" w:right="160" w:hanging="457"/>
        <w:spacing w:after="0" w:line="266" w:lineRule="auto"/>
        <w:tabs>
          <w:tab w:leader="none" w:pos="11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terms and conditions with respect to the issuance and sale of the Convertible Debenture set forth in the Securities Purchase Agreement shall remain in full force and effect, except that the principal amount of the Convertible Debenture shall be reduced to $2,500,000 as a result of the issuance of the Third Convertible Debenture, Debenture No. SEV-6a. and Debenture No. SEV-6b.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 w:name="page19"/>
    <w:bookmarkEnd w:id="18"/>
    <w:p>
      <w:pPr>
        <w:jc w:val="both"/>
        <w:ind w:left="332" w:hanging="332"/>
        <w:spacing w:after="0" w:line="257" w:lineRule="auto"/>
        <w:tabs>
          <w:tab w:leader="none" w:pos="33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Exchange Agreement. </w:t>
      </w:r>
      <w:r>
        <w:rPr>
          <w:rFonts w:ascii="Times New Roman" w:cs="Times New Roman" w:eastAsia="Times New Roman" w:hAnsi="Times New Roman"/>
          <w:sz w:val="18"/>
          <w:szCs w:val="18"/>
          <w:color w:val="auto"/>
        </w:rPr>
        <w:t>In connection with the Exchange Agreement, the Convertible Debenture in the principal amount of $5,000,000 (referred to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“Debenture 6” therein) shall be exchanged for Preferred Shares (as defined in the Exchange Agreement), subject to the satisfaction of the conditions precedent set forth therein. The parties hereby agree that from and after the issuance of the Third Convertible Debenture contemplated by this Agreement, for the purposes of the Exchange Agreement, “Debenture 6” shall consist of each of Debenture No. SEV-6a, Debenture No. SEV-6b, and the Third Convertible Debenture, and the remaining Convertible Debenture to be issued pursuant to the Securities Purchase Agreement in the principal amount of $2,500,000, each of which shall be part of the exchange of debentures for Preferred Shares as contemplated by the Exchange Agreement.</w:t>
      </w:r>
    </w:p>
    <w:p>
      <w:pPr>
        <w:spacing w:after="0" w:line="182" w:lineRule="exact"/>
        <w:rPr>
          <w:rFonts w:ascii="Times New Roman" w:cs="Times New Roman" w:eastAsia="Times New Roman" w:hAnsi="Times New Roman"/>
          <w:sz w:val="18"/>
          <w:szCs w:val="18"/>
          <w:color w:val="auto"/>
        </w:rPr>
      </w:pPr>
    </w:p>
    <w:p>
      <w:pPr>
        <w:jc w:val="both"/>
        <w:ind w:left="332" w:hanging="332"/>
        <w:spacing w:after="0" w:line="259" w:lineRule="auto"/>
        <w:tabs>
          <w:tab w:leader="none" w:pos="33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Effect; Continuing Validity. </w:t>
      </w:r>
      <w:r>
        <w:rPr>
          <w:rFonts w:ascii="Times New Roman" w:cs="Times New Roman" w:eastAsia="Times New Roman" w:hAnsi="Times New Roman"/>
          <w:sz w:val="18"/>
          <w:szCs w:val="18"/>
          <w:color w:val="auto"/>
        </w:rPr>
        <w:t>The Securities Purchase Agreement and the Exchange Agreement are amended to the extent necessary to give effect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and the terms of this Agreement shall supersede any contrary terms. Except as specifically set forth herein, the terms and conditions of the Securities Purchase Agreement and the Exchange Agreement shall remain unmodified and are hereby ratified by the parties. This Agreement in no way acts as a release or relinquishment of, and in no way affects, the liens, security interests and rights created by or arising under the Securities Purchase Agreement and the Exchange Agreement.</w:t>
      </w:r>
    </w:p>
    <w:p>
      <w:pPr>
        <w:spacing w:after="0" w:line="179" w:lineRule="exact"/>
        <w:rPr>
          <w:rFonts w:ascii="Times New Roman" w:cs="Times New Roman" w:eastAsia="Times New Roman" w:hAnsi="Times New Roman"/>
          <w:sz w:val="18"/>
          <w:szCs w:val="18"/>
          <w:color w:val="auto"/>
        </w:rPr>
      </w:pPr>
    </w:p>
    <w:p>
      <w:pPr>
        <w:ind w:left="332" w:hanging="332"/>
        <w:spacing w:after="0" w:line="286" w:lineRule="auto"/>
        <w:tabs>
          <w:tab w:leader="none" w:pos="33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This Agreement One of the Transaction Documents</w:t>
      </w:r>
      <w:r>
        <w:rPr>
          <w:rFonts w:ascii="Times New Roman" w:cs="Times New Roman" w:eastAsia="Times New Roman" w:hAnsi="Times New Roman"/>
          <w:sz w:val="18"/>
          <w:szCs w:val="18"/>
          <w:color w:val="auto"/>
        </w:rPr>
        <w:t>. From and after the date hereof, this Agreement is and shall be deemed a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 as used in the Securities Purchase Agreement.</w:t>
      </w:r>
    </w:p>
    <w:p>
      <w:pPr>
        <w:spacing w:after="0" w:line="154" w:lineRule="exact"/>
        <w:rPr>
          <w:rFonts w:ascii="Times New Roman" w:cs="Times New Roman" w:eastAsia="Times New Roman" w:hAnsi="Times New Roman"/>
          <w:sz w:val="18"/>
          <w:szCs w:val="18"/>
          <w:color w:val="auto"/>
        </w:rPr>
      </w:pPr>
    </w:p>
    <w:p>
      <w:pPr>
        <w:jc w:val="both"/>
        <w:ind w:left="332" w:hanging="332"/>
        <w:spacing w:after="0" w:line="262" w:lineRule="auto"/>
        <w:tabs>
          <w:tab w:leader="none" w:pos="33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 This Agreement shall be governed by and construed in accordance with the laws of the State of New York. This Agreement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in counterparts, each of which, when so executed, shall be deemed an original, but all such counterparts, taken together, shall constitute one and the same instrument. Delivery of an executed counterpart of this Agreement by telefacsimile or electronically shall be equally as effective as delivery of a manually executed counterpart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1172210</wp:posOffset>
            </wp:positionV>
            <wp:extent cx="71323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32"/>
          </w:cols>
          <w:pgMar w:left="328" w:top="792" w:right="339" w:bottom="1440" w:gutter="0" w:footer="0" w:header="0"/>
        </w:sectPr>
      </w:pPr>
    </w:p>
    <w:bookmarkStart w:id="19" w:name="page20"/>
    <w:bookmarkEnd w:id="19"/>
    <w:p>
      <w:pPr>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Company and Investor have caused this this Omnibus Amendment to Transaction Documents to be duly executed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duly authorized officer as of the date first written above.</w:t>
      </w:r>
    </w:p>
    <w:p>
      <w:pPr>
        <w:spacing w:after="0" w:line="15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200" w:lineRule="exact"/>
        <w:rPr>
          <w:sz w:val="20"/>
          <w:szCs w:val="20"/>
          <w:color w:val="auto"/>
        </w:rPr>
      </w:pPr>
    </w:p>
    <w:p>
      <w:pPr>
        <w:spacing w:after="0" w:line="2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George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4456430</wp:posOffset>
            </wp:positionH>
            <wp:positionV relativeFrom="paragraph">
              <wp:posOffset>-7620</wp:posOffset>
            </wp:positionV>
            <wp:extent cx="19431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4310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George O’Leary</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  Chief Executive Officer and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2011680</wp:posOffset>
            </wp:positionV>
            <wp:extent cx="71323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0" w:name="page21"/>
    <w:bookmarkEnd w:id="20"/>
    <w:p>
      <w:pPr>
        <w:ind w:left="564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YA II PN, LTD.</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Yorkville Advisors Global, LP</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Investment Manger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 Yorkville Advisors Global II, LLC</w:t>
      </w:r>
    </w:p>
    <w:p>
      <w:pPr>
        <w:spacing w:after="0" w:line="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Michael Rosselli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3745230</wp:posOffset>
            </wp:positionH>
            <wp:positionV relativeFrom="paragraph">
              <wp:posOffset>-7620</wp:posOffset>
            </wp:positionV>
            <wp:extent cx="19646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6469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Michael Rosselli</w:t>
      </w:r>
    </w:p>
    <w:p>
      <w:pPr>
        <w:spacing w:after="0" w:line="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1000125</wp:posOffset>
            </wp:positionV>
            <wp:extent cx="71323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sectPr>
      <w:pgSz w:w="11900" w:h="16838" w:orient="portrait"/>
      <w:cols w:equalWidth="0" w:num="1">
        <w:col w:w="9019"/>
      </w:cols>
      <w:pgMar w:left="1440" w:top="79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lowerRoman"/>
      <w:start w:val="11"/>
    </w:lvl>
  </w:abstractNum>
  <w:abstractNum w:abstractNumId="2">
    <w:nsid w:val="515F007C"/>
    <w:multiLevelType w:val="hybridMultilevel"/>
    <w:lvl w:ilvl="0">
      <w:lvlJc w:val="left"/>
      <w:lvlText w:val="(%1)"/>
      <w:numFmt w:val="lowerRoman"/>
      <w:start w:val="5"/>
    </w:lvl>
  </w:abstractNum>
  <w:abstractNum w:abstractNumId="3">
    <w:nsid w:val="5BD062C2"/>
    <w:multiLevelType w:val="hybridMultilevel"/>
    <w:lvl w:ilvl="0">
      <w:lvlJc w:val="left"/>
      <w:lvlText w:val="(%1)"/>
      <w:numFmt w:val="decimal"/>
      <w:start w:val="10"/>
    </w:lvl>
  </w:abstractNum>
  <w:abstractNum w:abstractNumId="4">
    <w:nsid w:val="12200854"/>
    <w:multiLevelType w:val="hybridMultilevel"/>
    <w:lvl w:ilvl="0">
      <w:lvlJc w:val="left"/>
      <w:lvlText w:val="(%1)"/>
      <w:numFmt w:val="lowerLetter"/>
      <w:start w:val="1"/>
    </w:lvl>
  </w:abstractNum>
  <w:abstractNum w:abstractNumId="5">
    <w:nsid w:val="4DB127F8"/>
    <w:multiLevelType w:val="hybridMultilevel"/>
    <w:lvl w:ilvl="0">
      <w:lvlJc w:val="left"/>
      <w:lvlText w:val="(%1)"/>
      <w:numFmt w:val="lowerLetter"/>
      <w:start w:val="4"/>
    </w:lvl>
  </w:abstractNum>
  <w:abstractNum w:abstractNumId="6">
    <w:nsid w:val="216231B"/>
    <w:multiLevelType w:val="hybridMultilevel"/>
    <w:lvl w:ilvl="0">
      <w:lvlJc w:val="left"/>
      <w:lvlText w:val="(%1)"/>
      <w:numFmt w:val="lowerLetter"/>
      <w:start w:val="5"/>
    </w:lvl>
  </w:abstractNum>
  <w:abstractNum w:abstractNumId="7">
    <w:nsid w:val="1F16E9E8"/>
    <w:multiLevelType w:val="hybridMultilevel"/>
    <w:lvl w:ilvl="0">
      <w:lvlJc w:val="left"/>
      <w:lvlText w:val="(%1)"/>
      <w:numFmt w:val="lowerLetter"/>
      <w:start w:val="9"/>
    </w:lvl>
  </w:abstractNum>
  <w:abstractNum w:abstractNumId="8">
    <w:nsid w:val="1190CDE7"/>
    <w:multiLevelType w:val="hybridMultilevel"/>
    <w:lvl w:ilvl="0">
      <w:lvlJc w:val="left"/>
      <w:lvlText w:val="(%1)"/>
      <w:numFmt w:val="lowerLetter"/>
      <w:start w:val="13"/>
    </w:lvl>
  </w:abstractNum>
  <w:abstractNum w:abstractNumId="9">
    <w:nsid w:val="66EF438D"/>
    <w:multiLevelType w:val="hybridMultilevel"/>
    <w:lvl w:ilvl="0">
      <w:lvlJc w:val="left"/>
      <w:lvlText w:val="(%1)"/>
      <w:numFmt w:val="lowerLetter"/>
      <w:start w:val="14"/>
    </w:lvl>
  </w:abstractNum>
  <w:abstractNum w:abstractNumId="10">
    <w:nsid w:val="140E0F76"/>
    <w:multiLevelType w:val="hybridMultilevel"/>
    <w:lvl w:ilvl="0">
      <w:lvlJc w:val="left"/>
      <w:lvlText w:val="(%1)"/>
      <w:numFmt w:val="lowerLetter"/>
      <w:start w:val="18"/>
    </w:lvl>
  </w:abstractNum>
  <w:abstractNum w:abstractNumId="11">
    <w:nsid w:val="3352255A"/>
    <w:multiLevelType w:val="hybridMultilevel"/>
    <w:lvl w:ilvl="0">
      <w:lvlJc w:val="left"/>
      <w:lvlText w:val="(%1)"/>
      <w:numFmt w:val="lowerLetter"/>
      <w:start w:val="19"/>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2025-04-25T08:47:23Z</dcterms:created>
  <dcterms:modified xsi:type="dcterms:W3CDTF">2025-04-25T08:47:23Z</dcterms:modified>
</cp:coreProperties>
</file>