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11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200" w:right="339" w:bottom="1440" w:gutter="0" w:footer="0" w:header="0"/>
          <w:type w:val="continuous"/>
        </w:sectPr>
      </w:pPr>
    </w:p>
    <w:p>
      <w:pPr>
        <w:spacing w:after="0" w:line="122"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106"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type w:val="continuous"/>
        </w:sectPr>
      </w:pP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31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9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1 on Form 8-K/A (this “Amendment”) amends the Current Report on Form 8-K filed by Sono Group N.V. (the “Company”) with the U.S. Securities and Exchange Commission on March 19, 2026 (the “Original Current Report”), relating to events occurring on March 14, 2026. This Amendment is filed to (i) report the Company’s entry into, and consummation of, a Share Purchase and Transfer Agreement effecting the sale of the Company’s entire interest in its wholly-owned subsidiary Sono Motors GmbH, and (ii) supplement and update Item 2.05 of the Original Current Report with respect to costs and charges associated with the exit from the Company’s legacy solar operations, as contemplated by the Original Current Report. Except as set forth herein, the Original Current Report is not amended or otherwise modified.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4, 2026 (the “Signing Date”), the Company entered into a Share Purchase and Transfer Agreement (the “SPA”) with (i) Vorratsla-160 M UG (haftungsbeschränkt), a German limited liability company whose sole shareholder is Denis Azhar, and (ii) Vorratsla-161 M UG (haftungsbeschränkt), a German limited liability company whose sole shareholder is Jan Schiermeister (together, the “Purchasers”), and Sono Motors GmbH, a German limited liability company (“Sono Motors”). Denis Azhar and Jan Schiermeister are the current managing directors of Sono Motors. The SPA was notarized under German law on the Signing Date.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Sale and Transfer of Shares. </w:t>
      </w:r>
      <w:r>
        <w:rPr>
          <w:rFonts w:ascii="Times New Roman" w:cs="Times New Roman" w:eastAsia="Times New Roman" w:hAnsi="Times New Roman"/>
          <w:sz w:val="18"/>
          <w:szCs w:val="18"/>
          <w:color w:val="auto"/>
        </w:rPr>
        <w:t>Pursuant to the SPA, the Company sold and transferred to the Purchasers, with immediate legal effect in rem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(abtreten 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dinglicher Wirkung) </w:t>
      </w:r>
      <w:r>
        <w:rPr>
          <w:rFonts w:ascii="Times New Roman" w:cs="Times New Roman" w:eastAsia="Times New Roman" w:hAnsi="Times New Roman"/>
          <w:sz w:val="18"/>
          <w:szCs w:val="18"/>
          <w:color w:val="auto"/>
        </w:rPr>
        <w:t>under German law and without conditions precedent, all 33,588 shares representing 100% of the outstanding share capital of Sono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Motors (the “Sold Shares”), with 50% of the Sold Shares transferred to each Purchaser. The purchase price for the Sold Shares was €1.00 in the aggregate.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Sale and Assignment of Shareholder Loan Repayment Claim. </w:t>
      </w:r>
      <w:r>
        <w:rPr>
          <w:rFonts w:ascii="Times New Roman" w:cs="Times New Roman" w:eastAsia="Times New Roman" w:hAnsi="Times New Roman"/>
          <w:sz w:val="18"/>
          <w:szCs w:val="18"/>
          <w:color w:val="auto"/>
        </w:rPr>
        <w:t>Simultaneously, the Company sold and assigned to the Purchasers, with immediate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 under German law, the Company’s repayment claims (including accrued interest) under shareholder loans previously extended by the Company to Sono Motors (the “Shareholder Loan Repayment Claim”). The outstanding amount of the Shareholder Loan Repayment Claim was approximately €10.5 million as of April 29, 2026. The purchase price for the Shareholder Loan Repayment Claim was €1.00 in the aggregate, with 50% of the Shareholder Loan Repayment Claim assigned to each Purchaser. Each Purchaser’s portion of the Shareholder Loan Repayment Claim is subject to (i) a standstill undertaking by the Purchasers that they will not demand, enforce or otherwise seek repayment, whether fully or partly, of the Shareholder Loan Repayment Claim for a period of two years following the Signing Date, and (ii) a qualified subordination </w:t>
      </w:r>
      <w:r>
        <w:rPr>
          <w:rFonts w:ascii="Times New Roman" w:cs="Times New Roman" w:eastAsia="Times New Roman" w:hAnsi="Times New Roman"/>
          <w:sz w:val="18"/>
          <w:szCs w:val="18"/>
          <w:i w:val="1"/>
          <w:iCs w:val="1"/>
          <w:color w:val="auto"/>
        </w:rPr>
        <w:t>(qualifizierter Rangrücktritt)</w:t>
      </w:r>
      <w:r>
        <w:rPr>
          <w:rFonts w:ascii="Times New Roman" w:cs="Times New Roman" w:eastAsia="Times New Roman" w:hAnsi="Times New Roman"/>
          <w:sz w:val="18"/>
          <w:szCs w:val="18"/>
          <w:color w:val="auto"/>
        </w:rPr>
        <w:t xml:space="preserve"> pursuant to German insolvency law under which the Shareholder Loan Repayment Claim is subordinated to all other present and future creditors of Sono Motors.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Ancillary Matters. </w:t>
      </w:r>
      <w:r>
        <w:rPr>
          <w:rFonts w:ascii="Times New Roman" w:cs="Times New Roman" w:eastAsia="Times New Roman" w:hAnsi="Times New Roman"/>
          <w:sz w:val="18"/>
          <w:szCs w:val="18"/>
          <w:color w:val="auto"/>
        </w:rPr>
        <w:t>In connection with the SPA, the Company and Sono Motors agreed to terminate the Corporate Services Agreement between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Sono Motors had provided certain accounting, controlling, treasury and regulatory reporting services to the Company, with retroactive effect as of April 30, 2026. The SPA also requires the parties to use their best efforts to cause the lease agreement for the premises located at Waldmeisterstraße 93, 80935 Munich, Germany, under which the Company is the current lessee, to be transferred to Sono Motors as lessee by no later than June 30, 2026, with a full release of the Company from any further liability thereunder; if such transfer is not completed by that date, the Company has the right to terminate the lease agreement. In addition, Sono Motors granted the Company a worldwide, limited, non-exclusive, non-transferable, royalty-free, irrevocable license to use the “Sono” brand as company name and in connection with its stock exchange listing, securities trading or stock ticker.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Signing Date, the Company no longer holds any equity interest in, or exercises any control over, Sono Motors. The SPA is governed by the laws of Germany, and disputes arising under the SPA are subject to binding arbitration in Munich, Germany.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SPA does not purport to be complete and is qualified in its entirety by reference to the full text of the SPA, a copy of which is filed as Exhibit 10.1 to this Amendment and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Amendment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amends and supplements Item 2.05 of the Original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the Original Current Report, on March 14, 2026, the supervisory board of the Company resolved to terminate all current and future funding commitments to Sono Motors and to exit the legacy solar operations conducted through Sono Motors, with immediate effect (the “Exit”). In the Original Current Report, the Company stated that it was unable to make a good faith estimate of the total costs and charges that may be incurred in connection with the Exit and committed to amend the Original Current Report when such amounts became reasonably estimable. As described in Item 1.01 of this Amendment, the Company has now completed the Exit through the execution and consummation of the SPA on the Signing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Exit and the transactions contemplated by the SPA, the principal costs the Company has incurred and expects to continue to incur consists of legal, advisory and other professional fees and expenses associated with the Exit. The Company does not currently expect to incur any additional material exit or disposal charges. The Company does not expect to receive any material net proceeds from the Exit. Any costs incurred in connection with the Exit are expected to be reduced by cash flow to the Company from the Treasury Strategy.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8, 2026, the Company issued a press release regarding the completion of its exit from the Company’s legacy solar business. A copy of that press release is filed as Exhibit 99.1 to this Current Report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the Company intends to solicit the ratification by its shareholders of the engagement by the Company in the Treasury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consummation of transactions as part of the Treasury Strategy, including their timing and the expected cash flow and the use of proceeds therefrom; the receipt of any required shareholder approvals; the projected operational and financial performance of the Company and its subsidiaries, including the Company following implementation of the Treasury Strategy; the Company’s product offerings and developments and business plans; and the Company’s expectations, hopes, beliefs, intentions, plans, prospects or strategies regarding the future revenue and the business plans of the Company’s management team, including the pursuit of the Treasury Strategy.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Current Report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consummation and timing of any transactions as part of the Treasury Strategy, and the cash flow to the Company therefrom; the occurrence of any uncured event of default or any event, change or other circumstance that could give rise to the termination of the Company’s ISDA Master Agreement relating to the Treasury Strategy; the outcome of any legal proceedings that may be instituted against the Company; risks associated with the Treasury Strategy replacing the former plans and operations of the Company including the legacy solar operations;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Current Report is not a substitute for the Proxy Statement or any other document that the Company may file with the SEC or send to the Company’s shareholders in connection with the Special Meeting. This Current Report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2025, as filed with the SEC on April 1, 2026 and the Proxy Statement when it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Current Report shall not constitute a solicitation of a proxy, consent or authorization with respect to any securities or in respect of the matters to be noticed in the definitive Proxy Statement when it becomes available.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filed with this Current Report: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48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Share Purchase and Transfer Agreement dated May 4, 2026</w:t>
            </w:r>
          </w:p>
        </w:tc>
        <w:tc>
          <w:tcPr>
            <w:tcW w:w="5820" w:type="dxa"/>
            <w:vAlign w:val="bottom"/>
          </w:tcPr>
          <w:p>
            <w:pPr>
              <w:spacing w:after="0"/>
              <w:rPr>
                <w:sz w:val="24"/>
                <w:szCs w:val="24"/>
                <w:color w:val="auto"/>
              </w:rPr>
            </w:pPr>
          </w:p>
        </w:tc>
      </w:tr>
      <w:tr>
        <w:trPr>
          <w:trHeight w:val="304"/>
        </w:trPr>
        <w:tc>
          <w:tcPr>
            <w:tcW w:w="100" w:type="dxa"/>
            <w:vAlign w:val="bottom"/>
          </w:tcPr>
          <w:p>
            <w:pPr>
              <w:spacing w:after="0"/>
              <w:rPr>
                <w:sz w:val="24"/>
                <w:szCs w:val="24"/>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May 8, 2026</w:t>
            </w:r>
          </w:p>
        </w:tc>
        <w:tc>
          <w:tcPr>
            <w:tcW w:w="7800" w:type="dxa"/>
            <w:vAlign w:val="bottom"/>
            <w:gridSpan w:val="2"/>
          </w:tcPr>
          <w:p>
            <w:pPr>
              <w:spacing w:after="0"/>
              <w:rPr>
                <w:sz w:val="24"/>
                <w:szCs w:val="24"/>
                <w:color w:val="auto"/>
              </w:rPr>
            </w:pPr>
          </w:p>
        </w:tc>
      </w:tr>
      <w:tr>
        <w:trPr>
          <w:trHeight w:val="345"/>
        </w:trPr>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58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Kevin McGurn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Kevin McGurn</w:t>
            </w:r>
          </w:p>
        </w:tc>
      </w:tr>
      <w:tr>
        <w:trPr>
          <w:trHeight w:val="216"/>
        </w:trPr>
        <w:tc>
          <w:tcPr>
            <w:tcW w:w="62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 and Managing Director</w:t>
            </w:r>
          </w:p>
        </w:tc>
      </w:tr>
      <w:tr>
        <w:trPr>
          <w:trHeight w:val="234"/>
        </w:trPr>
        <w:tc>
          <w:tcPr>
            <w:tcW w:w="62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8, 2026</w:t>
            </w:r>
          </w:p>
        </w:tc>
      </w:tr>
      <w:tr>
        <w:trPr>
          <w:trHeight w:val="594"/>
        </w:trPr>
        <w:tc>
          <w:tcPr>
            <w:tcW w:w="6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68"/>
        </w:trPr>
        <w:tc>
          <w:tcPr>
            <w:tcW w:w="62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44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362585</wp:posOffset>
            </wp:positionV>
            <wp:extent cx="6412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SHARE PURCHASE AND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122555</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between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Sono Group N. V.</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as Seller</w:t>
      </w:r>
    </w:p>
    <w:p>
      <w:pPr>
        <w:spacing w:after="0" w:line="200" w:lineRule="exact"/>
        <w:rPr>
          <w:sz w:val="20"/>
          <w:szCs w:val="20"/>
          <w:color w:val="auto"/>
        </w:rPr>
      </w:pPr>
    </w:p>
    <w:p>
      <w:pPr>
        <w:spacing w:after="0" w:line="3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1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Vorratsla-160 M UG (haftungsbeschränkt)</w:t>
      </w:r>
    </w:p>
    <w:p>
      <w:pPr>
        <w:spacing w:after="0" w:line="3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Vorratsla-161 M UG (haftungsbeschränkt)</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regarding all shares in</w:t>
      </w:r>
    </w:p>
    <w:p>
      <w:pPr>
        <w:spacing w:after="0" w:line="16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Sono Motors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756920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790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80" w:type="dxa"/>
            <w:vAlign w:val="bottom"/>
          </w:tcPr>
          <w:p>
            <w:pPr>
              <w:spacing w:after="0"/>
              <w:rPr>
                <w:sz w:val="20"/>
                <w:szCs w:val="20"/>
                <w:color w:val="auto"/>
              </w:rPr>
            </w:pPr>
          </w:p>
        </w:tc>
      </w:tr>
      <w:tr>
        <w:trPr>
          <w:trHeight w:val="54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ii</w:t>
            </w:r>
          </w:p>
        </w:tc>
      </w:tr>
      <w:tr>
        <w:trPr>
          <w:trHeight w:val="553"/>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iii</w:t>
            </w:r>
          </w:p>
        </w:tc>
      </w:tr>
      <w:tr>
        <w:trPr>
          <w:trHeight w:val="553"/>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List of Definitions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iv</w:t>
            </w:r>
          </w:p>
        </w:tc>
      </w:tr>
      <w:tr>
        <w:trPr>
          <w:trHeight w:val="553"/>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Preamble</w:t>
            </w:r>
          </w:p>
        </w:tc>
        <w:tc>
          <w:tcPr>
            <w:tcW w:w="79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and Transfer of the Sold Shares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and Assignment of Shareholder Loan Repayment Claim; Standstill</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Services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54"/>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and Assumption of Employee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Payments, Joint and Several Liability for Purchase Price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Seller’s Warranties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Purchasers’ Remedies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54"/>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of Claims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10.</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Purchasers’ Warranties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53"/>
        </w:trPr>
        <w:tc>
          <w:tcPr>
            <w:tcW w:w="8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11.  Further Covenants and Indemnities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54"/>
        </w:trPr>
        <w:tc>
          <w:tcPr>
            <w:tcW w:w="8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  Confidentiality, Public Announcements, Information of Authorities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13.</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14.</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554"/>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15.</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776"/>
        </w:trPr>
        <w:tc>
          <w:tcPr>
            <w:tcW w:w="760" w:type="dxa"/>
            <w:vAlign w:val="bottom"/>
          </w:tcPr>
          <w:p>
            <w:pPr>
              <w:spacing w:after="0"/>
              <w:rPr>
                <w:sz w:val="24"/>
                <w:szCs w:val="24"/>
                <w:color w:val="auto"/>
              </w:rPr>
            </w:pPr>
          </w:p>
        </w:tc>
        <w:tc>
          <w:tcPr>
            <w:tcW w:w="790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2</w:t>
            </w:r>
          </w:p>
        </w:tc>
        <w:tc>
          <w:tcPr>
            <w:tcW w:w="2580" w:type="dxa"/>
            <w:vAlign w:val="bottom"/>
          </w:tcPr>
          <w:p>
            <w:pPr>
              <w:spacing w:after="0"/>
              <w:rPr>
                <w:sz w:val="24"/>
                <w:szCs w:val="24"/>
                <w:color w:val="auto"/>
              </w:rPr>
            </w:pPr>
          </w:p>
        </w:tc>
      </w:tr>
      <w:tr>
        <w:trPr>
          <w:trHeight w:val="74"/>
        </w:trPr>
        <w:tc>
          <w:tcPr>
            <w:tcW w:w="760" w:type="dxa"/>
            <w:vAlign w:val="bottom"/>
            <w:shd w:val="clear" w:color="auto" w:fill="000000"/>
          </w:tcPr>
          <w:p>
            <w:pPr>
              <w:spacing w:after="0"/>
              <w:rPr>
                <w:sz w:val="6"/>
                <w:szCs w:val="6"/>
                <w:color w:val="auto"/>
              </w:rPr>
            </w:pPr>
          </w:p>
        </w:tc>
        <w:tc>
          <w:tcPr>
            <w:tcW w:w="7900" w:type="dxa"/>
            <w:vAlign w:val="bottom"/>
            <w:shd w:val="clear" w:color="auto" w:fill="000000"/>
          </w:tcPr>
          <w:p>
            <w:pPr>
              <w:spacing w:after="0"/>
              <w:rPr>
                <w:sz w:val="6"/>
                <w:szCs w:val="6"/>
                <w:color w:val="auto"/>
              </w:rPr>
            </w:pPr>
          </w:p>
        </w:tc>
        <w:tc>
          <w:tcPr>
            <w:tcW w:w="2580" w:type="dxa"/>
            <w:vAlign w:val="bottom"/>
            <w:shd w:val="clear" w:color="auto" w:fill="000000"/>
          </w:tcPr>
          <w:p>
            <w:pPr>
              <w:spacing w:after="0"/>
              <w:rPr>
                <w:sz w:val="6"/>
                <w:szCs w:val="6"/>
                <w:color w:val="auto"/>
              </w:rPr>
            </w:pPr>
          </w:p>
        </w:tc>
      </w:tr>
    </w:tbl>
    <w:p>
      <w:pPr>
        <w:sectPr>
          <w:pgSz w:w="11900" w:h="16838" w:orient="portrait"/>
          <w:cols w:equalWidth="0" w:num="1">
            <w:col w:w="11240"/>
          </w:cols>
          <w:pgMar w:left="320" w:top="644" w:right="339" w:bottom="1440" w:gutter="0" w:footer="0" w:header="0"/>
        </w:sectPr>
      </w:pPr>
    </w:p>
    <w:bookmarkStart w:id="7" w:name="page8"/>
    <w:bookmarkEnd w:id="7"/>
    <w:p>
      <w:pPr>
        <w:jc w:val="right"/>
        <w:ind w:right="3919"/>
        <w:spacing w:after="0"/>
        <w:rPr>
          <w:sz w:val="20"/>
          <w:szCs w:val="20"/>
          <w:color w:val="auto"/>
        </w:rPr>
      </w:pPr>
      <w:r>
        <w:rPr>
          <w:rFonts w:ascii="Times New Roman" w:cs="Times New Roman" w:eastAsia="Times New Roman" w:hAnsi="Times New Roman"/>
          <w:sz w:val="18"/>
          <w:szCs w:val="18"/>
          <w:b w:val="1"/>
          <w:bCs w:val="1"/>
          <w:color w:val="auto"/>
        </w:rPr>
        <w:t>List of Exhibits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F: Shareholder Loans as of 29 April 2026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9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List of Definitions</w:t>
            </w:r>
          </w:p>
        </w:tc>
        <w:tc>
          <w:tcPr>
            <w:tcW w:w="1020" w:type="dxa"/>
            <w:vAlign w:val="bottom"/>
          </w:tcPr>
          <w:p>
            <w:pPr>
              <w:spacing w:after="0"/>
              <w:rPr>
                <w:sz w:val="20"/>
                <w:szCs w:val="20"/>
                <w:color w:val="auto"/>
              </w:rPr>
            </w:pPr>
          </w:p>
        </w:tc>
      </w:tr>
      <w:tr>
        <w:trPr>
          <w:trHeight w:val="37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iv</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Purchaser Warranty Claim</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8</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Purchasers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1</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Assumption Date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Purchasers’ Guarantee</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9</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BGB</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Purchasers’ Guarantees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9</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Representatives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w w:val="88"/>
              </w:rPr>
              <w:t>v</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Restructuring</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Services Agreement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Seller</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1</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Default Interest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Seller Warranties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7</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Employee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Seller’s Warranty</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7</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InsO</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Seller's Bank Account</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w w:val="88"/>
              </w:rPr>
              <w:t>v</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Landlords</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 Purchase Price</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6</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Shareholder Loan Repayment Claim</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Loan Claim Purchase Price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Shareholder Loans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LoC</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Signing Date</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1</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Sold Shares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3</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Premises</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Sublease Agreement</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Pre-Restructuring Service Agreement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Subordinated Receivables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4</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Subordination</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4</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Purchaser 1</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Transaction</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Purchaser 1 Amount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Tripartite Agreement</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5</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Purchaser 2</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VAT</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w w:val="88"/>
              </w:rPr>
              <w:t>v</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Purchaser 2 Amount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80"/>
          </w:cols>
          <w:pgMar w:left="320" w:top="644" w:right="7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addition to the above mentioned definitions, the following terms and abbreviations shall have the following meanings:</w:t>
      </w:r>
    </w:p>
    <w:p>
      <w:pPr>
        <w:sectPr>
          <w:pgSz w:w="11900" w:h="16838" w:orient="portrait"/>
          <w:cols w:equalWidth="0" w:num="1">
            <w:col w:w="11240"/>
          </w:cols>
          <w:pgMar w:left="320" w:top="634"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any individual persons or legal entities who or which are affiliated enterprises (</w:t>
      </w:r>
      <w:r>
        <w:rPr>
          <w:rFonts w:ascii="Times New Roman" w:cs="Times New Roman" w:eastAsia="Times New Roman" w:hAnsi="Times New Roman"/>
          <w:sz w:val="18"/>
          <w:szCs w:val="18"/>
          <w:i w:val="1"/>
          <w:iCs w:val="1"/>
          <w:color w:val="auto"/>
        </w:rPr>
        <w:t>verbundene Unternehmen</w:t>
      </w:r>
      <w:r>
        <w:rPr>
          <w:rFonts w:ascii="Times New Roman" w:cs="Times New Roman" w:eastAsia="Times New Roman" w:hAnsi="Times New Roman"/>
          <w:sz w:val="18"/>
          <w:szCs w:val="18"/>
          <w:color w:val="auto"/>
        </w:rPr>
        <w:t>) within the meaning of Section 15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BGB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German Civil Code.</w:t>
      </w:r>
    </w:p>
    <w:p>
      <w:pPr>
        <w:spacing w:after="0" w:line="192"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any day other than a Saturday and Sunday or a public holiday in Munich, Germany, on which banks are open for business.</w:t>
      </w:r>
    </w:p>
    <w:p>
      <w:pPr>
        <w:spacing w:after="0" w:line="104"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in relation to any person, its directors, officers, authorised persons, employees, agents, consultants and professional advisors.</w:t>
      </w:r>
    </w:p>
    <w:p>
      <w:pPr>
        <w:spacing w:after="0" w:line="104"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Bank Account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mean the following bank account of Seller:</w:t>
      </w:r>
    </w:p>
    <w:p>
      <w:pPr>
        <w:spacing w:after="0" w:line="171"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8"/>
          <w:szCs w:val="18"/>
          <w:color w:val="auto"/>
        </w:rPr>
        <w:t>Account Holder: [***];</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IBAN: [***];</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BIC: [***];</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Bank: [***].</w:t>
      </w:r>
    </w:p>
    <w:p>
      <w:pPr>
        <w:sectPr>
          <w:pgSz w:w="11900" w:h="16838" w:orient="portrait"/>
          <w:cols w:equalWidth="0" w:num="1">
            <w:col w:w="11240"/>
          </w:cols>
          <w:pgMar w:left="320" w:top="634"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7"/>
          <w:szCs w:val="17"/>
          <w:color w:val="auto"/>
        </w:rPr>
        <w:t>means German value added tax.</w:t>
      </w:r>
    </w:p>
    <w:p>
      <w:pPr>
        <w:spacing w:after="0" w:line="200"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0" w:name="page11"/>
    <w:bookmarkEnd w:id="10"/>
    <w:p>
      <w:pPr>
        <w:ind w:left="4060"/>
        <w:spacing w:after="0"/>
        <w:rPr>
          <w:sz w:val="20"/>
          <w:szCs w:val="20"/>
          <w:color w:val="auto"/>
        </w:rPr>
      </w:pPr>
      <w:r>
        <w:rPr>
          <w:rFonts w:ascii="Times New Roman" w:cs="Times New Roman" w:eastAsia="Times New Roman" w:hAnsi="Times New Roman"/>
          <w:sz w:val="18"/>
          <w:szCs w:val="18"/>
          <w:b w:val="1"/>
          <w:bCs w:val="1"/>
          <w:color w:val="auto"/>
        </w:rPr>
        <w:t>Share Purchase and Transfer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share purchase and transfer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4 May 2026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by and between</w:t>
      </w:r>
    </w:p>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Sono Group N. V.</w:t>
      </w:r>
    </w:p>
    <w:p>
      <w:pPr>
        <w:spacing w:after="0" w:line="173" w:lineRule="exact"/>
        <w:rPr>
          <w:rFonts w:ascii="Times New Roman" w:cs="Times New Roman" w:eastAsia="Times New Roman" w:hAnsi="Times New Roman"/>
          <w:sz w:val="18"/>
          <w:szCs w:val="18"/>
          <w:color w:val="auto"/>
        </w:rPr>
      </w:pPr>
    </w:p>
    <w:p>
      <w:pPr>
        <w:ind w:lef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Dutch stock corporation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with registered seat in Amsterdam, business address Waldmeisterstrasse 93, 80935 Munich, registered with the Dutch commercial register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number KVK 80683568</w:t>
      </w:r>
    </w:p>
    <w:p>
      <w:pPr>
        <w:spacing w:after="0" w:line="102" w:lineRule="exact"/>
        <w:rPr>
          <w:rFonts w:ascii="Times New Roman" w:cs="Times New Roman" w:eastAsia="Times New Roman" w:hAnsi="Times New Roman"/>
          <w:sz w:val="18"/>
          <w:szCs w:val="18"/>
          <w:color w:val="auto"/>
        </w:rPr>
      </w:pPr>
    </w:p>
    <w:p>
      <w:pPr>
        <w:ind w:left="10540" w:hanging="96"/>
        <w:spacing w:after="0"/>
        <w:tabs>
          <w:tab w:leader="none" w:pos="10540" w:val="left"/>
        </w:tabs>
        <w:numPr>
          <w:ilvl w:val="4"/>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6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Vorratsla-160 M UG (haftungsbeschränkt) (in future: OZERA UG (haftungsbeschränkt))</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German limited liability company with registered seat in Munich, business address Adlerstr. 34, 90403 Nürnberg (in future: Auenstr.4g, 82515 Wolfratshausen),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under HRB 311675</w:t>
      </w:r>
    </w:p>
    <w:p>
      <w:pPr>
        <w:spacing w:after="0" w:line="103" w:lineRule="exact"/>
        <w:rPr>
          <w:rFonts w:ascii="Times New Roman" w:cs="Times New Roman" w:eastAsia="Times New Roman" w:hAnsi="Times New Roman"/>
          <w:sz w:val="18"/>
          <w:szCs w:val="18"/>
          <w:color w:val="auto"/>
        </w:rPr>
      </w:pPr>
    </w:p>
    <w:p>
      <w:pPr>
        <w:ind w:left="10060" w:hanging="98"/>
        <w:spacing w:after="0"/>
        <w:tabs>
          <w:tab w:leader="none" w:pos="100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1</w:t>
      </w:r>
      <w:r>
        <w:rPr>
          <w:rFonts w:ascii="Times New Roman" w:cs="Times New Roman" w:eastAsia="Times New Roman" w:hAnsi="Times New Roman"/>
          <w:sz w:val="18"/>
          <w:szCs w:val="18"/>
          <w:color w:val="auto"/>
        </w:rPr>
        <w:t>" -</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6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Vorratsla-161 M UG (haftungsbeschränkt)</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German limited liability company with registered seat in Munich, business address Adlerstr. 34, 90403 Nürnberg (in future: Abbestr. 21a, 80999 Munich),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under HRB 311674</w:t>
      </w:r>
    </w:p>
    <w:p>
      <w:pPr>
        <w:spacing w:after="0" w:line="103" w:lineRule="exact"/>
        <w:rPr>
          <w:rFonts w:ascii="Times New Roman" w:cs="Times New Roman" w:eastAsia="Times New Roman" w:hAnsi="Times New Roman"/>
          <w:sz w:val="18"/>
          <w:szCs w:val="18"/>
          <w:color w:val="auto"/>
        </w:rPr>
      </w:pPr>
    </w:p>
    <w:p>
      <w:pPr>
        <w:ind w:left="5740" w:hanging="98"/>
        <w:spacing w:after="0"/>
        <w:tabs>
          <w:tab w:leader="none" w:pos="57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Purchaser 2</w:t>
      </w:r>
      <w:r>
        <w:rPr>
          <w:rFonts w:ascii="Times New Roman" w:cs="Times New Roman" w:eastAsia="Times New Roman" w:hAnsi="Times New Roman"/>
          <w:sz w:val="17"/>
          <w:szCs w:val="17"/>
          <w:color w:val="auto"/>
        </w:rPr>
        <w:t>" and Purchaser 1 and Purchaser 2 collectively "</w:t>
      </w:r>
      <w:r>
        <w:rPr>
          <w:rFonts w:ascii="Times New Roman" w:cs="Times New Roman" w:eastAsia="Times New Roman" w:hAnsi="Times New Roman"/>
          <w:sz w:val="17"/>
          <w:szCs w:val="17"/>
          <w:b w:val="1"/>
          <w:bCs w:val="1"/>
          <w:color w:val="auto"/>
        </w:rPr>
        <w:t>Purchasers</w:t>
      </w:r>
      <w:r>
        <w:rPr>
          <w:rFonts w:ascii="Times New Roman" w:cs="Times New Roman" w:eastAsia="Times New Roman" w:hAnsi="Times New Roman"/>
          <w:sz w:val="17"/>
          <w:szCs w:val="17"/>
          <w:color w:val="auto"/>
        </w:rPr>
        <w:t>" -</w:t>
      </w:r>
    </w:p>
    <w:p>
      <w:pPr>
        <w:spacing w:after="0" w:line="182"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Sono Motors GmbH</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German limited liability company with registered seat in Munich, business address Waldmeisterstrasse 93, 80935 Munich,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under HRB 224131</w:t>
      </w:r>
    </w:p>
    <w:p>
      <w:pPr>
        <w:spacing w:after="0" w:line="103" w:lineRule="exact"/>
        <w:rPr>
          <w:rFonts w:ascii="Times New Roman" w:cs="Times New Roman" w:eastAsia="Times New Roman" w:hAnsi="Times New Roman"/>
          <w:sz w:val="18"/>
          <w:szCs w:val="18"/>
          <w:color w:val="auto"/>
        </w:rPr>
      </w:pPr>
    </w:p>
    <w:p>
      <w:pPr>
        <w:ind w:left="10240" w:hanging="106"/>
        <w:spacing w:after="0"/>
        <w:tabs>
          <w:tab w:leader="none" w:pos="10240" w:val="left"/>
        </w:tabs>
        <w:numPr>
          <w:ilvl w:val="3"/>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Seller, Purchasers and Company together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173" w:lineRule="exact"/>
        <w:rPr>
          <w:sz w:val="20"/>
          <w:szCs w:val="20"/>
          <w:color w:val="auto"/>
        </w:rPr>
      </w:pPr>
    </w:p>
    <w:p>
      <w:pPr>
        <w:ind w:left="660" w:hanging="652"/>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German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with its business address at Waldmeisterstraße 93, 80925 Munich, Germany,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under HRB 224131.</w:t>
      </w:r>
    </w:p>
    <w:p>
      <w:pPr>
        <w:spacing w:after="0" w:line="1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activities are focused on integrating proprietary solar technology onto vehicles.</w:t>
      </w:r>
    </w:p>
    <w:p>
      <w:pPr>
        <w:spacing w:after="0" w:line="17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shareholder of the Company. The Seller intends to sell all of its shares in the Company and to discontinue its involvement in the business of the Company and any current or future commitments to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1" w:name="page12"/>
    <w:bookmarkEnd w:id="11"/>
    <w:p>
      <w:pPr>
        <w:ind w:left="652" w:hanging="652"/>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Denis Azhar, the sole shareholder of Purchaser 1, and Jan Schiermeister, the sole shareholder of Purchaser 2, are currently the managing directors of the Company.</w:t>
      </w:r>
    </w:p>
    <w:p>
      <w:pPr>
        <w:spacing w:after="0" w:line="10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registered share capital of EUR 33,588.00 (in words: thirty-three thousand five hundred and eighty-eight euros), divided into</w:t>
      </w:r>
    </w:p>
    <w:p>
      <w:pPr>
        <w:spacing w:after="0" w:line="27" w:lineRule="exact"/>
        <w:rPr>
          <w:rFonts w:ascii="Times New Roman" w:cs="Times New Roman" w:eastAsia="Times New Roman" w:hAnsi="Times New Roman"/>
          <w:sz w:val="18"/>
          <w:szCs w:val="18"/>
          <w:color w:val="auto"/>
        </w:rPr>
      </w:pPr>
    </w:p>
    <w:p>
      <w:pPr>
        <w:ind w:left="65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33,588 (in words: thirty-three thousand five hundred and eighty-eight) shares with the consecutive numbers 1 to 33,588 held by the Seller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27"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granted several unsecured, interest-bearing shareholder loans in the total nominal amount of EUR 9,806,000.00 (in words: nine million eight hundred and six thousand euros) to the Company (the "</w:t>
      </w:r>
      <w:r>
        <w:rPr>
          <w:rFonts w:ascii="Times New Roman" w:cs="Times New Roman" w:eastAsia="Times New Roman" w:hAnsi="Times New Roman"/>
          <w:sz w:val="18"/>
          <w:szCs w:val="18"/>
          <w:b w:val="1"/>
          <w:bCs w:val="1"/>
          <w:color w:val="auto"/>
        </w:rPr>
        <w:t>Shareholder Loans</w:t>
      </w:r>
      <w:r>
        <w:rPr>
          <w:rFonts w:ascii="Times New Roman" w:cs="Times New Roman" w:eastAsia="Times New Roman" w:hAnsi="Times New Roman"/>
          <w:sz w:val="18"/>
          <w:szCs w:val="18"/>
          <w:color w:val="auto"/>
        </w:rPr>
        <w:t>") in connection with a so-called back to back letter of credit dated 18 November 2023 (the "</w:t>
      </w:r>
      <w:r>
        <w:rPr>
          <w:rFonts w:ascii="Times New Roman" w:cs="Times New Roman" w:eastAsia="Times New Roman" w:hAnsi="Times New Roman"/>
          <w:sz w:val="18"/>
          <w:szCs w:val="18"/>
          <w:b w:val="1"/>
          <w:bCs w:val="1"/>
          <w:color w:val="auto"/>
        </w:rPr>
        <w:t>LoC</w:t>
      </w:r>
      <w:r>
        <w:rPr>
          <w:rFonts w:ascii="Times New Roman" w:cs="Times New Roman" w:eastAsia="Times New Roman" w:hAnsi="Times New Roman"/>
          <w:sz w:val="18"/>
          <w:szCs w:val="18"/>
          <w:color w:val="auto"/>
        </w:rPr>
        <w:t xml:space="preserve">") between the Seller and the Company. As of 29 April 2026, a total amount of EUR 10,507,498.01 (in words: ten million five hundred and seven thousand four hundred and ninety-eight euros and one cent), is outstanding under the Shareholder Loans (including all accrued interest). A list specifying the Shareholder Loans, the accrued interest and the total outstanding amount as of 29 April 2026 is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The respective repayment claims of the Seller under the Shareholder Loans including interest as of 29 April 2026 are collectively referred to as the "</w:t>
      </w:r>
      <w:r>
        <w:rPr>
          <w:rFonts w:ascii="Times New Roman" w:cs="Times New Roman" w:eastAsia="Times New Roman" w:hAnsi="Times New Roman"/>
          <w:sz w:val="18"/>
          <w:szCs w:val="18"/>
          <w:b w:val="1"/>
          <w:bCs w:val="1"/>
          <w:color w:val="auto"/>
        </w:rPr>
        <w:t>Shareholder Loan Repayment Claim</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jc w:val="both"/>
        <w:ind w:left="652" w:hanging="652"/>
        <w:spacing w:after="0" w:line="272"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30 November 2020, the Seller and the Company entered into a service agreement, pursuant to which the Company provided certain services to the Seller ("</w:t>
      </w:r>
      <w:r>
        <w:rPr>
          <w:rFonts w:ascii="Times New Roman" w:cs="Times New Roman" w:eastAsia="Times New Roman" w:hAnsi="Times New Roman"/>
          <w:sz w:val="17"/>
          <w:szCs w:val="17"/>
          <w:b w:val="1"/>
          <w:bCs w:val="1"/>
          <w:color w:val="auto"/>
        </w:rPr>
        <w:t>Pre-Restructuring Service Agreement</w:t>
      </w:r>
      <w:r>
        <w:rPr>
          <w:rFonts w:ascii="Times New Roman" w:cs="Times New Roman" w:eastAsia="Times New Roman" w:hAnsi="Times New Roman"/>
          <w:sz w:val="17"/>
          <w:szCs w:val="17"/>
          <w:color w:val="auto"/>
        </w:rPr>
        <w:t>"). After the Seller and the Company applied for self-administration proceedings in May 2023, a restructuring was carried out following Seller’s withdrawal of its application for preliminary self-administration proceedings and Company’s exit from its self-administration proceedings (the "</w:t>
      </w:r>
      <w:r>
        <w:rPr>
          <w:rFonts w:ascii="Times New Roman" w:cs="Times New Roman" w:eastAsia="Times New Roman" w:hAnsi="Times New Roman"/>
          <w:sz w:val="17"/>
          <w:szCs w:val="17"/>
          <w:b w:val="1"/>
          <w:bCs w:val="1"/>
          <w:color w:val="auto"/>
        </w:rPr>
        <w:t>Restructuring</w:t>
      </w:r>
      <w:r>
        <w:rPr>
          <w:rFonts w:ascii="Times New Roman" w:cs="Times New Roman" w:eastAsia="Times New Roman" w:hAnsi="Times New Roman"/>
          <w:sz w:val="17"/>
          <w:szCs w:val="17"/>
          <w:color w:val="auto"/>
        </w:rPr>
        <w:t>"). On 27 February 2024, the Company terminated the Pre-Restructuring Service Agreement with effect from the end of 29 February 2024. On 12 March 2024, the Seller and the Company entered into a corporate service agreement (the "</w:t>
      </w:r>
      <w:r>
        <w:rPr>
          <w:rFonts w:ascii="Times New Roman" w:cs="Times New Roman" w:eastAsia="Times New Roman" w:hAnsi="Times New Roman"/>
          <w:sz w:val="17"/>
          <w:szCs w:val="17"/>
          <w:b w:val="1"/>
          <w:bCs w:val="1"/>
          <w:color w:val="auto"/>
        </w:rPr>
        <w:t>Corporate Services Agreement</w:t>
      </w:r>
      <w:r>
        <w:rPr>
          <w:rFonts w:ascii="Times New Roman" w:cs="Times New Roman" w:eastAsia="Times New Roman" w:hAnsi="Times New Roman"/>
          <w:sz w:val="17"/>
          <w:szCs w:val="17"/>
          <w:color w:val="auto"/>
        </w:rPr>
        <w:t>"). Under the Corporate Services Agreement, the Company provides certain services to the Seller, including services related to accounting and tax, controlling and treasury, preparation of financial statements, compliance and corporate governance, financial services and periodic reporting in relation to a listing of the Seller’s shares on a stock exchange or over-the-counter market.</w:t>
      </w:r>
    </w:p>
    <w:p>
      <w:pPr>
        <w:spacing w:after="0" w:line="113" w:lineRule="exact"/>
        <w:rPr>
          <w:rFonts w:ascii="Times New Roman" w:cs="Times New Roman" w:eastAsia="Times New Roman" w:hAnsi="Times New Roman"/>
          <w:sz w:val="17"/>
          <w:szCs w:val="17"/>
          <w:color w:val="auto"/>
        </w:rPr>
      </w:pPr>
    </w:p>
    <w:p>
      <w:pPr>
        <w:jc w:val="both"/>
        <w:ind w:left="652" w:hanging="652"/>
        <w:spacing w:after="0" w:line="26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21 April 2021/29 April 2021, the Seller entered into a lease agreement (the "</w:t>
      </w:r>
      <w:r>
        <w:rPr>
          <w:rFonts w:ascii="Times New Roman" w:cs="Times New Roman" w:eastAsia="Times New Roman" w:hAnsi="Times New Roman"/>
          <w:sz w:val="18"/>
          <w:szCs w:val="18"/>
          <w:b w:val="1"/>
          <w:bCs w:val="1"/>
          <w:color w:val="auto"/>
        </w:rPr>
        <w:t>Lease Agreement</w:t>
      </w:r>
      <w:r>
        <w:rPr>
          <w:rFonts w:ascii="Times New Roman" w:cs="Times New Roman" w:eastAsia="Times New Roman" w:hAnsi="Times New Roman"/>
          <w:sz w:val="18"/>
          <w:szCs w:val="18"/>
          <w:color w:val="auto"/>
        </w:rPr>
        <w:t>") with Georg and Elisabeth Däuber, Knospenstrasse 36, 80955 Munich (collectively the "</w:t>
      </w:r>
      <w:r>
        <w:rPr>
          <w:rFonts w:ascii="Times New Roman" w:cs="Times New Roman" w:eastAsia="Times New Roman" w:hAnsi="Times New Roman"/>
          <w:sz w:val="18"/>
          <w:szCs w:val="18"/>
          <w:b w:val="1"/>
          <w:bCs w:val="1"/>
          <w:color w:val="auto"/>
        </w:rPr>
        <w:t>Landlords</w:t>
      </w:r>
      <w:r>
        <w:rPr>
          <w:rFonts w:ascii="Times New Roman" w:cs="Times New Roman" w:eastAsia="Times New Roman" w:hAnsi="Times New Roman"/>
          <w:sz w:val="18"/>
          <w:szCs w:val="18"/>
          <w:color w:val="auto"/>
        </w:rPr>
        <w:t>") relating to the commercial premises located in Waldmeisterstraße 93, 80925 Munich, Germany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On 1 May 2021, the Seller and the Company entered into a sublease agreement relating to the Premises (the "</w:t>
      </w:r>
      <w:r>
        <w:rPr>
          <w:rFonts w:ascii="Times New Roman" w:cs="Times New Roman" w:eastAsia="Times New Roman" w:hAnsi="Times New Roman"/>
          <w:sz w:val="18"/>
          <w:szCs w:val="18"/>
          <w:b w:val="1"/>
          <w:bCs w:val="1"/>
          <w:color w:val="auto"/>
        </w:rPr>
        <w:t>Sublease Agreement</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intend to acquire the Shares and the Shareholder Loan Repayment Claim from the Seller and the Seller intends to sell and transfer the Shares and the Shareholder Loan Repayment Claim to the Purchasers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Transaction, the Corporate Services Agreement shall be terminated with effect as of 30 April 2026. The Company shall continue to provide certain limited financial and reporting information of the Company to the Seller, to the extent reasonably required for the Seller to fulfill certain tax and regulatory requirements following the Transaction.</w:t>
      </w:r>
    </w:p>
    <w:p>
      <w:pPr>
        <w:spacing w:after="0" w:line="12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as part of the Transaction, the Parties intend to agree on the procedure to achieve that the Company takes over the Lease Agreement for the Premises in course of which the Seller is intended to be released from any liabilities and obligations under the Lease Agreement.</w:t>
      </w:r>
    </w:p>
    <w:p>
      <w:pPr>
        <w:spacing w:after="0" w:line="1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167"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Transfer of the Sold Shares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Sale and Transfer of the Sold Shares</w:t>
      </w:r>
    </w:p>
    <w:p>
      <w:pPr>
        <w:spacing w:after="0" w:line="169" w:lineRule="exact"/>
        <w:rPr>
          <w:sz w:val="20"/>
          <w:szCs w:val="20"/>
          <w:color w:val="auto"/>
        </w:rPr>
      </w:pPr>
    </w:p>
    <w:p>
      <w:pPr>
        <w:jc w:val="both"/>
        <w:ind w:left="1280" w:hanging="638"/>
        <w:spacing w:after="0" w:line="26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sells and transfers with effect in rem (</w:t>
      </w:r>
      <w:r>
        <w:rPr>
          <w:rFonts w:ascii="Times New Roman" w:cs="Times New Roman" w:eastAsia="Times New Roman" w:hAnsi="Times New Roman"/>
          <w:sz w:val="18"/>
          <w:szCs w:val="18"/>
          <w:i w:val="1"/>
          <w:iCs w:val="1"/>
          <w:color w:val="auto"/>
        </w:rPr>
        <w:t>abtreten mit dinglicher Wirkung</w:t>
      </w:r>
      <w:r>
        <w:rPr>
          <w:rFonts w:ascii="Times New Roman" w:cs="Times New Roman" w:eastAsia="Times New Roman" w:hAnsi="Times New Roman"/>
          <w:sz w:val="18"/>
          <w:szCs w:val="18"/>
          <w:color w:val="auto"/>
        </w:rPr>
        <w:t>) the shares with the consecutive numbers 1 to 16,794 corresponding to a share percentage of 50% of the shares in the Company and the nominal capital of the Company to Purchaser 1 and Purchaser 1 accepts this sale and transfer; and</w:t>
      </w:r>
    </w:p>
    <w:p>
      <w:pPr>
        <w:spacing w:after="0" w:line="119" w:lineRule="exact"/>
        <w:rPr>
          <w:rFonts w:ascii="Times New Roman" w:cs="Times New Roman" w:eastAsia="Times New Roman" w:hAnsi="Times New Roman"/>
          <w:sz w:val="18"/>
          <w:szCs w:val="18"/>
          <w:color w:val="auto"/>
        </w:rPr>
      </w:pPr>
    </w:p>
    <w:p>
      <w:pPr>
        <w:jc w:val="both"/>
        <w:ind w:left="1280" w:hanging="638"/>
        <w:spacing w:after="0" w:line="26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sells and transfers with effect in rem (</w:t>
      </w:r>
      <w:r>
        <w:rPr>
          <w:rFonts w:ascii="Times New Roman" w:cs="Times New Roman" w:eastAsia="Times New Roman" w:hAnsi="Times New Roman"/>
          <w:sz w:val="18"/>
          <w:szCs w:val="18"/>
          <w:i w:val="1"/>
          <w:iCs w:val="1"/>
          <w:color w:val="auto"/>
        </w:rPr>
        <w:t>abtreten mit dinglicher Wirkung</w:t>
      </w:r>
      <w:r>
        <w:rPr>
          <w:rFonts w:ascii="Times New Roman" w:cs="Times New Roman" w:eastAsia="Times New Roman" w:hAnsi="Times New Roman"/>
          <w:sz w:val="18"/>
          <w:szCs w:val="18"/>
          <w:color w:val="auto"/>
        </w:rPr>
        <w:t>) the shares with the consecutive numbers 16,795 to 33,588 corresponding to a share percentage of 50% of the shares in the Company and nominal capital of the Company to the Purchaser 2 and Purchaser 2 accepts this sale and transfer (all shares sold and transferred by the Seller in this Clause 1.1 the "</w:t>
      </w:r>
      <w:r>
        <w:rPr>
          <w:rFonts w:ascii="Times New Roman" w:cs="Times New Roman" w:eastAsia="Times New Roman" w:hAnsi="Times New Roman"/>
          <w:sz w:val="18"/>
          <w:szCs w:val="18"/>
          <w:b w:val="1"/>
          <w:bCs w:val="1"/>
          <w:color w:val="auto"/>
        </w:rPr>
        <w:t>Sold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It is the joint understanding of the Parties that the Seller shall sell and transfer all shares held by it in the Company and the Seller shall not retain any shares or other interest in the Company.</w:t>
      </w:r>
    </w:p>
    <w:p>
      <w:pPr>
        <w:spacing w:after="0" w:line="106"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18"/>
          <w:szCs w:val="18"/>
          <w:color w:val="auto"/>
        </w:rPr>
        <w:t>The transfers in rem (</w:t>
      </w:r>
      <w:r>
        <w:rPr>
          <w:rFonts w:ascii="Times New Roman" w:cs="Times New Roman" w:eastAsia="Times New Roman" w:hAnsi="Times New Roman"/>
          <w:sz w:val="18"/>
          <w:szCs w:val="18"/>
          <w:i w:val="1"/>
          <w:iCs w:val="1"/>
          <w:color w:val="auto"/>
        </w:rPr>
        <w:t>Abtretung mit dinglicher Wirkung</w:t>
      </w:r>
      <w:r>
        <w:rPr>
          <w:rFonts w:ascii="Times New Roman" w:cs="Times New Roman" w:eastAsia="Times New Roman" w:hAnsi="Times New Roman"/>
          <w:sz w:val="18"/>
          <w:szCs w:val="18"/>
          <w:color w:val="auto"/>
        </w:rPr>
        <w:t>) of the Sold shares in Sections 1.1(a) and 1.1(b) shall not be subject to a condition precedent (</w:t>
      </w:r>
      <w:r>
        <w:rPr>
          <w:rFonts w:ascii="Times New Roman" w:cs="Times New Roman" w:eastAsia="Times New Roman" w:hAnsi="Times New Roman"/>
          <w:sz w:val="18"/>
          <w:szCs w:val="18"/>
          <w:i w:val="1"/>
          <w:iCs w:val="1"/>
          <w:color w:val="auto"/>
        </w:rPr>
        <w:t>aufschiebende Bedingung</w:t>
      </w:r>
      <w:r>
        <w:rPr>
          <w:rFonts w:ascii="Times New Roman" w:cs="Times New Roman" w:eastAsia="Times New Roman" w:hAnsi="Times New Roman"/>
          <w:sz w:val="18"/>
          <w:szCs w:val="18"/>
          <w:color w:val="auto"/>
        </w:rPr>
        <w:t>) and take immediate effect in rem (</w:t>
      </w:r>
      <w:r>
        <w:rPr>
          <w:rFonts w:ascii="Times New Roman" w:cs="Times New Roman" w:eastAsia="Times New Roman" w:hAnsi="Times New Roman"/>
          <w:sz w:val="18"/>
          <w:szCs w:val="18"/>
          <w:i w:val="1"/>
          <w:iCs w:val="1"/>
          <w:color w:val="auto"/>
        </w:rPr>
        <w:t>mit sofortiger dinglicher Wirkung</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Ancillary Rights</w:t>
      </w:r>
    </w:p>
    <w:p>
      <w:pPr>
        <w:spacing w:after="0" w:line="169"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18"/>
          <w:szCs w:val="18"/>
          <w:color w:val="auto"/>
        </w:rPr>
        <w:t>The Sold Shares are sold and transferred together with any and all rights and obligations pertaining thereto (</w:t>
      </w:r>
      <w:r>
        <w:rPr>
          <w:rFonts w:ascii="Times New Roman" w:cs="Times New Roman" w:eastAsia="Times New Roman" w:hAnsi="Times New Roman"/>
          <w:sz w:val="18"/>
          <w:szCs w:val="18"/>
          <w:i w:val="1"/>
          <w:iCs w:val="1"/>
          <w:color w:val="auto"/>
        </w:rPr>
        <w:t>Nebenrechte</w:t>
      </w:r>
      <w:r>
        <w:rPr>
          <w:rFonts w:ascii="Times New Roman" w:cs="Times New Roman" w:eastAsia="Times New Roman" w:hAnsi="Times New Roman"/>
          <w:sz w:val="18"/>
          <w:szCs w:val="18"/>
          <w:color w:val="auto"/>
        </w:rPr>
        <w:t>) including the right to any undistributed profits for the current business year and for any prior business years of the Company.</w:t>
      </w:r>
    </w:p>
    <w:p>
      <w:pPr>
        <w:spacing w:after="0" w:line="1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Consent of the Seller, No Right of First Refusal</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Pursuant to section 14 para. 1 of the articles of association of the Company, the transfer of the Sold Shares requires the approval of the Company’s shareholders with a majority of at least 80% of the share capital. In addition, pursuant to section 14 para. 2 of the articles of association of the Company the shareholders of the Company have a Right of First Refusal. As a matter of precaution: The Seller is the sole shareholder of the Company. The Seller hereby gives its consent to the Transaction. Section 14 para 2 of the articles of association is not applicable.</w:t>
      </w:r>
    </w:p>
    <w:p>
      <w:pPr>
        <w:spacing w:after="0" w:line="12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Assignment of Shareholder Loan Repayment Claim; Standstill</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Sale and Assignment</w:t>
      </w:r>
    </w:p>
    <w:p>
      <w:pPr>
        <w:spacing w:after="0" w:line="16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The Seller hereby sells and assigns with immediate effect in rem (</w:t>
      </w:r>
      <w:r>
        <w:rPr>
          <w:rFonts w:ascii="Times New Roman" w:cs="Times New Roman" w:eastAsia="Times New Roman" w:hAnsi="Times New Roman"/>
          <w:sz w:val="18"/>
          <w:szCs w:val="18"/>
          <w:i w:val="1"/>
          <w:iCs w:val="1"/>
          <w:color w:val="auto"/>
        </w:rPr>
        <w:t>sofortiger Wirkung</w:t>
      </w:r>
      <w:r>
        <w:rPr>
          <w:rFonts w:ascii="Times New Roman" w:cs="Times New Roman" w:eastAsia="Times New Roman" w:hAnsi="Times New Roman"/>
          <w:sz w:val="18"/>
          <w:szCs w:val="18"/>
          <w:color w:val="auto"/>
        </w:rPr>
        <w:t>) 50 % of the Shareholder Loan Repayment Claim to the Purchaser 1 and 50 % of the Shareholder Loan Repayment Claim to the Purchaser 2, whereby an indivisible cent amount shall be allocated to Purchaser 1, which hereby each accept such sale and assignment. The Company hereby consents to such assignments. The Company and the respective Purchaser may after the notarization of this agreement enter into a separate loan agreement governing the respective part of the Shareholder Loan Repayment Claim acquired by the respective Purchaser under this Section 2.1. Such loan agreement shall not require the consent of any of the other Parties, provided that Section 2.2 remains unaffected and provided further that a qualified subordination as set out in Section 2.3 shall be included in the respective loan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Standstill</w:t>
      </w:r>
    </w:p>
    <w:p>
      <w:pPr>
        <w:spacing w:after="0" w:line="169" w:lineRule="exact"/>
        <w:rPr>
          <w:sz w:val="20"/>
          <w:szCs w:val="20"/>
          <w:color w:val="auto"/>
        </w:rPr>
      </w:pPr>
    </w:p>
    <w:p>
      <w:pPr>
        <w:jc w:val="both"/>
        <w:ind w:left="1280" w:hanging="638"/>
        <w:spacing w:after="0" w:line="26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Purchasers hereby undertake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Seller (but not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Company, neither directly nor by way of a contract for the benefit of a third party (</w:t>
      </w:r>
      <w:r>
        <w:rPr>
          <w:rFonts w:ascii="Times New Roman" w:cs="Times New Roman" w:eastAsia="Times New Roman" w:hAnsi="Times New Roman"/>
          <w:sz w:val="18"/>
          <w:szCs w:val="18"/>
          <w:i w:val="1"/>
          <w:iCs w:val="1"/>
          <w:color w:val="auto"/>
        </w:rPr>
        <w:t>kein Vertrag zu Gunsten Dritter</w:t>
      </w:r>
      <w:r>
        <w:rPr>
          <w:rFonts w:ascii="Times New Roman" w:cs="Times New Roman" w:eastAsia="Times New Roman" w:hAnsi="Times New Roman"/>
          <w:sz w:val="18"/>
          <w:szCs w:val="18"/>
          <w:color w:val="auto"/>
        </w:rPr>
        <w:t>)) that they will not demand, enforce or otherwise seek repayment, whether fully or partly, of the Shareholder Loan Repayment Claim for a period of two years following the Signing Date.</w:t>
      </w:r>
    </w:p>
    <w:p>
      <w:pPr>
        <w:spacing w:after="0" w:line="119"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Clause shall be construed as a waiver or deferral (</w:t>
      </w:r>
      <w:r>
        <w:rPr>
          <w:rFonts w:ascii="Times New Roman" w:cs="Times New Roman" w:eastAsia="Times New Roman" w:hAnsi="Times New Roman"/>
          <w:sz w:val="18"/>
          <w:szCs w:val="18"/>
          <w:i w:val="1"/>
          <w:iCs w:val="1"/>
          <w:color w:val="auto"/>
        </w:rPr>
        <w:t>Stundung</w:t>
      </w:r>
      <w:r>
        <w:rPr>
          <w:rFonts w:ascii="Times New Roman" w:cs="Times New Roman" w:eastAsia="Times New Roman" w:hAnsi="Times New Roman"/>
          <w:sz w:val="18"/>
          <w:szCs w:val="18"/>
          <w:color w:val="auto"/>
        </w:rPr>
        <w:t>) of the Shareholder Loan Repayment Claim.</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Qualified subordination (</w:t>
      </w:r>
      <w:r>
        <w:rPr>
          <w:rFonts w:ascii="Times New Roman" w:cs="Times New Roman" w:eastAsia="Times New Roman" w:hAnsi="Times New Roman"/>
          <w:sz w:val="18"/>
          <w:szCs w:val="18"/>
          <w:i w:val="1"/>
          <w:iCs w:val="1"/>
          <w:color w:val="auto"/>
        </w:rPr>
        <w:t>Qualifizierter Rangrücktritt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1280" w:hanging="638"/>
        <w:spacing w:after="0" w:line="25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each Purchaser, each as holder of the acquired part of the Shareholder Loan Repayment Claim, hereby subordinates, pursuant to Section 19 para. 2 sentence 2 and Section 39 para. 2 of the German Insolvency Code (“</w:t>
      </w:r>
      <w:r>
        <w:rPr>
          <w:rFonts w:ascii="Times New Roman" w:cs="Times New Roman" w:eastAsia="Times New Roman" w:hAnsi="Times New Roman"/>
          <w:sz w:val="18"/>
          <w:szCs w:val="18"/>
          <w:b w:val="1"/>
          <w:bCs w:val="1"/>
          <w:color w:val="auto"/>
        </w:rPr>
        <w:t>InsO</w:t>
      </w:r>
      <w:r>
        <w:rPr>
          <w:rFonts w:ascii="Times New Roman" w:cs="Times New Roman" w:eastAsia="Times New Roman" w:hAnsi="Times New Roman"/>
          <w:sz w:val="18"/>
          <w:szCs w:val="18"/>
          <w:color w:val="auto"/>
        </w:rPr>
        <w:t>”), the part of the Shareholder Loan Repayment Claim acquired by such Purchaser (including any ancillary rights (</w:t>
      </w:r>
      <w:r>
        <w:rPr>
          <w:rFonts w:ascii="Times New Roman" w:cs="Times New Roman" w:eastAsia="Times New Roman" w:hAnsi="Times New Roman"/>
          <w:sz w:val="18"/>
          <w:szCs w:val="18"/>
          <w:i w:val="1"/>
          <w:iCs w:val="1"/>
          <w:color w:val="auto"/>
        </w:rPr>
        <w:t>Nebenrechte</w:t>
      </w:r>
      <w:r>
        <w:rPr>
          <w:rFonts w:ascii="Times New Roman" w:cs="Times New Roman" w:eastAsia="Times New Roman" w:hAnsi="Times New Roman"/>
          <w:sz w:val="18"/>
          <w:szCs w:val="18"/>
          <w:color w:val="auto"/>
        </w:rPr>
        <w:t>) and any present and future claims for principal, interest (including default interest) and costs arising out of or in connection with the Shareholder Loans and/or the Shareholder Loan Repayment Claim) (collectively, the “</w:t>
      </w:r>
      <w:r>
        <w:rPr>
          <w:rFonts w:ascii="Times New Roman" w:cs="Times New Roman" w:eastAsia="Times New Roman" w:hAnsi="Times New Roman"/>
          <w:sz w:val="18"/>
          <w:szCs w:val="18"/>
          <w:b w:val="1"/>
          <w:bCs w:val="1"/>
          <w:color w:val="auto"/>
        </w:rPr>
        <w:t>Subordinated Receivables</w:t>
      </w:r>
      <w:r>
        <w:rPr>
          <w:rFonts w:ascii="Times New Roman" w:cs="Times New Roman" w:eastAsia="Times New Roman" w:hAnsi="Times New Roman"/>
          <w:sz w:val="18"/>
          <w:szCs w:val="18"/>
          <w:color w:val="auto"/>
        </w:rPr>
        <w:t>“) to the claims of all other present and future creditors of the Company (other than (i) creditors whose claims are already subordinated by agreement and rank equally with the Subordinated Receivables, and (ii) equally ranking creditors) to such extent that the Subordinated Receivables may only be asserted and satisfied after satisfaction in full of all other claims against the Company (including the claims referred to in Section 39 para. 1 nos. 1–5 InsO), but prior to shareholders’ claims for repayment of capital contributions within the meaning of Section 199 sentence 2 InsO, and only out of (i) future net profits (</w:t>
      </w:r>
      <w:r>
        <w:rPr>
          <w:rFonts w:ascii="Times New Roman" w:cs="Times New Roman" w:eastAsia="Times New Roman" w:hAnsi="Times New Roman"/>
          <w:sz w:val="18"/>
          <w:szCs w:val="18"/>
          <w:i w:val="1"/>
          <w:iCs w:val="1"/>
          <w:color w:val="auto"/>
        </w:rPr>
        <w:t>künftige Jahresüberschüsse</w:t>
      </w:r>
      <w:r>
        <w:rPr>
          <w:rFonts w:ascii="Times New Roman" w:cs="Times New Roman" w:eastAsia="Times New Roman" w:hAnsi="Times New Roman"/>
          <w:sz w:val="18"/>
          <w:szCs w:val="18"/>
          <w:color w:val="auto"/>
        </w:rPr>
        <w:t>), (ii) a liquidation surplus (</w:t>
      </w:r>
      <w:r>
        <w:rPr>
          <w:rFonts w:ascii="Times New Roman" w:cs="Times New Roman" w:eastAsia="Times New Roman" w:hAnsi="Times New Roman"/>
          <w:sz w:val="18"/>
          <w:szCs w:val="18"/>
          <w:i w:val="1"/>
          <w:iCs w:val="1"/>
          <w:color w:val="auto"/>
        </w:rPr>
        <w:t>Liquidationsüberschuss</w:t>
      </w:r>
      <w:r>
        <w:rPr>
          <w:rFonts w:ascii="Times New Roman" w:cs="Times New Roman" w:eastAsia="Times New Roman" w:hAnsi="Times New Roman"/>
          <w:sz w:val="18"/>
          <w:szCs w:val="18"/>
          <w:color w:val="auto"/>
        </w:rPr>
        <w:t>) or (iii) other free assets (</w:t>
      </w:r>
      <w:r>
        <w:rPr>
          <w:rFonts w:ascii="Times New Roman" w:cs="Times New Roman" w:eastAsia="Times New Roman" w:hAnsi="Times New Roman"/>
          <w:sz w:val="18"/>
          <w:szCs w:val="18"/>
          <w:i w:val="1"/>
          <w:iCs w:val="1"/>
          <w:color w:val="auto"/>
        </w:rPr>
        <w:t>sonstiges freies Vermögen</w:t>
      </w:r>
      <w:r>
        <w:rPr>
          <w:rFonts w:ascii="Times New Roman" w:cs="Times New Roman" w:eastAsia="Times New Roman" w:hAnsi="Times New Roman"/>
          <w:sz w:val="18"/>
          <w:szCs w:val="18"/>
          <w:color w:val="auto"/>
        </w:rPr>
        <w:t>) of the Company which remain after satisfaction of such other creditors and which are not required for capital maintenance purposes (the “</w:t>
      </w:r>
      <w:r>
        <w:rPr>
          <w:rFonts w:ascii="Times New Roman" w:cs="Times New Roman" w:eastAsia="Times New Roman" w:hAnsi="Times New Roman"/>
          <w:sz w:val="18"/>
          <w:szCs w:val="18"/>
          <w:b w:val="1"/>
          <w:bCs w:val="1"/>
          <w:color w:val="auto"/>
        </w:rPr>
        <w:t>Subordination</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jc w:val="both"/>
        <w:ind w:left="1280" w:hanging="638"/>
        <w:spacing w:after="0" w:line="254"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Subordination shall also apply outside insolvency proceedings, i.e. prior to the opening of insolvency proceedings over the assets of the Company. Accordingly, no payment (and no enforcement) in respect of the Subordinated Receivables shall be made if and to the extent that the Company is at the relevant time unable to pay its debts as they fall due (</w:t>
      </w:r>
      <w:r>
        <w:rPr>
          <w:rFonts w:ascii="Times New Roman" w:cs="Times New Roman" w:eastAsia="Times New Roman" w:hAnsi="Times New Roman"/>
          <w:sz w:val="18"/>
          <w:szCs w:val="18"/>
          <w:i w:val="1"/>
          <w:iCs w:val="1"/>
          <w:color w:val="auto"/>
        </w:rPr>
        <w:t>zahlungsunfähig</w:t>
      </w:r>
      <w:r>
        <w:rPr>
          <w:rFonts w:ascii="Times New Roman" w:cs="Times New Roman" w:eastAsia="Times New Roman" w:hAnsi="Times New Roman"/>
          <w:sz w:val="18"/>
          <w:szCs w:val="18"/>
          <w:color w:val="auto"/>
        </w:rPr>
        <w:t>) or over-indebted (</w:t>
      </w:r>
      <w:r>
        <w:rPr>
          <w:rFonts w:ascii="Times New Roman" w:cs="Times New Roman" w:eastAsia="Times New Roman" w:hAnsi="Times New Roman"/>
          <w:sz w:val="18"/>
          <w:szCs w:val="18"/>
          <w:i w:val="1"/>
          <w:iCs w:val="1"/>
          <w:color w:val="auto"/>
        </w:rPr>
        <w:t>überschuldet</w:t>
      </w:r>
      <w:r>
        <w:rPr>
          <w:rFonts w:ascii="Times New Roman" w:cs="Times New Roman" w:eastAsia="Times New Roman" w:hAnsi="Times New Roman"/>
          <w:sz w:val="18"/>
          <w:szCs w:val="18"/>
          <w:color w:val="auto"/>
        </w:rPr>
        <w:t>) within the meaning of Sections 17 and 19 InsO, or would become unable to pay its debts as they fall due or over-indebted as a result of such payment or enforcement. For the purposes of avoiding illiquidity within the meaning of Section 17 InsO, the Subordinated Receivables shall be deemed not to be seriously demanded (</w:t>
      </w:r>
      <w:r>
        <w:rPr>
          <w:rFonts w:ascii="Times New Roman" w:cs="Times New Roman" w:eastAsia="Times New Roman" w:hAnsi="Times New Roman"/>
          <w:sz w:val="18"/>
          <w:szCs w:val="18"/>
          <w:i w:val="1"/>
          <w:iCs w:val="1"/>
          <w:color w:val="auto"/>
        </w:rPr>
        <w:t>nicht ernsthaft eingefordert</w:t>
      </w:r>
      <w:r>
        <w:rPr>
          <w:rFonts w:ascii="Times New Roman" w:cs="Times New Roman" w:eastAsia="Times New Roman" w:hAnsi="Times New Roman"/>
          <w:sz w:val="18"/>
          <w:szCs w:val="18"/>
          <w:color w:val="auto"/>
        </w:rPr>
        <w:t>). For the avoidance of doubt, the Purchasers shall refrain from any acts in relation to the Subordinated Receivables that would constitute, trigger or deepen any ground for insolvency of the Company under German insolvency law.</w:t>
      </w:r>
    </w:p>
    <w:p>
      <w:pPr>
        <w:spacing w:after="0" w:line="135" w:lineRule="exact"/>
        <w:rPr>
          <w:rFonts w:ascii="Times New Roman" w:cs="Times New Roman" w:eastAsia="Times New Roman" w:hAnsi="Times New Roman"/>
          <w:sz w:val="18"/>
          <w:szCs w:val="18"/>
          <w:color w:val="auto"/>
        </w:rPr>
      </w:pPr>
    </w:p>
    <w:p>
      <w:pPr>
        <w:ind w:left="1280" w:hanging="638"/>
        <w:spacing w:after="0" w:line="284"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Subordination constitutes neither a deferral/moratorium (</w:t>
      </w:r>
      <w:r>
        <w:rPr>
          <w:rFonts w:ascii="Times New Roman" w:cs="Times New Roman" w:eastAsia="Times New Roman" w:hAnsi="Times New Roman"/>
          <w:sz w:val="18"/>
          <w:szCs w:val="18"/>
          <w:i w:val="1"/>
          <w:iCs w:val="1"/>
          <w:color w:val="auto"/>
        </w:rPr>
        <w:t>Stundung</w:t>
      </w:r>
      <w:r>
        <w:rPr>
          <w:rFonts w:ascii="Times New Roman" w:cs="Times New Roman" w:eastAsia="Times New Roman" w:hAnsi="Times New Roman"/>
          <w:sz w:val="18"/>
          <w:szCs w:val="18"/>
          <w:color w:val="auto"/>
        </w:rPr>
        <w:t>) nor a waiver (</w:t>
      </w:r>
      <w:r>
        <w:rPr>
          <w:rFonts w:ascii="Times New Roman" w:cs="Times New Roman" w:eastAsia="Times New Roman" w:hAnsi="Times New Roman"/>
          <w:sz w:val="18"/>
          <w:szCs w:val="18"/>
          <w:i w:val="1"/>
          <w:iCs w:val="1"/>
          <w:color w:val="auto"/>
        </w:rPr>
        <w:t>Verzicht</w:t>
      </w:r>
      <w:r>
        <w:rPr>
          <w:rFonts w:ascii="Times New Roman" w:cs="Times New Roman" w:eastAsia="Times New Roman" w:hAnsi="Times New Roman"/>
          <w:sz w:val="18"/>
          <w:szCs w:val="18"/>
          <w:color w:val="auto"/>
        </w:rPr>
        <w:t>) of any Subordinated Receivables.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 w:name="page15"/>
    <w:bookmarkEnd w:id="14"/>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Termination of LoC</w:t>
      </w:r>
    </w:p>
    <w:p>
      <w:pPr>
        <w:spacing w:after="0" w:line="17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The Company and the Seller agree that the Seller has fulfilled all payment obligations under or in connection with the LoC. The Company and the Seller hereby terminate the LoC with immediate effect, and, as a matter of precaution, the Company and the Seller each hereby waive any claims under the LoC with effect from the Signing Date in accordance with Section 5.1. For the avoidance of doubt, the claims of the Purchasers resulting from the acquisition of the Shareholder Loan Repayment Claim, in particular the acquired parts of the Shareholder Loan Repayment Claims themselves remain unaffected.</w:t>
      </w:r>
    </w:p>
    <w:p>
      <w:pPr>
        <w:spacing w:after="0" w:line="125"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Services Agreement</w:t>
      </w:r>
    </w:p>
    <w:p>
      <w:pPr>
        <w:spacing w:after="0" w:line="175"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and the Seller hereby terminate the Corporate Services Agreement with retroactive effect as of 30 April 2026. Any payment claims of the Company resulting from services rendered on or prior to 30 April 2026 or relating to periods until and including 30 April 2026 remain unaffected. Apart from the claims specifically exempted under the preceding sentence, the Seller as well as the Company hereby waive any and all claims or rights they may have against the respective other party under or in connection with the Corporate Service Agreement (whether actual or contingent, present or future).</w:t>
      </w:r>
    </w:p>
    <w:p>
      <w:pPr>
        <w:spacing w:after="0" w:line="1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Purchasers shall use their best efforts to procure that Company provides, and the Company undertakes to provide the Seller within reasonable time after receipt of a corresponding request with any information which is available at the Company and reasonably required by the Seller (i) to comply with the Seller’s regulatory reporting obligations as a listed entity, and/or (ii) for the fulfilment of its tax obligations. The undertaking pursuant to the preceding sentence shall lapse six (6) months after the Signing Date.</w:t>
      </w:r>
    </w:p>
    <w:p>
      <w:pPr>
        <w:spacing w:after="0" w:line="122"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Agreement</w:t>
      </w:r>
    </w:p>
    <w:p>
      <w:pPr>
        <w:spacing w:after="0" w:line="175"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Parties undertake vis-à-vis each other to use their best efforts to achieve that the Lease Agreement will be transferred to the Company as (main) lessee by way of a tripartite agreement to be entered into by the Company and the Seller with the Landlords (such agreement a "</w:t>
      </w:r>
      <w:r>
        <w:rPr>
          <w:rFonts w:ascii="Times New Roman" w:cs="Times New Roman" w:eastAsia="Times New Roman" w:hAnsi="Times New Roman"/>
          <w:sz w:val="18"/>
          <w:szCs w:val="18"/>
          <w:b w:val="1"/>
          <w:bCs w:val="1"/>
          <w:color w:val="auto"/>
        </w:rPr>
        <w:t>Tripartite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Tripartite Agreement shall include a release of the Seller from any liability under the Lease Agreement and/or Sublease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26"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such Tripartite Agreement cannot be entered into by 30 June 2026, the Seller is free to terminate the Lease Agreement without further consent of the Company and the Purchasers and the Company shall use their best efforts to achieve a transfer or termination of the Lease Agreement after 30 June 2026, as instructed by the Seller.</w:t>
      </w:r>
    </w:p>
    <w:p>
      <w:pPr>
        <w:spacing w:after="0" w:line="122"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Company shall continue to fulfill, and the Purchasers shall use their best efforts to procure that the Company fulfills, all of its obligations under the Sublease Agreement until such point in time when the Lease Agreement has either been transferred by way of a Tripartite Agreement or terminated.</w:t>
      </w:r>
    </w:p>
    <w:p>
      <w:pPr>
        <w:spacing w:after="0" w:line="118"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and Assumption of Employee</w:t>
      </w:r>
    </w:p>
    <w:p>
      <w:pPr>
        <w:spacing w:after="0" w:line="175"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Company hereby waives and releases the Seller and (as a contract for the benefit of e third party) the Seller’s Affiliates from any and all claims (whether known or unknown, actual or contingent) arising out of or in connection with (i) the shareholder resolution dated 11 December 2025 regarding the funding of the Company (including any alleged commitment to fund EUR 1.3m throughout 2026), (ii) the LoC or any other letter of comfort, patronage declaration, comfort letter or similar undertaking, and (iii) any intercompany relationships (including payables/receivables on any clearing account and claims based on tax group), in each case to the extent based on facts or circumstances existing on or prior to the Signing Date. Any payment claims under the Corporate Service Agreement exempted under sentence 2 of Section 3.1 remain unaffected.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agrees to assume from the Company the employment relationship with the Company’s employee [***]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with economic effect as from 1 May 2026 (the “</w:t>
      </w:r>
      <w:r>
        <w:rPr>
          <w:rFonts w:ascii="Times New Roman" w:cs="Times New Roman" w:eastAsia="Times New Roman" w:hAnsi="Times New Roman"/>
          <w:sz w:val="18"/>
          <w:szCs w:val="18"/>
          <w:b w:val="1"/>
          <w:bCs w:val="1"/>
          <w:color w:val="auto"/>
        </w:rPr>
        <w:t>Assumption Date</w:t>
      </w:r>
      <w:r>
        <w:rPr>
          <w:rFonts w:ascii="Times New Roman" w:cs="Times New Roman" w:eastAsia="Times New Roman" w:hAnsi="Times New Roman"/>
          <w:sz w:val="18"/>
          <w:szCs w:val="18"/>
          <w:color w:val="auto"/>
        </w:rPr>
        <w:t>”). The Company and the Seller will without undue delay after the notarization of this Agreement offer to Employee such assumption by the Seller on unchanged terms or, at the Seller’s discretion, on improved terms, by entering into tripartite transfer agreement. The assumption shall have with debt discharging effect for the Company (</w:t>
      </w:r>
      <w:r>
        <w:rPr>
          <w:rFonts w:ascii="Times New Roman" w:cs="Times New Roman" w:eastAsia="Times New Roman" w:hAnsi="Times New Roman"/>
          <w:sz w:val="18"/>
          <w:szCs w:val="18"/>
          <w:i w:val="1"/>
          <w:iCs w:val="1"/>
          <w:color w:val="auto"/>
        </w:rPr>
        <w:t>schuldbefreiende Wirkung</w:t>
      </w:r>
      <w:r>
        <w:rPr>
          <w:rFonts w:ascii="Times New Roman" w:cs="Times New Roman" w:eastAsia="Times New Roman" w:hAnsi="Times New Roman"/>
          <w:sz w:val="18"/>
          <w:szCs w:val="18"/>
          <w:color w:val="auto"/>
        </w:rPr>
        <w:t>). The Seller is aware that the Company has terminated the employment relationship of the Employee taking legal effect as of 31 July 2026. The Seller shall indemnify and reimburse the Company from and for any losses and liabilities arising from the employment of the Employee by the Company after the Assumption Date, this in particular includes all claims relating to salary and social security contributions in respect of such employment and any reasonable severance payment that may be agreed by the Company in connection with the settlement of any action for unfair dismissal that may be filed by the Employee in connection with the termination of his employment by the Company.</w:t>
      </w:r>
    </w:p>
    <w:p>
      <w:pPr>
        <w:spacing w:after="0" w:line="134"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 Payments, Joint and Several Liability for Purchase Price</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Share Purchase Price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purchase price for the Sold Shares (the "</w:t>
      </w:r>
      <w:r>
        <w:rPr>
          <w:rFonts w:ascii="Times New Roman" w:cs="Times New Roman" w:eastAsia="Times New Roman" w:hAnsi="Times New Roman"/>
          <w:sz w:val="18"/>
          <w:szCs w:val="18"/>
          <w:b w:val="1"/>
          <w:bCs w:val="1"/>
          <w:color w:val="auto"/>
        </w:rPr>
        <w:t>Share Purchase Price</w:t>
      </w:r>
      <w:r>
        <w:rPr>
          <w:rFonts w:ascii="Times New Roman" w:cs="Times New Roman" w:eastAsia="Times New Roman" w:hAnsi="Times New Roman"/>
          <w:sz w:val="18"/>
          <w:szCs w:val="18"/>
          <w:color w:val="auto"/>
        </w:rPr>
        <w:t>") shall be EUR 1 (in words: one euro).</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Shareholder Loan Purchase Price</w:t>
      </w:r>
    </w:p>
    <w:p>
      <w:pPr>
        <w:spacing w:after="0" w:line="167"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color w:val="auto"/>
        </w:rPr>
        <w:t>The purchase price for the Shareholder Loan Repayment Claim shall be EUR 1 (in words: one euro) (the "</w:t>
      </w:r>
      <w:r>
        <w:rPr>
          <w:rFonts w:ascii="Times New Roman" w:cs="Times New Roman" w:eastAsia="Times New Roman" w:hAnsi="Times New Roman"/>
          <w:sz w:val="18"/>
          <w:szCs w:val="18"/>
          <w:b w:val="1"/>
          <w:bCs w:val="1"/>
          <w:color w:val="auto"/>
        </w:rPr>
        <w:t>Loan Claim Purchase Price</w:t>
      </w:r>
      <w:r>
        <w:rPr>
          <w:rFonts w:ascii="Times New Roman" w:cs="Times New Roman" w:eastAsia="Times New Roman" w:hAnsi="Times New Roman"/>
          <w:sz w:val="18"/>
          <w:szCs w:val="18"/>
          <w:color w:val="auto"/>
        </w:rPr>
        <w:t>"; the Loan Claim Purchase Price together with the Share Purchase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Payments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Without undue delay after the notarization of this Agreement the Purchasers shall pay to the Seller the Purchase Price as follows:</w:t>
      </w:r>
    </w:p>
    <w:p>
      <w:pPr>
        <w:spacing w:after="0" w:line="167" w:lineRule="exact"/>
        <w:rPr>
          <w:sz w:val="20"/>
          <w:szCs w:val="20"/>
          <w:color w:val="auto"/>
        </w:rPr>
      </w:pPr>
    </w:p>
    <w:p>
      <w:pPr>
        <w:ind w:left="1280" w:hanging="63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1 shall pay an amount equal to 50% of the Purchase Price, i.e. an amount or EUR 1.00 (the "</w:t>
      </w:r>
      <w:r>
        <w:rPr>
          <w:rFonts w:ascii="Times New Roman" w:cs="Times New Roman" w:eastAsia="Times New Roman" w:hAnsi="Times New Roman"/>
          <w:sz w:val="18"/>
          <w:szCs w:val="18"/>
          <w:b w:val="1"/>
          <w:bCs w:val="1"/>
          <w:color w:val="auto"/>
        </w:rPr>
        <w:t>Purchaser 1 Amount</w:t>
      </w:r>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2 shall pay an amount equal to 50% of the Purchase Price, i.e. an amount or EUR 1.00 (the "</w:t>
      </w:r>
      <w:r>
        <w:rPr>
          <w:rFonts w:ascii="Times New Roman" w:cs="Times New Roman" w:eastAsia="Times New Roman" w:hAnsi="Times New Roman"/>
          <w:sz w:val="18"/>
          <w:szCs w:val="18"/>
          <w:b w:val="1"/>
          <w:bCs w:val="1"/>
          <w:color w:val="auto"/>
        </w:rPr>
        <w:t>Purchaser 2 Amount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Payment Modalities; No Set-Off</w:t>
      </w:r>
    </w:p>
    <w:p>
      <w:pPr>
        <w:spacing w:after="0" w:line="171" w:lineRule="exact"/>
        <w:rPr>
          <w:sz w:val="20"/>
          <w:szCs w:val="20"/>
          <w:color w:val="auto"/>
        </w:rPr>
      </w:pPr>
    </w:p>
    <w:p>
      <w:pPr>
        <w:jc w:val="both"/>
        <w:ind w:left="1280" w:hanging="638"/>
        <w:spacing w:after="0" w:line="266"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to be made under or in connection with this Agreement shall be made in Euro and by instant wire transfer (</w:t>
      </w:r>
      <w:r>
        <w:rPr>
          <w:rFonts w:ascii="Times New Roman" w:cs="Times New Roman" w:eastAsia="Times New Roman" w:hAnsi="Times New Roman"/>
          <w:sz w:val="18"/>
          <w:szCs w:val="18"/>
          <w:i w:val="1"/>
          <w:iCs w:val="1"/>
          <w:color w:val="auto"/>
        </w:rPr>
        <w:t>Echtzeitüberweisung</w:t>
      </w:r>
      <w:r>
        <w:rPr>
          <w:rFonts w:ascii="Times New Roman" w:cs="Times New Roman" w:eastAsia="Times New Roman" w:hAnsi="Times New Roman"/>
          <w:sz w:val="18"/>
          <w:szCs w:val="18"/>
          <w:color w:val="auto"/>
        </w:rPr>
        <w:t>) in immediately available funds, valued as of the relevant due date. Each Party shall bear the bank charges and other fees of the money transfer charged by its bank.</w:t>
      </w:r>
    </w:p>
    <w:p>
      <w:pPr>
        <w:spacing w:after="0" w:line="12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the Seller shall be directed to the Seller's Bank Account.</w:t>
      </w:r>
    </w:p>
    <w:p>
      <w:pPr>
        <w:spacing w:after="0" w:line="17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entitled to exercise any right of set-off or retention right with respect to its payment obligations pursuant to this Section 6.4, except for any claims which have been assessed by a final and binding decision of a court or arbitrator or which have not been contested by the other Party.</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Joint and Several Liability of Purchasers for Purchase Price</w:t>
      </w:r>
    </w:p>
    <w:p>
      <w:pPr>
        <w:spacing w:after="0" w:line="169" w:lineRule="exact"/>
        <w:rPr>
          <w:sz w:val="20"/>
          <w:szCs w:val="20"/>
          <w:color w:val="auto"/>
        </w:rPr>
      </w:pPr>
    </w:p>
    <w:p>
      <w:pPr>
        <w:jc w:val="both"/>
        <w:ind w:left="640" w:right="100"/>
        <w:spacing w:after="0" w:line="267" w:lineRule="auto"/>
        <w:rPr>
          <w:sz w:val="20"/>
          <w:szCs w:val="20"/>
          <w:color w:val="auto"/>
        </w:rPr>
      </w:pPr>
      <w:r>
        <w:rPr>
          <w:rFonts w:ascii="Times New Roman" w:cs="Times New Roman" w:eastAsia="Times New Roman" w:hAnsi="Times New Roman"/>
          <w:sz w:val="18"/>
          <w:szCs w:val="18"/>
          <w:color w:val="auto"/>
        </w:rPr>
        <w:t>The Purchasers shall be jointly and severally liable (</w:t>
      </w:r>
      <w:r>
        <w:rPr>
          <w:rFonts w:ascii="Times New Roman" w:cs="Times New Roman" w:eastAsia="Times New Roman" w:hAnsi="Times New Roman"/>
          <w:sz w:val="18"/>
          <w:szCs w:val="18"/>
          <w:i w:val="1"/>
          <w:iCs w:val="1"/>
          <w:color w:val="auto"/>
        </w:rPr>
        <w:t>gesamtschuldnerische Haftung</w:t>
      </w:r>
      <w:r>
        <w:rPr>
          <w:rFonts w:ascii="Times New Roman" w:cs="Times New Roman" w:eastAsia="Times New Roman" w:hAnsi="Times New Roman"/>
          <w:sz w:val="18"/>
          <w:szCs w:val="18"/>
          <w:color w:val="auto"/>
        </w:rPr>
        <w:t>) for the payment of the Purchase Price pursuant to Sections 6. For the avoidance of doubt, except as set forth in the foregoing sentence, there shall be no joint and several liability of the Purchasers under or in connection with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6" w:name="page17"/>
    <w:bookmarkEnd w:id="16"/>
    <w:p>
      <w:pPr>
        <w:spacing w:after="0"/>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Default Interest</w:t>
      </w:r>
    </w:p>
    <w:p>
      <w:pPr>
        <w:spacing w:after="0" w:line="17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If a Party fails to pay any sum payable under this Section 3 or under any other provision of this Agreement on the due date for payment, it shall be in default (</w:t>
      </w:r>
      <w:r>
        <w:rPr>
          <w:rFonts w:ascii="Times New Roman" w:cs="Times New Roman" w:eastAsia="Times New Roman" w:hAnsi="Times New Roman"/>
          <w:sz w:val="18"/>
          <w:szCs w:val="18"/>
          <w:i w:val="1"/>
          <w:iCs w:val="1"/>
          <w:color w:val="auto"/>
        </w:rPr>
        <w:t>Verzug</w:t>
      </w:r>
      <w:r>
        <w:rPr>
          <w:rFonts w:ascii="Times New Roman" w:cs="Times New Roman" w:eastAsia="Times New Roman" w:hAnsi="Times New Roman"/>
          <w:sz w:val="18"/>
          <w:szCs w:val="18"/>
          <w:color w:val="auto"/>
        </w:rPr>
        <w:t>) of such payment obligation from three (3) Business Days after the due date, without any further notice of the other Party/Parties being required. Interest shall accrue on the unpaid amount at eight percent (8 %) p.a. for the period from and including the due date up to, but not including, the date payment is received by the other Party/Parties (the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Default Interest will accrue from day to day on the basis of the actual number of days elapsed and a 360-day year, and shall be payable on the final day of each calendar month in arrears.</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5"/>
          <w:szCs w:val="15"/>
          <w:color w:val="auto"/>
        </w:rPr>
        <w:t>VAT</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Parties both assume that no VAT shall accrue for the transaction provided for in this Agreement. In the event that the competent fiscal authorities are of a different opinion, then the Purchase Price shall be net of VAT, i.e. shall not include VAT. VAT – if any – shall be borne by the Purchasers, provided that the Seller has furnished a VAT-invoice as required to the Purchasers. Neither the Seller nor the Purchasers shall waive any applicable VAT or similar foreign tax exemption; neither the Seller nor the Purchasers shall opt for VAT.</w:t>
      </w:r>
    </w:p>
    <w:p>
      <w:pPr>
        <w:spacing w:after="0" w:line="1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Update of Shareholders' List, Power of Attorney</w:t>
      </w:r>
    </w:p>
    <w:p>
      <w:pPr>
        <w:spacing w:after="0" w:line="171" w:lineRule="exact"/>
        <w:rPr>
          <w:sz w:val="20"/>
          <w:szCs w:val="20"/>
          <w:color w:val="auto"/>
        </w:rPr>
      </w:pPr>
    </w:p>
    <w:p>
      <w:pPr>
        <w:jc w:val="both"/>
        <w:ind w:left="1280" w:right="20" w:hanging="638"/>
        <w:spacing w:after="0" w:line="261" w:lineRule="auto"/>
        <w:tabs>
          <w:tab w:leader="none" w:pos="1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instruct the recording notary to electronically submit an updated shareholders' list of the Company pursuant to Section 40 para. 2 GmbHG to the competent commercial register immediately after the notarization of this Agreement. The recording notary shall notify the Seller and the Purchasers of this submission by providing a copy of the new shareholders' list submitted to the commercial register.</w:t>
      </w:r>
    </w:p>
    <w:p>
      <w:pPr>
        <w:spacing w:after="0" w:line="123" w:lineRule="exact"/>
        <w:rPr>
          <w:rFonts w:ascii="Times New Roman" w:cs="Times New Roman" w:eastAsia="Times New Roman" w:hAnsi="Times New Roman"/>
          <w:sz w:val="18"/>
          <w:szCs w:val="18"/>
          <w:color w:val="auto"/>
        </w:rPr>
      </w:pPr>
    </w:p>
    <w:p>
      <w:pPr>
        <w:jc w:val="both"/>
        <w:ind w:left="1280" w:hanging="638"/>
        <w:spacing w:after="0" w:line="257" w:lineRule="auto"/>
        <w:tabs>
          <w:tab w:leader="none" w:pos="1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authorize (</w:t>
      </w:r>
      <w:r>
        <w:rPr>
          <w:rFonts w:ascii="Times New Roman" w:cs="Times New Roman" w:eastAsia="Times New Roman" w:hAnsi="Times New Roman"/>
          <w:sz w:val="18"/>
          <w:szCs w:val="18"/>
          <w:i w:val="1"/>
          <w:iCs w:val="1"/>
          <w:color w:val="auto"/>
        </w:rPr>
        <w:t>bevollmächtigen</w:t>
      </w:r>
      <w:r>
        <w:rPr>
          <w:rFonts w:ascii="Times New Roman" w:cs="Times New Roman" w:eastAsia="Times New Roman" w:hAnsi="Times New Roman"/>
          <w:sz w:val="18"/>
          <w:szCs w:val="18"/>
          <w:color w:val="auto"/>
        </w:rPr>
        <w:t>) the Purchasers irrevocably and under release from the restrictions of Section 181 BGB to exercise all rights pertaining to the Sold Shares on their behalf. The Purchasers shall in particular be authorized to pass any shareholders' resolutions regarding the Company, and to make any declaration, and take any action, necessary or expedient for passing such shareholders' resolutions (including, without limitation, to waive any formal requirement for the adoption of a shareholders' resolution provided by law or the Company's articles of association), in the Seller's name from the Signing Date until the Purchasers are deemed to be shareholder pursuant to Section 16 para. 1 sent. 1 GmbHG.</w:t>
      </w:r>
    </w:p>
    <w:p>
      <w:pPr>
        <w:spacing w:after="0" w:line="12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Warranties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Scope and Limit of Seller’s Warranties</w:t>
      </w:r>
    </w:p>
    <w:p>
      <w:pPr>
        <w:spacing w:after="0" w:line="17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Under the restrictions of this Section 7 and Section 8, the Seller hereby represents to the Purchasers in the form of independent undertakings (</w:t>
      </w:r>
      <w:r>
        <w:rPr>
          <w:rFonts w:ascii="Times New Roman" w:cs="Times New Roman" w:eastAsia="Times New Roman" w:hAnsi="Times New Roman"/>
          <w:sz w:val="18"/>
          <w:szCs w:val="18"/>
          <w:i w:val="1"/>
          <w:iCs w:val="1"/>
          <w:color w:val="auto"/>
        </w:rPr>
        <w:t>selbstständige Garantieversprechen</w:t>
      </w:r>
      <w:r>
        <w:rPr>
          <w:rFonts w:ascii="Times New Roman" w:cs="Times New Roman" w:eastAsia="Times New Roman" w:hAnsi="Times New Roman"/>
          <w:sz w:val="18"/>
          <w:szCs w:val="18"/>
          <w:color w:val="auto"/>
        </w:rPr>
        <w:t>) within the meaning of Section 311 para. 1 BGB that the statements set forth in Section 7.2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Seller’s Warranty</w:t>
      </w:r>
      <w:r>
        <w:rPr>
          <w:rFonts w:ascii="Times New Roman" w:cs="Times New Roman" w:eastAsia="Times New Roman" w:hAnsi="Times New Roman"/>
          <w:sz w:val="18"/>
          <w:szCs w:val="18"/>
          <w:color w:val="auto"/>
        </w:rPr>
        <w:t>") are true and correct as of the Signing Date. No Seller Warranty shall qualify as a subjective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within the meaning of section 434 (1), (2) BGB (</w:t>
      </w:r>
      <w:r>
        <w:rPr>
          <w:rFonts w:ascii="Times New Roman" w:cs="Times New Roman" w:eastAsia="Times New Roman" w:hAnsi="Times New Roman"/>
          <w:sz w:val="18"/>
          <w:szCs w:val="18"/>
          <w:i w:val="1"/>
          <w:iCs w:val="1"/>
          <w:color w:val="auto"/>
        </w:rPr>
        <w:t>subjektive Anforderung</w:t>
      </w:r>
      <w:r>
        <w:rPr>
          <w:rFonts w:ascii="Times New Roman" w:cs="Times New Roman" w:eastAsia="Times New Roman" w:hAnsi="Times New Roman"/>
          <w:sz w:val="18"/>
          <w:szCs w:val="18"/>
          <w:color w:val="auto"/>
        </w:rPr>
        <w:t>) or as a guarantee of condition within the meaning of sections 443, 444 BGB (</w:t>
      </w:r>
      <w:r>
        <w:rPr>
          <w:rFonts w:ascii="Times New Roman" w:cs="Times New Roman" w:eastAsia="Times New Roman" w:hAnsi="Times New Roman"/>
          <w:sz w:val="18"/>
          <w:szCs w:val="18"/>
          <w:i w:val="1"/>
          <w:iCs w:val="1"/>
          <w:color w:val="auto"/>
        </w:rPr>
        <w:t>Garantie für die Beschaffenheit der Sache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7" w:name="page18"/>
    <w:bookmarkEnd w:id="17"/>
    <w:p>
      <w:pPr>
        <w:spacing w:after="0"/>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Seller Warranties</w:t>
      </w:r>
    </w:p>
    <w:p>
      <w:pPr>
        <w:spacing w:after="0" w:line="171" w:lineRule="exact"/>
        <w:rPr>
          <w:sz w:val="20"/>
          <w:szCs w:val="20"/>
          <w:color w:val="auto"/>
        </w:rPr>
      </w:pPr>
    </w:p>
    <w:p>
      <w:pPr>
        <w:jc w:val="both"/>
        <w:ind w:left="1280" w:hanging="638"/>
        <w:spacing w:after="0" w:line="261"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a duly established and validly existing limited liability company under Dutch law. The execution and performance of this Agreement by the Seller and the consummation of the transactions contemplated thereby do not violate the articles of association, by-laws, rules of procedure or similar rules of the Seller, as the case may be and have been duly authorized by the Seller's proper corporate bodies.</w:t>
      </w:r>
    </w:p>
    <w:p>
      <w:pPr>
        <w:spacing w:after="0" w:line="125"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of the Sold Shares as set out in Recital E. The Sold Shares have been validly issued, are fully paid up and have not been repaid in whole or in part. There are no additional contribution obligations regarding the respective Sold Shares (</w:t>
      </w:r>
      <w:r>
        <w:rPr>
          <w:rFonts w:ascii="Times New Roman" w:cs="Times New Roman" w:eastAsia="Times New Roman" w:hAnsi="Times New Roman"/>
          <w:sz w:val="18"/>
          <w:szCs w:val="18"/>
          <w:i w:val="1"/>
          <w:iCs w:val="1"/>
          <w:color w:val="auto"/>
        </w:rPr>
        <w:t>Nachschusspflichten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Sold Shares are free and clear of any liens, encumbrances and other rights of third parties, and there are no pre-emptive rights, rights of first refusal (except as provided for in the articles of association of the Company and addressed in Section 1.3), options or other rights of any third party to purchase or acquire such Sold Shares.</w:t>
      </w:r>
    </w:p>
    <w:p>
      <w:pPr>
        <w:spacing w:after="0" w:line="12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of the Shareholder Loan Repayment Claim as set out in Recital F.</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No other warranties</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Except for the Seller Warranties, the Seller does not make or grant any representation or warranty or any other statement whether express or implied, and the Seller hereby disclaims any other representation or warranty or any other statement with respect to or in connection with the Company, the Sold Shares or the Shareholder Loan. The Purchasers agree to purchase the Sold Shares and Shareholder Loan Repayment Claim “as is” and without any recourse to the Seller.</w:t>
      </w:r>
    </w:p>
    <w:p>
      <w:pPr>
        <w:spacing w:after="0" w:line="122"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Purchasers’ Remedies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Purchaser Claims</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If any Seller’s Warranty is incorrect, the Purchasers may request that the Seller (i) puts the Purchasers or the Company into the position it would be in if the Seller’s Warranty had not been incorrect, or – at Seller’s election – (ii) compensates the Purchasers or the Company by payment in cash the losses (</w:t>
      </w:r>
      <w:r>
        <w:rPr>
          <w:rFonts w:ascii="Times New Roman" w:cs="Times New Roman" w:eastAsia="Times New Roman" w:hAnsi="Times New Roman"/>
          <w:sz w:val="18"/>
          <w:szCs w:val="18"/>
          <w:i w:val="1"/>
          <w:iCs w:val="1"/>
          <w:color w:val="auto"/>
        </w:rPr>
        <w:t>Schäden</w:t>
      </w:r>
      <w:r>
        <w:rPr>
          <w:rFonts w:ascii="Times New Roman" w:cs="Times New Roman" w:eastAsia="Times New Roman" w:hAnsi="Times New Roman"/>
          <w:sz w:val="18"/>
          <w:szCs w:val="18"/>
          <w:color w:val="auto"/>
        </w:rPr>
        <w:t>) within the meaning of section 249 et seq. BGB incurred by the Purchasers or the Company as a result of the incorrectness of the Seller’s Warranty. A claim of Purchasers pursuant to this Section 8.1 shall be referred to as a "</w:t>
      </w:r>
      <w:r>
        <w:rPr>
          <w:rFonts w:ascii="Times New Roman" w:cs="Times New Roman" w:eastAsia="Times New Roman" w:hAnsi="Times New Roman"/>
          <w:sz w:val="18"/>
          <w:szCs w:val="18"/>
          <w:b w:val="1"/>
          <w:bCs w:val="1"/>
          <w:color w:val="auto"/>
        </w:rPr>
        <w:t>Purchaser Warranty Claim</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Exclusion of Purchaser Claims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Seller shall not be liable for, and the Purchasers shall not be entitled to bring, any Purchaser Warranty Claim if and to the extent that:</w:t>
      </w:r>
    </w:p>
    <w:p>
      <w:pPr>
        <w:spacing w:after="0" w:line="171" w:lineRule="exact"/>
        <w:rPr>
          <w:sz w:val="20"/>
          <w:szCs w:val="20"/>
          <w:color w:val="auto"/>
        </w:rPr>
      </w:pPr>
    </w:p>
    <w:p>
      <w:pPr>
        <w:ind w:left="1280" w:hanging="638"/>
        <w:spacing w:after="0" w:line="282" w:lineRule="auto"/>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Purchaser or, after the Signing Date, the Company has (i) caused the facts or circumstances giving rise to the claim or (ii) failed to mitigate damages;</w:t>
      </w:r>
    </w:p>
    <w:p>
      <w:pPr>
        <w:spacing w:after="0" w:line="107"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to which the claim relates was caused by the passing of or any change in any law, or in the interpretation or application thereof by any administrative body or court, after the Signing Date.</w:t>
      </w:r>
    </w:p>
    <w:p>
      <w:pPr>
        <w:spacing w:after="0" w:line="1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Claims</w:t>
      </w:r>
    </w:p>
    <w:p>
      <w:pPr>
        <w:spacing w:after="0" w:line="17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aggregate total liability of the Seller for any Seller Warranty or any other claims under or in connection with this Agreement shall be limited to the Purchase Price received by the Purchasers.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640" w:hanging="633"/>
        <w:spacing w:after="0" w:line="284" w:lineRule="auto"/>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Any claims of the Purchasers against the Seller arising under or in connection with this Agreement shall become time-barred (</w:t>
      </w:r>
      <w:r>
        <w:rPr>
          <w:rFonts w:ascii="Times New Roman" w:cs="Times New Roman" w:eastAsia="Times New Roman" w:hAnsi="Times New Roman"/>
          <w:sz w:val="18"/>
          <w:szCs w:val="18"/>
          <w:i w:val="1"/>
          <w:iCs w:val="1"/>
          <w:color w:val="auto"/>
        </w:rPr>
        <w:t>verjähren</w:t>
      </w:r>
      <w:r>
        <w:rPr>
          <w:rFonts w:ascii="Times New Roman" w:cs="Times New Roman" w:eastAsia="Times New Roman" w:hAnsi="Times New Roman"/>
          <w:sz w:val="18"/>
          <w:szCs w:val="18"/>
          <w:color w:val="auto"/>
        </w:rPr>
        <w:t>) 36 months after the Signing Date.</w:t>
      </w:r>
    </w:p>
    <w:p>
      <w:pPr>
        <w:spacing w:after="0" w:line="102"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Purchasers’ Warranties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Scope and Limit of Seller’s Warranties</w:t>
      </w:r>
    </w:p>
    <w:p>
      <w:pPr>
        <w:spacing w:after="0" w:line="169"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18"/>
          <w:szCs w:val="18"/>
          <w:color w:val="auto"/>
        </w:rPr>
        <w:t>Under the restrictions of this Section 9, the Purchasers hereby represent to the Seller in the form of independent undertakings (</w:t>
      </w:r>
      <w:r>
        <w:rPr>
          <w:rFonts w:ascii="Times New Roman" w:cs="Times New Roman" w:eastAsia="Times New Roman" w:hAnsi="Times New Roman"/>
          <w:sz w:val="18"/>
          <w:szCs w:val="18"/>
          <w:i w:val="1"/>
          <w:iCs w:val="1"/>
          <w:color w:val="auto"/>
        </w:rPr>
        <w:t>selbstständige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Garantieversprechen</w:t>
      </w:r>
      <w:r>
        <w:rPr>
          <w:rFonts w:ascii="Times New Roman" w:cs="Times New Roman" w:eastAsia="Times New Roman" w:hAnsi="Times New Roman"/>
          <w:sz w:val="18"/>
          <w:szCs w:val="18"/>
          <w:color w:val="auto"/>
        </w:rPr>
        <w:t>) within the meaning of Section 311 para. 1 BGB that the statements set forth in Section 10.2 (the "</w:t>
      </w:r>
      <w:r>
        <w:rPr>
          <w:rFonts w:ascii="Times New Roman" w:cs="Times New Roman" w:eastAsia="Times New Roman" w:hAnsi="Times New Roman"/>
          <w:sz w:val="18"/>
          <w:szCs w:val="18"/>
          <w:b w:val="1"/>
          <w:bCs w:val="1"/>
          <w:color w:val="auto"/>
        </w:rPr>
        <w:t>Purchasers’ Guarantees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a "</w:t>
      </w:r>
      <w:r>
        <w:rPr>
          <w:rFonts w:ascii="Times New Roman" w:cs="Times New Roman" w:eastAsia="Times New Roman" w:hAnsi="Times New Roman"/>
          <w:sz w:val="18"/>
          <w:szCs w:val="18"/>
          <w:b w:val="1"/>
          <w:bCs w:val="1"/>
          <w:color w:val="auto"/>
        </w:rPr>
        <w:t>Purchasers’ Guarantee</w:t>
      </w:r>
      <w:r>
        <w:rPr>
          <w:rFonts w:ascii="Times New Roman" w:cs="Times New Roman" w:eastAsia="Times New Roman" w:hAnsi="Times New Roman"/>
          <w:sz w:val="18"/>
          <w:szCs w:val="18"/>
          <w:color w:val="auto"/>
        </w:rPr>
        <w:t>") are true and correct as of the Signing Date.</w:t>
      </w:r>
    </w:p>
    <w:p>
      <w:pPr>
        <w:spacing w:after="0" w:line="1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Purchasers’ Guarantees</w:t>
      </w:r>
    </w:p>
    <w:p>
      <w:pPr>
        <w:spacing w:after="0" w:line="171" w:lineRule="exact"/>
        <w:rPr>
          <w:sz w:val="20"/>
          <w:szCs w:val="20"/>
          <w:color w:val="auto"/>
        </w:rPr>
      </w:pPr>
    </w:p>
    <w:p>
      <w:pPr>
        <w:ind w:left="1280" w:right="20" w:hanging="638"/>
        <w:spacing w:after="0" w:line="282"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are duly incorporated and validly existing under the laws of Germany and have all requisite corporate power and authority to own its assets and to carry out its business.</w:t>
      </w:r>
    </w:p>
    <w:p>
      <w:pPr>
        <w:spacing w:after="0" w:line="10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have sufficient funds to consummate the transactions provided for under this Agreement.</w:t>
      </w:r>
    </w:p>
    <w:p>
      <w:pPr>
        <w:spacing w:after="0" w:line="17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insolvency proceedings concerning any of the Purchasers are pending and no circumstances exist which would require the application for insolvency proceedings concerning any of the Purchasers.</w:t>
      </w:r>
    </w:p>
    <w:p>
      <w:pPr>
        <w:spacing w:after="0" w:line="104"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Covenants and Indemnities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Exclusion of claims and Indemnity</w:t>
      </w:r>
    </w:p>
    <w:p>
      <w:pPr>
        <w:spacing w:after="0" w:line="171" w:lineRule="exact"/>
        <w:rPr>
          <w:sz w:val="20"/>
          <w:szCs w:val="20"/>
          <w:color w:val="auto"/>
        </w:rPr>
      </w:pPr>
    </w:p>
    <w:p>
      <w:pPr>
        <w:ind w:left="1280" w:hanging="638"/>
        <w:spacing w:after="0"/>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Signing Date, the Purchasers shall not, and shall use their best efforts to procure that the Company will not, raise any claim</w:t>
      </w:r>
    </w:p>
    <w:p>
      <w:pPr>
        <w:spacing w:after="0" w:line="171"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Seller and/or any of its Affiliates in connection with the Seller’s former legal position as direct or indirect shareholder of the Company;</w:t>
      </w:r>
    </w:p>
    <w:p>
      <w:pPr>
        <w:spacing w:after="0" w:line="107"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of the Seller’s Representatives out of the Representative’s former legal position as managing director, director, officer or board member of the Company or the Seller,</w:t>
      </w:r>
    </w:p>
    <w:p>
      <w:pPr>
        <w:spacing w:after="0" w:line="106" w:lineRule="exact"/>
        <w:rPr>
          <w:sz w:val="20"/>
          <w:szCs w:val="20"/>
          <w:color w:val="auto"/>
        </w:rPr>
      </w:pPr>
    </w:p>
    <w:p>
      <w:pPr>
        <w:ind w:left="1280" w:firstLine="5"/>
        <w:spacing w:after="0" w:line="284" w:lineRule="auto"/>
        <w:rPr>
          <w:sz w:val="20"/>
          <w:szCs w:val="20"/>
          <w:color w:val="auto"/>
        </w:rPr>
      </w:pPr>
      <w:r>
        <w:rPr>
          <w:rFonts w:ascii="Times New Roman" w:cs="Times New Roman" w:eastAsia="Times New Roman" w:hAnsi="Times New Roman"/>
          <w:sz w:val="18"/>
          <w:szCs w:val="18"/>
          <w:color w:val="auto"/>
        </w:rPr>
        <w:t>in each case except for claims based on an intentional breach of duties (</w:t>
      </w:r>
      <w:r>
        <w:rPr>
          <w:rFonts w:ascii="Times New Roman" w:cs="Times New Roman" w:eastAsia="Times New Roman" w:hAnsi="Times New Roman"/>
          <w:sz w:val="18"/>
          <w:szCs w:val="18"/>
          <w:i w:val="1"/>
          <w:iCs w:val="1"/>
          <w:color w:val="auto"/>
        </w:rPr>
        <w:t>vorsätzliche Pflichtverletzung</w:t>
      </w:r>
      <w:r>
        <w:rPr>
          <w:rFonts w:ascii="Times New Roman" w:cs="Times New Roman" w:eastAsia="Times New Roman" w:hAnsi="Times New Roman"/>
          <w:sz w:val="18"/>
          <w:szCs w:val="18"/>
          <w:color w:val="auto"/>
        </w:rPr>
        <w:t>) or on a criminal act (</w:t>
      </w:r>
      <w:r>
        <w:rPr>
          <w:rFonts w:ascii="Times New Roman" w:cs="Times New Roman" w:eastAsia="Times New Roman" w:hAnsi="Times New Roman"/>
          <w:sz w:val="18"/>
          <w:szCs w:val="18"/>
          <w:i w:val="1"/>
          <w:iCs w:val="1"/>
          <w:color w:val="auto"/>
        </w:rPr>
        <w:t>Straftat</w:t>
      </w:r>
      <w:r>
        <w:rPr>
          <w:rFonts w:ascii="Times New Roman" w:cs="Times New Roman" w:eastAsia="Times New Roman" w:hAnsi="Times New Roman"/>
          <w:sz w:val="18"/>
          <w:szCs w:val="18"/>
          <w:color w:val="auto"/>
        </w:rPr>
        <w:t>) of the Seller or the respective Representative.</w:t>
      </w:r>
    </w:p>
    <w:p>
      <w:pPr>
        <w:spacing w:after="0" w:line="106" w:lineRule="exact"/>
        <w:rPr>
          <w:sz w:val="20"/>
          <w:szCs w:val="20"/>
          <w:color w:val="auto"/>
        </w:rPr>
      </w:pPr>
    </w:p>
    <w:p>
      <w:pPr>
        <w:ind w:left="1280" w:hanging="638"/>
        <w:spacing w:after="0" w:line="282"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use their best efforts to prevent the Company from making any payments, including (full or partial) repayment or interest payments, in connection with the Shareholder Loan Repayment Claim for a period of 24 months after the Signing Date.</w:t>
      </w:r>
    </w:p>
    <w:p>
      <w:pPr>
        <w:spacing w:after="0" w:line="105" w:lineRule="exact"/>
        <w:rPr>
          <w:rFonts w:ascii="Times New Roman" w:cs="Times New Roman" w:eastAsia="Times New Roman" w:hAnsi="Times New Roman"/>
          <w:sz w:val="18"/>
          <w:szCs w:val="18"/>
          <w:color w:val="auto"/>
        </w:rPr>
      </w:pPr>
    </w:p>
    <w:p>
      <w:pPr>
        <w:jc w:val="both"/>
        <w:ind w:left="1280" w:right="20" w:hanging="638"/>
        <w:spacing w:after="0" w:line="267"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of the Seller or a Representative under this Section 11.1 shall become time-barred (</w:t>
      </w:r>
      <w:r>
        <w:rPr>
          <w:rFonts w:ascii="Times New Roman" w:cs="Times New Roman" w:eastAsia="Times New Roman" w:hAnsi="Times New Roman"/>
          <w:sz w:val="18"/>
          <w:szCs w:val="18"/>
          <w:i w:val="1"/>
          <w:iCs w:val="1"/>
          <w:color w:val="auto"/>
        </w:rPr>
        <w:t>verjährt</w:t>
      </w:r>
      <w:r>
        <w:rPr>
          <w:rFonts w:ascii="Times New Roman" w:cs="Times New Roman" w:eastAsia="Times New Roman" w:hAnsi="Times New Roman"/>
          <w:sz w:val="18"/>
          <w:szCs w:val="18"/>
          <w:color w:val="auto"/>
        </w:rPr>
        <w:t>) 36 months after the Signing Date. For the avoidance of doubt, claims of the Purchasers against the Seller under this Agreement remain unaffected from this Section 11.1.</w:t>
      </w:r>
    </w:p>
    <w:p>
      <w:pPr>
        <w:spacing w:after="0" w:line="121" w:lineRule="exact"/>
        <w:rPr>
          <w:rFonts w:ascii="Times New Roman" w:cs="Times New Roman" w:eastAsia="Times New Roman" w:hAnsi="Times New Roman"/>
          <w:sz w:val="18"/>
          <w:szCs w:val="18"/>
          <w:color w:val="auto"/>
        </w:rPr>
      </w:pPr>
    </w:p>
    <w:p>
      <w:pPr>
        <w:jc w:val="both"/>
        <w:ind w:left="1280" w:hanging="638"/>
        <w:spacing w:after="0" w:line="255"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Signing Date, the Purchasers shall not, and shall use their best efforts to procure that the Company will not, assert, commence, continue or otherwise pursue any claim against the Seller or any of its affiliates arising out of or in connection with (i) the shareholder resolution dated 11 December 2025 regarding the funding of the Company (including any alleged commitment to fund EUR 1.3m throughout 2026), (ii) the LoC, any other letter of comfort, patronage declaration, comfort letter or similar undertaking, and (iii) any intercompany relationships (including payables/receivables on any clearing account and claims based on tax group), in each case to the extent based on facts or circumstances existing on or prior to the Signing Date. Any payment claims under the Corporate Service Agreement exempted under sentence 2 of Section 3.1 remain unaffected.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9" w:name="page20"/>
    <w:bookmarkEnd w:id="19"/>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Sono Brands</w:t>
      </w:r>
    </w:p>
    <w:p>
      <w:pPr>
        <w:spacing w:after="0" w:line="169" w:lineRule="exact"/>
        <w:rPr>
          <w:sz w:val="20"/>
          <w:szCs w:val="20"/>
          <w:color w:val="auto"/>
        </w:rPr>
      </w:pPr>
    </w:p>
    <w:p>
      <w:pPr>
        <w:ind w:left="1280" w:right="480" w:hanging="638"/>
        <w:spacing w:after="0" w:line="284" w:lineRule="auto"/>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undertakes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Seller to use any of its brands containing the word "Sono" only in connection with the words “Motors” and “Solar”.</w:t>
      </w:r>
    </w:p>
    <w:p>
      <w:pPr>
        <w:spacing w:after="0" w:line="106"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grants the Seller a worldwide, limited, non-exclusive, non-transferable, royalty-free, irrevocable license to use the brand “Sono” as company name and in connection with its stock exchange listing, securities trading or stock ticker.</w:t>
      </w:r>
    </w:p>
    <w:p>
      <w:pPr>
        <w:spacing w:after="0" w:line="1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Public Announcements, Information of Authorities</w:t>
      </w:r>
    </w:p>
    <w:p>
      <w:pPr>
        <w:spacing w:after="0" w:line="173"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 xml:space="preserve">The Parties mutually undertake to keep the contents of this Agreement secret and confidential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any third party except to the extent that the relevant facts are in the public domain or the disclosure of which is required by law or as may be required in order to comply with the requirements of any applicable laws or the rules and regulations of any stock exchange upon which any securities of the relevant Party or any of its parent companies are listed. In the latter case, the Parties shall, however, inform each other prior to such disclosure and shall limit any disclosure to the minimum required by statute or the authorities.</w:t>
      </w:r>
    </w:p>
    <w:p>
      <w:pPr>
        <w:spacing w:after="0" w:line="131"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 press release or other public announcement concerning the transactions contemplated by this Agreement shall be made by either Party unless the form and text of such announcement has first been approved by the other Parties, such approval not to be unreasonably withheld, except that – if the other Party is required by law or by applicable stock exchange regulations to make an announcement – it may do so after first consulting with the other Party.</w:t>
      </w:r>
    </w:p>
    <w:p>
      <w:pPr>
        <w:spacing w:after="0" w:line="12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Seller and the Purchasers shall cooperate to inform all necessary authorities about the transfer of the Sold Shares in the Company from the Seller to the Purchasers.</w:t>
      </w:r>
    </w:p>
    <w:p>
      <w:pPr>
        <w:spacing w:after="0" w:line="104"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7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All notices, requests and other communications hereunder shall be made in the English language and, to the extent not provided for otherwise in this Agreement, be sent by registered mail, courier, fax or email to the person at the address set forth below, or such other address as may be designated by the respective Party to the other Party in the same manner:</w:t>
      </w:r>
    </w:p>
    <w:p>
      <w:pPr>
        <w:spacing w:after="0" w:line="122" w:lineRule="exact"/>
        <w:rPr>
          <w:sz w:val="20"/>
          <w:szCs w:val="20"/>
          <w:color w:val="auto"/>
        </w:rPr>
      </w:pPr>
    </w:p>
    <w:p>
      <w:pPr>
        <w:ind w:left="1280" w:hanging="638"/>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Seller:</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Sono Group N.V.</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Att.Kevin McGurn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John M. Keynesplein 12-46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1066 EP Amsterdam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with a copy to (which shall not constitute notice for the purpose of this Agreement):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DLA Piper UK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 Gerald Schumann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Maximilianstrasse 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80539 Munich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0" w:name="page21"/>
    <w:bookmarkEnd w:id="20"/>
    <w:p>
      <w:pPr>
        <w:ind w:left="1280" w:hanging="638"/>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Purchasers</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Vorratsla-160 M UG (haftungsbeschränkt)</w:t>
      </w:r>
    </w:p>
    <w:p>
      <w:pPr>
        <w:spacing w:after="0" w:line="2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(in future: OZERA UG (haftungsbeschränkt))</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 Denis Azhar</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Vorratsla-161 M UG (haftungsbeschränkt)</w:t>
      </w:r>
    </w:p>
    <w:p>
      <w:pPr>
        <w:spacing w:after="0" w:line="2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(in future: JanSol Invest UG (haftungsbeschränkt))</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 Jan Schiermeister</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Email: [***]</w:t>
      </w:r>
    </w:p>
    <w:p>
      <w:pPr>
        <w:spacing w:after="0" w:line="230"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w:t>
      </w:r>
    </w:p>
    <w:p>
      <w:pPr>
        <w:spacing w:after="0" w:line="17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Each Party shall bear the costs and expenses commissioned by it in connection with the preparation, execution and consummation of this Agreement and the transactions contemplated herein, including any professional fees and disbursements of its own counsel, financial advisors or accountants.</w:t>
      </w:r>
    </w:p>
    <w:p>
      <w:pPr>
        <w:spacing w:after="0" w:line="122"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cost of notarization of this Agreement and any costs or fees levied by the commercial register, courts or other authorities in connection with this Agreement shall be borne by each Purchaser by 25 % and the Seller by 50 %.</w:t>
      </w:r>
    </w:p>
    <w:p>
      <w:pPr>
        <w:spacing w:after="0" w:line="104"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Exhibits</w:t>
      </w:r>
    </w:p>
    <w:p>
      <w:pPr>
        <w:spacing w:after="0" w:line="171"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All Exhibits to this Agreement form an integral part of this Agreement. In the case of a conflict between any Exhibit and the provisions of this Agreement, the provisions of this Agreement shall prevail.</w:t>
      </w:r>
    </w:p>
    <w:p>
      <w:pPr>
        <w:spacing w:after="0" w:line="10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Entire Agreement</w:t>
      </w:r>
    </w:p>
    <w:p>
      <w:pPr>
        <w:spacing w:after="0" w:line="171"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This Agreement comprises the entire agreement between the Parties concerning its subject matter and shall supersede all prior agreements, oral and written declarations of intent and other legal arrangements (whether binding or non-binding) made by the Parties in respect thereof.</w:t>
      </w:r>
    </w:p>
    <w:p>
      <w:pPr>
        <w:spacing w:after="0" w:line="10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Amendments</w:t>
      </w:r>
    </w:p>
    <w:p>
      <w:pPr>
        <w:spacing w:after="0" w:line="171" w:lineRule="exact"/>
        <w:rPr>
          <w:sz w:val="20"/>
          <w:szCs w:val="20"/>
          <w:color w:val="auto"/>
        </w:rPr>
      </w:pPr>
    </w:p>
    <w:p>
      <w:pPr>
        <w:ind w:left="640" w:right="60"/>
        <w:spacing w:after="0" w:line="282" w:lineRule="auto"/>
        <w:rPr>
          <w:sz w:val="20"/>
          <w:szCs w:val="20"/>
          <w:color w:val="auto"/>
        </w:rPr>
      </w:pPr>
      <w:r>
        <w:rPr>
          <w:rFonts w:ascii="Times New Roman" w:cs="Times New Roman" w:eastAsia="Times New Roman" w:hAnsi="Times New Roman"/>
          <w:sz w:val="18"/>
          <w:szCs w:val="18"/>
          <w:color w:val="auto"/>
        </w:rPr>
        <w:t>Any amendments to this Agreement (including amendments to this clause) shall be valid only if made in writing, unless applicable mandatory law requires otherwise.</w:t>
      </w:r>
    </w:p>
    <w:p>
      <w:pPr>
        <w:spacing w:after="0" w:line="10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German Terms</w:t>
      </w:r>
    </w:p>
    <w:p>
      <w:pPr>
        <w:spacing w:after="0" w:line="171"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Wherever this Agreement includes English terms after which either in the same provision or elsewhere in this Agreement German terms have been inserted in brackets and/or italics, the German terms alone and not the English terms shall be authoritative for the interpretation of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color w:val="auto"/>
        </w:rPr>
        <w:t>Assignment</w:t>
      </w:r>
    </w:p>
    <w:p>
      <w:pPr>
        <w:spacing w:after="0" w:line="16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Parties shall not, in whole or in part, transact in rem (</w:t>
      </w:r>
      <w:r>
        <w:rPr>
          <w:rFonts w:ascii="Times New Roman" w:cs="Times New Roman" w:eastAsia="Times New Roman" w:hAnsi="Times New Roman"/>
          <w:sz w:val="18"/>
          <w:szCs w:val="18"/>
          <w:i w:val="1"/>
          <w:iCs w:val="1"/>
          <w:color w:val="auto"/>
        </w:rPr>
        <w:t>verfügen</w:t>
      </w:r>
      <w:r>
        <w:rPr>
          <w:rFonts w:ascii="Times New Roman" w:cs="Times New Roman" w:eastAsia="Times New Roman" w:hAnsi="Times New Roman"/>
          <w:sz w:val="18"/>
          <w:szCs w:val="18"/>
          <w:color w:val="auto"/>
        </w:rPr>
        <w:t>) in any claims (including future or contingent claims) arising under or in connection with this Agreement by way of assignment, encumbrance or otherwise without the prior consent of the other Party, provided, however, that the Seller shall be free to transfer such claims and other rights by any means (including by way of merger, spin-off or any other transaction) to any of its Affiliates without the prior consent of the other Parties.</w:t>
      </w:r>
    </w:p>
    <w:p>
      <w:pPr>
        <w:spacing w:after="0" w:line="1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color w:val="auto"/>
        </w:rPr>
        <w:t>Set-Off and Retention</w:t>
      </w:r>
    </w:p>
    <w:p>
      <w:pPr>
        <w:spacing w:after="0" w:line="169" w:lineRule="exact"/>
        <w:rPr>
          <w:sz w:val="20"/>
          <w:szCs w:val="20"/>
          <w:color w:val="auto"/>
        </w:rPr>
      </w:pPr>
    </w:p>
    <w:p>
      <w:pPr>
        <w:jc w:val="both"/>
        <w:ind w:left="640" w:right="20"/>
        <w:spacing w:after="0" w:line="284" w:lineRule="auto"/>
        <w:rPr>
          <w:sz w:val="20"/>
          <w:szCs w:val="20"/>
          <w:color w:val="auto"/>
        </w:rPr>
      </w:pPr>
      <w:r>
        <w:rPr>
          <w:rFonts w:ascii="Times New Roman" w:cs="Times New Roman" w:eastAsia="Times New Roman" w:hAnsi="Times New Roman"/>
          <w:sz w:val="18"/>
          <w:szCs w:val="18"/>
          <w:color w:val="auto"/>
        </w:rPr>
        <w:t>Except as otherwise provided for in this Agreement, no Party shall be entitled to set off (</w:t>
      </w:r>
      <w:r>
        <w:rPr>
          <w:rFonts w:ascii="Times New Roman" w:cs="Times New Roman" w:eastAsia="Times New Roman" w:hAnsi="Times New Roman"/>
          <w:sz w:val="18"/>
          <w:szCs w:val="18"/>
          <w:i w:val="1"/>
          <w:iCs w:val="1"/>
          <w:color w:val="auto"/>
        </w:rPr>
        <w:t>aufrechnen</w:t>
      </w:r>
      <w:r>
        <w:rPr>
          <w:rFonts w:ascii="Times New Roman" w:cs="Times New Roman" w:eastAsia="Times New Roman" w:hAnsi="Times New Roman"/>
          <w:sz w:val="18"/>
          <w:szCs w:val="18"/>
          <w:color w:val="auto"/>
        </w:rPr>
        <w:t>) or net off (</w:t>
      </w:r>
      <w:r>
        <w:rPr>
          <w:rFonts w:ascii="Times New Roman" w:cs="Times New Roman" w:eastAsia="Times New Roman" w:hAnsi="Times New Roman"/>
          <w:sz w:val="18"/>
          <w:szCs w:val="18"/>
          <w:i w:val="1"/>
          <w:iCs w:val="1"/>
          <w:color w:val="auto"/>
        </w:rPr>
        <w:t>verrechnen</w:t>
      </w:r>
      <w:r>
        <w:rPr>
          <w:rFonts w:ascii="Times New Roman" w:cs="Times New Roman" w:eastAsia="Times New Roman" w:hAnsi="Times New Roman"/>
          <w:sz w:val="18"/>
          <w:szCs w:val="18"/>
          <w:color w:val="auto"/>
        </w:rPr>
        <w:t>) against any claims of any other Party under or in connection with this Agreement or to exercise any right of retention (</w:t>
      </w:r>
      <w:r>
        <w:rPr>
          <w:rFonts w:ascii="Times New Roman" w:cs="Times New Roman" w:eastAsia="Times New Roman" w:hAnsi="Times New Roman"/>
          <w:sz w:val="18"/>
          <w:szCs w:val="18"/>
          <w:i w:val="1"/>
          <w:iCs w:val="1"/>
          <w:color w:val="auto"/>
        </w:rPr>
        <w:t>Zurückbehaltungsrecht</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Governing Law, Arbitration, Venue</w:t>
      </w:r>
    </w:p>
    <w:p>
      <w:pPr>
        <w:spacing w:after="0" w:line="171" w:lineRule="exact"/>
        <w:rPr>
          <w:sz w:val="20"/>
          <w:szCs w:val="20"/>
          <w:color w:val="auto"/>
        </w:rPr>
      </w:pPr>
    </w:p>
    <w:p>
      <w:pPr>
        <w:jc w:val="both"/>
        <w:ind w:left="1280" w:hanging="638"/>
        <w:spacing w:after="0" w:line="266"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 their understanding that this Agreement is governed by, and construed in accordance with, the laws of the Federal Republic of Germany, without regard to principles of conflicts of laws and excluding the United Nations Convention on Contracts for the International Sale of Goods (CISG).</w:t>
      </w:r>
    </w:p>
    <w:p>
      <w:pPr>
        <w:spacing w:after="0" w:line="121" w:lineRule="exact"/>
        <w:rPr>
          <w:rFonts w:ascii="Times New Roman" w:cs="Times New Roman" w:eastAsia="Times New Roman" w:hAnsi="Times New Roman"/>
          <w:sz w:val="18"/>
          <w:szCs w:val="18"/>
          <w:color w:val="auto"/>
        </w:rPr>
      </w:pPr>
    </w:p>
    <w:p>
      <w:pPr>
        <w:jc w:val="both"/>
        <w:ind w:left="1280" w:hanging="638"/>
        <w:spacing w:after="0" w:line="256"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disputes arising out of or in connection with this Agreement (including the breach, termination or validity thereof) shall be finally settled, without recourse to the ordinary courts of law, by arbitration in accordance with the Arbitration Rules of the German Arbitration Institute (</w:t>
      </w:r>
      <w:r>
        <w:rPr>
          <w:rFonts w:ascii="Times New Roman" w:cs="Times New Roman" w:eastAsia="Times New Roman" w:hAnsi="Times New Roman"/>
          <w:sz w:val="18"/>
          <w:szCs w:val="18"/>
          <w:i w:val="1"/>
          <w:iCs w:val="1"/>
          <w:color w:val="auto"/>
        </w:rPr>
        <w:t>Deutsche Institution für Schiedsgerichtsbarkeit e.V.</w:t>
      </w:r>
      <w:r>
        <w:rPr>
          <w:rFonts w:ascii="Times New Roman" w:cs="Times New Roman" w:eastAsia="Times New Roman" w:hAnsi="Times New Roman"/>
          <w:sz w:val="18"/>
          <w:szCs w:val="18"/>
          <w:color w:val="auto"/>
        </w:rPr>
        <w:t>), as amended from time to time. The arbitral tribunal shall be comprised of three (3) arbitrators. The seat of the arbitration shall be Munich, Germany. The language of the arbitration shall be English. Documents originating in the German language may be submitted in the German language without an English translation. The right to obtain injunctive relief (</w:t>
      </w:r>
      <w:r>
        <w:rPr>
          <w:rFonts w:ascii="Times New Roman" w:cs="Times New Roman" w:eastAsia="Times New Roman" w:hAnsi="Times New Roman"/>
          <w:sz w:val="18"/>
          <w:szCs w:val="18"/>
          <w:i w:val="1"/>
          <w:iCs w:val="1"/>
          <w:color w:val="auto"/>
        </w:rPr>
        <w:t>vorläufigen Rechtsschutz</w:t>
      </w:r>
      <w:r>
        <w:rPr>
          <w:rFonts w:ascii="Times New Roman" w:cs="Times New Roman" w:eastAsia="Times New Roman" w:hAnsi="Times New Roman"/>
          <w:sz w:val="18"/>
          <w:szCs w:val="18"/>
          <w:color w:val="auto"/>
        </w:rPr>
        <w:t>) before state courts shall not be excluded.</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color w:val="auto"/>
        </w:rPr>
        <w:t>Partial Invalidity</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If one or more provisions of this Agreement are or become invalid or unenforceable, the validity and enforceability of the other provisions of this Agreement shall not be affected. In such case the invalid or unenforceable provision shall be deemed to have been replaced by such valid and enforceable provision or provisions that reflect as closely as possible the commercial intention of the Parties as regards the invalid or unenforceable provision.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Exhibit </w:t>
      </w:r>
      <w:r>
        <w:rPr>
          <w:rFonts w:ascii="Times New Roman" w:cs="Times New Roman" w:eastAsia="Times New Roman" w:hAnsi="Times New Roman"/>
          <w:sz w:val="17"/>
          <w:szCs w:val="17"/>
          <w:b w:val="1"/>
          <w:bCs w:val="1"/>
          <w:u w:val="single" w:color="auto"/>
          <w:color w:val="auto"/>
        </w:rPr>
        <w:t>F</w:t>
      </w:r>
      <w:r>
        <w:rPr>
          <w:rFonts w:ascii="Times New Roman" w:cs="Times New Roman" w:eastAsia="Times New Roman" w:hAnsi="Times New Roman"/>
          <w:sz w:val="17"/>
          <w:szCs w:val="17"/>
          <w:b w:val="1"/>
          <w:bCs w:val="1"/>
          <w:color w:val="auto"/>
        </w:rPr>
        <w:t>: Shareholder Loans as of 29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164465</wp:posOffset>
            </wp:positionV>
            <wp:extent cx="5572125" cy="3651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2125" cy="365188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C000"/>
        </w:rPr>
        <w:t>PRESS RELEASE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002B41"/>
        </w:rPr>
        <w:t>Sono Group N.V. Completes Exit from Legacy Solar Operations</w:t>
      </w:r>
    </w:p>
    <w:p>
      <w:pPr>
        <w:spacing w:after="0" w:line="233"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22"/>
          <w:szCs w:val="22"/>
          <w:b w:val="1"/>
          <w:bCs w:val="1"/>
          <w:color w:val="002A41"/>
        </w:rPr>
        <w:t>Transfer of Sono Motors to Its Management Team Marks Full Completion of the Strategic Transition Announced in March 2026; Sono Group Currently Operates as a Focused Digital Asset Treasury Company</w:t>
      </w:r>
    </w:p>
    <w:p>
      <w:pPr>
        <w:spacing w:after="0" w:line="15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002B41"/>
        </w:rPr>
        <w:t xml:space="preserve">Munich, May 8, 2026 </w:t>
      </w:r>
      <w:r>
        <w:rPr>
          <w:rFonts w:ascii="Times New Roman" w:cs="Times New Roman" w:eastAsia="Times New Roman" w:hAnsi="Times New Roman"/>
          <w:sz w:val="18"/>
          <w:szCs w:val="18"/>
          <w:i w:val="1"/>
          <w:iCs w:val="1"/>
          <w:color w:val="002B41"/>
        </w:rPr>
        <w:t>–</w:t>
      </w:r>
      <w:r>
        <w:rPr>
          <w:rFonts w:ascii="Times New Roman" w:cs="Times New Roman" w:eastAsia="Times New Roman" w:hAnsi="Times New Roman"/>
          <w:sz w:val="18"/>
          <w:szCs w:val="18"/>
          <w:b w:val="1"/>
          <w:bCs w:val="1"/>
          <w:color w:val="002B41"/>
        </w:rPr>
        <w:t xml:space="preserve"> </w:t>
      </w:r>
      <w:r>
        <w:rPr>
          <w:rFonts w:ascii="Times New Roman" w:cs="Times New Roman" w:eastAsia="Times New Roman" w:hAnsi="Times New Roman"/>
          <w:sz w:val="18"/>
          <w:szCs w:val="18"/>
          <w:color w:val="1155CC"/>
        </w:rPr>
        <w:t>Sono Group N.V.</w:t>
      </w:r>
      <w:r>
        <w:rPr>
          <w:rFonts w:ascii="Times New Roman" w:cs="Times New Roman" w:eastAsia="Times New Roman" w:hAnsi="Times New Roman"/>
          <w:sz w:val="18"/>
          <w:szCs w:val="18"/>
          <w:b w:val="1"/>
          <w:bCs w:val="1"/>
          <w:color w:val="002B41"/>
        </w:rPr>
        <w:t xml:space="preserve"> </w:t>
      </w:r>
      <w:r>
        <w:rPr>
          <w:rFonts w:ascii="Times New Roman" w:cs="Times New Roman" w:eastAsia="Times New Roman" w:hAnsi="Times New Roman"/>
          <w:sz w:val="18"/>
          <w:szCs w:val="18"/>
          <w:color w:val="002B41"/>
        </w:rPr>
        <w:t>(</w:t>
      </w:r>
      <w:r>
        <w:rPr>
          <w:rFonts w:ascii="Times New Roman" w:cs="Times New Roman" w:eastAsia="Times New Roman" w:hAnsi="Times New Roman"/>
          <w:sz w:val="18"/>
          <w:szCs w:val="18"/>
          <w:color w:val="FBB900"/>
        </w:rPr>
        <w:t>Nasdaq: SSM</w:t>
      </w:r>
      <w:r>
        <w:rPr>
          <w:rFonts w:ascii="Times New Roman" w:cs="Times New Roman" w:eastAsia="Times New Roman" w:hAnsi="Times New Roman"/>
          <w:sz w:val="18"/>
          <w:szCs w:val="18"/>
          <w:color w:val="002B41"/>
        </w:rPr>
        <w:t>) (hereafter referred to as “Sono” or the “Company”) today announced the completion of a</w:t>
      </w:r>
      <w:r>
        <w:rPr>
          <w:rFonts w:ascii="Times New Roman" w:cs="Times New Roman" w:eastAsia="Times New Roman" w:hAnsi="Times New Roman"/>
          <w:sz w:val="18"/>
          <w:szCs w:val="18"/>
          <w:b w:val="1"/>
          <w:bCs w:val="1"/>
          <w:color w:val="002B41"/>
        </w:rPr>
        <w:t xml:space="preserve"> </w:t>
      </w:r>
      <w:r>
        <w:rPr>
          <w:rFonts w:ascii="Times New Roman" w:cs="Times New Roman" w:eastAsia="Times New Roman" w:hAnsi="Times New Roman"/>
          <w:sz w:val="18"/>
          <w:szCs w:val="18"/>
          <w:color w:val="002B41"/>
        </w:rPr>
        <w:t>decisive milestone in its ongoing strategic transformation: the formal transfer of its now former subsidiary Sono Motors GmbH ("Sono Motors") to companies controlled by Sono Motors' own management team. The transaction closed and took legal effect on May 4, 2026, bringing to a close the solar exit the Company announced in March. Sono Group holds no further equity interest in Sono Motors and carries no ongoing operational obligations to the business.</w:t>
      </w:r>
    </w:p>
    <w:p>
      <w:pPr>
        <w:spacing w:after="0" w:line="14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002B41"/>
        </w:rPr>
        <w:t>With this transaction complete, the Company turns fully to the Treasury Strategy: acquiring Bitcoin and generating yield through a covered-call approach under its institutional ISDA framework. The proceeds of the Company's March 2026 financing were deployed into Bitcoin acquisition immediately upon receipt, capital that would otherwise have been partially absorbed by legacy solar operations. With the exit complete, there is no longer a competing claim on that capital.</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002B41"/>
        </w:rPr>
        <w:t>The legacy solar business was transferred to Sono Motors' two managing directors, Denis Azhar and Jan Schiermeister, who acquired it directly, together with the technology and the team they led. The brand's solar heritage and the people behind it remain in capable hands. Sono Group retains an irrevocable, royalty-free license to continue operating under the Sono name for its stock exchange listing and securities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right="260"/>
        <w:spacing w:after="0" w:line="282" w:lineRule="auto"/>
        <w:rPr>
          <w:sz w:val="20"/>
          <w:szCs w:val="20"/>
          <w:color w:val="auto"/>
        </w:rPr>
      </w:pPr>
      <w:r>
        <w:rPr>
          <w:rFonts w:ascii="Times New Roman" w:cs="Times New Roman" w:eastAsia="Times New Roman" w:hAnsi="Times New Roman"/>
          <w:sz w:val="18"/>
          <w:szCs w:val="18"/>
          <w:color w:val="002B41"/>
        </w:rPr>
        <w:t>Sono Group currently operates as a digital asset treasury company and will continue to evaluate opportunities to build long-term shareholder value as its strategy develops.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002B41"/>
        </w:rPr>
        <w:t>"I want to thank the Sono Motors team: what Denis, Jan and their colleagues built earned real industry recognition, and I'm glad it passes to people who believe in it. For Sono Group, the transformation we announced in March is now complete. We are focused on execution and on delivering results for our shareholders," said Kevin McGurn, Managing Director and CEO of Sono Group N.V.</w:t>
      </w:r>
    </w:p>
    <w:p>
      <w:pPr>
        <w:spacing w:after="0" w:line="14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002B41"/>
        </w:rPr>
        <w:t>Full details of the transaction, including the Share Purchase and Transfer Agreement, are set forth in the Company's Amendment No. 1 on Form 8-K/A filed with the U.S. Securities and Exchange Commission on May 6, 2026, available at www.sec.gov and on the Company's investor relations website at ir.sonomotors.com.</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2B41"/>
        </w:rPr>
        <w:t>END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ABOUT SONO GROUP N.V.</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1155CC"/>
        </w:rPr>
        <w:t xml:space="preserve">Sono Group N.V. </w:t>
      </w:r>
      <w:r>
        <w:rPr>
          <w:rFonts w:ascii="Times New Roman" w:cs="Times New Roman" w:eastAsia="Times New Roman" w:hAnsi="Times New Roman"/>
          <w:sz w:val="18"/>
          <w:szCs w:val="18"/>
          <w:color w:val="002A41"/>
        </w:rPr>
        <w:t>(</w:t>
      </w:r>
      <w:r>
        <w:rPr>
          <w:rFonts w:ascii="Times New Roman" w:cs="Times New Roman" w:eastAsia="Times New Roman" w:hAnsi="Times New Roman"/>
          <w:sz w:val="18"/>
          <w:szCs w:val="18"/>
          <w:color w:val="FBB900"/>
        </w:rPr>
        <w:t>Nasdaq: SSM</w:t>
      </w:r>
      <w:r>
        <w:rPr>
          <w:rFonts w:ascii="Times New Roman" w:cs="Times New Roman" w:eastAsia="Times New Roman" w:hAnsi="Times New Roman"/>
          <w:sz w:val="18"/>
          <w:szCs w:val="18"/>
          <w:color w:val="002A41"/>
        </w:rPr>
        <w:t>)</w:t>
      </w:r>
      <w:r>
        <w:rPr>
          <w:rFonts w:ascii="Times New Roman" w:cs="Times New Roman" w:eastAsia="Times New Roman" w:hAnsi="Times New Roman"/>
          <w:sz w:val="18"/>
          <w:szCs w:val="18"/>
          <w:color w:val="1155CC"/>
        </w:rPr>
        <w:t xml:space="preserve"> </w:t>
      </w:r>
      <w:r>
        <w:rPr>
          <w:rFonts w:ascii="Times New Roman" w:cs="Times New Roman" w:eastAsia="Times New Roman" w:hAnsi="Times New Roman"/>
          <w:sz w:val="18"/>
          <w:szCs w:val="18"/>
          <w:color w:val="002B41"/>
        </w:rPr>
        <w:t>is a Netherlands-incorporated company listed on the Nasdaq Capital Market, currently operating as a digital asset treasury</w:t>
      </w:r>
      <w:r>
        <w:rPr>
          <w:rFonts w:ascii="Times New Roman" w:cs="Times New Roman" w:eastAsia="Times New Roman" w:hAnsi="Times New Roman"/>
          <w:sz w:val="18"/>
          <w:szCs w:val="18"/>
          <w:color w:val="1155CC"/>
        </w:rPr>
        <w:t xml:space="preserve"> </w:t>
      </w:r>
      <w:r>
        <w:rPr>
          <w:rFonts w:ascii="Times New Roman" w:cs="Times New Roman" w:eastAsia="Times New Roman" w:hAnsi="Times New Roman"/>
          <w:sz w:val="18"/>
          <w:szCs w:val="18"/>
          <w:color w:val="002B41"/>
        </w:rPr>
        <w:t xml:space="preserve">company. The Company's Treasury Strategy is centered on the acquisition of Bitcoin and the generation of structured yield through an institutional covered-call approach under an ISDA Master Agreement framework. </w:t>
      </w:r>
      <w:r>
        <w:rPr>
          <w:rFonts w:ascii="Times New Roman" w:cs="Times New Roman" w:eastAsia="Times New Roman" w:hAnsi="Times New Roman"/>
          <w:sz w:val="18"/>
          <w:szCs w:val="18"/>
          <w:color w:val="002A41"/>
        </w:rPr>
        <w:t>For more information about Sono Group N.V. visit sonogroupnv.com. Follow us on</w:t>
      </w:r>
      <w:r>
        <w:rPr>
          <w:rFonts w:ascii="Times New Roman" w:cs="Times New Roman" w:eastAsia="Times New Roman" w:hAnsi="Times New Roman"/>
          <w:sz w:val="18"/>
          <w:szCs w:val="18"/>
          <w:color w:val="002B41"/>
        </w:rPr>
        <w:t xml:space="preserve"> </w:t>
      </w:r>
      <w:r>
        <w:rPr>
          <w:rFonts w:ascii="Times New Roman" w:cs="Times New Roman" w:eastAsia="Times New Roman" w:hAnsi="Times New Roman"/>
          <w:sz w:val="18"/>
          <w:szCs w:val="18"/>
          <w:color w:val="002A41"/>
        </w:rPr>
        <w:t>social media: LinkedIn, Facebook, BlueSky, Truth Social, and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002B41"/>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002A41"/>
        </w:rPr>
        <w:t>This press release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consummation of transactions as part of the Treasury Strategy, including their timing and the expected cash flow and the use of proceeds therefrom; the receipt of any required shareholder approvals; the projected operational and financial performance of the Company and its subsidiaries, including the Company following implementation of the Treasury Strategy; the Company’s product offerings and developments and business plans; and the Company’s expectations, hopes, beliefs, intentions, plans, prospects or strategies regarding the future revenue and the business plans of the Company’s management team, including the pursuit of the Treasury Strategy.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press release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consummation and timing of any transactions as part of the Treasury Strategy, and the cash flow to the Company therefrom; the occurrence of any uncured event of default or any event, change or other circumstance that could give rise to the termination of the Company’s ISDA Master Agreement relating to the Treasury Strategy; the outcome of any legal proceedings that may be instituted against the Company; risks associated with the Treasury Strategy replacing the former plans and operations of the Company including the legacy solar operations;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002A41"/>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press release is not a substitute for the Proxy Statement or any other document that the Company may file with the SEC or send to the Company’s shareholders in connection with the Special Meeting. This press release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002A41"/>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PARTICIPANTS IN THE SOLICITATION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002A41"/>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2025, as filed with the SEC on April 1, 2026 and the Proxy Statement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002B41"/>
        </w:rPr>
        <w:t>NO SOLICITATION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02A41"/>
        </w:rPr>
        <w:t>This press release shall not constitute a solicitation of a proxy, consent or authorization with respect to any securities or in respect of the matters to be noticed in the definitive Proxy Statement when it becomes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press@sono-solar.com | ir.sonomotors.com/news-events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ir@sonomotors.com | ir.sonomotors.com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LinkedIn: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https://www.linkedin.com/company/sonogroupnv</w:t>
      </w:r>
    </w:p>
    <w:sectPr>
      <w:pgSz w:w="11900" w:h="16838" w:orient="portrait"/>
      <w:cols w:equalWidth="0" w:num="1">
        <w:col w:w="10760"/>
      </w:cols>
      <w:pgMar w:left="320" w:top="68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4"/>
    </w:lvl>
  </w:abstractNum>
  <w:abstractNum w:abstractNumId="4">
    <w:nsid w:val="628C895D"/>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5">
    <w:nsid w:val="333AB105"/>
    <w:multiLevelType w:val="hybridMultilevel"/>
    <w:lvl w:ilvl="0">
      <w:lvlJc w:val="left"/>
      <w:lvlText w:val="%1."/>
      <w:numFmt w:val="upperLetter"/>
      <w:start w:val="1"/>
    </w:lvl>
  </w:abstractNum>
  <w:abstractNum w:abstractNumId="6">
    <w:nsid w:val="721DA317"/>
    <w:multiLevelType w:val="hybridMultilevel"/>
    <w:lvl w:ilvl="0">
      <w:lvlJc w:val="left"/>
      <w:lvlText w:val="%1."/>
      <w:numFmt w:val="upperLetter"/>
      <w:start w:val="4"/>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decimal"/>
      <w:start w:val="2"/>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6"/>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decimal"/>
      <w:start w:val="1"/>
    </w:lvl>
    <w:lvl w:ilvl="1">
      <w:lvlJc w:val="left"/>
      <w:lvlText w:val="(%2)"/>
      <w:numFmt w:val="lowerLetter"/>
      <w:start w:val="1"/>
    </w:lvl>
  </w:abstractNum>
  <w:abstractNum w:abstractNumId="19">
    <w:nsid w:val="836C40E"/>
    <w:multiLevelType w:val="hybridMultilevel"/>
    <w:lvl w:ilvl="0">
      <w:lvlJc w:val="left"/>
      <w:lvlText w:val="%1."/>
      <w:numFmt w:val="decimal"/>
      <w:start w:val="7"/>
    </w:lvl>
    <w:lvl w:ilvl="1">
      <w:lvlJc w:val="left"/>
      <w:lvlText w:val="%2"/>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decimal"/>
      <w:start w:val="8"/>
    </w:lvl>
  </w:abstractNum>
  <w:abstractNum w:abstractNumId="22">
    <w:nsid w:val="8138641"/>
    <w:multiLevelType w:val="hybridMultilevel"/>
    <w:lvl w:ilvl="0">
      <w:lvlJc w:val="left"/>
      <w:lvlText w:val="%1"/>
      <w:numFmt w:val="decimal"/>
      <w:start w:val="1"/>
    </w:lvl>
    <w:lvl w:ilvl="1">
      <w:lvlJc w:val="left"/>
      <w:lvlText w:val="(%2)"/>
      <w:numFmt w:val="lowerLetter"/>
      <w:start w:val="1"/>
    </w:lvl>
  </w:abstractNum>
  <w:abstractNum w:abstractNumId="23">
    <w:nsid w:val="1E7FF521"/>
    <w:multiLevelType w:val="hybridMultilevel"/>
    <w:lvl w:ilvl="0">
      <w:lvlJc w:val="left"/>
      <w:lvlText w:val="%1."/>
      <w:numFmt w:val="decimal"/>
      <w:start w:val="9"/>
    </w:lvl>
    <w:lvl w:ilvl="1">
      <w:lvlJc w:val="left"/>
      <w:lvlText w:val="%2"/>
      <w:numFmt w:val="lowerLetter"/>
      <w:start w:val="1"/>
    </w:lvl>
  </w:abstractNum>
  <w:abstractNum w:abstractNumId="24">
    <w:nsid w:val="7C3DBD3D"/>
    <w:multiLevelType w:val="hybridMultilevel"/>
    <w:lvl w:ilvl="0">
      <w:lvlJc w:val="left"/>
      <w:lvlText w:val="%1."/>
      <w:numFmt w:val="decimal"/>
      <w:start w:val="10"/>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decimal"/>
      <w:start w:val="11"/>
    </w:lvl>
  </w:abstractNum>
  <w:abstractNum w:abstractNumId="27">
    <w:nsid w:val="22221A70"/>
    <w:multiLevelType w:val="hybridMultilevel"/>
    <w:lvl w:ilvl="0">
      <w:lvlJc w:val="left"/>
      <w:lvlText w:val="(%1)"/>
      <w:numFmt w:val="lowerLetter"/>
      <w:start w:val="1"/>
    </w:lvl>
    <w:lvl w:ilvl="1">
      <w:lvlJc w:val="left"/>
      <w:lvlText w:val="(%2)"/>
      <w:numFmt w:val="lowerRoman"/>
      <w:start w:val="1"/>
    </w:lvl>
  </w:abstractNum>
  <w:abstractNum w:abstractNumId="28">
    <w:nsid w:val="4516DDE9"/>
    <w:multiLevelType w:val="hybridMultilevel"/>
    <w:lvl w:ilvl="0">
      <w:lvlJc w:val="left"/>
      <w:lvlText w:val="(%1)"/>
      <w:numFmt w:val="lowerLetter"/>
      <w:start w:val="2"/>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2"/>
    </w:lvl>
    <w:lvl w:ilvl="1">
      <w:lvlJc w:val="left"/>
      <w:lvlText w:val="%2"/>
      <w:numFmt w:val="lowerLetter"/>
      <w:start w:val="1"/>
    </w:lvl>
  </w:abstractNum>
  <w:abstractNum w:abstractNumId="31">
    <w:nsid w:val="419AC241"/>
    <w:multiLevelType w:val="hybridMultilevel"/>
    <w:lvl w:ilvl="0">
      <w:lvlJc w:val="left"/>
      <w:lvlText w:val="%1."/>
      <w:numFmt w:val="decimal"/>
      <w:start w:val="13"/>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2"/>
    </w:lvl>
  </w:abstractNum>
  <w:abstractNum w:abstractNumId="34">
    <w:nsid w:val="5072367"/>
    <w:multiLevelType w:val="hybridMultilevel"/>
    <w:lvl w:ilvl="0">
      <w:lvlJc w:val="left"/>
      <w:lvlText w:val="%1."/>
      <w:numFmt w:val="decimal"/>
      <w:start w:val="14"/>
    </w:lvl>
  </w:abstractNum>
  <w:abstractNum w:abstractNumId="35">
    <w:nsid w:val="3804823E"/>
    <w:multiLevelType w:val="hybridMultilevel"/>
    <w:lvl w:ilvl="0">
      <w:lvlJc w:val="left"/>
      <w:lvlText w:val="%1."/>
      <w:numFmt w:val="decimal"/>
      <w:start w:val="15"/>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2026-05-08T15:37:40Z</dcterms:created>
  <dcterms:modified xsi:type="dcterms:W3CDTF">2026-05-08T15:37:40Z</dcterms:modified>
</cp:coreProperties>
</file>