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333333"/>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Date of Report (Date of earliest event reported): May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280" w:type="dxa"/>
        <w:tblCellMar>
          <w:top w:w="0" w:type="dxa"/>
          <w:left w:w="0" w:type="dxa"/>
          <w:bottom w:w="0" w:type="dxa"/>
          <w:right w:w="0" w:type="dxa"/>
        </w:tblCellMar>
      </w:tblPr>
      <w:tr>
        <w:trPr>
          <w:trHeight w:val="220"/>
        </w:trPr>
        <w:tc>
          <w:tcPr>
            <w:tcW w:w="42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The Netherlands</w:t>
            </w:r>
          </w:p>
        </w:tc>
        <w:tc>
          <w:tcPr>
            <w:tcW w:w="24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001-41066</w:t>
            </w:r>
          </w:p>
        </w:tc>
        <w:tc>
          <w:tcPr>
            <w:tcW w:w="760" w:type="dxa"/>
            <w:vAlign w:val="bottom"/>
          </w:tcPr>
          <w:p>
            <w:pPr>
              <w:spacing w:after="0"/>
              <w:rPr>
                <w:sz w:val="19"/>
                <w:szCs w:val="19"/>
                <w:color w:val="auto"/>
              </w:rPr>
            </w:pPr>
          </w:p>
        </w:tc>
        <w:tc>
          <w:tcPr>
            <w:tcW w:w="28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98-1828632</w:t>
            </w:r>
          </w:p>
        </w:tc>
      </w:t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2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426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Waldmeisterstrasse 93, Munich, Germany</w:t>
            </w:r>
          </w:p>
        </w:tc>
        <w:tc>
          <w:tcPr>
            <w:tcW w:w="2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80935</w:t>
            </w:r>
          </w:p>
        </w:tc>
      </w:tr>
      <w:tr>
        <w:trPr>
          <w:trHeight w:val="234"/>
        </w:trPr>
        <w:tc>
          <w:tcPr>
            <w:tcW w:w="42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333333"/>
                <w:w w:val="99"/>
              </w:rPr>
              <w:t>+49 (0)89 4520 5818</w:t>
            </w: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4"/>
        </w:trPr>
        <w:tc>
          <w:tcPr>
            <w:tcW w:w="7500" w:type="dxa"/>
            <w:vAlign w:val="bottom"/>
            <w:gridSpan w:val="4"/>
          </w:tcPr>
          <w:p>
            <w:pPr>
              <w:jc w:val="center"/>
              <w:ind w:left="3090"/>
              <w:spacing w:after="0"/>
              <w:rPr>
                <w:sz w:val="20"/>
                <w:szCs w:val="20"/>
                <w:color w:val="auto"/>
              </w:rPr>
            </w:pPr>
            <w:r>
              <w:rPr>
                <w:rFonts w:ascii="Times New Roman" w:cs="Times New Roman" w:eastAsia="Times New Roman" w:hAnsi="Times New Roman"/>
                <w:sz w:val="18"/>
                <w:szCs w:val="18"/>
                <w:color w:val="333333"/>
                <w:w w:val="99"/>
              </w:rPr>
              <w:t>(Registrant's telephone number, including area code)</w:t>
            </w:r>
          </w:p>
        </w:tc>
        <w:tc>
          <w:tcPr>
            <w:tcW w:w="2840" w:type="dxa"/>
            <w:vAlign w:val="bottom"/>
          </w:tcPr>
          <w:p>
            <w:pPr>
              <w:spacing w:after="0"/>
              <w:rPr>
                <w:sz w:val="20"/>
                <w:szCs w:val="20"/>
                <w:color w:val="auto"/>
              </w:rPr>
            </w:pPr>
          </w:p>
        </w:tc>
      </w:tr>
      <w:tr>
        <w:trPr>
          <w:trHeight w:val="270"/>
        </w:trPr>
        <w:tc>
          <w:tcPr>
            <w:tcW w:w="39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2840" w:type="dxa"/>
            <w:vAlign w:val="bottom"/>
          </w:tcPr>
          <w:p>
            <w:pPr>
              <w:spacing w:after="0"/>
              <w:rPr>
                <w:sz w:val="23"/>
                <w:szCs w:val="23"/>
                <w:color w:val="auto"/>
              </w:rPr>
            </w:pPr>
          </w:p>
        </w:tc>
      </w:tr>
    </w:tbl>
    <w:p>
      <w:pPr>
        <w:spacing w:after="0" w:line="200" w:lineRule="exact"/>
        <w:rPr>
          <w:sz w:val="24"/>
          <w:szCs w:val="24"/>
          <w:color w:val="auto"/>
        </w:rPr>
      </w:pPr>
    </w:p>
    <w:p>
      <w:pPr>
        <w:spacing w:after="0" w:line="29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333333"/>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Written communications pursuant to Rule 425 under the Securities Act (17 CFR 230.425)</w:t>
      </w:r>
    </w:p>
    <w:p>
      <w:pPr>
        <w:spacing w:after="0" w:line="252" w:lineRule="exact"/>
        <w:rPr>
          <w:rFonts w:ascii="MS PGothic" w:cs="MS PGothic" w:eastAsia="MS PGothic" w:hAnsi="MS PGothic"/>
          <w:sz w:val="18"/>
          <w:szCs w:val="18"/>
          <w:color w:val="333333"/>
        </w:rPr>
      </w:pPr>
    </w:p>
    <w:p>
      <w:pPr>
        <w:ind w:left="460" w:hanging="452"/>
        <w:spacing w:after="0"/>
        <w:tabs>
          <w:tab w:leader="none" w:pos="46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Soliciting material pursuant to Rule 14a-12 under the Exchange Act (17 CFR 240.14a-12)</w:t>
      </w:r>
    </w:p>
    <w:p>
      <w:pPr>
        <w:spacing w:after="0" w:line="252" w:lineRule="exact"/>
        <w:rPr>
          <w:rFonts w:ascii="MS PGothic" w:cs="MS PGothic" w:eastAsia="MS PGothic" w:hAnsi="MS PGothic"/>
          <w:sz w:val="18"/>
          <w:szCs w:val="18"/>
          <w:color w:val="333333"/>
        </w:rPr>
      </w:pPr>
    </w:p>
    <w:p>
      <w:pPr>
        <w:ind w:left="460" w:hanging="452"/>
        <w:spacing w:after="0"/>
        <w:tabs>
          <w:tab w:leader="none" w:pos="46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14d-2(b) under the Exchange Act (17 CFR 240.14d-2(b))</w:t>
      </w:r>
    </w:p>
    <w:p>
      <w:pPr>
        <w:spacing w:after="0" w:line="252" w:lineRule="exact"/>
        <w:rPr>
          <w:rFonts w:ascii="MS PGothic" w:cs="MS PGothic" w:eastAsia="MS PGothic" w:hAnsi="MS PGothic"/>
          <w:sz w:val="18"/>
          <w:szCs w:val="18"/>
          <w:color w:val="333333"/>
        </w:rPr>
      </w:pPr>
    </w:p>
    <w:p>
      <w:pPr>
        <w:ind w:right="2740" w:firstLine="8"/>
        <w:spacing w:after="0" w:line="511" w:lineRule="auto"/>
        <w:tabs>
          <w:tab w:leader="none" w:pos="459"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Title of each class</w:t>
            </w:r>
          </w:p>
        </w:tc>
        <w:tc>
          <w:tcPr>
            <w:tcW w:w="31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Trading Symbol(s)</w:t>
            </w:r>
          </w:p>
        </w:tc>
        <w:tc>
          <w:tcPr>
            <w:tcW w:w="49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Name of each exchange on which registered</w:t>
            </w:r>
          </w:p>
        </w:tc>
      </w:tr>
      <w:tr>
        <w:trPr>
          <w:trHeight w:val="210"/>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Not Applicable</w:t>
            </w:r>
          </w:p>
        </w:tc>
        <w:tc>
          <w:tcPr>
            <w:tcW w:w="3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Not Applicable</w:t>
            </w:r>
          </w:p>
        </w:tc>
        <w:tc>
          <w:tcPr>
            <w:tcW w:w="4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Not Applicable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333333"/>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333333"/>
        </w:rPr>
        <w:t xml:space="preserve">Emerging growth company </w:t>
      </w:r>
      <w:r>
        <w:rPr>
          <w:rFonts w:ascii="MS PGothic" w:cs="MS PGothic" w:eastAsia="MS PGothic" w:hAnsi="MS PGothic"/>
          <w:sz w:val="17"/>
          <w:szCs w:val="17"/>
          <w:color w:val="333333"/>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33333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Items.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May 20, 2025, Sono Group N.V. (the “Company”) furnished an unaudited pro forma condensed consolidated balance sheet and statement of income as of and for the three months ended March 31, 2025 (the “Pro Forma Financial Information”) as part of the Company’s application for listing on the Nasdaq Capital Market (“Nasdaq”).</w:t>
      </w:r>
    </w:p>
    <w:p>
      <w:pPr>
        <w:spacing w:after="0" w:line="17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Pro Forma Financial Information gives effect to the transactions contemplated by the following previously-disclosed agreements: (i) the securities purchase agreement (the “Securities Purchase Agreement”) entered into between the Company and YA II PN, Ltd. (“Yorkville”) on December 30, 2024, pursuant to which Yorkville committed to provide limited financing to the Company in the amount of $5,000,000 (the “Yorkville Commitment”) in the form of a new convertible debenture (the “Commitment Debenture”), subject to certain conditions and limitations, including the Company’s receipt of notice from Nasdaq that the Company has met all the applicable requirements for listing of the Company’s ordinary shares on Nasdaq, (ii) the exchange agreement (the “Exchange Agreement”) entered into between the Company and Yorkville on December 30, 2024, pursuant to which the Company agreed, subject to the satisfactions of certain conditions precedent, to issue 1,242 shares of preferred stock of the Company, each with a nominal value of €300 (the “Preferred Shares”), to Yorkville solely in exchange for the surrender and cancellation of all of the debentures held by Yorkville, including the Commitment Debenture, if issued, and the Advance Debentures (as defined below), (iii) the omnibus amendment to transaction documents entered into between the Company and Yorkville on February 12, 2025 (the “First Omnibus Amendment”), which provided for, among other things, an immediate advance of $1,000,000 of the Yorkville Commitment in the form of a $1,000,000 secured convertible debenture (the “First Advance Debenture”), (iv) the omnibus amendment to transaction documents entered into between the Company and Yorkville on March 7, 2025 (the “Second Omnibus Amendment”), which, among other things, modified the terms of the Exchange Agreement to amend the floor price provided for in the Exchange Agreement, (v) the omnibus amendment to transaction documents entered into between the Company and Yorkville on March 25, 2025 (the “Third Omnibus Amendment”), which provided for, among other things, a second immediate advance of $1,000,000 of the Yorkville Commitment in the form of a $1,000,000 secured convertible debenture (the “Second Advance Debenture”) and (vi) the omnibus amendment to transaction documents entered into between the Company and Yorkville on April 24, 2025 (the “Fourth Omnibus Amendment” and together with the First Omnibus Amendment, the Second Omnibus Amendment and the Third Omnibus Amendment, the “Omnibus Amendments”), which provided for, among other things, a third immediate advance of $500,000 of the Yorkville Commitment in the form of a $500,000 secured convertible debenture (the “Third Advance Debenture” and together with the First Advance Debenture and the Second Advance Debenture, the “Advance Debentures”).</w:t>
      </w:r>
    </w:p>
    <w:p>
      <w:pPr>
        <w:spacing w:after="0" w:line="18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Additional information and background on the Securities Purchase Agreement, the Exchange Agreement, the Omnibus Amendments and the other agreements and transactions related thereto may be found in the Company’s Form 6-K filed with the Securities and Exchange Commission (“SEC”) on December 30, 2024 and the Company’s Form 8-Ks filed with the SEC on February 13, 2025, March 7, 2025, March 26, 2025 and April 25, 2025. The Company’s listing application has not yet been approved by Nasdaq, and there is no assurance that its listing application will be approved by Nasdaq.</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1"/>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Sono Group N.V. pro forma condensed consolidated balance sheet and statement of income as of and for the three months ended March</w:t>
            </w:r>
          </w:p>
        </w:tc>
      </w:tr>
      <w:tr>
        <w:trPr>
          <w:trHeight w:val="196"/>
        </w:trPr>
        <w:tc>
          <w:tcPr>
            <w:tcW w:w="3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31, 2025</w:t>
            </w:r>
          </w:p>
        </w:tc>
        <w:tc>
          <w:tcPr>
            <w:tcW w:w="980" w:type="dxa"/>
            <w:vAlign w:val="bottom"/>
            <w:tcBorders>
              <w:top w:val="single" w:sz="8" w:color="0000EE"/>
            </w:tcBorders>
          </w:tcPr>
          <w:p>
            <w:pPr>
              <w:spacing w:after="0"/>
              <w:rPr>
                <w:sz w:val="17"/>
                <w:szCs w:val="17"/>
                <w:color w:val="auto"/>
              </w:rPr>
            </w:pPr>
          </w:p>
        </w:tc>
        <w:tc>
          <w:tcPr>
            <w:tcW w:w="81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7"/>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81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86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3"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1697355</wp:posOffset>
            </wp:positionV>
            <wp:extent cx="71323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1248410</wp:posOffset>
            </wp:positionV>
            <wp:extent cx="1499870" cy="1525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987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60"/>
        <w:spacing w:after="0" w:line="278" w:lineRule="auto"/>
        <w:rPr>
          <w:sz w:val="20"/>
          <w:szCs w:val="20"/>
          <w:color w:val="auto"/>
        </w:rPr>
      </w:pPr>
      <w:r>
        <w:rPr>
          <w:rFonts w:ascii="Times New Roman" w:cs="Times New Roman" w:eastAsia="Times New Roman" w:hAnsi="Times New Roman"/>
          <w:sz w:val="29"/>
          <w:szCs w:val="29"/>
          <w:b w:val="1"/>
          <w:bCs w:val="1"/>
          <w:color w:val="auto"/>
        </w:rPr>
        <w:t>Sono Group N.V. pro forma condensed consolidated Balance Sheet and Statement of Income as of and 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1557020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80"/>
          </w:cols>
          <w:pgMar w:left="78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2"/>
        </w:trPr>
        <w:tc>
          <w:tcPr>
            <w:tcW w:w="1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528"/>
        </w:trPr>
        <w:tc>
          <w:tcPr>
            <w:tcW w:w="8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80" w:type="dxa"/>
            <w:vAlign w:val="bottom"/>
          </w:tcPr>
          <w:p>
            <w:pPr>
              <w:spacing w:after="0"/>
              <w:rPr>
                <w:sz w:val="24"/>
                <w:szCs w:val="24"/>
                <w:color w:val="auto"/>
              </w:rPr>
            </w:pPr>
          </w:p>
        </w:tc>
        <w:tc>
          <w:tcPr>
            <w:tcW w:w="55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Proforma Preliminary Condensed Consolidated Statements of Income (Loss)</w:t>
            </w:r>
          </w:p>
        </w:tc>
        <w:tc>
          <w:tcPr>
            <w:tcW w:w="2700" w:type="dxa"/>
            <w:vAlign w:val="bottom"/>
          </w:tcPr>
          <w:p>
            <w:pPr>
              <w:spacing w:after="0"/>
              <w:rPr>
                <w:sz w:val="24"/>
                <w:szCs w:val="24"/>
                <w:color w:val="auto"/>
              </w:rPr>
            </w:pP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18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55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Proforma Preliminary Condensed Consolidated Balance Sheets</w:t>
            </w:r>
          </w:p>
        </w:tc>
        <w:tc>
          <w:tcPr>
            <w:tcW w:w="2700" w:type="dxa"/>
            <w:vAlign w:val="bottom"/>
          </w:tcPr>
          <w:p>
            <w:pPr>
              <w:spacing w:after="0"/>
              <w:rPr>
                <w:sz w:val="24"/>
                <w:szCs w:val="24"/>
                <w:color w:val="auto"/>
              </w:rPr>
            </w:pP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18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 xml:space="preserve">A.  New Issuance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5 Million Debenture Adjustment</w:t>
            </w:r>
          </w:p>
        </w:tc>
        <w:tc>
          <w:tcPr>
            <w:tcW w:w="3680" w:type="dxa"/>
            <w:vAlign w:val="bottom"/>
            <w:gridSpan w:val="2"/>
          </w:tcPr>
          <w:p>
            <w:pPr>
              <w:spacing w:after="0"/>
              <w:rPr>
                <w:sz w:val="24"/>
                <w:szCs w:val="24"/>
                <w:color w:val="auto"/>
              </w:rPr>
            </w:pP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18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B.  Conversion of all existing debt to preferred equity</w:t>
            </w:r>
          </w:p>
        </w:tc>
        <w:tc>
          <w:tcPr>
            <w:tcW w:w="4240" w:type="dxa"/>
            <w:vAlign w:val="bottom"/>
            <w:gridSpan w:val="3"/>
          </w:tcPr>
          <w:p>
            <w:pPr>
              <w:spacing w:after="0"/>
              <w:rPr>
                <w:sz w:val="24"/>
                <w:szCs w:val="24"/>
                <w:color w:val="auto"/>
              </w:rPr>
            </w:pP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4124"/>
        </w:trPr>
        <w:tc>
          <w:tcPr>
            <w:tcW w:w="180" w:type="dxa"/>
            <w:vAlign w:val="bottom"/>
          </w:tcPr>
          <w:p>
            <w:pPr>
              <w:spacing w:after="0"/>
              <w:rPr>
                <w:sz w:val="24"/>
                <w:szCs w:val="24"/>
                <w:color w:val="auto"/>
              </w:rPr>
            </w:pPr>
          </w:p>
        </w:tc>
        <w:tc>
          <w:tcPr>
            <w:tcW w:w="39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68"/>
        </w:trPr>
        <w:tc>
          <w:tcPr>
            <w:tcW w:w="180" w:type="dxa"/>
            <w:vAlign w:val="bottom"/>
            <w:shd w:val="clear" w:color="auto" w:fill="000000"/>
          </w:tcPr>
          <w:p>
            <w:pPr>
              <w:spacing w:after="0"/>
              <w:rPr>
                <w:sz w:val="5"/>
                <w:szCs w:val="5"/>
                <w:color w:val="auto"/>
              </w:rPr>
            </w:pPr>
          </w:p>
        </w:tc>
        <w:tc>
          <w:tcPr>
            <w:tcW w:w="39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2700" w:type="dxa"/>
            <w:vAlign w:val="bottom"/>
            <w:shd w:val="clear" w:color="auto" w:fill="000000"/>
          </w:tcPr>
          <w:p>
            <w:pPr>
              <w:spacing w:after="0"/>
              <w:rPr>
                <w:sz w:val="5"/>
                <w:szCs w:val="5"/>
                <w:color w:val="auto"/>
              </w:rPr>
            </w:pPr>
          </w:p>
        </w:tc>
        <w:tc>
          <w:tcPr>
            <w:tcW w:w="27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120" w:type="dxa"/>
            <w:vAlign w:val="bottom"/>
            <w:gridSpan w:val="4"/>
          </w:tcPr>
          <w:p>
            <w:pPr>
              <w:ind w:left="3160"/>
              <w:spacing w:after="0"/>
              <w:rPr>
                <w:sz w:val="20"/>
                <w:szCs w:val="20"/>
                <w:color w:val="auto"/>
              </w:rPr>
            </w:pPr>
            <w:r>
              <w:rPr>
                <w:rFonts w:ascii="Times New Roman" w:cs="Times New Roman" w:eastAsia="Times New Roman" w:hAnsi="Times New Roman"/>
                <w:sz w:val="18"/>
                <w:szCs w:val="18"/>
                <w:b w:val="1"/>
                <w:bCs w:val="1"/>
                <w:color w:val="auto"/>
              </w:rPr>
              <w:t>Proforma Condensed Consolidated Statements of Income (Loss)</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5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20" w:type="dxa"/>
            <w:vAlign w:val="bottom"/>
            <w:shd w:val="clear" w:color="auto" w:fill="A6A6A6"/>
          </w:tcPr>
          <w:p>
            <w:pPr>
              <w:spacing w:after="0"/>
              <w:rPr>
                <w:sz w:val="19"/>
                <w:szCs w:val="19"/>
                <w:color w:val="auto"/>
              </w:rPr>
            </w:pPr>
          </w:p>
        </w:tc>
        <w:tc>
          <w:tcPr>
            <w:tcW w:w="19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Three months ended</w:t>
            </w:r>
          </w:p>
        </w:tc>
        <w:tc>
          <w:tcPr>
            <w:tcW w:w="3560" w:type="dxa"/>
            <w:vAlign w:val="bottom"/>
            <w:gridSpan w:val="2"/>
            <w:shd w:val="clear" w:color="auto" w:fill="A6A6A6"/>
          </w:tcPr>
          <w:p>
            <w:pPr>
              <w:jc w:val="right"/>
              <w:ind w:right="658"/>
              <w:spacing w:after="0"/>
              <w:rPr>
                <w:sz w:val="20"/>
                <w:szCs w:val="20"/>
                <w:color w:val="auto"/>
              </w:rPr>
            </w:pPr>
            <w:r>
              <w:rPr>
                <w:rFonts w:ascii="Times New Roman" w:cs="Times New Roman" w:eastAsia="Times New Roman" w:hAnsi="Times New Roman"/>
                <w:sz w:val="18"/>
                <w:szCs w:val="18"/>
                <w:b w:val="1"/>
                <w:bCs w:val="1"/>
                <w:color w:val="FFFFFF"/>
              </w:rPr>
              <w:t>Pro Forma Adjustments</w:t>
            </w:r>
          </w:p>
        </w:tc>
        <w:tc>
          <w:tcPr>
            <w:tcW w:w="280" w:type="dxa"/>
            <w:vAlign w:val="bottom"/>
            <w:shd w:val="clear" w:color="auto" w:fill="A6A6A6"/>
          </w:tcPr>
          <w:p>
            <w:pPr>
              <w:spacing w:after="0"/>
              <w:rPr>
                <w:sz w:val="19"/>
                <w:szCs w:val="19"/>
                <w:color w:val="auto"/>
              </w:rPr>
            </w:pPr>
          </w:p>
        </w:tc>
        <w:tc>
          <w:tcPr>
            <w:tcW w:w="18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Pro Forma Combined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A6A6A6"/>
          </w:tcPr>
          <w:p>
            <w:pPr>
              <w:spacing w:after="0"/>
              <w:rPr>
                <w:sz w:val="17"/>
                <w:szCs w:val="17"/>
                <w:color w:val="auto"/>
              </w:rPr>
            </w:pPr>
          </w:p>
        </w:tc>
        <w:tc>
          <w:tcPr>
            <w:tcW w:w="1940" w:type="dxa"/>
            <w:vAlign w:val="bottom"/>
            <w:vMerge w:val="continue"/>
            <w:shd w:val="clear" w:color="auto" w:fill="A6A6A6"/>
          </w:tcPr>
          <w:p>
            <w:pPr>
              <w:spacing w:after="0"/>
              <w:rPr>
                <w:sz w:val="17"/>
                <w:szCs w:val="17"/>
                <w:color w:val="auto"/>
              </w:rPr>
            </w:pPr>
          </w:p>
        </w:tc>
        <w:tc>
          <w:tcPr>
            <w:tcW w:w="182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mUSD 5 New</w:t>
            </w:r>
          </w:p>
        </w:tc>
        <w:tc>
          <w:tcPr>
            <w:tcW w:w="1740" w:type="dxa"/>
            <w:vAlign w:val="bottom"/>
            <w:shd w:val="clear" w:color="auto" w:fill="A6A6A6"/>
          </w:tcPr>
          <w:p>
            <w:pPr>
              <w:jc w:val="center"/>
              <w:ind w:left="198"/>
              <w:spacing w:after="0" w:line="202" w:lineRule="exact"/>
              <w:rPr>
                <w:sz w:val="20"/>
                <w:szCs w:val="20"/>
                <w:color w:val="auto"/>
              </w:rPr>
            </w:pPr>
            <w:r>
              <w:rPr>
                <w:rFonts w:ascii="Times New Roman" w:cs="Times New Roman" w:eastAsia="Times New Roman" w:hAnsi="Times New Roman"/>
                <w:sz w:val="18"/>
                <w:szCs w:val="18"/>
                <w:b w:val="1"/>
                <w:bCs w:val="1"/>
                <w:color w:val="FFFFFF"/>
              </w:rPr>
              <w:t>Debt to Equity</w:t>
            </w:r>
          </w:p>
        </w:tc>
        <w:tc>
          <w:tcPr>
            <w:tcW w:w="280" w:type="dxa"/>
            <w:vAlign w:val="bottom"/>
            <w:shd w:val="clear" w:color="auto" w:fill="A6A6A6"/>
          </w:tcPr>
          <w:p>
            <w:pPr>
              <w:spacing w:after="0"/>
              <w:rPr>
                <w:sz w:val="17"/>
                <w:szCs w:val="17"/>
                <w:color w:val="auto"/>
              </w:rPr>
            </w:pPr>
          </w:p>
        </w:tc>
        <w:tc>
          <w:tcPr>
            <w:tcW w:w="1840" w:type="dxa"/>
            <w:vAlign w:val="bottom"/>
            <w:vMerge w:val="continue"/>
            <w:shd w:val="clear" w:color="auto" w:fill="A6A6A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620" w:type="dxa"/>
            <w:vAlign w:val="bottom"/>
            <w:shd w:val="clear" w:color="auto" w:fill="A6A6A6"/>
          </w:tcPr>
          <w:p>
            <w:pPr>
              <w:spacing w:after="0"/>
              <w:rPr>
                <w:sz w:val="10"/>
                <w:szCs w:val="10"/>
                <w:color w:val="auto"/>
              </w:rPr>
            </w:pPr>
          </w:p>
        </w:tc>
        <w:tc>
          <w:tcPr>
            <w:tcW w:w="19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rPr>
              <w:t>March 31, 2025</w:t>
            </w:r>
          </w:p>
        </w:tc>
        <w:tc>
          <w:tcPr>
            <w:tcW w:w="1820" w:type="dxa"/>
            <w:vAlign w:val="bottom"/>
            <w:vMerge w:val="continue"/>
            <w:shd w:val="clear" w:color="auto" w:fill="A6A6A6"/>
          </w:tcPr>
          <w:p>
            <w:pPr>
              <w:spacing w:after="0"/>
              <w:rPr>
                <w:sz w:val="10"/>
                <w:szCs w:val="10"/>
                <w:color w:val="auto"/>
              </w:rPr>
            </w:pPr>
          </w:p>
        </w:tc>
        <w:tc>
          <w:tcPr>
            <w:tcW w:w="1740" w:type="dxa"/>
            <w:vAlign w:val="bottom"/>
            <w:vMerge w:val="restart"/>
            <w:shd w:val="clear" w:color="auto" w:fill="A6A6A6"/>
          </w:tcPr>
          <w:p>
            <w:pPr>
              <w:jc w:val="center"/>
              <w:ind w:left="218"/>
              <w:spacing w:after="0"/>
              <w:rPr>
                <w:sz w:val="20"/>
                <w:szCs w:val="20"/>
                <w:color w:val="auto"/>
              </w:rPr>
            </w:pPr>
            <w:r>
              <w:rPr>
                <w:rFonts w:ascii="Times New Roman" w:cs="Times New Roman" w:eastAsia="Times New Roman" w:hAnsi="Times New Roman"/>
                <w:sz w:val="18"/>
                <w:szCs w:val="18"/>
                <w:b w:val="1"/>
                <w:bCs w:val="1"/>
                <w:color w:val="FFFFFF"/>
                <w:w w:val="99"/>
              </w:rPr>
              <w:t>Conversion</w:t>
            </w:r>
          </w:p>
        </w:tc>
        <w:tc>
          <w:tcPr>
            <w:tcW w:w="280" w:type="dxa"/>
            <w:vAlign w:val="bottom"/>
            <w:shd w:val="clear" w:color="auto" w:fill="A6A6A6"/>
          </w:tcPr>
          <w:p>
            <w:pPr>
              <w:spacing w:after="0"/>
              <w:rPr>
                <w:sz w:val="10"/>
                <w:szCs w:val="10"/>
                <w:color w:val="auto"/>
              </w:rPr>
            </w:pPr>
          </w:p>
        </w:tc>
        <w:tc>
          <w:tcPr>
            <w:tcW w:w="18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Following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20" w:type="dxa"/>
            <w:vAlign w:val="bottom"/>
            <w:shd w:val="clear" w:color="auto" w:fill="A6A6A6"/>
          </w:tcPr>
          <w:p>
            <w:pPr>
              <w:spacing w:after="0"/>
              <w:rPr>
                <w:sz w:val="8"/>
                <w:szCs w:val="8"/>
                <w:color w:val="auto"/>
              </w:rPr>
            </w:pPr>
          </w:p>
        </w:tc>
        <w:tc>
          <w:tcPr>
            <w:tcW w:w="1940" w:type="dxa"/>
            <w:vAlign w:val="bottom"/>
            <w:vMerge w:val="continue"/>
            <w:shd w:val="clear" w:color="auto" w:fill="A6A6A6"/>
          </w:tcPr>
          <w:p>
            <w:pPr>
              <w:spacing w:after="0"/>
              <w:rPr>
                <w:sz w:val="8"/>
                <w:szCs w:val="8"/>
                <w:color w:val="auto"/>
              </w:rPr>
            </w:pPr>
          </w:p>
        </w:tc>
        <w:tc>
          <w:tcPr>
            <w:tcW w:w="182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Convertible Debenture</w:t>
            </w:r>
          </w:p>
        </w:tc>
        <w:tc>
          <w:tcPr>
            <w:tcW w:w="1740" w:type="dxa"/>
            <w:vAlign w:val="bottom"/>
            <w:vMerge w:val="continue"/>
            <w:shd w:val="clear" w:color="auto" w:fill="A6A6A6"/>
          </w:tcPr>
          <w:p>
            <w:pPr>
              <w:spacing w:after="0"/>
              <w:rPr>
                <w:sz w:val="8"/>
                <w:szCs w:val="8"/>
                <w:color w:val="auto"/>
              </w:rPr>
            </w:pPr>
          </w:p>
        </w:tc>
        <w:tc>
          <w:tcPr>
            <w:tcW w:w="280" w:type="dxa"/>
            <w:vAlign w:val="bottom"/>
            <w:shd w:val="clear" w:color="auto" w:fill="A6A6A6"/>
          </w:tcPr>
          <w:p>
            <w:pPr>
              <w:spacing w:after="0"/>
              <w:rPr>
                <w:sz w:val="8"/>
                <w:szCs w:val="8"/>
                <w:color w:val="auto"/>
              </w:rPr>
            </w:pPr>
          </w:p>
        </w:tc>
        <w:tc>
          <w:tcPr>
            <w:tcW w:w="1840" w:type="dxa"/>
            <w:vAlign w:val="bottom"/>
            <w:vMerge w:val="continue"/>
            <w:shd w:val="clear" w:color="auto" w:fill="A6A6A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20" w:type="dxa"/>
            <w:vAlign w:val="bottom"/>
            <w:shd w:val="clear" w:color="auto" w:fill="A6A6A6"/>
          </w:tcPr>
          <w:p>
            <w:pPr>
              <w:spacing w:after="0"/>
              <w:rPr>
                <w:sz w:val="10"/>
                <w:szCs w:val="10"/>
                <w:color w:val="auto"/>
              </w:rPr>
            </w:pPr>
          </w:p>
        </w:tc>
        <w:tc>
          <w:tcPr>
            <w:tcW w:w="19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c>
          <w:tcPr>
            <w:tcW w:w="1820" w:type="dxa"/>
            <w:vAlign w:val="bottom"/>
            <w:vMerge w:val="continue"/>
            <w:shd w:val="clear" w:color="auto" w:fill="A6A6A6"/>
          </w:tcPr>
          <w:p>
            <w:pPr>
              <w:spacing w:after="0"/>
              <w:rPr>
                <w:sz w:val="10"/>
                <w:szCs w:val="10"/>
                <w:color w:val="auto"/>
              </w:rPr>
            </w:pPr>
          </w:p>
        </w:tc>
        <w:tc>
          <w:tcPr>
            <w:tcW w:w="1740" w:type="dxa"/>
            <w:vAlign w:val="bottom"/>
            <w:vMerge w:val="restart"/>
            <w:shd w:val="clear" w:color="auto" w:fill="A6A6A6"/>
          </w:tcPr>
          <w:p>
            <w:pPr>
              <w:jc w:val="center"/>
              <w:ind w:left="198"/>
              <w:spacing w:after="0"/>
              <w:rPr>
                <w:sz w:val="20"/>
                <w:szCs w:val="20"/>
                <w:color w:val="auto"/>
              </w:rPr>
            </w:pPr>
            <w:r>
              <w:rPr>
                <w:rFonts w:ascii="Times New Roman" w:cs="Times New Roman" w:eastAsia="Times New Roman" w:hAnsi="Times New Roman"/>
                <w:sz w:val="18"/>
                <w:szCs w:val="18"/>
                <w:b w:val="1"/>
                <w:bCs w:val="1"/>
                <w:color w:val="FFFFFF"/>
                <w:w w:val="99"/>
              </w:rPr>
              <w:t>Adjustments</w:t>
            </w:r>
          </w:p>
        </w:tc>
        <w:tc>
          <w:tcPr>
            <w:tcW w:w="280" w:type="dxa"/>
            <w:vAlign w:val="bottom"/>
            <w:shd w:val="clear" w:color="auto" w:fill="A6A6A6"/>
          </w:tcPr>
          <w:p>
            <w:pPr>
              <w:spacing w:after="0"/>
              <w:rPr>
                <w:sz w:val="10"/>
                <w:szCs w:val="10"/>
                <w:color w:val="auto"/>
              </w:rPr>
            </w:pPr>
          </w:p>
        </w:tc>
        <w:tc>
          <w:tcPr>
            <w:tcW w:w="18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Recapitalization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20" w:type="dxa"/>
            <w:vAlign w:val="bottom"/>
            <w:shd w:val="clear" w:color="auto" w:fill="A6A6A6"/>
          </w:tcPr>
          <w:p>
            <w:pPr>
              <w:spacing w:after="0"/>
              <w:rPr>
                <w:sz w:val="9"/>
                <w:szCs w:val="9"/>
                <w:color w:val="auto"/>
              </w:rPr>
            </w:pPr>
          </w:p>
        </w:tc>
        <w:tc>
          <w:tcPr>
            <w:tcW w:w="1940" w:type="dxa"/>
            <w:vAlign w:val="bottom"/>
            <w:vMerge w:val="continue"/>
            <w:shd w:val="clear" w:color="auto" w:fill="A6A6A6"/>
          </w:tcPr>
          <w:p>
            <w:pPr>
              <w:spacing w:after="0"/>
              <w:rPr>
                <w:sz w:val="9"/>
                <w:szCs w:val="9"/>
                <w:color w:val="auto"/>
              </w:rPr>
            </w:pPr>
          </w:p>
        </w:tc>
        <w:tc>
          <w:tcPr>
            <w:tcW w:w="182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rPr>
              <w:t>(A)</w:t>
            </w:r>
          </w:p>
        </w:tc>
        <w:tc>
          <w:tcPr>
            <w:tcW w:w="1740" w:type="dxa"/>
            <w:vAlign w:val="bottom"/>
            <w:vMerge w:val="continue"/>
            <w:shd w:val="clear" w:color="auto" w:fill="A6A6A6"/>
          </w:tcPr>
          <w:p>
            <w:pPr>
              <w:spacing w:after="0"/>
              <w:rPr>
                <w:sz w:val="9"/>
                <w:szCs w:val="9"/>
                <w:color w:val="auto"/>
              </w:rPr>
            </w:pPr>
          </w:p>
        </w:tc>
        <w:tc>
          <w:tcPr>
            <w:tcW w:w="280" w:type="dxa"/>
            <w:vAlign w:val="bottom"/>
            <w:shd w:val="clear" w:color="auto" w:fill="A6A6A6"/>
          </w:tcPr>
          <w:p>
            <w:pPr>
              <w:spacing w:after="0"/>
              <w:rPr>
                <w:sz w:val="9"/>
                <w:szCs w:val="9"/>
                <w:color w:val="auto"/>
              </w:rPr>
            </w:pPr>
          </w:p>
        </w:tc>
        <w:tc>
          <w:tcPr>
            <w:tcW w:w="1840" w:type="dxa"/>
            <w:vAlign w:val="bottom"/>
            <w:vMerge w:val="continue"/>
            <w:shd w:val="clear" w:color="auto" w:fill="A6A6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20" w:type="dxa"/>
            <w:vAlign w:val="bottom"/>
            <w:shd w:val="clear" w:color="auto" w:fill="A6A6A6"/>
          </w:tcPr>
          <w:p>
            <w:pPr>
              <w:spacing w:after="0"/>
              <w:rPr>
                <w:sz w:val="11"/>
                <w:szCs w:val="11"/>
                <w:color w:val="auto"/>
              </w:rPr>
            </w:pPr>
          </w:p>
        </w:tc>
        <w:tc>
          <w:tcPr>
            <w:tcW w:w="1940" w:type="dxa"/>
            <w:vAlign w:val="bottom"/>
            <w:shd w:val="clear" w:color="auto" w:fill="A6A6A6"/>
          </w:tcPr>
          <w:p>
            <w:pPr>
              <w:spacing w:after="0"/>
              <w:rPr>
                <w:sz w:val="11"/>
                <w:szCs w:val="11"/>
                <w:color w:val="auto"/>
              </w:rPr>
            </w:pPr>
          </w:p>
        </w:tc>
        <w:tc>
          <w:tcPr>
            <w:tcW w:w="1820" w:type="dxa"/>
            <w:vAlign w:val="bottom"/>
            <w:vMerge w:val="continue"/>
            <w:shd w:val="clear" w:color="auto" w:fill="A6A6A6"/>
          </w:tcPr>
          <w:p>
            <w:pPr>
              <w:spacing w:after="0"/>
              <w:rPr>
                <w:sz w:val="11"/>
                <w:szCs w:val="11"/>
                <w:color w:val="auto"/>
              </w:rPr>
            </w:pPr>
          </w:p>
        </w:tc>
        <w:tc>
          <w:tcPr>
            <w:tcW w:w="1740" w:type="dxa"/>
            <w:vAlign w:val="bottom"/>
            <w:vMerge w:val="restart"/>
            <w:shd w:val="clear" w:color="auto" w:fill="A6A6A6"/>
          </w:tcPr>
          <w:p>
            <w:pPr>
              <w:jc w:val="center"/>
              <w:ind w:left="218"/>
              <w:spacing w:after="0"/>
              <w:rPr>
                <w:sz w:val="20"/>
                <w:szCs w:val="20"/>
                <w:color w:val="auto"/>
              </w:rPr>
            </w:pPr>
            <w:r>
              <w:rPr>
                <w:rFonts w:ascii="Times New Roman" w:cs="Times New Roman" w:eastAsia="Times New Roman" w:hAnsi="Times New Roman"/>
                <w:sz w:val="18"/>
                <w:szCs w:val="18"/>
                <w:b w:val="1"/>
                <w:bCs w:val="1"/>
                <w:color w:val="FFFFFF"/>
                <w:w w:val="99"/>
              </w:rPr>
              <w:t>(B)</w:t>
            </w:r>
          </w:p>
        </w:tc>
        <w:tc>
          <w:tcPr>
            <w:tcW w:w="280" w:type="dxa"/>
            <w:vAlign w:val="bottom"/>
            <w:shd w:val="clear" w:color="auto" w:fill="A6A6A6"/>
          </w:tcPr>
          <w:p>
            <w:pPr>
              <w:spacing w:after="0"/>
              <w:rPr>
                <w:sz w:val="11"/>
                <w:szCs w:val="11"/>
                <w:color w:val="auto"/>
              </w:rPr>
            </w:pPr>
          </w:p>
        </w:tc>
        <w:tc>
          <w:tcPr>
            <w:tcW w:w="1840" w:type="dxa"/>
            <w:vAlign w:val="bottom"/>
            <w:shd w:val="clear" w:color="auto" w:fill="A6A6A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20" w:type="dxa"/>
            <w:vAlign w:val="bottom"/>
            <w:shd w:val="clear" w:color="auto" w:fill="A6A6A6"/>
          </w:tcPr>
          <w:p>
            <w:pPr>
              <w:spacing w:after="0"/>
              <w:rPr>
                <w:sz w:val="9"/>
                <w:szCs w:val="9"/>
                <w:color w:val="auto"/>
              </w:rPr>
            </w:pPr>
          </w:p>
        </w:tc>
        <w:tc>
          <w:tcPr>
            <w:tcW w:w="1940" w:type="dxa"/>
            <w:vAlign w:val="bottom"/>
            <w:shd w:val="clear" w:color="auto" w:fill="A6A6A6"/>
          </w:tcPr>
          <w:p>
            <w:pPr>
              <w:spacing w:after="0"/>
              <w:rPr>
                <w:sz w:val="9"/>
                <w:szCs w:val="9"/>
                <w:color w:val="auto"/>
              </w:rPr>
            </w:pPr>
          </w:p>
        </w:tc>
        <w:tc>
          <w:tcPr>
            <w:tcW w:w="1820" w:type="dxa"/>
            <w:vAlign w:val="bottom"/>
            <w:shd w:val="clear" w:color="auto" w:fill="A6A6A6"/>
          </w:tcPr>
          <w:p>
            <w:pPr>
              <w:spacing w:after="0"/>
              <w:rPr>
                <w:sz w:val="9"/>
                <w:szCs w:val="9"/>
                <w:color w:val="auto"/>
              </w:rPr>
            </w:pPr>
          </w:p>
        </w:tc>
        <w:tc>
          <w:tcPr>
            <w:tcW w:w="1740" w:type="dxa"/>
            <w:vAlign w:val="bottom"/>
            <w:vMerge w:val="continue"/>
            <w:shd w:val="clear" w:color="auto" w:fill="A6A6A6"/>
          </w:tcPr>
          <w:p>
            <w:pPr>
              <w:spacing w:after="0"/>
              <w:rPr>
                <w:sz w:val="9"/>
                <w:szCs w:val="9"/>
                <w:color w:val="auto"/>
              </w:rPr>
            </w:pPr>
          </w:p>
        </w:tc>
        <w:tc>
          <w:tcPr>
            <w:tcW w:w="280" w:type="dxa"/>
            <w:vAlign w:val="bottom"/>
            <w:shd w:val="clear" w:color="auto" w:fill="A6A6A6"/>
          </w:tcPr>
          <w:p>
            <w:pPr>
              <w:spacing w:after="0"/>
              <w:rPr>
                <w:sz w:val="9"/>
                <w:szCs w:val="9"/>
                <w:color w:val="auto"/>
              </w:rPr>
            </w:pPr>
          </w:p>
        </w:tc>
        <w:tc>
          <w:tcPr>
            <w:tcW w:w="1840" w:type="dxa"/>
            <w:vAlign w:val="bottom"/>
            <w:shd w:val="clear" w:color="auto" w:fill="A6A6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c>
          <w:tcPr>
            <w:tcW w:w="1740" w:type="dxa"/>
            <w:vAlign w:val="bottom"/>
            <w:tcBorders>
              <w:bottom w:val="single" w:sz="8" w:color="auto"/>
            </w:tcBorders>
          </w:tcPr>
          <w:p>
            <w:pPr>
              <w:jc w:val="center"/>
              <w:ind w:left="178"/>
              <w:spacing w:after="0"/>
              <w:rPr>
                <w:sz w:val="20"/>
                <w:szCs w:val="20"/>
                <w:color w:val="auto"/>
              </w:rPr>
            </w:pPr>
            <w:r>
              <w:rPr>
                <w:rFonts w:ascii="Times New Roman" w:cs="Times New Roman" w:eastAsia="Times New Roman" w:hAnsi="Times New Roman"/>
                <w:sz w:val="18"/>
                <w:szCs w:val="18"/>
                <w:color w:val="auto"/>
                <w:w w:val="97"/>
              </w:rPr>
              <w:t>kEUR</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20" w:type="dxa"/>
            <w:vAlign w:val="bottom"/>
          </w:tcPr>
          <w:p>
            <w:pPr>
              <w:spacing w:after="0"/>
              <w:rPr>
                <w:sz w:val="24"/>
                <w:szCs w:val="24"/>
                <w:color w:val="auto"/>
              </w:rPr>
            </w:pPr>
          </w:p>
        </w:tc>
        <w:tc>
          <w:tcPr>
            <w:tcW w:w="1740" w:type="dxa"/>
            <w:vAlign w:val="bottom"/>
            <w:vMerge w:val="restart"/>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362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Cost of development expenses</w:t>
            </w:r>
          </w:p>
        </w:tc>
        <w:tc>
          <w:tcPr>
            <w:tcW w:w="1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(440)</w:t>
            </w:r>
          </w:p>
        </w:tc>
        <w:tc>
          <w:tcPr>
            <w:tcW w:w="1820" w:type="dxa"/>
            <w:vAlign w:val="bottom"/>
          </w:tcPr>
          <w:p>
            <w:pPr>
              <w:spacing w:after="0"/>
              <w:rPr>
                <w:sz w:val="16"/>
                <w:szCs w:val="16"/>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20" w:type="dxa"/>
            <w:vAlign w:val="bottom"/>
          </w:tcPr>
          <w:p>
            <w:pPr>
              <w:spacing w:after="0"/>
              <w:rPr>
                <w:sz w:val="18"/>
                <w:szCs w:val="18"/>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820" w:type="dxa"/>
            <w:vAlign w:val="bottom"/>
          </w:tcPr>
          <w:p>
            <w:pPr>
              <w:spacing w:after="0"/>
              <w:rPr>
                <w:sz w:val="18"/>
                <w:szCs w:val="18"/>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Gain/(loss) on deconsolidation/reconsolidation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spacing w:after="0"/>
              <w:rPr>
                <w:sz w:val="18"/>
                <w:szCs w:val="18"/>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 (exp)</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8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Income/(expense) from changes in fair value of</w:t>
            </w:r>
          </w:p>
        </w:tc>
        <w:tc>
          <w:tcPr>
            <w:tcW w:w="1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carried at Fair value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1820" w:type="dxa"/>
            <w:vAlign w:val="bottom"/>
          </w:tcPr>
          <w:p>
            <w:pPr>
              <w:spacing w:after="0"/>
              <w:rPr>
                <w:sz w:val="18"/>
                <w:szCs w:val="18"/>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10,331</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Loss of foreign currency translation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20" w:type="dxa"/>
            <w:vAlign w:val="bottom"/>
          </w:tcPr>
          <w:p>
            <w:pPr>
              <w:spacing w:after="0"/>
              <w:rPr>
                <w:sz w:val="20"/>
                <w:szCs w:val="20"/>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0"/>
        </w:trPr>
        <w:tc>
          <w:tcPr>
            <w:tcW w:w="3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Income/(Loss) before tax</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8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Taxes on income</w:t>
            </w:r>
          </w:p>
        </w:tc>
        <w:tc>
          <w:tcPr>
            <w:tcW w:w="1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spacing w:after="0"/>
              <w:rPr>
                <w:sz w:val="16"/>
                <w:szCs w:val="16"/>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Income/(Loss) for the period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8"/>
        </w:trPr>
        <w:tc>
          <w:tcPr>
            <w:tcW w:w="3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20" w:type="dxa"/>
            <w:vAlign w:val="bottom"/>
            <w:shd w:val="clear" w:color="auto" w:fill="000000"/>
          </w:tcPr>
          <w:p>
            <w:pPr>
              <w:spacing w:after="0"/>
              <w:rPr>
                <w:sz w:val="5"/>
                <w:szCs w:val="5"/>
                <w:color w:val="auto"/>
              </w:rPr>
            </w:pPr>
          </w:p>
        </w:tc>
        <w:tc>
          <w:tcPr>
            <w:tcW w:w="1940" w:type="dxa"/>
            <w:vAlign w:val="bottom"/>
            <w:shd w:val="clear" w:color="auto" w:fill="000000"/>
          </w:tcPr>
          <w:p>
            <w:pPr>
              <w:spacing w:after="0"/>
              <w:rPr>
                <w:sz w:val="5"/>
                <w:szCs w:val="5"/>
                <w:color w:val="auto"/>
              </w:rPr>
            </w:pPr>
          </w:p>
        </w:tc>
        <w:tc>
          <w:tcPr>
            <w:tcW w:w="182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-4345305</wp:posOffset>
            </wp:positionV>
            <wp:extent cx="7132320" cy="711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1120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ind w:left="11140"/>
        <w:spacing w:after="0"/>
        <w:rPr>
          <w:sz w:val="20"/>
          <w:szCs w:val="20"/>
          <w:color w:val="auto"/>
        </w:rPr>
      </w:pPr>
      <w:r>
        <w:rPr>
          <w:rFonts w:ascii="Times New Roman" w:cs="Times New Roman" w:eastAsia="Times New Roman" w:hAnsi="Times New Roman"/>
          <w:sz w:val="19"/>
          <w:szCs w:val="19"/>
          <w:color w:val="auto"/>
        </w:rPr>
        <w:t>4</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Proforma Preliminary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977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shd w:val="clear" w:color="auto" w:fill="A6A6A6"/>
          </w:tcPr>
          <w:p>
            <w:pPr>
              <w:spacing w:after="0"/>
              <w:rPr>
                <w:sz w:val="18"/>
                <w:szCs w:val="18"/>
                <w:color w:val="auto"/>
              </w:rPr>
            </w:pPr>
          </w:p>
        </w:tc>
        <w:tc>
          <w:tcPr>
            <w:tcW w:w="1900" w:type="dxa"/>
            <w:vAlign w:val="bottom"/>
            <w:shd w:val="clear" w:color="auto" w:fill="A6A6A6"/>
          </w:tcPr>
          <w:p>
            <w:pPr>
              <w:spacing w:after="0"/>
              <w:rPr>
                <w:sz w:val="18"/>
                <w:szCs w:val="18"/>
                <w:color w:val="auto"/>
              </w:rPr>
            </w:pPr>
          </w:p>
        </w:tc>
        <w:tc>
          <w:tcPr>
            <w:tcW w:w="2060" w:type="dxa"/>
            <w:vAlign w:val="bottom"/>
            <w:shd w:val="clear" w:color="auto" w:fill="A6A6A6"/>
          </w:tcPr>
          <w:p>
            <w:pPr>
              <w:spacing w:after="0"/>
              <w:rPr>
                <w:sz w:val="18"/>
                <w:szCs w:val="18"/>
                <w:color w:val="auto"/>
              </w:rPr>
            </w:pPr>
          </w:p>
        </w:tc>
        <w:tc>
          <w:tcPr>
            <w:tcW w:w="1780" w:type="dxa"/>
            <w:vAlign w:val="bottom"/>
            <w:shd w:val="clear" w:color="auto" w:fill="A6A6A6"/>
          </w:tcPr>
          <w:p>
            <w:pPr>
              <w:spacing w:after="0"/>
              <w:rPr>
                <w:sz w:val="18"/>
                <w:szCs w:val="18"/>
                <w:color w:val="auto"/>
              </w:rPr>
            </w:pPr>
          </w:p>
        </w:tc>
        <w:tc>
          <w:tcPr>
            <w:tcW w:w="18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Pro Forma Combined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A6A6A6"/>
          </w:tcPr>
          <w:p>
            <w:pPr>
              <w:spacing w:after="0"/>
              <w:rPr>
                <w:sz w:val="18"/>
                <w:szCs w:val="18"/>
                <w:color w:val="auto"/>
              </w:rPr>
            </w:pPr>
          </w:p>
        </w:tc>
        <w:tc>
          <w:tcPr>
            <w:tcW w:w="1900" w:type="dxa"/>
            <w:vAlign w:val="bottom"/>
            <w:shd w:val="clear" w:color="auto" w:fill="A6A6A6"/>
          </w:tcPr>
          <w:p>
            <w:pPr>
              <w:spacing w:after="0"/>
              <w:rPr>
                <w:sz w:val="18"/>
                <w:szCs w:val="18"/>
                <w:color w:val="auto"/>
              </w:rPr>
            </w:pPr>
          </w:p>
        </w:tc>
        <w:tc>
          <w:tcPr>
            <w:tcW w:w="3840" w:type="dxa"/>
            <w:vAlign w:val="bottom"/>
            <w:gridSpan w:val="2"/>
            <w:shd w:val="clear" w:color="auto" w:fill="A6A6A6"/>
          </w:tcPr>
          <w:p>
            <w:pPr>
              <w:jc w:val="right"/>
              <w:ind w:right="930"/>
              <w:spacing w:after="0"/>
              <w:rPr>
                <w:sz w:val="20"/>
                <w:szCs w:val="20"/>
                <w:color w:val="auto"/>
              </w:rPr>
            </w:pPr>
            <w:r>
              <w:rPr>
                <w:rFonts w:ascii="Times New Roman" w:cs="Times New Roman" w:eastAsia="Times New Roman" w:hAnsi="Times New Roman"/>
                <w:sz w:val="18"/>
                <w:szCs w:val="18"/>
                <w:b w:val="1"/>
                <w:bCs w:val="1"/>
                <w:color w:val="FFFFFF"/>
              </w:rPr>
              <w:t>Pro Forma Adjustments</w:t>
            </w:r>
          </w:p>
        </w:tc>
        <w:tc>
          <w:tcPr>
            <w:tcW w:w="18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rPr>
              <w:t>following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A6A6A6"/>
          </w:tcPr>
          <w:p>
            <w:pPr>
              <w:spacing w:after="0"/>
              <w:rPr>
                <w:sz w:val="18"/>
                <w:szCs w:val="18"/>
                <w:color w:val="auto"/>
              </w:rPr>
            </w:pPr>
          </w:p>
        </w:tc>
        <w:tc>
          <w:tcPr>
            <w:tcW w:w="1900" w:type="dxa"/>
            <w:vAlign w:val="bottom"/>
            <w:shd w:val="clear" w:color="auto" w:fill="A6A6A6"/>
          </w:tcPr>
          <w:p>
            <w:pPr>
              <w:jc w:val="center"/>
              <w:ind w:right="31"/>
              <w:spacing w:after="0"/>
              <w:rPr>
                <w:sz w:val="20"/>
                <w:szCs w:val="20"/>
                <w:color w:val="auto"/>
              </w:rPr>
            </w:pPr>
            <w:r>
              <w:rPr>
                <w:rFonts w:ascii="Times New Roman" w:cs="Times New Roman" w:eastAsia="Times New Roman" w:hAnsi="Times New Roman"/>
                <w:sz w:val="18"/>
                <w:szCs w:val="18"/>
                <w:b w:val="1"/>
                <w:bCs w:val="1"/>
                <w:color w:val="FFFFFF"/>
                <w:w w:val="98"/>
              </w:rPr>
              <w:t>March 31,</w:t>
            </w:r>
          </w:p>
        </w:tc>
        <w:tc>
          <w:tcPr>
            <w:tcW w:w="2060" w:type="dxa"/>
            <w:vAlign w:val="bottom"/>
            <w:shd w:val="clear" w:color="auto" w:fill="A6A6A6"/>
          </w:tcPr>
          <w:p>
            <w:pPr>
              <w:spacing w:after="0"/>
              <w:rPr>
                <w:sz w:val="18"/>
                <w:szCs w:val="18"/>
                <w:color w:val="auto"/>
              </w:rPr>
            </w:pPr>
          </w:p>
        </w:tc>
        <w:tc>
          <w:tcPr>
            <w:tcW w:w="1780" w:type="dxa"/>
            <w:vAlign w:val="bottom"/>
            <w:shd w:val="clear" w:color="auto" w:fill="A6A6A6"/>
          </w:tcPr>
          <w:p>
            <w:pPr>
              <w:spacing w:after="0"/>
              <w:rPr>
                <w:sz w:val="18"/>
                <w:szCs w:val="18"/>
                <w:color w:val="auto"/>
              </w:rPr>
            </w:pPr>
          </w:p>
        </w:tc>
        <w:tc>
          <w:tcPr>
            <w:tcW w:w="18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Recapitalization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A6A6A6"/>
          </w:tcPr>
          <w:p>
            <w:pPr>
              <w:spacing w:after="0"/>
              <w:rPr>
                <w:sz w:val="18"/>
                <w:szCs w:val="18"/>
                <w:color w:val="auto"/>
              </w:rPr>
            </w:pPr>
          </w:p>
        </w:tc>
        <w:tc>
          <w:tcPr>
            <w:tcW w:w="190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2025</w:t>
            </w:r>
          </w:p>
        </w:tc>
        <w:tc>
          <w:tcPr>
            <w:tcW w:w="2060" w:type="dxa"/>
            <w:vAlign w:val="bottom"/>
            <w:vMerge w:val="restart"/>
            <w:shd w:val="clear" w:color="auto" w:fill="A6A6A6"/>
          </w:tcPr>
          <w:p>
            <w:pPr>
              <w:jc w:val="center"/>
              <w:ind w:right="110"/>
              <w:spacing w:after="0"/>
              <w:rPr>
                <w:sz w:val="20"/>
                <w:szCs w:val="20"/>
                <w:color w:val="auto"/>
              </w:rPr>
            </w:pPr>
            <w:r>
              <w:rPr>
                <w:rFonts w:ascii="Times New Roman" w:cs="Times New Roman" w:eastAsia="Times New Roman" w:hAnsi="Times New Roman"/>
                <w:sz w:val="18"/>
                <w:szCs w:val="18"/>
                <w:b w:val="1"/>
                <w:bCs w:val="1"/>
                <w:color w:val="FFFFFF"/>
                <w:w w:val="99"/>
              </w:rPr>
              <w:t>mUSD 5 New</w:t>
            </w:r>
          </w:p>
        </w:tc>
        <w:tc>
          <w:tcPr>
            <w:tcW w:w="1780" w:type="dxa"/>
            <w:vAlign w:val="bottom"/>
            <w:shd w:val="clear" w:color="auto" w:fill="A6A6A6"/>
          </w:tcPr>
          <w:p>
            <w:pPr>
              <w:jc w:val="center"/>
              <w:ind w:right="150"/>
              <w:spacing w:after="0"/>
              <w:rPr>
                <w:sz w:val="20"/>
                <w:szCs w:val="20"/>
                <w:color w:val="auto"/>
              </w:rPr>
            </w:pPr>
            <w:r>
              <w:rPr>
                <w:rFonts w:ascii="Times New Roman" w:cs="Times New Roman" w:eastAsia="Times New Roman" w:hAnsi="Times New Roman"/>
                <w:sz w:val="18"/>
                <w:szCs w:val="18"/>
                <w:b w:val="1"/>
                <w:bCs w:val="1"/>
                <w:color w:val="FFFFFF"/>
              </w:rPr>
              <w:t>Debt to Equity</w:t>
            </w:r>
          </w:p>
        </w:tc>
        <w:tc>
          <w:tcPr>
            <w:tcW w:w="1840" w:type="dxa"/>
            <w:vAlign w:val="bottom"/>
            <w:shd w:val="clear" w:color="auto" w:fill="A6A6A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660" w:type="dxa"/>
            <w:vAlign w:val="bottom"/>
            <w:shd w:val="clear" w:color="auto" w:fill="A6A6A6"/>
          </w:tcPr>
          <w:p>
            <w:pPr>
              <w:spacing w:after="0"/>
              <w:rPr>
                <w:sz w:val="10"/>
                <w:szCs w:val="10"/>
                <w:color w:val="auto"/>
              </w:rPr>
            </w:pPr>
          </w:p>
        </w:tc>
        <w:tc>
          <w:tcPr>
            <w:tcW w:w="190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Unaudited</w:t>
            </w:r>
          </w:p>
        </w:tc>
        <w:tc>
          <w:tcPr>
            <w:tcW w:w="2060" w:type="dxa"/>
            <w:vAlign w:val="bottom"/>
            <w:vMerge w:val="continue"/>
            <w:shd w:val="clear" w:color="auto" w:fill="A6A6A6"/>
          </w:tcPr>
          <w:p>
            <w:pPr>
              <w:spacing w:after="0"/>
              <w:rPr>
                <w:sz w:val="10"/>
                <w:szCs w:val="10"/>
                <w:color w:val="auto"/>
              </w:rPr>
            </w:pPr>
          </w:p>
        </w:tc>
        <w:tc>
          <w:tcPr>
            <w:tcW w:w="1780" w:type="dxa"/>
            <w:vAlign w:val="bottom"/>
            <w:vMerge w:val="restart"/>
            <w:shd w:val="clear" w:color="auto" w:fill="A6A6A6"/>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Conversion</w:t>
            </w:r>
          </w:p>
        </w:tc>
        <w:tc>
          <w:tcPr>
            <w:tcW w:w="1840" w:type="dxa"/>
            <w:vAlign w:val="bottom"/>
            <w:shd w:val="clear" w:color="auto" w:fill="A6A6A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60" w:type="dxa"/>
            <w:vAlign w:val="bottom"/>
            <w:shd w:val="clear" w:color="auto" w:fill="A6A6A6"/>
          </w:tcPr>
          <w:p>
            <w:pPr>
              <w:spacing w:after="0"/>
              <w:rPr>
                <w:sz w:val="9"/>
                <w:szCs w:val="9"/>
                <w:color w:val="auto"/>
              </w:rPr>
            </w:pPr>
          </w:p>
        </w:tc>
        <w:tc>
          <w:tcPr>
            <w:tcW w:w="1900" w:type="dxa"/>
            <w:vAlign w:val="bottom"/>
            <w:vMerge w:val="continue"/>
            <w:shd w:val="clear" w:color="auto" w:fill="A6A6A6"/>
          </w:tcPr>
          <w:p>
            <w:pPr>
              <w:spacing w:after="0"/>
              <w:rPr>
                <w:sz w:val="9"/>
                <w:szCs w:val="9"/>
                <w:color w:val="auto"/>
              </w:rPr>
            </w:pPr>
          </w:p>
        </w:tc>
        <w:tc>
          <w:tcPr>
            <w:tcW w:w="2060" w:type="dxa"/>
            <w:vAlign w:val="bottom"/>
            <w:vMerge w:val="restart"/>
            <w:shd w:val="clear" w:color="auto" w:fill="A6A6A6"/>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Convertible Debenture</w:t>
            </w:r>
          </w:p>
        </w:tc>
        <w:tc>
          <w:tcPr>
            <w:tcW w:w="1780" w:type="dxa"/>
            <w:vAlign w:val="bottom"/>
            <w:vMerge w:val="continue"/>
            <w:shd w:val="clear" w:color="auto" w:fill="A6A6A6"/>
          </w:tcPr>
          <w:p>
            <w:pPr>
              <w:spacing w:after="0"/>
              <w:rPr>
                <w:sz w:val="9"/>
                <w:szCs w:val="9"/>
                <w:color w:val="auto"/>
              </w:rPr>
            </w:pPr>
          </w:p>
        </w:tc>
        <w:tc>
          <w:tcPr>
            <w:tcW w:w="1840" w:type="dxa"/>
            <w:vAlign w:val="bottom"/>
            <w:shd w:val="clear" w:color="auto" w:fill="A6A6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shd w:val="clear" w:color="auto" w:fill="A6A6A6"/>
          </w:tcPr>
          <w:p>
            <w:pPr>
              <w:spacing w:after="0"/>
              <w:rPr>
                <w:sz w:val="9"/>
                <w:szCs w:val="9"/>
                <w:color w:val="auto"/>
              </w:rPr>
            </w:pPr>
          </w:p>
        </w:tc>
        <w:tc>
          <w:tcPr>
            <w:tcW w:w="1900" w:type="dxa"/>
            <w:vAlign w:val="bottom"/>
            <w:shd w:val="clear" w:color="auto" w:fill="A6A6A6"/>
          </w:tcPr>
          <w:p>
            <w:pPr>
              <w:spacing w:after="0"/>
              <w:rPr>
                <w:sz w:val="9"/>
                <w:szCs w:val="9"/>
                <w:color w:val="auto"/>
              </w:rPr>
            </w:pPr>
          </w:p>
        </w:tc>
        <w:tc>
          <w:tcPr>
            <w:tcW w:w="2060" w:type="dxa"/>
            <w:vAlign w:val="bottom"/>
            <w:vMerge w:val="continue"/>
            <w:shd w:val="clear" w:color="auto" w:fill="A6A6A6"/>
          </w:tcPr>
          <w:p>
            <w:pPr>
              <w:spacing w:after="0"/>
              <w:rPr>
                <w:sz w:val="9"/>
                <w:szCs w:val="9"/>
                <w:color w:val="auto"/>
              </w:rPr>
            </w:pPr>
          </w:p>
        </w:tc>
        <w:tc>
          <w:tcPr>
            <w:tcW w:w="1780" w:type="dxa"/>
            <w:vAlign w:val="bottom"/>
            <w:vMerge w:val="restart"/>
            <w:shd w:val="clear" w:color="auto" w:fill="A6A6A6"/>
          </w:tcPr>
          <w:p>
            <w:pPr>
              <w:jc w:val="center"/>
              <w:ind w:right="150"/>
              <w:spacing w:after="0"/>
              <w:rPr>
                <w:sz w:val="20"/>
                <w:szCs w:val="20"/>
                <w:color w:val="auto"/>
              </w:rPr>
            </w:pPr>
            <w:r>
              <w:rPr>
                <w:rFonts w:ascii="Times New Roman" w:cs="Times New Roman" w:eastAsia="Times New Roman" w:hAnsi="Times New Roman"/>
                <w:sz w:val="18"/>
                <w:szCs w:val="18"/>
                <w:b w:val="1"/>
                <w:bCs w:val="1"/>
                <w:color w:val="FFFFFF"/>
                <w:w w:val="99"/>
              </w:rPr>
              <w:t>Adjustments</w:t>
            </w:r>
          </w:p>
        </w:tc>
        <w:tc>
          <w:tcPr>
            <w:tcW w:w="1840" w:type="dxa"/>
            <w:vAlign w:val="bottom"/>
            <w:shd w:val="clear" w:color="auto" w:fill="A6A6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shd w:val="clear" w:color="auto" w:fill="A6A6A6"/>
          </w:tcPr>
          <w:p>
            <w:pPr>
              <w:spacing w:after="0"/>
              <w:rPr>
                <w:sz w:val="9"/>
                <w:szCs w:val="9"/>
                <w:color w:val="auto"/>
              </w:rPr>
            </w:pPr>
          </w:p>
        </w:tc>
        <w:tc>
          <w:tcPr>
            <w:tcW w:w="1900" w:type="dxa"/>
            <w:vAlign w:val="bottom"/>
            <w:shd w:val="clear" w:color="auto" w:fill="A6A6A6"/>
          </w:tcPr>
          <w:p>
            <w:pPr>
              <w:spacing w:after="0"/>
              <w:rPr>
                <w:sz w:val="9"/>
                <w:szCs w:val="9"/>
                <w:color w:val="auto"/>
              </w:rPr>
            </w:pPr>
          </w:p>
        </w:tc>
        <w:tc>
          <w:tcPr>
            <w:tcW w:w="2060" w:type="dxa"/>
            <w:vAlign w:val="bottom"/>
            <w:vMerge w:val="restart"/>
            <w:shd w:val="clear" w:color="auto" w:fill="A6A6A6"/>
          </w:tcPr>
          <w:p>
            <w:pPr>
              <w:jc w:val="center"/>
              <w:ind w:right="110"/>
              <w:spacing w:after="0"/>
              <w:rPr>
                <w:sz w:val="20"/>
                <w:szCs w:val="20"/>
                <w:color w:val="auto"/>
              </w:rPr>
            </w:pPr>
            <w:r>
              <w:rPr>
                <w:rFonts w:ascii="Times New Roman" w:cs="Times New Roman" w:eastAsia="Times New Roman" w:hAnsi="Times New Roman"/>
                <w:sz w:val="18"/>
                <w:szCs w:val="18"/>
                <w:b w:val="1"/>
                <w:bCs w:val="1"/>
                <w:color w:val="FFFFFF"/>
              </w:rPr>
              <w:t>(A)</w:t>
            </w:r>
          </w:p>
        </w:tc>
        <w:tc>
          <w:tcPr>
            <w:tcW w:w="1780" w:type="dxa"/>
            <w:vAlign w:val="bottom"/>
            <w:vMerge w:val="continue"/>
            <w:shd w:val="clear" w:color="auto" w:fill="A6A6A6"/>
          </w:tcPr>
          <w:p>
            <w:pPr>
              <w:spacing w:after="0"/>
              <w:rPr>
                <w:sz w:val="9"/>
                <w:szCs w:val="9"/>
                <w:color w:val="auto"/>
              </w:rPr>
            </w:pPr>
          </w:p>
        </w:tc>
        <w:tc>
          <w:tcPr>
            <w:tcW w:w="1840" w:type="dxa"/>
            <w:vAlign w:val="bottom"/>
            <w:shd w:val="clear" w:color="auto" w:fill="A6A6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60" w:type="dxa"/>
            <w:vAlign w:val="bottom"/>
            <w:shd w:val="clear" w:color="auto" w:fill="A6A6A6"/>
          </w:tcPr>
          <w:p>
            <w:pPr>
              <w:spacing w:after="0"/>
              <w:rPr>
                <w:sz w:val="11"/>
                <w:szCs w:val="11"/>
                <w:color w:val="auto"/>
              </w:rPr>
            </w:pPr>
          </w:p>
        </w:tc>
        <w:tc>
          <w:tcPr>
            <w:tcW w:w="1900" w:type="dxa"/>
            <w:vAlign w:val="bottom"/>
            <w:shd w:val="clear" w:color="auto" w:fill="A6A6A6"/>
          </w:tcPr>
          <w:p>
            <w:pPr>
              <w:spacing w:after="0"/>
              <w:rPr>
                <w:sz w:val="11"/>
                <w:szCs w:val="11"/>
                <w:color w:val="auto"/>
              </w:rPr>
            </w:pPr>
          </w:p>
        </w:tc>
        <w:tc>
          <w:tcPr>
            <w:tcW w:w="2060" w:type="dxa"/>
            <w:vAlign w:val="bottom"/>
            <w:vMerge w:val="continue"/>
            <w:shd w:val="clear" w:color="auto" w:fill="A6A6A6"/>
          </w:tcPr>
          <w:p>
            <w:pPr>
              <w:spacing w:after="0"/>
              <w:rPr>
                <w:sz w:val="11"/>
                <w:szCs w:val="11"/>
                <w:color w:val="auto"/>
              </w:rPr>
            </w:pPr>
          </w:p>
        </w:tc>
        <w:tc>
          <w:tcPr>
            <w:tcW w:w="1780" w:type="dxa"/>
            <w:vAlign w:val="bottom"/>
            <w:vMerge w:val="restart"/>
            <w:shd w:val="clear" w:color="auto" w:fill="A6A6A6"/>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(B)</w:t>
            </w:r>
          </w:p>
        </w:tc>
        <w:tc>
          <w:tcPr>
            <w:tcW w:w="1840" w:type="dxa"/>
            <w:vAlign w:val="bottom"/>
            <w:shd w:val="clear" w:color="auto" w:fill="A6A6A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60" w:type="dxa"/>
            <w:vAlign w:val="bottom"/>
            <w:shd w:val="clear" w:color="auto" w:fill="A6A6A6"/>
          </w:tcPr>
          <w:p>
            <w:pPr>
              <w:spacing w:after="0"/>
              <w:rPr>
                <w:sz w:val="9"/>
                <w:szCs w:val="9"/>
                <w:color w:val="auto"/>
              </w:rPr>
            </w:pPr>
          </w:p>
        </w:tc>
        <w:tc>
          <w:tcPr>
            <w:tcW w:w="1900" w:type="dxa"/>
            <w:vAlign w:val="bottom"/>
            <w:shd w:val="clear" w:color="auto" w:fill="A6A6A6"/>
          </w:tcPr>
          <w:p>
            <w:pPr>
              <w:spacing w:after="0"/>
              <w:rPr>
                <w:sz w:val="9"/>
                <w:szCs w:val="9"/>
                <w:color w:val="auto"/>
              </w:rPr>
            </w:pPr>
          </w:p>
        </w:tc>
        <w:tc>
          <w:tcPr>
            <w:tcW w:w="2060" w:type="dxa"/>
            <w:vAlign w:val="bottom"/>
            <w:shd w:val="clear" w:color="auto" w:fill="A6A6A6"/>
          </w:tcPr>
          <w:p>
            <w:pPr>
              <w:spacing w:after="0"/>
              <w:rPr>
                <w:sz w:val="9"/>
                <w:szCs w:val="9"/>
                <w:color w:val="auto"/>
              </w:rPr>
            </w:pPr>
          </w:p>
        </w:tc>
        <w:tc>
          <w:tcPr>
            <w:tcW w:w="1780" w:type="dxa"/>
            <w:vAlign w:val="bottom"/>
            <w:vMerge w:val="continue"/>
            <w:shd w:val="clear" w:color="auto" w:fill="A6A6A6"/>
          </w:tcPr>
          <w:p>
            <w:pPr>
              <w:spacing w:after="0"/>
              <w:rPr>
                <w:sz w:val="9"/>
                <w:szCs w:val="9"/>
                <w:color w:val="auto"/>
              </w:rPr>
            </w:pPr>
          </w:p>
        </w:tc>
        <w:tc>
          <w:tcPr>
            <w:tcW w:w="1840" w:type="dxa"/>
            <w:vAlign w:val="bottom"/>
            <w:shd w:val="clear" w:color="auto" w:fill="A6A6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2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kEUR</w:t>
            </w:r>
          </w:p>
        </w:tc>
        <w:tc>
          <w:tcPr>
            <w:tcW w:w="17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kEUR</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Current assets</w:t>
            </w:r>
          </w:p>
        </w:tc>
        <w:tc>
          <w:tcPr>
            <w:tcW w:w="1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60" w:type="dxa"/>
            <w:vAlign w:val="bottom"/>
            <w:tcBorders>
              <w:bottom w:val="single" w:sz="8" w:color="auto"/>
            </w:tcBorders>
          </w:tcPr>
          <w:p>
            <w:pPr>
              <w:jc w:val="right"/>
              <w:ind w:right="90"/>
              <w:spacing w:after="0" w:line="271" w:lineRule="exact"/>
              <w:rPr>
                <w:sz w:val="20"/>
                <w:szCs w:val="20"/>
                <w:color w:val="auto"/>
              </w:rPr>
            </w:pPr>
            <w:r>
              <w:rPr>
                <w:rFonts w:ascii="Times New Roman" w:cs="Times New Roman" w:eastAsia="Times New Roman" w:hAnsi="Times New Roman"/>
                <w:sz w:val="18"/>
                <w:szCs w:val="18"/>
                <w:color w:val="auto"/>
              </w:rPr>
              <w:t>462+2,387</w:t>
            </w:r>
            <w:r>
              <w:rPr>
                <w:rFonts w:ascii="Times New Roman" w:cs="Times New Roman" w:eastAsia="Times New Roman" w:hAnsi="Times New Roman"/>
                <w:sz w:val="29"/>
                <w:szCs w:val="29"/>
                <w:color w:val="auto"/>
                <w:vertAlign w:val="superscript"/>
              </w:rPr>
              <w:t>(A)</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3,650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2,849</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2,849</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EQUITY AND LIABILITIES</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bscript"/>
              </w:rPr>
              <w:t>48</w:t>
            </w:r>
            <w:r>
              <w:rPr>
                <w:rFonts w:ascii="Times New Roman" w:cs="Times New Roman" w:eastAsia="Times New Roman" w:hAnsi="Times New Roman"/>
                <w:sz w:val="15"/>
                <w:szCs w:val="15"/>
                <w:color w:val="auto"/>
              </w:rPr>
              <w:t>(D)</w:t>
            </w:r>
          </w:p>
        </w:tc>
        <w:tc>
          <w:tcPr>
            <w:tcW w:w="2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Subscribed capital (ordinary &amp; high voting)</w:t>
            </w:r>
          </w:p>
        </w:tc>
        <w:tc>
          <w:tcPr>
            <w:tcW w:w="1900" w:type="dxa"/>
            <w:vAlign w:val="bottom"/>
            <w:vMerge w:val="continue"/>
          </w:tcPr>
          <w:p>
            <w:pPr>
              <w:spacing w:after="0"/>
              <w:rPr>
                <w:sz w:val="21"/>
                <w:szCs w:val="21"/>
                <w:color w:val="auto"/>
              </w:rPr>
            </w:pP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Capital and other reserves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298,699</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256" w:lineRule="exact"/>
              <w:rPr>
                <w:sz w:val="20"/>
                <w:szCs w:val="20"/>
                <w:color w:val="auto"/>
              </w:rPr>
            </w:pPr>
            <w:r>
              <w:rPr>
                <w:rFonts w:ascii="Times New Roman" w:cs="Times New Roman" w:eastAsia="Times New Roman" w:hAnsi="Times New Roman"/>
                <w:sz w:val="18"/>
                <w:szCs w:val="18"/>
                <w:color w:val="auto"/>
              </w:rPr>
              <w:t>37,807</w:t>
            </w:r>
            <w:r>
              <w:rPr>
                <w:rFonts w:ascii="Times New Roman" w:cs="Times New Roman" w:eastAsia="Times New Roman" w:hAnsi="Times New Roman"/>
                <w:sz w:val="29"/>
                <w:szCs w:val="29"/>
                <w:color w:val="auto"/>
                <w:vertAlign w:val="superscript"/>
              </w:rPr>
              <w:t>B)</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(312,591)</w:t>
            </w:r>
          </w:p>
        </w:tc>
        <w:tc>
          <w:tcPr>
            <w:tcW w:w="2060" w:type="dxa"/>
            <w:vAlign w:val="bottom"/>
            <w:tcBorders>
              <w:bottom w:val="single" w:sz="8" w:color="auto"/>
            </w:tcBorders>
          </w:tcPr>
          <w:p>
            <w:pPr>
              <w:jc w:val="right"/>
              <w:ind w:right="90"/>
              <w:spacing w:after="0" w:line="271" w:lineRule="exact"/>
              <w:rPr>
                <w:sz w:val="20"/>
                <w:szCs w:val="20"/>
                <w:color w:val="auto"/>
              </w:rPr>
            </w:pPr>
            <w:r>
              <w:rPr>
                <w:rFonts w:ascii="Times New Roman" w:cs="Times New Roman" w:eastAsia="Times New Roman" w:hAnsi="Times New Roman"/>
                <w:sz w:val="18"/>
                <w:szCs w:val="18"/>
                <w:color w:val="auto"/>
              </w:rPr>
              <w:t>(19,653)</w:t>
            </w:r>
            <w:r>
              <w:rPr>
                <w:rFonts w:ascii="Times New Roman" w:cs="Times New Roman" w:eastAsia="Times New Roman" w:hAnsi="Times New Roman"/>
                <w:sz w:val="29"/>
                <w:szCs w:val="29"/>
                <w:color w:val="auto"/>
                <w:vertAlign w:val="superscript"/>
              </w:rPr>
              <w:t>(C)</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(332,244)</w:t>
            </w:r>
          </w:p>
        </w:tc>
        <w:tc>
          <w:tcPr>
            <w:tcW w:w="0" w:type="dxa"/>
            <w:vAlign w:val="bottom"/>
          </w:tcPr>
          <w:p>
            <w:pPr>
              <w:spacing w:after="0"/>
              <w:rPr>
                <w:sz w:val="1"/>
                <w:szCs w:val="1"/>
                <w:color w:val="auto"/>
              </w:rPr>
            </w:pPr>
          </w:p>
        </w:tc>
      </w:tr>
      <w:tr>
        <w:trPr>
          <w:trHeight w:val="250"/>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(19,653)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37,807</w:t>
            </w:r>
          </w:p>
        </w:tc>
        <w:tc>
          <w:tcPr>
            <w:tcW w:w="1860" w:type="dxa"/>
            <w:vAlign w:val="bottom"/>
            <w:gridSpan w:val="2"/>
          </w:tcPr>
          <w:p>
            <w:pPr>
              <w:jc w:val="right"/>
              <w:ind w:right="20"/>
              <w:spacing w:after="0" w:line="250" w:lineRule="exact"/>
              <w:rPr>
                <w:sz w:val="20"/>
                <w:szCs w:val="20"/>
                <w:color w:val="auto"/>
              </w:rPr>
            </w:pPr>
            <w:r>
              <w:rPr>
                <w:rFonts w:ascii="Times New Roman" w:cs="Times New Roman" w:eastAsia="Times New Roman" w:hAnsi="Times New Roman"/>
                <w:sz w:val="17"/>
                <w:szCs w:val="17"/>
                <w:color w:val="auto"/>
              </w:rPr>
              <w:t>4,310</w:t>
            </w:r>
            <w:r>
              <w:rPr>
                <w:rFonts w:ascii="Times New Roman" w:cs="Times New Roman" w:eastAsia="Times New Roman" w:hAnsi="Times New Roman"/>
                <w:sz w:val="28"/>
                <w:szCs w:val="28"/>
                <w:color w:val="auto"/>
                <w:vertAlign w:val="superscript"/>
              </w:rPr>
              <w:t>(E)</w:t>
            </w:r>
          </w:p>
        </w:tc>
        <w:tc>
          <w:tcPr>
            <w:tcW w:w="0" w:type="dxa"/>
            <w:vAlign w:val="bottom"/>
          </w:tcPr>
          <w:p>
            <w:pPr>
              <w:spacing w:after="0"/>
              <w:rPr>
                <w:sz w:val="1"/>
                <w:szCs w:val="1"/>
                <w:color w:val="auto"/>
              </w:rPr>
            </w:pPr>
          </w:p>
        </w:tc>
      </w:tr>
      <w:tr>
        <w:trPr>
          <w:trHeight w:val="407"/>
        </w:trPr>
        <w:tc>
          <w:tcPr>
            <w:tcW w:w="3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0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(Current 126k LT 491k)</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Subtotal</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19,653</w:t>
            </w:r>
            <w:r>
              <w:rPr>
                <w:rFonts w:ascii="Times New Roman" w:cs="Times New Roman" w:eastAsia="Times New Roman" w:hAnsi="Times New Roman"/>
                <w:sz w:val="29"/>
                <w:szCs w:val="29"/>
                <w:color w:val="auto"/>
                <w:vertAlign w:val="superscript"/>
              </w:rPr>
              <w:t>(C)</w:t>
            </w:r>
            <w:r>
              <w:rPr>
                <w:rFonts w:ascii="Times New Roman" w:cs="Times New Roman" w:eastAsia="Times New Roman" w:hAnsi="Times New Roman"/>
                <w:sz w:val="18"/>
                <w:szCs w:val="18"/>
                <w:color w:val="auto"/>
              </w:rPr>
              <w:t>+2,849</w:t>
            </w:r>
            <w:r>
              <w:rPr>
                <w:rFonts w:ascii="Times New Roman" w:cs="Times New Roman" w:eastAsia="Times New Roman" w:hAnsi="Times New Roman"/>
                <w:sz w:val="29"/>
                <w:szCs w:val="29"/>
                <w:color w:val="auto"/>
                <w:vertAlign w:val="superscript"/>
              </w:rPr>
              <w:t>(A)</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(37,807)</w:t>
            </w:r>
            <w:r>
              <w:rPr>
                <w:rFonts w:ascii="Times New Roman" w:cs="Times New Roman" w:eastAsia="Times New Roman" w:hAnsi="Times New Roman"/>
                <w:sz w:val="29"/>
                <w:szCs w:val="29"/>
                <w:color w:val="auto"/>
                <w:vertAlign w:val="superscript"/>
              </w:rPr>
              <w:t>(B)</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4"/>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16,375</w:t>
            </w:r>
          </w:p>
        </w:tc>
        <w:tc>
          <w:tcPr>
            <w:tcW w:w="2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22,502</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(37,807)</w:t>
            </w:r>
          </w:p>
        </w:tc>
        <w:tc>
          <w:tcPr>
            <w:tcW w:w="1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equity and liabilities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2,849</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3"/>
        </w:trPr>
        <w:tc>
          <w:tcPr>
            <w:tcW w:w="3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60" w:type="dxa"/>
            <w:vAlign w:val="bottom"/>
            <w:shd w:val="clear" w:color="auto" w:fill="000000"/>
          </w:tcPr>
          <w:p>
            <w:pPr>
              <w:spacing w:after="0"/>
              <w:rPr>
                <w:sz w:val="5"/>
                <w:szCs w:val="5"/>
                <w:color w:val="auto"/>
              </w:rPr>
            </w:pPr>
          </w:p>
        </w:tc>
        <w:tc>
          <w:tcPr>
            <w:tcW w:w="1900" w:type="dxa"/>
            <w:vAlign w:val="bottom"/>
            <w:shd w:val="clear" w:color="auto" w:fill="000000"/>
          </w:tcPr>
          <w:p>
            <w:pPr>
              <w:spacing w:after="0"/>
              <w:rPr>
                <w:sz w:val="5"/>
                <w:szCs w:val="5"/>
                <w:color w:val="auto"/>
              </w:rPr>
            </w:pPr>
          </w:p>
        </w:tc>
        <w:tc>
          <w:tcPr>
            <w:tcW w:w="206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34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New Issuance of $5 Million Debenture Adjustment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part of its strategic financial restructuring, Sono Group N.V. has entered into a Securities Purchase Agreement with Yorkville to issue a new secured convertible debenture with a principal amount of $5.0 million, subject to Nasdaq approving the Company’s requested uplisting to Nasdaq Capital Markets. Yorkville had advanced $2.0 million (1.9M Euros) of the $5.0 million as of 3/31/25, an additional $500k (462k Euros) was received on 4/24/25 with $2.5 million (2.387M Euros) still subject to Nasdaq Approval. In the cash section it reflects 462k Euros plus 2.387M Euros totaling 2.849M left as the company received $2M already as advances in Q1 2025 already reflected in the 3/31/25 balance sheet.</w:t>
      </w:r>
    </w:p>
    <w:p>
      <w:pPr>
        <w:spacing w:after="0" w:line="17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Conversion of all existing debt to preferred equity</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Sono Group N.V. signed an Exchange Agreement with Yorkville to convert the newly issued debenture, along with all other existing outstanding convertible debentures, into preferred equity. The total debt being exchanged amounts to approximately €37.8 million, including the €32.7 million of previously issued convertible debentures and the €5.0 million new debentures. Under the agreement, this notes payable will be converted into 1,242 newly issued preferred shares, each with a nominal value of €300. These shares are convertible into 30,000 ordinary shares post-implementation of the reverse stock split.</w:t>
      </w:r>
    </w:p>
    <w:p>
      <w:pPr>
        <w:spacing w:after="0" w:line="17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Changes to the fair value in Convertible Notes Payable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income from changes in fair value of convertible notes payable carried at Fair value of 19,653 is reversed as part of the exchange agreement when the actual value of the total convertible notes payable plus accrued interest is all converted to preferred equity.</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 in Subscribed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subscribed capital is due to reverse split of 75 to 1 along with change in nominal value of ordinary and high voting shares.</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Net Equity Converted to US Dollars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Equity of 4.31M Euros is converted to $4.66M at an exchange rate as of the date as of 3/31/25 of 1.0815 from Euros to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2025-05-20T11:39:20Z</dcterms:created>
  <dcterms:modified xsi:type="dcterms:W3CDTF">2025-05-20T11:39:20Z</dcterms:modified>
</cp:coreProperties>
</file>