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 File Number: 001-41066</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Number: N81409109</w:t>
      </w:r>
    </w:p>
    <w:p>
      <w:pPr>
        <w:spacing w:after="0" w:line="166" w:lineRule="exact"/>
        <w:rPr>
          <w:sz w:val="24"/>
          <w:szCs w:val="24"/>
          <w:color w:val="auto"/>
        </w:rPr>
      </w:pPr>
    </w:p>
    <w:p>
      <w:pPr>
        <w:ind w:left="720"/>
        <w:spacing w:after="0" w:line="207" w:lineRule="exact"/>
        <w:tabs>
          <w:tab w:leader="none" w:pos="180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p>
    <w:p>
      <w:pPr>
        <w:spacing w:after="0" w:line="63" w:lineRule="exact"/>
        <w:rPr>
          <w:sz w:val="24"/>
          <w:szCs w:val="24"/>
          <w:color w:val="auto"/>
        </w:rPr>
      </w:pPr>
    </w:p>
    <w:p>
      <w:pPr>
        <w:ind w:left="2020" w:hanging="203"/>
        <w:spacing w:after="0" w:line="207" w:lineRule="exact"/>
        <w:tabs>
          <w:tab w:leader="none" w:pos="2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212" w:lineRule="exact"/>
        <w:rPr>
          <w:sz w:val="24"/>
          <w:szCs w:val="24"/>
          <w:color w:val="auto"/>
        </w:rPr>
      </w:pPr>
    </w:p>
    <w:p>
      <w:pPr>
        <w:ind w:left="1820"/>
        <w:spacing w:after="0"/>
        <w:tabs>
          <w:tab w:leader="none" w:pos="3380" w:val="left"/>
        </w:tabs>
        <w:rPr>
          <w:sz w:val="20"/>
          <w:szCs w:val="20"/>
          <w:color w:val="auto"/>
        </w:rPr>
      </w:pPr>
      <w:r>
        <w:rPr>
          <w:rFonts w:ascii="Times New Roman" w:cs="Times New Roman" w:eastAsia="Times New Roman" w:hAnsi="Times New Roman"/>
          <w:sz w:val="18"/>
          <w:szCs w:val="18"/>
          <w:color w:val="auto"/>
        </w:rPr>
        <w:t>For Period Ended:</w:t>
      </w:r>
      <w:r>
        <w:rPr>
          <w:sz w:val="20"/>
          <w:szCs w:val="20"/>
          <w:color w:val="auto"/>
        </w:rPr>
        <w:tab/>
      </w: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2019935</wp:posOffset>
            </wp:positionH>
            <wp:positionV relativeFrom="paragraph">
              <wp:posOffset>-7620</wp:posOffset>
            </wp:positionV>
            <wp:extent cx="1183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 w:lineRule="exact"/>
        <w:rPr>
          <w:sz w:val="24"/>
          <w:szCs w:val="24"/>
          <w:color w:val="auto"/>
        </w:rPr>
      </w:pPr>
    </w:p>
    <w:p>
      <w:pPr>
        <w:ind w:left="2020" w:hanging="203"/>
        <w:spacing w:after="0"/>
        <w:tabs>
          <w:tab w:leader="none" w:pos="20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2020" w:hanging="203"/>
        <w:spacing w:after="0"/>
        <w:tabs>
          <w:tab w:leader="none" w:pos="20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020" w:hanging="203"/>
        <w:spacing w:after="0"/>
        <w:tabs>
          <w:tab w:leader="none" w:pos="20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820" w:right="6880" w:hanging="3"/>
        <w:spacing w:after="0" w:line="288" w:lineRule="auto"/>
        <w:tabs>
          <w:tab w:leader="none" w:pos="202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64"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43" w:lineRule="exact"/>
        <w:rPr>
          <w:sz w:val="24"/>
          <w:szCs w:val="24"/>
          <w:color w:val="auto"/>
        </w:rPr>
      </w:pPr>
    </w:p>
    <w:p>
      <w:pPr>
        <w:spacing w:after="0"/>
        <w:tabs>
          <w:tab w:leader="none" w:pos="8760" w:val="left"/>
        </w:tabs>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r>
        <w:rPr>
          <w:sz w:val="20"/>
          <w:szCs w:val="20"/>
          <w:color w:val="auto"/>
        </w:rPr>
        <w:tab/>
      </w:r>
      <w:r>
        <w:rPr>
          <w:rFonts w:ascii="Times New Roman" w:cs="Times New Roman" w:eastAsia="Times New Roman" w:hAnsi="Times New Roman"/>
          <w:sz w:val="17"/>
          <w:szCs w:val="17"/>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5433695</wp:posOffset>
            </wp:positionH>
            <wp:positionV relativeFrom="paragraph">
              <wp:posOffset>-7620</wp:posOffset>
            </wp:positionV>
            <wp:extent cx="986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Waldmeisterstraße 93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80935 Munich, Germany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920" w:hanging="323"/>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ind w:left="920" w:hanging="764"/>
        <w:spacing w:after="0" w:line="190" w:lineRule="auto"/>
        <w:tabs>
          <w:tab w:leader="none" w:pos="599" w:val="left"/>
        </w:tabs>
        <w:numPr>
          <w:ilvl w:val="0"/>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35"/>
          <w:szCs w:val="35"/>
          <w:color w:val="auto"/>
          <w:vertAlign w:val="subscript"/>
        </w:rPr>
        <w:t>(b)</w:t>
      </w:r>
      <w:r>
        <w:rPr>
          <w:rFonts w:ascii="Times New Roman" w:cs="Times New Roman" w:eastAsia="Times New Roman" w:hAnsi="Times New Roman"/>
          <w:sz w:val="18"/>
          <w:szCs w:val="18"/>
          <w:color w:val="auto"/>
        </w:rPr>
        <w:t xml:space="preserve">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99" w:lineRule="exact"/>
        <w:rPr>
          <w:rFonts w:ascii="MS PGothic" w:cs="MS PGothic" w:eastAsia="MS PGothic" w:hAnsi="MS PGothic"/>
          <w:sz w:val="36"/>
          <w:szCs w:val="36"/>
          <w:color w:val="auto"/>
          <w:vertAlign w:val="subscript"/>
        </w:rPr>
      </w:pPr>
    </w:p>
    <w:p>
      <w:pPr>
        <w:ind w:left="920" w:hanging="323"/>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-1079500</wp:posOffset>
            </wp:positionV>
            <wp:extent cx="8890" cy="1097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0972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Sono Group N.V. (the “Company”) was unable, without unreasonable effort or expense, to file its Annual Report on Form 20-F for the year ended December 31, 2023 (the “Annual Report”) by the prescribed due date for the reasons described below.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requires additional time to prepare and review its financial statements for the year ended December 31, 2023, and have such financial statements audited. Factors which have affected the timing of the preparation and review of the financial statements include (i) the Company’s recent withdrawal of its application for preliminary self-administration proceedings and the termination of the self-administration proceedings of the Company’s wholly-owned subsidiary, Sono Motors GmbH (the “Subsidiary”), as described in the Company’s Form 6-Ks furnished to the Securities and Exchange Commission (“SEC”) on January 31, 2024 and February 29, 2024, respectively, (ii) the recent change in the Company’s independent registered public accounting firm to audit the Company’s consolidated financial statements for the year ended December 31, 2023, as disclosed in the Company’s Form 6-K furnished to the SEC on February 28, 2024 and the Company’s Form 6-K/A furnished to the SEC on March 1,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the Company is unable, without unreasonable effort or expense, to file the Annual Report by the prescribed due date of April 30, 2024. The Company anticipates that it will file the Annual Report no later than the fifteenth calendar day following the prescribed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00" w:lineRule="exact"/>
        <w:rPr>
          <w:sz w:val="20"/>
          <w:szCs w:val="20"/>
          <w:color w:val="auto"/>
        </w:rPr>
      </w:pPr>
    </w:p>
    <w:p>
      <w:pPr>
        <w:spacing w:after="0" w:line="245" w:lineRule="exact"/>
        <w:rPr>
          <w:sz w:val="20"/>
          <w:szCs w:val="20"/>
          <w:color w:val="auto"/>
        </w:rPr>
      </w:pPr>
    </w:p>
    <w:p>
      <w:pPr>
        <w:ind w:left="720" w:hanging="71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35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George O’Leary</w:t>
            </w:r>
          </w:p>
        </w:tc>
        <w:tc>
          <w:tcPr>
            <w:tcW w:w="280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561</w:t>
            </w:r>
          </w:p>
        </w:tc>
        <w:tc>
          <w:tcPr>
            <w:tcW w:w="660" w:type="dxa"/>
            <w:vAlign w:val="bottom"/>
          </w:tcPr>
          <w:p>
            <w:pPr>
              <w:spacing w:after="0"/>
              <w:rPr>
                <w:sz w:val="18"/>
                <w:szCs w:val="18"/>
                <w:color w:val="auto"/>
              </w:rPr>
            </w:pPr>
          </w:p>
        </w:tc>
        <w:tc>
          <w:tcPr>
            <w:tcW w:w="358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955-0727</w:t>
            </w:r>
          </w:p>
        </w:tc>
      </w:tr>
      <w:tr>
        <w:trPr>
          <w:trHeight w:val="210"/>
        </w:trPr>
        <w:tc>
          <w:tcPr>
            <w:tcW w:w="2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660" w:type="dxa"/>
            <w:vAlign w:val="bottom"/>
          </w:tcPr>
          <w:p>
            <w:pPr>
              <w:spacing w:after="0"/>
              <w:rPr>
                <w:sz w:val="18"/>
                <w:szCs w:val="18"/>
                <w:color w:val="auto"/>
              </w:rPr>
            </w:pPr>
          </w:p>
        </w:tc>
        <w:tc>
          <w:tcPr>
            <w:tcW w:w="2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660" w:type="dxa"/>
            <w:vAlign w:val="bottom"/>
          </w:tcPr>
          <w:p>
            <w:pPr>
              <w:spacing w:after="0"/>
              <w:rPr>
                <w:sz w:val="18"/>
                <w:szCs w:val="18"/>
                <w:color w:val="auto"/>
              </w:rPr>
            </w:pPr>
          </w:p>
        </w:tc>
        <w:tc>
          <w:tcPr>
            <w:tcW w:w="3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98" w:lineRule="exact"/>
        <w:rPr>
          <w:sz w:val="20"/>
          <w:szCs w:val="20"/>
          <w:color w:val="auto"/>
        </w:rPr>
      </w:pPr>
    </w:p>
    <w:p>
      <w:pPr>
        <w:jc w:val="both"/>
        <w:ind w:left="720" w:hanging="712"/>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35" w:lineRule="exact"/>
        <w:rPr>
          <w:rFonts w:ascii="Times New Roman" w:cs="Times New Roman" w:eastAsia="Times New Roman" w:hAnsi="Times New Roman"/>
          <w:sz w:val="18"/>
          <w:szCs w:val="18"/>
          <w:color w:val="auto"/>
        </w:rPr>
      </w:pPr>
    </w:p>
    <w:p>
      <w:pPr>
        <w:ind w:left="10500" w:hanging="201"/>
        <w:spacing w:after="0" w:line="196" w:lineRule="exact"/>
        <w:tabs>
          <w:tab w:leader="none" w:pos="10500" w:val="left"/>
        </w:tabs>
        <w:numPr>
          <w:ilvl w:val="1"/>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81" w:lineRule="exact"/>
        <w:rPr>
          <w:rFonts w:ascii="MS PGothic" w:cs="MS PGothic" w:eastAsia="MS PGothic" w:hAnsi="MS PGothic"/>
          <w:sz w:val="17"/>
          <w:szCs w:val="17"/>
          <w:color w:val="auto"/>
        </w:rPr>
      </w:pPr>
    </w:p>
    <w:p>
      <w:pPr>
        <w:ind w:left="720" w:hanging="712"/>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42" w:lineRule="exact"/>
        <w:rPr>
          <w:rFonts w:ascii="Times New Roman" w:cs="Times New Roman" w:eastAsia="Times New Roman" w:hAnsi="Times New Roman"/>
          <w:sz w:val="18"/>
          <w:szCs w:val="18"/>
          <w:color w:val="auto"/>
        </w:rPr>
      </w:pPr>
    </w:p>
    <w:p>
      <w:pPr>
        <w:ind w:left="10500" w:hanging="201"/>
        <w:spacing w:after="0" w:line="196" w:lineRule="exact"/>
        <w:tabs>
          <w:tab w:leader="none" w:pos="10500" w:val="left"/>
        </w:tabs>
        <w:numPr>
          <w:ilvl w:val="1"/>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77" w:lineRule="exact"/>
        <w:rPr>
          <w:sz w:val="20"/>
          <w:szCs w:val="20"/>
          <w:color w:val="auto"/>
        </w:rPr>
      </w:pPr>
    </w:p>
    <w:p>
      <w:pPr>
        <w:jc w:val="both"/>
        <w:ind w:left="720" w:right="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The Company has made a preliminary determination of its results of operations, which are unaudited and subject to change prior to filing the Annual Report.</w:t>
      </w:r>
    </w:p>
    <w:p>
      <w:pPr>
        <w:spacing w:after="0" w:line="162" w:lineRule="exact"/>
        <w:rPr>
          <w:sz w:val="20"/>
          <w:szCs w:val="20"/>
          <w:color w:val="auto"/>
        </w:rPr>
      </w:pPr>
    </w:p>
    <w:p>
      <w:pPr>
        <w:jc w:val="both"/>
        <w:ind w:left="720"/>
        <w:spacing w:after="0" w:line="258" w:lineRule="auto"/>
        <w:rPr>
          <w:sz w:val="20"/>
          <w:szCs w:val="20"/>
          <w:color w:val="auto"/>
        </w:rPr>
      </w:pPr>
      <w:r>
        <w:rPr>
          <w:rFonts w:ascii="Times New Roman" w:cs="Times New Roman" w:eastAsia="Times New Roman" w:hAnsi="Times New Roman"/>
          <w:sz w:val="18"/>
          <w:szCs w:val="18"/>
          <w:color w:val="auto"/>
        </w:rPr>
        <w:t>The Company’s loss for the year ended December 31, 2023, is expected to decrease to approximately €61.3 million compared to €134.4 million for the year ended December 31, 2022. This development is expected to be primarily due to a decrease in the cost of development expenses from €158.5 million in 2022 to €16.5 million in 2023, attributed mostly to the termination of the Sion passenger car program in February 2023, as well as other measures implemented during the period when the Company and the Subsidiary were in preliminary self-administration proceedings and self-administration proceedings,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notice includes forward-looking statements within the meaning of Section 27A of the Securities Act of 1933 and Section 21E of the Securities Exchange Act of 1934. The words “expects,” “intends,” “anticipates” and similar terms and phrases are used in this notification to identify forward-looking statements. Risks, uncertainties and assumptions that could affect the Company’s forward-looking statements include, among other things, any changes to the Company’s anticipated financial results as a result of the Company’s independent registered public accounting firm completing its audit of the Company’s financial statements, the ability of the Company and its auditors to confirm information or data identified in the review, the Company’s ability to complete and file future periodic filings with the SEC on a timely basis and other risks and uncertainties discussed more fully in the Company’s filings with the SEC. Unless required by law, the Company expressly disclaims any obligation to update publicly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-5080</wp:posOffset>
            </wp:positionV>
            <wp:extent cx="1056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2024</w:t>
            </w: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O’Leary</w:t>
            </w:r>
          </w:p>
        </w:tc>
      </w:tr>
      <w:tr>
        <w:trPr>
          <w:trHeight w:val="191"/>
        </w:trPr>
        <w:tc>
          <w:tcPr>
            <w:tcW w:w="4120" w:type="dxa"/>
            <w:vAlign w:val="bottom"/>
          </w:tcPr>
          <w:p>
            <w:pPr>
              <w:spacing w:after="0"/>
              <w:rPr>
                <w:sz w:val="16"/>
                <w:szCs w:val="16"/>
                <w:color w:val="auto"/>
              </w:rPr>
            </w:pPr>
          </w:p>
        </w:tc>
        <w:tc>
          <w:tcPr>
            <w:tcW w:w="3200" w:type="dxa"/>
            <w:vAlign w:val="bottom"/>
          </w:tcPr>
          <w:p>
            <w:pPr>
              <w:ind w:left="2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O’Leary</w:t>
            </w:r>
          </w:p>
        </w:tc>
      </w:tr>
      <w:tr>
        <w:trPr>
          <w:trHeight w:val="234"/>
        </w:trPr>
        <w:tc>
          <w:tcPr>
            <w:tcW w:w="4120" w:type="dxa"/>
            <w:vAlign w:val="bottom"/>
          </w:tcPr>
          <w:p>
            <w:pPr>
              <w:spacing w:after="0"/>
              <w:rPr>
                <w:sz w:val="20"/>
                <w:szCs w:val="20"/>
                <w:color w:val="auto"/>
              </w:rPr>
            </w:pP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2)"/>
      <w:numFmt w:val="lowerLetter"/>
      <w:start w:val="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2024-04-30T15:42:47Z</dcterms:created>
  <dcterms:modified xsi:type="dcterms:W3CDTF">2024-04-30T15:42:47Z</dcterms:modified>
</cp:coreProperties>
</file>