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80"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Waldmeisterstrasse 93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80935 Munich</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814705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Incorporation By Reference</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of Sono Group N.V. (the “Company”)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Exhibit 99.2 to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39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auto"/>
        </w:rPr>
        <w:t>Exhibit</w:t>
        <w:tab/>
        <w:t>Description of Exhibit</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Interim balance sheets and income (loss) statements for the six months ended June 30, 2024</w:t>
      </w:r>
    </w:p>
    <w:p>
      <w:pPr>
        <w:spacing w:after="0" w:line="2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8"/>
          <w:szCs w:val="18"/>
          <w:u w:val="single" w:color="auto"/>
          <w:color w:val="0000EE"/>
        </w:rPr>
        <w:t>Press Release dated December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980"/>
          </w:cols>
          <w:pgMar w:left="320" w:top="792" w:right="59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2024</w:t>
      </w:r>
    </w:p>
    <w:p>
      <w:pPr>
        <w:sectPr>
          <w:pgSz w:w="11900" w:h="16838" w:orient="portrait"/>
          <w:cols w:equalWidth="0" w:num="1">
            <w:col w:w="10280"/>
          </w:cols>
          <w:pgMar w:left="320" w:top="792"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156845</wp:posOffset>
            </wp:positionV>
            <wp:extent cx="2897505" cy="1645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750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002B41"/>
        </w:rPr>
        <w:t>Sono Group N.V. interim condensed consolidated financial statements</w:t>
      </w:r>
    </w:p>
    <w:p>
      <w:pPr>
        <w:spacing w:after="0" w:line="4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002B41"/>
        </w:rPr>
        <w:t>as of and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1185545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540"/>
        </w:trPr>
        <w:tc>
          <w:tcPr>
            <w:tcW w:w="622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4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Income (Loss)</w:t>
            </w:r>
          </w:p>
        </w:tc>
        <w:tc>
          <w:tcPr>
            <w:tcW w:w="1720" w:type="dxa"/>
            <w:vAlign w:val="bottom"/>
            <w:gridSpan w:val="4"/>
          </w:tcPr>
          <w:p>
            <w:pPr>
              <w:spacing w:after="0"/>
              <w:rPr>
                <w:sz w:val="24"/>
                <w:szCs w:val="24"/>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0"/>
        </w:trPr>
        <w:tc>
          <w:tcPr>
            <w:tcW w:w="3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35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Balance Sheets</w:t>
            </w:r>
          </w:p>
        </w:tc>
        <w:tc>
          <w:tcPr>
            <w:tcW w:w="980" w:type="dxa"/>
            <w:vAlign w:val="bottom"/>
            <w:gridSpan w:val="2"/>
          </w:tcPr>
          <w:p>
            <w:pPr>
              <w:spacing w:after="0"/>
              <w:rPr>
                <w:sz w:val="21"/>
                <w:szCs w:val="21"/>
                <w:color w:val="auto"/>
              </w:rPr>
            </w:pPr>
          </w:p>
        </w:tc>
        <w:tc>
          <w:tcPr>
            <w:tcW w:w="1720" w:type="dxa"/>
            <w:vAlign w:val="bottom"/>
            <w:gridSpan w:val="4"/>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3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7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 of Changes in Equity</w:t>
            </w:r>
          </w:p>
        </w:tc>
        <w:tc>
          <w:tcPr>
            <w:tcW w:w="1500" w:type="dxa"/>
            <w:vAlign w:val="bottom"/>
            <w:gridSpan w:val="3"/>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5</w:t>
            </w:r>
          </w:p>
        </w:tc>
      </w:tr>
      <w:tr>
        <w:trPr>
          <w:trHeight w:val="20"/>
        </w:trPr>
        <w:tc>
          <w:tcPr>
            <w:tcW w:w="3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Interim Condensed Consolidated Statements of Cash Flows</w:t>
            </w:r>
          </w:p>
        </w:tc>
        <w:tc>
          <w:tcPr>
            <w:tcW w:w="420" w:type="dxa"/>
            <w:vAlign w:val="bottom"/>
            <w:gridSpan w:val="2"/>
          </w:tcPr>
          <w:p>
            <w:pPr>
              <w:spacing w:after="0"/>
              <w:rPr>
                <w:sz w:val="21"/>
                <w:szCs w:val="21"/>
                <w:color w:val="auto"/>
              </w:rPr>
            </w:pPr>
          </w:p>
        </w:tc>
        <w:tc>
          <w:tcPr>
            <w:tcW w:w="1500" w:type="dxa"/>
            <w:vAlign w:val="bottom"/>
            <w:gridSpan w:val="3"/>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3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62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Notes To the Interim Condensed Balance Sheet and Profit and Loss Statement</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514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0000EE"/>
              </w:rPr>
              <w:t>General information</w:t>
            </w:r>
          </w:p>
        </w:tc>
        <w:tc>
          <w:tcPr>
            <w:tcW w:w="600" w:type="dxa"/>
            <w:vAlign w:val="bottom"/>
          </w:tcPr>
          <w:p>
            <w:pPr>
              <w:spacing w:after="0"/>
              <w:rPr>
                <w:sz w:val="21"/>
                <w:szCs w:val="21"/>
                <w:color w:val="auto"/>
              </w:rPr>
            </w:pP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Basis of preparation of consolidated interim financial statements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Significant accounting policies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Segment information</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w w:val="99"/>
              </w:rPr>
              <w:t>Disclosures to the interim condensed consolidated statements of income or loss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40" w:type="dxa"/>
            <w:vAlign w:val="bottom"/>
            <w:tcBorders>
              <w:right w:val="single" w:sz="8" w:color="0000EE"/>
            </w:tcBorders>
            <w:gridSpan w:val="7"/>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c>
          <w:tcPr>
            <w:tcW w:w="574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0000EE"/>
              </w:rPr>
              <w:t>Interim condensed consolidated balance sheet disclosures</w:t>
            </w:r>
          </w:p>
        </w:tc>
        <w:tc>
          <w:tcPr>
            <w:tcW w:w="5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r>
      <w:tr>
        <w:trPr>
          <w:trHeight w:val="1047"/>
        </w:trPr>
        <w:tc>
          <w:tcPr>
            <w:tcW w:w="3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68"/>
        </w:trPr>
        <w:tc>
          <w:tcPr>
            <w:tcW w:w="3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5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20" w:type="dxa"/>
            <w:vAlign w:val="bottom"/>
            <w:tcBorders>
              <w:right w:val="single" w:sz="8" w:color="auto"/>
            </w:tcBorders>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48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Income (Loss)</w:t>
      </w:r>
    </w:p>
    <w:p>
      <w:pPr>
        <w:spacing w:after="0" w:line="200" w:lineRule="exact"/>
        <w:rPr>
          <w:sz w:val="20"/>
          <w:szCs w:val="20"/>
          <w:color w:val="auto"/>
        </w:rPr>
      </w:pPr>
    </w:p>
    <w:p>
      <w:pPr>
        <w:spacing w:after="0" w:line="241"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FFFFFF"/>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419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1973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7"/>
                <w:szCs w:val="17"/>
                <w:color w:val="auto"/>
              </w:rPr>
            </w:pPr>
          </w:p>
        </w:tc>
        <w:tc>
          <w:tcPr>
            <w:tcW w:w="1480" w:type="dxa"/>
            <w:vAlign w:val="bottom"/>
            <w:shd w:val="clear" w:color="auto" w:fill="A6A6A6"/>
          </w:tcPr>
          <w:p>
            <w:pPr>
              <w:spacing w:after="0"/>
              <w:rPr>
                <w:sz w:val="17"/>
                <w:szCs w:val="17"/>
                <w:color w:val="auto"/>
              </w:rPr>
            </w:pPr>
          </w:p>
        </w:tc>
        <w:tc>
          <w:tcPr>
            <w:tcW w:w="1820" w:type="dxa"/>
            <w:vAlign w:val="bottom"/>
            <w:shd w:val="clear" w:color="auto" w:fill="A6A6A6"/>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June 30, 2024</w:t>
            </w:r>
          </w:p>
        </w:tc>
        <w:tc>
          <w:tcPr>
            <w:tcW w:w="14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June 30, 2023</w:t>
            </w:r>
          </w:p>
        </w:tc>
      </w:tr>
      <w:tr>
        <w:trPr>
          <w:trHeight w:val="238"/>
        </w:trPr>
        <w:tc>
          <w:tcPr>
            <w:tcW w:w="6520" w:type="dxa"/>
            <w:vAlign w:val="bottom"/>
          </w:tcPr>
          <w:p>
            <w:pPr>
              <w:spacing w:after="0"/>
              <w:rPr>
                <w:sz w:val="20"/>
                <w:szCs w:val="20"/>
                <w:color w:val="auto"/>
              </w:rPr>
            </w:pPr>
          </w:p>
        </w:tc>
        <w:tc>
          <w:tcPr>
            <w:tcW w:w="1480" w:type="dxa"/>
            <w:vAlign w:val="bottom"/>
            <w:shd w:val="clear" w:color="auto" w:fill="A6A6A6"/>
          </w:tcPr>
          <w:p>
            <w:pPr>
              <w:ind w:left="700"/>
              <w:spacing w:after="0"/>
              <w:rPr>
                <w:sz w:val="20"/>
                <w:szCs w:val="20"/>
                <w:color w:val="auto"/>
              </w:rPr>
            </w:pPr>
            <w:r>
              <w:rPr>
                <w:rFonts w:ascii="Times New Roman" w:cs="Times New Roman" w:eastAsia="Times New Roman" w:hAnsi="Times New Roman"/>
                <w:sz w:val="18"/>
                <w:szCs w:val="18"/>
                <w:b w:val="1"/>
                <w:bCs w:val="1"/>
                <w:color w:val="FFFFFF"/>
              </w:rPr>
              <w:t>Note</w:t>
            </w:r>
          </w:p>
        </w:tc>
        <w:tc>
          <w:tcPr>
            <w:tcW w:w="1820" w:type="dxa"/>
            <w:vAlign w:val="bottom"/>
            <w:shd w:val="clear" w:color="auto" w:fill="A6A6A6"/>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4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r>
      <w:tr>
        <w:trPr>
          <w:trHeight w:val="230"/>
        </w:trPr>
        <w:tc>
          <w:tcPr>
            <w:tcW w:w="65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kEUR</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Revenue</w:t>
            </w:r>
          </w:p>
        </w:tc>
        <w:tc>
          <w:tcPr>
            <w:tcW w:w="1480" w:type="dxa"/>
            <w:vAlign w:val="bottom"/>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w w:val="97"/>
              </w:rPr>
              <w:t>5.2</w:t>
            </w:r>
          </w:p>
        </w:tc>
        <w:tc>
          <w:tcPr>
            <w:tcW w:w="18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42</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5.2</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0"/>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Cost of development expenses</w:t>
            </w:r>
          </w:p>
        </w:tc>
        <w:tc>
          <w:tcPr>
            <w:tcW w:w="1480" w:type="dxa"/>
            <w:vAlign w:val="bottom"/>
          </w:tcPr>
          <w:p>
            <w:pPr>
              <w:jc w:val="center"/>
              <w:ind w:left="170"/>
              <w:spacing w:after="0" w:line="191" w:lineRule="exact"/>
              <w:rPr>
                <w:sz w:val="20"/>
                <w:szCs w:val="20"/>
                <w:color w:val="auto"/>
              </w:rPr>
            </w:pPr>
            <w:r>
              <w:rPr>
                <w:rFonts w:ascii="Times New Roman" w:cs="Times New Roman" w:eastAsia="Times New Roman" w:hAnsi="Times New Roman"/>
                <w:sz w:val="18"/>
                <w:szCs w:val="18"/>
                <w:color w:val="auto"/>
                <w:w w:val="97"/>
              </w:rPr>
              <w:t>5.3</w:t>
            </w:r>
          </w:p>
        </w:tc>
        <w:tc>
          <w:tcPr>
            <w:tcW w:w="18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(557)</w:t>
            </w:r>
          </w:p>
        </w:tc>
        <w:tc>
          <w:tcPr>
            <w:tcW w:w="14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(16,029)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80" w:type="dxa"/>
            <w:vAlign w:val="bottom"/>
          </w:tcPr>
          <w:p>
            <w:pPr>
              <w:spacing w:after="0"/>
              <w:rPr>
                <w:sz w:val="18"/>
                <w:szCs w:val="18"/>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5.4</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(2,874)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(expenses)/income</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5.5</w:t>
            </w:r>
          </w:p>
        </w:tc>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Gain/(loss) on deconsolidation/reconsolidation</w:t>
            </w:r>
          </w:p>
        </w:tc>
        <w:tc>
          <w:tcPr>
            <w:tcW w:w="148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5.5.1</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63,491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r>
      <w:tr>
        <w:trPr>
          <w:trHeight w:val="209"/>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59,888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w:t>
            </w:r>
          </w:p>
        </w:tc>
      </w:tr>
      <w:tr>
        <w:trPr>
          <w:trHeight w:val="407"/>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148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5.6</w:t>
            </w:r>
          </w:p>
        </w:tc>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5,688</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5,172</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similar expenses</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5.6</w:t>
            </w: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(4,936)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09"/>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Income/(Loss) before tax</w:t>
            </w:r>
          </w:p>
        </w:tc>
        <w:tc>
          <w:tcPr>
            <w:tcW w:w="1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60,640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(34,676)</w:t>
            </w:r>
          </w:p>
        </w:tc>
      </w:tr>
      <w:tr>
        <w:trPr>
          <w:trHeight w:val="191"/>
        </w:trPr>
        <w:tc>
          <w:tcPr>
            <w:tcW w:w="6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Taxes on income</w:t>
            </w:r>
          </w:p>
        </w:tc>
        <w:tc>
          <w:tcPr>
            <w:tcW w:w="1480" w:type="dxa"/>
            <w:vAlign w:val="bottom"/>
          </w:tcPr>
          <w:p>
            <w:pPr>
              <w:spacing w:after="0"/>
              <w:rPr>
                <w:sz w:val="16"/>
                <w:szCs w:val="16"/>
                <w:color w:val="auto"/>
              </w:rPr>
            </w:pPr>
          </w:p>
        </w:tc>
        <w:tc>
          <w:tcPr>
            <w:tcW w:w="182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taxes on expense</w:t>
            </w:r>
          </w:p>
        </w:tc>
        <w:tc>
          <w:tcPr>
            <w:tcW w:w="14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Income/(Loss) for the period</w:t>
            </w:r>
          </w:p>
        </w:tc>
        <w:tc>
          <w:tcPr>
            <w:tcW w:w="1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60,640</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(34,676)</w:t>
            </w:r>
          </w:p>
        </w:tc>
      </w:tr>
      <w:tr>
        <w:trPr>
          <w:trHeight w:val="216"/>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per share in EUR</w:t>
            </w:r>
          </w:p>
        </w:tc>
        <w:tc>
          <w:tcPr>
            <w:tcW w:w="148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7"/>
              </w:rPr>
              <w:t>7.1</w:t>
            </w: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0.56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9"/>
        </w:trPr>
        <w:tc>
          <w:tcPr>
            <w:tcW w:w="6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Weighted average number of shares for calculation of earnings per share (in 000’s)</w:t>
            </w:r>
          </w:p>
        </w:tc>
        <w:tc>
          <w:tcPr>
            <w:tcW w:w="14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108,672</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105,637</w:t>
            </w:r>
          </w:p>
        </w:tc>
      </w:tr>
      <w:tr>
        <w:trPr>
          <w:trHeight w:val="777"/>
        </w:trPr>
        <w:tc>
          <w:tcPr>
            <w:tcW w:w="6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8"/>
        </w:trPr>
        <w:tc>
          <w:tcPr>
            <w:tcW w:w="652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4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80" w:type="dxa"/>
            <w:vAlign w:val="bottom"/>
            <w:shd w:val="clear" w:color="auto" w:fill="A6A6A6"/>
          </w:tcPr>
          <w:p>
            <w:pPr>
              <w:spacing w:after="0"/>
              <w:rPr>
                <w:sz w:val="16"/>
                <w:szCs w:val="16"/>
                <w:color w:val="auto"/>
              </w:rPr>
            </w:pPr>
          </w:p>
        </w:tc>
        <w:tc>
          <w:tcPr>
            <w:tcW w:w="2580" w:type="dxa"/>
            <w:vAlign w:val="bottom"/>
            <w:shd w:val="clear" w:color="auto" w:fill="A6A6A6"/>
          </w:tcPr>
          <w:p>
            <w:pPr>
              <w:spacing w:after="0"/>
              <w:rPr>
                <w:sz w:val="16"/>
                <w:szCs w:val="16"/>
                <w:color w:val="auto"/>
              </w:rPr>
            </w:pPr>
          </w:p>
        </w:tc>
        <w:tc>
          <w:tcPr>
            <w:tcW w:w="1860" w:type="dxa"/>
            <w:vAlign w:val="bottom"/>
            <w:shd w:val="clear" w:color="auto" w:fill="A6A6A6"/>
          </w:tcPr>
          <w:p>
            <w:pPr>
              <w:jc w:val="right"/>
              <w:ind w:right="570"/>
              <w:spacing w:after="0" w:line="194" w:lineRule="exact"/>
              <w:rPr>
                <w:sz w:val="20"/>
                <w:szCs w:val="20"/>
                <w:color w:val="auto"/>
              </w:rPr>
            </w:pPr>
            <w:r>
              <w:rPr>
                <w:rFonts w:ascii="Times New Roman" w:cs="Times New Roman" w:eastAsia="Times New Roman" w:hAnsi="Times New Roman"/>
                <w:sz w:val="18"/>
                <w:szCs w:val="18"/>
                <w:b w:val="1"/>
                <w:bCs w:val="1"/>
                <w:color w:val="FFFFFF"/>
              </w:rPr>
              <w:t>June 30,</w:t>
            </w:r>
          </w:p>
        </w:tc>
        <w:tc>
          <w:tcPr>
            <w:tcW w:w="1320" w:type="dxa"/>
            <w:vAlign w:val="bottom"/>
            <w:shd w:val="clear" w:color="auto" w:fill="A6A6A6"/>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FFFFFF"/>
              </w:rPr>
              <w:t>Dec. 31,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A6A6A6"/>
          </w:tcPr>
          <w:p>
            <w:pPr>
              <w:spacing w:after="0"/>
              <w:rPr>
                <w:sz w:val="18"/>
                <w:szCs w:val="18"/>
                <w:color w:val="auto"/>
              </w:rPr>
            </w:pPr>
          </w:p>
        </w:tc>
        <w:tc>
          <w:tcPr>
            <w:tcW w:w="2580" w:type="dxa"/>
            <w:vAlign w:val="bottom"/>
            <w:shd w:val="clear" w:color="auto" w:fill="A6A6A6"/>
          </w:tcPr>
          <w:p>
            <w:pPr>
              <w:spacing w:after="0"/>
              <w:rPr>
                <w:sz w:val="18"/>
                <w:szCs w:val="18"/>
                <w:color w:val="auto"/>
              </w:rPr>
            </w:pPr>
          </w:p>
        </w:tc>
        <w:tc>
          <w:tcPr>
            <w:tcW w:w="18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32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80" w:type="dxa"/>
            <w:vAlign w:val="bottom"/>
            <w:shd w:val="clear" w:color="auto" w:fill="A6A6A6"/>
          </w:tcPr>
          <w:p>
            <w:pPr>
              <w:spacing w:after="0"/>
              <w:rPr>
                <w:sz w:val="20"/>
                <w:szCs w:val="20"/>
                <w:color w:val="auto"/>
              </w:rPr>
            </w:pPr>
          </w:p>
        </w:tc>
        <w:tc>
          <w:tcPr>
            <w:tcW w:w="2580" w:type="dxa"/>
            <w:vAlign w:val="bottom"/>
            <w:shd w:val="clear" w:color="auto" w:fill="A6A6A6"/>
          </w:tcPr>
          <w:p>
            <w:pPr>
              <w:ind w:left="1740"/>
              <w:spacing w:after="0"/>
              <w:rPr>
                <w:sz w:val="20"/>
                <w:szCs w:val="20"/>
                <w:color w:val="auto"/>
              </w:rPr>
            </w:pPr>
            <w:r>
              <w:rPr>
                <w:rFonts w:ascii="Times New Roman" w:cs="Times New Roman" w:eastAsia="Times New Roman" w:hAnsi="Times New Roman"/>
                <w:sz w:val="18"/>
                <w:szCs w:val="18"/>
                <w:b w:val="1"/>
                <w:bCs w:val="1"/>
                <w:color w:val="FFFFFF"/>
              </w:rPr>
              <w:t>Note</w:t>
            </w:r>
          </w:p>
        </w:tc>
        <w:tc>
          <w:tcPr>
            <w:tcW w:w="186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Unaudited</w:t>
            </w:r>
          </w:p>
        </w:tc>
        <w:tc>
          <w:tcPr>
            <w:tcW w:w="1320" w:type="dxa"/>
            <w:vAlign w:val="bottom"/>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9"/>
              </w:rPr>
              <w:t>Audited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kEUR</w:t>
            </w: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6.1</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6.1.1</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1,023</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1,149</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5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58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assets</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6.2</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non-financial assets</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6.3</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487</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2,191</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2,692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3,841</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6.4</w:t>
            </w:r>
          </w:p>
        </w:tc>
        <w:tc>
          <w:tcPr>
            <w:tcW w:w="18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Subscribed capital</w:t>
            </w:r>
          </w:p>
        </w:tc>
        <w:tc>
          <w:tcPr>
            <w:tcW w:w="258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10,843</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Capital and other reserves</w:t>
            </w:r>
          </w:p>
        </w:tc>
        <w:tc>
          <w:tcPr>
            <w:tcW w:w="258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287,903</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287,926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(323,698)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(24,952)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80" w:type="dxa"/>
            <w:vAlign w:val="bottom"/>
            <w:tcBorders>
              <w:bottom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color w:val="auto"/>
                <w:w w:val="97"/>
              </w:rPr>
              <w:t>6.6</w:t>
            </w: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938</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938</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6.7</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26,578</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6.8</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713</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580" w:type="dxa"/>
            <w:vAlign w:val="bottom"/>
          </w:tcPr>
          <w:p>
            <w:pPr>
              <w:spacing w:after="0"/>
              <w:rPr>
                <w:sz w:val="18"/>
                <w:szCs w:val="18"/>
                <w:color w:val="auto"/>
              </w:rPr>
            </w:pP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564</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6.9</w:t>
            </w:r>
          </w:p>
        </w:tc>
        <w:tc>
          <w:tcPr>
            <w:tcW w:w="1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Parental guarantee</w:t>
            </w:r>
          </w:p>
        </w:tc>
        <w:tc>
          <w:tcPr>
            <w:tcW w:w="2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27,855</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93,456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25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3,841</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54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480" w:type="dxa"/>
            <w:vAlign w:val="bottom"/>
            <w:shd w:val="clear" w:color="auto" w:fill="000000"/>
          </w:tcPr>
          <w:p>
            <w:pPr>
              <w:spacing w:after="0"/>
              <w:rPr>
                <w:sz w:val="5"/>
                <w:szCs w:val="5"/>
                <w:color w:val="auto"/>
              </w:rPr>
            </w:pPr>
          </w:p>
        </w:tc>
        <w:tc>
          <w:tcPr>
            <w:tcW w:w="2580" w:type="dxa"/>
            <w:vAlign w:val="bottom"/>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7" w:name="page8"/>
    <w:bookmarkEnd w:id="7"/>
    <w:p>
      <w:pPr>
        <w:ind w:left="11160"/>
        <w:spacing w:after="0"/>
        <w:rPr>
          <w:sz w:val="20"/>
          <w:szCs w:val="20"/>
          <w:color w:val="auto"/>
        </w:rPr>
      </w:pPr>
      <w:r>
        <w:rPr>
          <w:rFonts w:ascii="Times New Roman" w:cs="Times New Roman" w:eastAsia="Times New Roman" w:hAnsi="Times New Roman"/>
          <w:sz w:val="16"/>
          <w:szCs w:val="16"/>
          <w:color w:val="auto"/>
        </w:rPr>
        <w:t>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 of Changes in Equity</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shd w:val="clear" w:color="auto" w:fill="A6A6A6"/>
          </w:tcPr>
          <w:p>
            <w:pPr>
              <w:spacing w:after="0"/>
              <w:rPr>
                <w:sz w:val="17"/>
                <w:szCs w:val="17"/>
                <w:color w:val="auto"/>
              </w:rPr>
            </w:pPr>
          </w:p>
        </w:tc>
        <w:tc>
          <w:tcPr>
            <w:tcW w:w="2020" w:type="dxa"/>
            <w:vAlign w:val="bottom"/>
            <w:shd w:val="clear" w:color="auto" w:fill="A6A6A6"/>
          </w:tcPr>
          <w:p>
            <w:pPr>
              <w:jc w:val="center"/>
              <w:ind w:left="270"/>
              <w:spacing w:after="0"/>
              <w:rPr>
                <w:sz w:val="20"/>
                <w:szCs w:val="20"/>
                <w:color w:val="auto"/>
              </w:rPr>
            </w:pPr>
            <w:r>
              <w:rPr>
                <w:rFonts w:ascii="Times New Roman" w:cs="Times New Roman" w:eastAsia="Times New Roman" w:hAnsi="Times New Roman"/>
                <w:sz w:val="18"/>
                <w:szCs w:val="18"/>
                <w:b w:val="1"/>
                <w:bCs w:val="1"/>
                <w:color w:val="FFFFFF"/>
                <w:w w:val="98"/>
              </w:rPr>
              <w:t>Subscribed Capital</w:t>
            </w:r>
          </w:p>
        </w:tc>
        <w:tc>
          <w:tcPr>
            <w:tcW w:w="222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rPr>
              <w:t>Capital &amp; Other Reserves</w:t>
            </w:r>
          </w:p>
        </w:tc>
        <w:tc>
          <w:tcPr>
            <w:tcW w:w="1820" w:type="dxa"/>
            <w:vAlign w:val="bottom"/>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rPr>
              <w:t>Accumulated Deficit</w:t>
            </w:r>
          </w:p>
        </w:tc>
        <w:tc>
          <w:tcPr>
            <w:tcW w:w="1300" w:type="dxa"/>
            <w:vAlign w:val="bottom"/>
            <w:shd w:val="clear" w:color="auto" w:fill="A6A6A6"/>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Total Equity</w:t>
            </w:r>
          </w:p>
        </w:tc>
      </w:tr>
      <w:tr>
        <w:trPr>
          <w:trHeight w:val="238"/>
        </w:trPr>
        <w:tc>
          <w:tcPr>
            <w:tcW w:w="3880" w:type="dxa"/>
            <w:vAlign w:val="bottom"/>
            <w:tcBorders>
              <w:bottom w:val="single" w:sz="8" w:color="auto"/>
            </w:tcBorders>
            <w:shd w:val="clear" w:color="auto" w:fill="A6A6A6"/>
          </w:tcPr>
          <w:p>
            <w:pPr>
              <w:spacing w:after="0"/>
              <w:rPr>
                <w:sz w:val="20"/>
                <w:szCs w:val="20"/>
                <w:color w:val="auto"/>
              </w:rPr>
            </w:pPr>
          </w:p>
        </w:tc>
        <w:tc>
          <w:tcPr>
            <w:tcW w:w="2020" w:type="dxa"/>
            <w:vAlign w:val="bottom"/>
            <w:tcBorders>
              <w:bottom w:val="single" w:sz="8" w:color="auto"/>
            </w:tcBorders>
            <w:shd w:val="clear" w:color="auto" w:fill="A6A6A6"/>
          </w:tcPr>
          <w:p>
            <w:pPr>
              <w:jc w:val="center"/>
              <w:ind w:left="27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2220" w:type="dxa"/>
            <w:vAlign w:val="bottom"/>
            <w:tcBorders>
              <w:bottom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820" w:type="dxa"/>
            <w:vAlign w:val="bottom"/>
            <w:tcBorders>
              <w:bottom w:val="single" w:sz="8" w:color="auto"/>
            </w:tcBorders>
            <w:shd w:val="clear" w:color="auto" w:fill="A6A6A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c>
          <w:tcPr>
            <w:tcW w:w="1300" w:type="dxa"/>
            <w:vAlign w:val="bottom"/>
            <w:tcBorders>
              <w:bottom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(unaudited)</w:t>
            </w:r>
          </w:p>
        </w:tc>
      </w:tr>
      <w:tr>
        <w:trPr>
          <w:trHeight w:val="209"/>
        </w:trPr>
        <w:tc>
          <w:tcPr>
            <w:tcW w:w="3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kEUR</w:t>
            </w: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kEUR</w:t>
            </w:r>
          </w:p>
        </w:tc>
      </w:tr>
      <w:tr>
        <w:trPr>
          <w:trHeight w:val="210"/>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on December 31, 2022</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9,957</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277,308</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(330,778)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(43,513)</w:t>
            </w: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Convertible debt conversion</w:t>
            </w:r>
          </w:p>
        </w:tc>
        <w:tc>
          <w:tcPr>
            <w:tcW w:w="2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894</w:t>
            </w:r>
          </w:p>
        </w:tc>
        <w:tc>
          <w:tcPr>
            <w:tcW w:w="22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10,111</w:t>
            </w:r>
          </w:p>
        </w:tc>
        <w:tc>
          <w:tcPr>
            <w:tcW w:w="18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11,005</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exercised</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20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8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spacing w:after="0"/>
              <w:rPr>
                <w:sz w:val="18"/>
                <w:szCs w:val="18"/>
                <w:color w:val="auto"/>
              </w:rPr>
            </w:pPr>
          </w:p>
        </w:tc>
        <w:tc>
          <w:tcPr>
            <w:tcW w:w="1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Loss for six months ended June 30,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(34,676)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(34,676)</w:t>
            </w:r>
          </w:p>
        </w:tc>
      </w:tr>
      <w:tr>
        <w:trPr>
          <w:trHeight w:val="209"/>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June 30,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10,857</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286,351</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(365,386)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(68,178)</w:t>
            </w:r>
          </w:p>
        </w:tc>
      </w:tr>
      <w:tr>
        <w:trPr>
          <w:trHeight w:val="210"/>
        </w:trPr>
        <w:tc>
          <w:tcPr>
            <w:tcW w:w="3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38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December 31, 2023</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10,840</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287,926</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(384,338)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(85,572)</w:t>
            </w:r>
          </w:p>
        </w:tc>
      </w:tr>
      <w:tr>
        <w:trPr>
          <w:trHeight w:val="191"/>
        </w:trPr>
        <w:tc>
          <w:tcPr>
            <w:tcW w:w="3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2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22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w:t>
            </w:r>
          </w:p>
        </w:tc>
        <w:tc>
          <w:tcPr>
            <w:tcW w:w="182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(20)</w:t>
            </w:r>
          </w:p>
        </w:tc>
      </w:tr>
      <w:tr>
        <w:trPr>
          <w:trHeight w:val="234"/>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for the six months ended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60,640</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60,640</w:t>
            </w:r>
          </w:p>
        </w:tc>
      </w:tr>
      <w:tr>
        <w:trPr>
          <w:trHeight w:val="209"/>
        </w:trPr>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Equity June 30, 2024</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10,843</w:t>
            </w:r>
          </w:p>
        </w:tc>
        <w:tc>
          <w:tcPr>
            <w:tcW w:w="2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287,903</w:t>
            </w: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(323,698)</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(24,952)</w:t>
            </w:r>
          </w:p>
        </w:tc>
      </w:tr>
      <w:tr>
        <w:trPr>
          <w:trHeight w:val="1640"/>
        </w:trPr>
        <w:tc>
          <w:tcPr>
            <w:tcW w:w="3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68"/>
        </w:trPr>
        <w:tc>
          <w:tcPr>
            <w:tcW w:w="3880" w:type="dxa"/>
            <w:vAlign w:val="bottom"/>
            <w:shd w:val="clear" w:color="auto" w:fill="000000"/>
          </w:tcPr>
          <w:p>
            <w:pPr>
              <w:spacing w:after="0"/>
              <w:rPr>
                <w:sz w:val="5"/>
                <w:szCs w:val="5"/>
                <w:color w:val="auto"/>
              </w:rPr>
            </w:pPr>
          </w:p>
        </w:tc>
        <w:tc>
          <w:tcPr>
            <w:tcW w:w="2020" w:type="dxa"/>
            <w:vAlign w:val="bottom"/>
            <w:shd w:val="clear" w:color="auto" w:fill="000000"/>
          </w:tcPr>
          <w:p>
            <w:pPr>
              <w:spacing w:after="0"/>
              <w:rPr>
                <w:sz w:val="5"/>
                <w:szCs w:val="5"/>
                <w:color w:val="auto"/>
              </w:rPr>
            </w:pPr>
          </w:p>
        </w:tc>
        <w:tc>
          <w:tcPr>
            <w:tcW w:w="2220" w:type="dxa"/>
            <w:vAlign w:val="bottom"/>
            <w:shd w:val="clear" w:color="auto" w:fill="000000"/>
          </w:tcPr>
          <w:p>
            <w:pPr>
              <w:spacing w:after="0"/>
              <w:rPr>
                <w:sz w:val="5"/>
                <w:szCs w:val="5"/>
                <w:color w:val="auto"/>
              </w:rPr>
            </w:pPr>
          </w:p>
        </w:tc>
        <w:tc>
          <w:tcPr>
            <w:tcW w:w="182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540"/>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tc>
        <w:tc>
          <w:tcPr>
            <w:tcW w:w="3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480" w:type="dxa"/>
            <w:vAlign w:val="bottom"/>
            <w:shd w:val="clear" w:color="auto" w:fill="A6A6A6"/>
          </w:tcPr>
          <w:p>
            <w:pPr>
              <w:spacing w:after="0"/>
              <w:rPr>
                <w:sz w:val="16"/>
                <w:szCs w:val="16"/>
                <w:color w:val="auto"/>
              </w:rPr>
            </w:pPr>
          </w:p>
        </w:tc>
        <w:tc>
          <w:tcPr>
            <w:tcW w:w="3220" w:type="dxa"/>
            <w:vAlign w:val="bottom"/>
            <w:shd w:val="clear" w:color="auto" w:fill="A6A6A6"/>
          </w:tcPr>
          <w:p>
            <w:pPr>
              <w:jc w:val="right"/>
              <w:ind w:right="370"/>
              <w:spacing w:after="0" w:line="194" w:lineRule="exact"/>
              <w:rPr>
                <w:sz w:val="20"/>
                <w:szCs w:val="20"/>
                <w:color w:val="auto"/>
              </w:rPr>
            </w:pPr>
            <w:r>
              <w:rPr>
                <w:rFonts w:ascii="Times New Roman" w:cs="Times New Roman" w:eastAsia="Times New Roman" w:hAnsi="Times New Roman"/>
                <w:sz w:val="18"/>
                <w:szCs w:val="18"/>
                <w:b w:val="1"/>
                <w:bCs w:val="1"/>
                <w:color w:val="FFFFFF"/>
              </w:rPr>
              <w:t>June 30, 2024</w:t>
            </w:r>
          </w:p>
        </w:tc>
        <w:tc>
          <w:tcPr>
            <w:tcW w:w="1540" w:type="dxa"/>
            <w:vAlign w:val="bottom"/>
            <w:shd w:val="clear" w:color="auto" w:fill="A6A6A6"/>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FFFFFF"/>
              </w:rPr>
              <w:t>June 30, 2023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480" w:type="dxa"/>
            <w:vAlign w:val="bottom"/>
            <w:tcBorders>
              <w:bottom w:val="single" w:sz="8" w:color="auto"/>
            </w:tcBorders>
            <w:shd w:val="clear" w:color="auto" w:fill="A6A6A6"/>
          </w:tcPr>
          <w:p>
            <w:pPr>
              <w:spacing w:after="0"/>
              <w:rPr>
                <w:sz w:val="20"/>
                <w:szCs w:val="20"/>
                <w:color w:val="auto"/>
              </w:rPr>
            </w:pPr>
            <w:r>
              <w:rPr>
                <w:rFonts w:ascii="Times New Roman" w:cs="Times New Roman" w:eastAsia="Times New Roman" w:hAnsi="Times New Roman"/>
                <w:sz w:val="18"/>
                <w:szCs w:val="18"/>
                <w:b w:val="1"/>
                <w:bCs w:val="1"/>
                <w:color w:val="FFFFFF"/>
              </w:rPr>
              <w:t>For the Six Months Ended</w:t>
            </w:r>
          </w:p>
        </w:tc>
        <w:tc>
          <w:tcPr>
            <w:tcW w:w="3220" w:type="dxa"/>
            <w:vAlign w:val="bottom"/>
            <w:tcBorders>
              <w:bottom w:val="single" w:sz="8" w:color="auto"/>
            </w:tcBorders>
            <w:shd w:val="clear" w:color="auto" w:fill="A6A6A6"/>
          </w:tcPr>
          <w:p>
            <w:pPr>
              <w:jc w:val="right"/>
              <w:ind w:right="630"/>
              <w:spacing w:after="0"/>
              <w:rPr>
                <w:sz w:val="20"/>
                <w:szCs w:val="20"/>
                <w:color w:val="auto"/>
              </w:rPr>
            </w:pPr>
            <w:r>
              <w:rPr>
                <w:rFonts w:ascii="Times New Roman" w:cs="Times New Roman" w:eastAsia="Times New Roman" w:hAnsi="Times New Roman"/>
                <w:sz w:val="18"/>
                <w:szCs w:val="18"/>
                <w:b w:val="1"/>
                <w:bCs w:val="1"/>
                <w:color w:val="FFFFFF"/>
              </w:rPr>
              <w:t>kEUR</w:t>
            </w:r>
          </w:p>
        </w:tc>
        <w:tc>
          <w:tcPr>
            <w:tcW w:w="1540" w:type="dxa"/>
            <w:vAlign w:val="bottom"/>
            <w:tcBorders>
              <w:bottom w:val="single" w:sz="8" w:color="auto"/>
            </w:tcBorders>
            <w:shd w:val="clear" w:color="auto" w:fill="A6A6A6"/>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kEUR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kEUR</w:t>
            </w: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for the period</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60,640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property, plant and equipment</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right-to-use asset</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Expenses for share-based payment transactions</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expenses /(income)</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1,062</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3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(5,633)</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4,881</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Movements in provisions</w:t>
            </w:r>
          </w:p>
        </w:tc>
        <w:tc>
          <w:tcPr>
            <w:tcW w:w="3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(53,860)</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trade receivables and other assets</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1,044</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trade payables</w:t>
            </w:r>
          </w:p>
        </w:tc>
        <w:tc>
          <w:tcPr>
            <w:tcW w:w="3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(15,194)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Increase/(decrease) in advance payments received from customers</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(6,948)</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3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Consolidation/(deconsolidation) of Sono GMBH</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 of equipment</w:t>
            </w:r>
          </w:p>
        </w:tc>
        <w:tc>
          <w:tcPr>
            <w:tcW w:w="3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3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492</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on principal portion of lease liabilities</w:t>
            </w:r>
          </w:p>
        </w:tc>
        <w:tc>
          <w:tcPr>
            <w:tcW w:w="3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flow from financing activities</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469</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(5,191)</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currency translation on cash and cash equivalents</w:t>
            </w:r>
          </w:p>
        </w:tc>
        <w:tc>
          <w:tcPr>
            <w:tcW w:w="3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7,412</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June 30, 2024</w:t>
            </w:r>
          </w:p>
        </w:tc>
        <w:tc>
          <w:tcPr>
            <w:tcW w:w="3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2,191</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0"/>
        </w:trPr>
        <w:tc>
          <w:tcPr>
            <w:tcW w:w="64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6480" w:type="dxa"/>
            <w:vAlign w:val="bottom"/>
            <w:shd w:val="clear" w:color="auto" w:fill="000000"/>
          </w:tcPr>
          <w:p>
            <w:pPr>
              <w:spacing w:after="0"/>
              <w:rPr>
                <w:sz w:val="5"/>
                <w:szCs w:val="5"/>
                <w:color w:val="auto"/>
              </w:rPr>
            </w:pPr>
          </w:p>
        </w:tc>
        <w:tc>
          <w:tcPr>
            <w:tcW w:w="3220" w:type="dxa"/>
            <w:vAlign w:val="bottom"/>
            <w:shd w:val="clear" w:color="auto" w:fill="000000"/>
          </w:tcPr>
          <w:p>
            <w:pPr>
              <w:spacing w:after="0"/>
              <w:rPr>
                <w:sz w:val="5"/>
                <w:szCs w:val="5"/>
                <w:color w:val="auto"/>
              </w:rPr>
            </w:pPr>
          </w:p>
        </w:tc>
        <w:tc>
          <w:tcPr>
            <w:tcW w:w="1540" w:type="dxa"/>
            <w:vAlign w:val="bottom"/>
            <w:shd w:val="clear" w:color="auto" w:fill="000000"/>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Balance Sheet and Profit and Loss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Sono Group N.V. (“Sono N.V.” or the “Company”) is registered in the business register (Netherlands Chamber of Commerce) and its corporate seat is in Amsterdam. In November 2021, the Company successfully completed an initial public offering (IPO) and became listed on The Nasdaq Global Market (“Nasdaq Global Market”). The Company’s ordinary shares commenced trading on the Nasdaq Global Market under the ticker symbol “SEV” on November 17, 2021. On July 12, 2023 and August 28, 2023, the Company received notices from Nasdaq Global Market stating that the staff of the Listing Qualifications Department (the “Staff”) had determined that the Company’s securities will be delisted from Nasdaq in accordance with Nasdaq’s Listing Rules and notifying the Company of the suspension in trading of its ordinary shares as of the opening of business on July 21, 2023. On December 11, 2023, the Company received a decision of the Nasdaq Hearings Panel (the “Panel”) advising the Company that the Panel has determined to delist the Company’s ordinary shares from Nasdaq. On February 15, 2024, Nasdaq filed a Form 25 Notification of Delisting with the U.S. Securities and Exchange Commission (the “SEC”) to complete the delisting. On July 2, 2024, the quoting of the Company’s ordinary shares commenced on OTCQB under the ticker symbol “SEVCF”.</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its management in the United States of America since January 31, 2024. Prior to this date, the Company’s management was based in Germany. The business address of the Company is Waldmeisterstraße 93, 80935 Munich, Germany (trade register number: 80683568). Sono N.V.’s sole and wholly-owned subsidiary, Sono Motors GmbH (“Sono Motors” or the “Subsidiary”), is registered in the commercial register (</w:t>
      </w:r>
      <w:r>
        <w:rPr>
          <w:rFonts w:ascii="Times New Roman" w:cs="Times New Roman" w:eastAsia="Times New Roman" w:hAnsi="Times New Roman"/>
          <w:sz w:val="18"/>
          <w:szCs w:val="18"/>
          <w:i w:val="1"/>
          <w:iCs w:val="1"/>
          <w:color w:val="auto"/>
        </w:rPr>
        <w:t>Handelsregister</w:t>
      </w:r>
      <w:r>
        <w:rPr>
          <w:rFonts w:ascii="Times New Roman" w:cs="Times New Roman" w:eastAsia="Times New Roman" w:hAnsi="Times New Roman"/>
          <w:sz w:val="18"/>
          <w:szCs w:val="18"/>
          <w:color w:val="auto"/>
        </w:rPr>
        <w:t>) at the local court (</w:t>
      </w:r>
      <w:r>
        <w:rPr>
          <w:rFonts w:ascii="Times New Roman" w:cs="Times New Roman" w:eastAsia="Times New Roman" w:hAnsi="Times New Roman"/>
          <w:sz w:val="18"/>
          <w:szCs w:val="18"/>
          <w:i w:val="1"/>
          <w:iCs w:val="1"/>
          <w:color w:val="auto"/>
        </w:rPr>
        <w:t>Amtsgericht</w:t>
      </w:r>
      <w:r>
        <w:rPr>
          <w:rFonts w:ascii="Times New Roman" w:cs="Times New Roman" w:eastAsia="Times New Roman" w:hAnsi="Times New Roman"/>
          <w:sz w:val="18"/>
          <w:szCs w:val="18"/>
          <w:color w:val="auto"/>
        </w:rPr>
        <w:t>) of Munich, Germany, under HRB 224131. Sono Motors’ registered headquarters is Waldmeisterstraße 93, 80935 Munich, Germany. Sono N.V. is the ultimate parent of the Group. Hereinafter, Sono N.V. and its consolidated subsidiary collectively are referred to as “Sono Group”, or the “Group”, “Management”, “we” and “us”.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Sono Group intended to develop and manufacture electric vehicles with integrated solar panels (the “Sion passenger car program”). In addition, it planned to license its solar technology to other Original Equipment Manufacturers (OEMs). However, on February 24, 2023, Sono Group announced the decision to terminate the Sion passenger car program and to pivot the business model to exclusively retrofitting and integrating Sono Group’s solar technology onto third party vehicles due to lack of available funding. As a consequence, Management decided to apply for the opening of the self-administration proceedings with respect to Sono N.V. and Sono Motors (the “Self-Administration Proceedings”) on May 15, 2023. The Subsidiary withdrew its application for Preliminary Self-Administration Proceedings (as defined herein) on January 31, 2024, and the Subsidiary exited its Self-Administration Proceedings on February 29, 2024. See </w:t>
      </w:r>
      <w:r>
        <w:rPr>
          <w:rFonts w:ascii="Times New Roman" w:cs="Times New Roman" w:eastAsia="Times New Roman" w:hAnsi="Times New Roman"/>
          <w:sz w:val="18"/>
          <w:szCs w:val="18"/>
          <w:i w:val="1"/>
          <w:iCs w:val="1"/>
          <w:color w:val="auto"/>
        </w:rPr>
        <w:t>“Note 3.1 Going concern</w:t>
      </w:r>
      <w:r>
        <w:rPr>
          <w:rFonts w:ascii="Times New Roman" w:cs="Times New Roman" w:eastAsia="Times New Roman" w:hAnsi="Times New Roman"/>
          <w:sz w:val="18"/>
          <w:szCs w:val="18"/>
          <w:color w:val="auto"/>
        </w:rPr>
        <w:t>”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preparation of consolidated interim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Sono Group have been prepared in accordance with International Financial Reporting Standards (IFRS) as issued by the International Accounting Standards Board (IASB), and are presented in euro, which is also the Group’s functional currency. Unless otherwise stated, all amounts are presented in thousands of euros (“kEUR”).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condensed consolidated financial statements do not include all the notes of the type normally included in annual financial statements. Accordingly, these interim condensed consolidated financial statements are to be read in conjunction with the annual financial statements for the year ended December 31, 2023. The consolidated balance sheet as of December 31, 2023 was derived from audited financial statements although certain amounts have been reclassified to conform to the 2024 presentation. Additionally, the Company corrected an error identified in the valuation of the parental guarantee at June 30, 2023 and the related impact to Other operating income for the six month period then ended. The accounting policies adopted are consistent with those of the previous financial year and corresponding interim reporting period. The Group did not have to change its accounting policies or make retrospective adjustments as a result of adopting new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financial statements reflect the assets, liabilities and results of operations of Sono N.V. and those of its wholly-owned subsidiary, Sono Motors, over which Sono N.V. had control. Control over an entity exists when Sono N.V. is exposed to, or has rights to, variable returns from its involvement with the entity and has the ability to affect those returns through its power to direct the activities of the entity. Sono Motors was fully consolidated into Sono N.V. On May 19, 2023, Sono N.V. lost control of Sono Motors due to the opening of the self-administration proceedings and the appointment of a custodian (</w:t>
      </w:r>
      <w:r>
        <w:rPr>
          <w:rFonts w:ascii="Times New Roman" w:cs="Times New Roman" w:eastAsia="Times New Roman" w:hAnsi="Times New Roman"/>
          <w:sz w:val="18"/>
          <w:szCs w:val="18"/>
          <w:i w:val="1"/>
          <w:iCs w:val="1"/>
          <w:color w:val="auto"/>
        </w:rPr>
        <w:t>Sachwalter</w:t>
      </w:r>
      <w:r>
        <w:rPr>
          <w:rFonts w:ascii="Times New Roman" w:cs="Times New Roman" w:eastAsia="Times New Roman" w:hAnsi="Times New Roman"/>
          <w:sz w:val="18"/>
          <w:szCs w:val="18"/>
          <w:color w:val="auto"/>
        </w:rPr>
        <w:t>). After this event, Sono N.V. no longer had the power to direct the activities of Sono Motors. The results of Sono Motors are consolidated up until the loss of control in the consolidated financial statements. In accordance with IFRS 10 Consolidated Financial Statements, Sono Group derecognized the assets and liabilities of Sono Motors from the consolidated statement of financial position, which led to significant movements in the assets and liabilities. The interest in Sono Motors is accounted for as a financial instrument in Sono N.V. with a fair value of zero. The asset and liability balances that Sono N.V. had with Sono Motors were previously intercompany and therefore eliminated on consolidation. These balances were reinstated. Due to a hard comfort letter between Sono N.V. and Sono Motors, Sono N.V. then recognized a parental guaranteed provision (see accounting policies and Note 6.9 Provisions). Control was obtained again once Sono Motors exited its Self-Administration Proceedings on February 29, 2024, and therefore Sono Motors is consolidated once again on this date within the Group.</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both Group entities corresponds to the calendar year ending December 31.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and liabilities of both companies included in the consolidated financial statements are recognized in accordance with the uniform accounting policies used within the Sono Group, which complies with IFRS as issued by the IASB.</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periods of consolidation, June 30, 2024 , the consolidation process involved adjusting the items in the separate financial statements of the parent and its subsidiary and presenting them as if they were those of a single economic entity. Therefore, all intra-group assets and liabilities, equity, income, expenses and cash flows relating to transactions between members of the Sono Group were eliminated upon consolidation.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taxes, if any, are recognized for consolidation adjustments, and deferred tax assets and liabilities are offset where taxes are levied by the same tax authority and have the same maturity.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adopted in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standards have been published and have mandatory adoption: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shd w:val="clear" w:color="auto" w:fill="A6A6A6"/>
          </w:tcPr>
          <w:p>
            <w:pPr>
              <w:spacing w:after="0"/>
              <w:rPr>
                <w:sz w:val="18"/>
                <w:szCs w:val="18"/>
                <w:color w:val="auto"/>
              </w:rPr>
            </w:pPr>
          </w:p>
        </w:tc>
        <w:tc>
          <w:tcPr>
            <w:tcW w:w="3880" w:type="dxa"/>
            <w:vAlign w:val="bottom"/>
            <w:shd w:val="clear" w:color="auto" w:fill="A6A6A6"/>
          </w:tcPr>
          <w:p>
            <w:pPr>
              <w:jc w:val="center"/>
              <w:ind w:left="1770"/>
              <w:spacing w:after="0"/>
              <w:rPr>
                <w:sz w:val="20"/>
                <w:szCs w:val="20"/>
                <w:color w:val="auto"/>
              </w:rPr>
            </w:pPr>
            <w:r>
              <w:rPr>
                <w:rFonts w:ascii="Times New Roman" w:cs="Times New Roman" w:eastAsia="Times New Roman" w:hAnsi="Times New Roman"/>
                <w:sz w:val="18"/>
                <w:szCs w:val="18"/>
                <w:b w:val="1"/>
                <w:bCs w:val="1"/>
                <w:color w:val="FFFFFF"/>
                <w:w w:val="99"/>
              </w:rPr>
              <w:t>Mandatory for fiscal</w:t>
            </w:r>
          </w:p>
        </w:tc>
      </w:tr>
      <w:tr>
        <w:trPr>
          <w:trHeight w:val="216"/>
        </w:trPr>
        <w:tc>
          <w:tcPr>
            <w:tcW w:w="7360" w:type="dxa"/>
            <w:vAlign w:val="bottom"/>
            <w:shd w:val="clear" w:color="auto" w:fill="A6A6A6"/>
          </w:tcPr>
          <w:p>
            <w:pPr>
              <w:spacing w:after="0"/>
              <w:rPr>
                <w:sz w:val="18"/>
                <w:szCs w:val="18"/>
                <w:color w:val="auto"/>
              </w:rPr>
            </w:pPr>
          </w:p>
        </w:tc>
        <w:tc>
          <w:tcPr>
            <w:tcW w:w="3880" w:type="dxa"/>
            <w:vAlign w:val="bottom"/>
            <w:shd w:val="clear" w:color="auto" w:fill="A6A6A6"/>
          </w:tcPr>
          <w:p>
            <w:pPr>
              <w:jc w:val="center"/>
              <w:ind w:left="1770"/>
              <w:spacing w:after="0"/>
              <w:rPr>
                <w:sz w:val="20"/>
                <w:szCs w:val="20"/>
                <w:color w:val="auto"/>
              </w:rPr>
            </w:pPr>
            <w:r>
              <w:rPr>
                <w:rFonts w:ascii="Times New Roman" w:cs="Times New Roman" w:eastAsia="Times New Roman" w:hAnsi="Times New Roman"/>
                <w:sz w:val="18"/>
                <w:szCs w:val="18"/>
                <w:b w:val="1"/>
                <w:bCs w:val="1"/>
                <w:color w:val="FFFFFF"/>
                <w:w w:val="99"/>
              </w:rPr>
              <w:t>years beginning on or</w:t>
            </w:r>
          </w:p>
        </w:tc>
      </w:tr>
      <w:tr>
        <w:trPr>
          <w:trHeight w:val="238"/>
        </w:trPr>
        <w:tc>
          <w:tcPr>
            <w:tcW w:w="7360" w:type="dxa"/>
            <w:vAlign w:val="bottom"/>
            <w:shd w:val="clear" w:color="auto" w:fill="A6A6A6"/>
          </w:tcPr>
          <w:p>
            <w:pPr>
              <w:spacing w:after="0"/>
              <w:rPr>
                <w:sz w:val="20"/>
                <w:szCs w:val="20"/>
                <w:color w:val="auto"/>
              </w:rPr>
            </w:pPr>
          </w:p>
        </w:tc>
        <w:tc>
          <w:tcPr>
            <w:tcW w:w="3880" w:type="dxa"/>
            <w:vAlign w:val="bottom"/>
            <w:shd w:val="clear" w:color="auto" w:fill="A6A6A6"/>
          </w:tcPr>
          <w:p>
            <w:pPr>
              <w:jc w:val="center"/>
              <w:ind w:left="1730"/>
              <w:spacing w:after="0"/>
              <w:rPr>
                <w:sz w:val="20"/>
                <w:szCs w:val="20"/>
                <w:color w:val="auto"/>
              </w:rPr>
            </w:pPr>
            <w:r>
              <w:rPr>
                <w:rFonts w:ascii="Times New Roman" w:cs="Times New Roman" w:eastAsia="Times New Roman" w:hAnsi="Times New Roman"/>
                <w:sz w:val="18"/>
                <w:szCs w:val="18"/>
                <w:b w:val="1"/>
                <w:bCs w:val="1"/>
                <w:color w:val="FFFFFF"/>
              </w:rPr>
              <w:t>after</w:t>
            </w: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IAS 1 Classification of liabilities as current or non-current (Amendments)</w:t>
            </w:r>
          </w:p>
        </w:tc>
        <w:tc>
          <w:tcPr>
            <w:tcW w:w="38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January 1, 2024</w:t>
            </w: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IAS 7 and IFRS 7 supplier finance arrangements (Amendments)</w:t>
            </w:r>
          </w:p>
        </w:tc>
        <w:tc>
          <w:tcPr>
            <w:tcW w:w="38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January 1, 2024</w:t>
            </w: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IFRS 16 Leases on sale and leaseback (Amendments)</w:t>
            </w:r>
          </w:p>
        </w:tc>
        <w:tc>
          <w:tcPr>
            <w:tcW w:w="388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9"/>
              </w:rPr>
              <w:t>January 1, 2024</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Standards or amendments made to the existing Standards that have been issued by the International Accounting Standards Board and which were effective by January 1, 2024, were not applicable or material to the interim condensed consolidated financial statements of the Group.</w:t>
      </w:r>
    </w:p>
    <w:p>
      <w:pPr>
        <w:spacing w:after="0" w:line="158"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3.1 Going concern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assessed Sono Group’s ability to continue as a going concern, evaluating whether there are conditions and events, considered in the aggregate, that raise substantial doubt about its ability to continue as a going concern using all information available about the future, focusing on the twelve-month period following the issuance date of the interim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ind w:left="11160"/>
        <w:spacing w:after="0"/>
        <w:rPr>
          <w:sz w:val="20"/>
          <w:szCs w:val="20"/>
          <w:color w:val="auto"/>
        </w:rPr>
      </w:pPr>
      <w:r>
        <w:rPr>
          <w:rFonts w:ascii="Times New Roman" w:cs="Times New Roman" w:eastAsia="Times New Roman" w:hAnsi="Times New Roman"/>
          <w:sz w:val="16"/>
          <w:szCs w:val="16"/>
          <w:color w:val="auto"/>
        </w:rPr>
        <w:t>9</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Sono Group financed its operations primarily through capital raises and loans from shareholders and private investors (including its IPO in November 2021), as well as through advance payments received from customers. Since inception, Sono Group has incurred recurring losses and negative cash flows from operations. The accumulated deficit amounts to kEUR 323,698 and negative equity totals kEUR 24,952 as of June 30, 2024.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half of 2022, however, attempts to raise additional financing through equity offerings failed due to deteriorating market conditions and investor sentiment and other factors. On December 7, 2022, the Company issued convertible debentures to YA II PN, Ltd. (“Yorkville”) with an aggregate nominal amount of kUSD 31,100 (kEUR 29,485). Given that this amount was insufficient to realize serial production and against the backdrop of otherwise unfavorable market conditions, Sono Group announced a special community campaign on December 8, 2022 with the goal of raising approximately kEUR 105,000, principally by means of additional prepayments from customers and/or additional investor financing. The campaign was not successful and hence no additional financing was raised. Consequently, on February 24, 2023, Management decided to terminate the Sion passenger car program and focus on the development of Sono Group’s solar technology solutions, which requires significantly lower levels of investment than the development of the Sion passenger car program. Sono Motors offered its reservation holders a repayment plan to reimburse reservation holders of Sono Motors for advance payments in three installments (May 2023, June 2024 and January 2025).</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15, 2023, due to the fact that the first installment to repay advance payments to customers became due and Sono Group had not succeeded in raising additional funds, the Company’s management ultimately concluded that Sono Motors was over-indebted and faced impending illiquidity (</w:t>
      </w:r>
      <w:r>
        <w:rPr>
          <w:rFonts w:ascii="Times New Roman" w:cs="Times New Roman" w:eastAsia="Times New Roman" w:hAnsi="Times New Roman"/>
          <w:sz w:val="18"/>
          <w:szCs w:val="18"/>
          <w:i w:val="1"/>
          <w:iCs w:val="1"/>
          <w:color w:val="auto"/>
        </w:rPr>
        <w:t>drohende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Zahlungsunfähigkeit) </w:t>
      </w:r>
      <w:r>
        <w:rPr>
          <w:rFonts w:ascii="Times New Roman" w:cs="Times New Roman" w:eastAsia="Times New Roman" w:hAnsi="Times New Roman"/>
          <w:sz w:val="18"/>
          <w:szCs w:val="18"/>
          <w:color w:val="auto"/>
        </w:rPr>
        <w:t>with Sono N.V., in turn, becoming over-indebted and also facing impending illiquidity. As a consequence, Management decided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for the opening of the Self-Administration Proceedings with respect to Sono N.V. and Sono Motors with the goal of sustainably restructuring both companies. Accordingly, on May 15, 2023, Sono N.V. applied to the insolvency court of the local court of Munich, Germany (the “Court”) to permit the opening of a self-administration proceeding (</w:t>
      </w:r>
      <w:r>
        <w:rPr>
          <w:rFonts w:ascii="Times New Roman" w:cs="Times New Roman" w:eastAsia="Times New Roman" w:hAnsi="Times New Roman"/>
          <w:sz w:val="18"/>
          <w:szCs w:val="18"/>
          <w:i w:val="1"/>
          <w:iCs w:val="1"/>
          <w:color w:val="auto"/>
        </w:rPr>
        <w:t>Eigenverwaltung</w:t>
      </w:r>
      <w:r>
        <w:rPr>
          <w:rFonts w:ascii="Times New Roman" w:cs="Times New Roman" w:eastAsia="Times New Roman" w:hAnsi="Times New Roman"/>
          <w:sz w:val="18"/>
          <w:szCs w:val="18"/>
          <w:color w:val="auto"/>
        </w:rPr>
        <w:t>) pursuant to Section 270 (b)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On the same day, Sono Motors applied to the same Court to permit the opening of a self-administration proceeding in the form of a protective shield proceeding (</w:t>
      </w:r>
      <w:r>
        <w:rPr>
          <w:rFonts w:ascii="Times New Roman" w:cs="Times New Roman" w:eastAsia="Times New Roman" w:hAnsi="Times New Roman"/>
          <w:sz w:val="18"/>
          <w:szCs w:val="18"/>
          <w:i w:val="1"/>
          <w:iCs w:val="1"/>
          <w:color w:val="auto"/>
        </w:rPr>
        <w:t>Schutzschirmverfahren</w:t>
      </w:r>
      <w:r>
        <w:rPr>
          <w:rFonts w:ascii="Times New Roman" w:cs="Times New Roman" w:eastAsia="Times New Roman" w:hAnsi="Times New Roman"/>
          <w:sz w:val="18"/>
          <w:szCs w:val="18"/>
          <w:color w:val="auto"/>
        </w:rPr>
        <w:t>) pursuant Section 270 (d) of the German Insolvency Code. On May 17 and May 19, 2023, respectively, the Court admitted the opening of Self-Administration Proceedings with respect to Sono N.V. and Sono Motors on a preliminary basis (the “Preliminary Self-Administration Proceedings”). The Court also appointed preliminary custodians for each of Sono N.V. and Sono Motors in their respective Preliminary Self-Administration Proceedings. On September 1, 2023, the Court opened the Self-Administration Proceedings with respect to Sono Motors (the “Subsidiary Self-Administration Proceedings”).</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Yorkville, as one of the largest creditors of Sono N.V., started negotiations in the course of the insolvency proceedings and committed to provide financing to the Company (the “First Commitment”), subject to the Companies’ compliance with the terms of the investment-related agreements entered into by the Company and Yorkville in connection therewith, including, among others, the restructuring agreement (as amended from time to time, the “Restructuring Agreement”) and the funding commitment letter with respect to the First Commitment (as amended from time to time, the “Funding Commitment Letter” and together with the Restructuring Agreement and the ancillary agreements entered into in connection therewith, (the “Yorkville Agreements”)). Pursuant to the Yorkville Agreements, which became effective on November 20, 2023, Yorkville committed to provide limited financing to the Company, subject to the satisfaction of certain conditions precedent and our compliance with certain covenants and other obligations set forth in the Yorkville Agreements. The aim of the Yorkville Agreements and the transactions contemplated therein was the planned restructuring of Sono N.V. and Sono Motors, with the intention of enabling the Company to withdraw its application for its Preliminary Self-Administration Proceedings and enabling the Subsidiary to exit the Subsidiary Self-Administration Proceedings via a plan (the “Plan”) under the German Insolvency Code. The Plan was filed with the Court on December 7, 2023 for approval by the Subsidiary’s creditors and subsequent confirmation by the Court. Approval by the creditors and confirmation by the Court was obtained in the creditors meeting on December 21, 2023, and the Court confirmed on January 26, 2024 that the Plan became legally binding. On January 31, 2024, Sono N.V. withdrew its application for its Preliminary Self-Administration Proceedings with the Court. The Subsidiary exited its Self-Administration Proceedings on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ind w:left="11060"/>
        <w:spacing w:after="0"/>
        <w:rPr>
          <w:sz w:val="20"/>
          <w:szCs w:val="20"/>
          <w:color w:val="auto"/>
        </w:rPr>
      </w:pPr>
      <w:r>
        <w:rPr>
          <w:rFonts w:ascii="Times New Roman" w:cs="Times New Roman" w:eastAsia="Times New Roman" w:hAnsi="Times New Roman"/>
          <w:sz w:val="18"/>
          <w:szCs w:val="18"/>
          <w:color w:val="auto"/>
        </w:rPr>
        <w:t>10</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30, 2024, Yorkville committed additional financing to the Company (the “Second Commitment” and together with the First Commitment, the “Yorkville Investment”) by way of an amendment to the Funding Commitment Letter. The Company expects the Yorkville Investment to position the Group to obtain sufficient funding for their restructured business operations through June 30, 2025 (the “Funding Period”), based on a mutually agreed business plan focused on the planned development of Sono Group’s business operations related to the Solar Bus Kit and similar retrofit solar products. The funding of the first tranche of the Yorkville Investment occurred on February 6, 2024 for mEUR 4.0 (or USD 4,317,600) (the “First Tranche”). The second funding of mEUR 3.0 occurred in September, 2024 (the “Second Tranche”). The third and the fourth tranches of mEUR 1.0 each are expected to be made in January 2025 and in April 2025, respectively.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Yorkville Agreements, the tranches of the Yorkville Investment are funded by way of new interest-bearing convertible debentures. The new convertible debenture issued to Yorkville on February 5, 2024 in connection with the funding of the First Tranche will mature on July 1, 2025, and each subsequent new convertible debenture will mature on the earlier of (i) July 1, 2025 or (ii) 12 months from the issuance date of such new debenture. Under the terms of the continuation agreement between the Company and the Subsidiary and the back-to-back letter of comfort from the Company to the Subsidiary, each entered into in connection with the Yorkville Investment, funds are paid by the Company to the Subsidiary by way of intercompany loans. In the event of a shortfall during the Funding Period, Yorkville will provide additional funds to the Company, provided that agreements are reached in good faith on an adjusted budget for the Funding Period.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Yorkville’s obligation to provide funding pursuant to the terms of the Funding Commitment letter is subject to the absence of certain termination events or events of default. If such an event occurs, Yorkville would have the right, at its sole discretion, to cancel any funding commitments still available, meaning that the Company would no longer be able to draw down on unused portions of the commitment amount, and to exercise all of its rights under any of the new convertible debentures as if an event of default had occurred. For details regarding termination events / events of default, refer to the Company’s Annual Report on Form 20-F for the year ended December 31, 2023, as filed with the SEC on June 21,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above-outlined plans, the Company’s going concern status is subject to various risks and uncertainties, as more fully described in “Item 3. Key Information—D. Risk Factors” in the Company’s Annual Report on Form 20-F for the year ended December 31, 2023. Some of the principal risks associated with the Company’s going concern status include, but are not limited to,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comply on an ongoing basis with the terms of the Yorkville Agreements and thereby gain access to the unfunded portion of the Yorkville Investment;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meet the assumptions underlying the mutually-agreed business plan with Yorkville (focusing on the development of the Solar Bus Kit business and similar retrofit solar products) so that the committed financing by Yorkville is sufficient to allow the Company to continue as a going concern through June 30, 2025, including, without limitation, Sono Group’s ability to enter into additional customer contracts to start generating additional revenues, Sono Group’s ability to reach commercial production with its offerings beyond the Solar Bus Kit; Sono Group’s ability to keep to cost assumptions and margins expected to be realized, Sono Group’s ability to retain essential employees, Sono Group’s ability to maintain relationships with suppliers and enter into planned relationships with new suppliers, Sono Group’s ability to find additional independent distributors for its Solar Bus Kit and similar retrofit solar products as planned;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obtain additional financing from third parties in order to fund the business from July 2025 onwards and to be able to repay any remaining amounts owed in connection with the funding provided by Yorkville when due (both for the convertible debentures liability of Sono N.V. and the intercompany loan to be paid back by Sono Motors);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Group’s ability to attract additional and retain existing key employees and hire additional qualified technical and engineering personnel to develop the planned business;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defined termination conditions or events of default will occur, which can cause Yorkville, at its sole discretion, to cancel any additional funding commitments still available which can lead, in absence of alternative funding possibilities, to insolvency and liquidation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ind w:left="11060"/>
        <w:spacing w:after="0"/>
        <w:rPr>
          <w:sz w:val="20"/>
          <w:szCs w:val="20"/>
          <w:color w:val="auto"/>
        </w:rPr>
      </w:pPr>
      <w:r>
        <w:rPr>
          <w:rFonts w:ascii="Times New Roman" w:cs="Times New Roman" w:eastAsia="Times New Roman" w:hAnsi="Times New Roman"/>
          <w:sz w:val="18"/>
          <w:szCs w:val="18"/>
          <w:color w:val="auto"/>
        </w:rPr>
        <w:t>11</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risks and uncertainties, there is no certainty as to Sono Group’s ability to continue as a going concern. Sono Group will need to raise additional funds through public or private debt or equity financing or other means to fund the Group’s business beyond June 2025, should the Yorkville Investment continue to be concluded and implemented as planned. Sono Group’s access to required additional financing is limited, and for the foreseeable future will likely continue to be limited, if it is available at all, as of July 1, 2025 and beyond. Even though the Company and the Subsidiary have successfully emerged from their respective Self-Administration Proceedings, they might be adversely affected by the possible reluctance of prospective lenders or investors and other counterparties to do business with a company that has recently emerged from such proceedings. Therefore, adequate funds may not be available when needed or may not be available on favorable terms and thus the Company and Group might not be able to continue as a going concern.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above, over the twelve-month period following the issuance date of the consolidated financial statements, there is a risk that Sono Group deviates from the mutually-agreed business plan which could lead to Yorkville not providing the agreed financing or additional funding being required if funding requirements are greater than projected. Alternative funding would then need to be found through private debt or equity financing or other means. Consequently, there is substantial doubt about its ability to continue as a going concern. The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operating segment is defined as a component of an entity for which discrete financial information is available and whose operating results are regularly reviewed by management (chief operating decision maker within the meaning of IFRS 8). Sono Group is a start-up company that has not yet started production. As all significant activities of the Group relate to the development of the retrofitting for commercial vehicles, and management makes decisions about allocating resources and assessing performance based on the entity as a whole, Management has determined that Sono Group operates in one operating and reportable business segment.</w:t>
      </w:r>
    </w:p>
    <w:p>
      <w:pPr>
        <w:spacing w:after="0" w:line="179"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Disclosures to the interim condensed consolidated statements of income or loss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5.1 Significant events and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15, 2023 Sono Motors applied for the opening of its Self-Administration Proceedings. As a result, Sono Motors was deconsolidated due to a loss of control and was recorded as an equity method investment pursuant to IAS 21. The Subsidiary was deemed to have no fair value and accordingly the investment had no carrying value. Consistent with the equity method of accounting, losses sustained by Sono Motors during the period beginning May 15, 2023 through the date it exited the Subsidiary Self-Administration Proceedings and the Company regained control, February 29, 2024, were not reported in the consolidated results of operations. The impact of the Self-Administration Proceedings resulted in a complete extinguishment of debt for all claims related to the Sion endeavor and all assets, including cash, related to the same were relinquished to the Court for purposes of settling creditor claims. This transaction was accounted for as an extinguishment of debt and resulted in a recapitalization of Sono Motors. Beginning March 1, 2024, Sono Motors results of operations are included in the interim condensed consolidated statement of income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 Revenue and 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six-month period ended June 30, 2023 the Company recorded revenue and cost of goods sold in the amount of kEUR 42 and kEUR (70) respectively. Revenue and cost of goods sold mainly relates to the integration of Sono Group’s patented solar technology across other transportation platforms. Cost of goods sold include raw material consumed, personnel cost, change in provision for onerous contracts and impairment of work in progress for loss making contracts. For the six months ended June 30, 2024, there was no revenue or cost of goods sold as the Company was undertaking restructuring initiatives related to pursuing retro fitting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5.3 Cost of development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details on the cost of research and development:</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FFFFFF"/>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825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126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700" w:type="dxa"/>
            <w:vAlign w:val="bottom"/>
            <w:shd w:val="clear" w:color="auto" w:fill="A6A6A6"/>
          </w:tcPr>
          <w:p>
            <w:pPr>
              <w:spacing w:after="0"/>
              <w:rPr>
                <w:sz w:val="18"/>
                <w:szCs w:val="18"/>
                <w:color w:val="auto"/>
              </w:rPr>
            </w:pP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30"/>
        </w:trPr>
        <w:tc>
          <w:tcPr>
            <w:tcW w:w="7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7"/>
              </w:rPr>
              <w:t>kEUR</w:t>
            </w:r>
          </w:p>
        </w:tc>
        <w:tc>
          <w:tcPr>
            <w:tcW w:w="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91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Development cost of prototypes</w:t>
            </w:r>
          </w:p>
        </w:tc>
        <w:tc>
          <w:tcPr>
            <w:tcW w:w="7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87</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4,082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443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8,131</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3,187</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fees and subscriptions</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development</w:t>
            </w:r>
          </w:p>
        </w:tc>
        <w:tc>
          <w:tcPr>
            <w:tcW w:w="7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557</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16,029</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research expenses included in the profit and loss of Sono Group in the first half of 2024 and prior periods, as the Group does not perform research. As the capitalization criteria for development cost have not been met, all development expenses were recognized in profit or loss as incurred in the reporting period and the previous reporting periods. The decrease in expenses relates to the discontinuation of Sono Motors’ Sion. The impairment in 2023 relates to fixed assets, namely property, plant and equipment and is the result of the decision to terminate the Sion passenger car program.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5.4 General and administrative expenses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details on the general and administrative expenses: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88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r>
      <w:tr>
        <w:trPr>
          <w:trHeight w:val="216"/>
        </w:trPr>
        <w:tc>
          <w:tcPr>
            <w:tcW w:w="7880" w:type="dxa"/>
            <w:vAlign w:val="bottom"/>
            <w:shd w:val="clear" w:color="auto" w:fill="A6A6A6"/>
          </w:tcPr>
          <w:p>
            <w:pPr>
              <w:spacing w:after="0"/>
              <w:rPr>
                <w:sz w:val="18"/>
                <w:szCs w:val="18"/>
                <w:color w:val="auto"/>
              </w:rPr>
            </w:pPr>
          </w:p>
        </w:tc>
        <w:tc>
          <w:tcPr>
            <w:tcW w:w="3360" w:type="dxa"/>
            <w:vAlign w:val="bottom"/>
            <w:gridSpan w:val="2"/>
            <w:shd w:val="clear" w:color="auto" w:fill="A6A6A6"/>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Six Months Ended</w:t>
            </w:r>
          </w:p>
        </w:tc>
      </w:tr>
      <w:tr>
        <w:trPr>
          <w:trHeight w:val="229"/>
        </w:trPr>
        <w:tc>
          <w:tcPr>
            <w:tcW w:w="7880" w:type="dxa"/>
            <w:vAlign w:val="bottom"/>
            <w:shd w:val="clear" w:color="auto" w:fill="A6A6A6"/>
          </w:tcPr>
          <w:p>
            <w:pPr>
              <w:spacing w:after="0"/>
              <w:rPr>
                <w:sz w:val="19"/>
                <w:szCs w:val="19"/>
                <w:color w:val="auto"/>
              </w:rPr>
            </w:pPr>
          </w:p>
        </w:tc>
        <w:tc>
          <w:tcPr>
            <w:tcW w:w="1960" w:type="dxa"/>
            <w:vAlign w:val="bottom"/>
            <w:shd w:val="clear" w:color="auto" w:fill="A6A6A6"/>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30"/>
        </w:trPr>
        <w:tc>
          <w:tcPr>
            <w:tcW w:w="7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kEUR</w:t>
            </w: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7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Professional services</w:t>
            </w:r>
          </w:p>
        </w:tc>
        <w:tc>
          <w:tcPr>
            <w:tcW w:w="19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1,743</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3,380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Personnel expenses</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556</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1,998</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111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Money transfer fees</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391</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r>
      <w:tr>
        <w:trPr>
          <w:trHeight w:val="210"/>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 expense</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2,874</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-1276350</wp:posOffset>
            </wp:positionV>
            <wp:extent cx="205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expenses are mainly comprised of employees responsible for Finance, Human Resources, Business Development, Administration etc. Professional services include accounting, tax and legal services as well as other services performed by external parties such as the preparation of annual and interim consolidated financial statements in accordance with IFRS, services provided by our independent auditor, as well as legal and tax services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 Other operating income/expenses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details on the other operating income/expenses:</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FFFFFF"/>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126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700" w:type="dxa"/>
            <w:vAlign w:val="bottom"/>
            <w:shd w:val="clear" w:color="auto" w:fill="A6A6A6"/>
          </w:tcPr>
          <w:p>
            <w:pPr>
              <w:spacing w:after="0"/>
              <w:rPr>
                <w:sz w:val="18"/>
                <w:szCs w:val="18"/>
                <w:color w:val="auto"/>
              </w:rPr>
            </w:pP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30"/>
        </w:trPr>
        <w:tc>
          <w:tcPr>
            <w:tcW w:w="7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7"/>
              </w:rPr>
              <w:t>kEUR</w:t>
            </w:r>
          </w:p>
        </w:tc>
        <w:tc>
          <w:tcPr>
            <w:tcW w:w="7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91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Income from currency valuation</w:t>
            </w:r>
          </w:p>
        </w:tc>
        <w:tc>
          <w:tcPr>
            <w:tcW w:w="70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62</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income</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r>
      <w:tr>
        <w:trPr>
          <w:trHeight w:val="22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986</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from currency valuation</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payments received from customers VAT</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7,763</w:t>
            </w:r>
          </w:p>
        </w:tc>
      </w:tr>
      <w:tr>
        <w:trPr>
          <w:trHeight w:val="212"/>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 expense</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1,834</w:t>
            </w: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10,051</w:t>
            </w:r>
          </w:p>
        </w:tc>
      </w:tr>
      <w:tr>
        <w:trPr>
          <w:trHeight w:val="238"/>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OPERATING INCOME/(EXPENSES)</w:t>
            </w:r>
          </w:p>
        </w:tc>
        <w:tc>
          <w:tcPr>
            <w:tcW w:w="7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(9,065)</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nominal amount of kEUR101 was received related to grant subsidy funding from the European Commission. There are no obligations related to continued commitment to or funding from the related project.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5.5.1 Gain/(loss) on deconsolidation/reconsolidation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May of 2023 Sono Motors GmbH entered into voluntary insolvency proceedings. As a result, Sono NV lost control of the subsidiary and deconsolidated the business unit. The Company recorded a deconsolidation loss of kEUR 2,877 for the six months ended June 30, 2023.</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Notes 2 and 5.1 above, Sono NV entered into guarantee through the issuance of a comfort letter assuming responsibility for funding Sono Motors. On February 29, 2024 Sono Motors exited from voluntary insolvency through a negotiated settlement agreement. The agreement extinguished all debts by and between Sono NV and Sono Motors GmbH. At March 1, 2024, the parental guarantee and related debts were extinguished and the net assets of Sono Motors GmbH were reconsolidated resulting in a net gain of kEUR63,491.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 Interest and similar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similar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similar expenses consist primarily of activity related to accounting for hybrid debt financing and derivative activity. Interest expense for the six-month periods ending June 30, 2024 and 2023 amounted to kEUR 4,882 and kEUR 2,705 respectively. Interest income for the six-month periods ending June 30, 2024 and 2023 amounted to kEUR 5,633 and 5,172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components of interest and similar expenses: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788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r>
      <w:tr>
        <w:trPr>
          <w:trHeight w:val="216"/>
        </w:trPr>
        <w:tc>
          <w:tcPr>
            <w:tcW w:w="7880" w:type="dxa"/>
            <w:vAlign w:val="bottom"/>
            <w:shd w:val="clear" w:color="auto" w:fill="A6A6A6"/>
          </w:tcPr>
          <w:p>
            <w:pPr>
              <w:spacing w:after="0"/>
              <w:rPr>
                <w:sz w:val="18"/>
                <w:szCs w:val="18"/>
                <w:color w:val="auto"/>
              </w:rPr>
            </w:pPr>
          </w:p>
        </w:tc>
        <w:tc>
          <w:tcPr>
            <w:tcW w:w="3360" w:type="dxa"/>
            <w:vAlign w:val="bottom"/>
            <w:gridSpan w:val="2"/>
            <w:shd w:val="clear" w:color="auto" w:fill="A6A6A6"/>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Six Months Ended</w:t>
            </w:r>
          </w:p>
        </w:tc>
      </w:tr>
      <w:tr>
        <w:trPr>
          <w:trHeight w:val="229"/>
        </w:trPr>
        <w:tc>
          <w:tcPr>
            <w:tcW w:w="7880" w:type="dxa"/>
            <w:vAlign w:val="bottom"/>
            <w:shd w:val="clear" w:color="auto" w:fill="A6A6A6"/>
          </w:tcPr>
          <w:p>
            <w:pPr>
              <w:spacing w:after="0"/>
              <w:rPr>
                <w:sz w:val="19"/>
                <w:szCs w:val="19"/>
                <w:color w:val="auto"/>
              </w:rPr>
            </w:pPr>
          </w:p>
        </w:tc>
        <w:tc>
          <w:tcPr>
            <w:tcW w:w="1960" w:type="dxa"/>
            <w:vAlign w:val="bottom"/>
            <w:shd w:val="clear" w:color="auto" w:fill="A6A6A6"/>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30"/>
        </w:trPr>
        <w:tc>
          <w:tcPr>
            <w:tcW w:w="7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kEUR</w:t>
            </w: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7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Derivative day-one loss</w:t>
            </w:r>
          </w:p>
        </w:tc>
        <w:tc>
          <w:tcPr>
            <w:tcW w:w="19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4,202</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(366)</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forex</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3,033</w:t>
            </w:r>
          </w:p>
        </w:tc>
      </w:tr>
      <w:tr>
        <w:trPr>
          <w:trHeight w:val="209"/>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interest and similar expenses</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4,936</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2,705</w:t>
            </w:r>
          </w:p>
        </w:tc>
      </w:tr>
      <w:tr>
        <w:trPr>
          <w:trHeight w:val="561"/>
        </w:trPr>
        <w:tc>
          <w:tcPr>
            <w:tcW w:w="78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8"/>
        </w:trPr>
        <w:tc>
          <w:tcPr>
            <w:tcW w:w="788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140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-1268095</wp:posOffset>
            </wp:positionV>
            <wp:extent cx="2057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540"/>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components of interest and similar income:</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18"/>
                <w:szCs w:val="18"/>
                <w:color w:val="auto"/>
              </w:rPr>
            </w:pPr>
          </w:p>
        </w:tc>
        <w:tc>
          <w:tcPr>
            <w:tcW w:w="336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shd w:val="clear" w:color="auto" w:fill="A6A6A6"/>
          </w:tcPr>
          <w:p>
            <w:pPr>
              <w:spacing w:after="0"/>
              <w:rPr>
                <w:sz w:val="18"/>
                <w:szCs w:val="18"/>
                <w:color w:val="auto"/>
              </w:rPr>
            </w:pPr>
          </w:p>
        </w:tc>
        <w:tc>
          <w:tcPr>
            <w:tcW w:w="3360" w:type="dxa"/>
            <w:vAlign w:val="bottom"/>
            <w:gridSpan w:val="2"/>
            <w:shd w:val="clear" w:color="auto" w:fill="A6A6A6"/>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Six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A6A6A6"/>
          </w:tcPr>
          <w:p>
            <w:pPr>
              <w:spacing w:after="0"/>
              <w:rPr>
                <w:sz w:val="19"/>
                <w:szCs w:val="19"/>
                <w:color w:val="auto"/>
              </w:rPr>
            </w:pPr>
          </w:p>
        </w:tc>
        <w:tc>
          <w:tcPr>
            <w:tcW w:w="1960" w:type="dxa"/>
            <w:vAlign w:val="bottom"/>
            <w:shd w:val="clear" w:color="auto" w:fill="A6A6A6"/>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kEUR</w:t>
            </w: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7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Embedded derivative</w:t>
            </w:r>
          </w:p>
        </w:tc>
        <w:tc>
          <w:tcPr>
            <w:tcW w:w="19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5,627</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Embedded derivative forex</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 payments received from customers</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interest and similar income</w:t>
            </w:r>
          </w:p>
        </w:tc>
        <w:tc>
          <w:tcPr>
            <w:tcW w:w="1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5,688</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-1010920</wp:posOffset>
            </wp:positionV>
            <wp:extent cx="205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Interim condensed consolidated balance sheet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movement in the net book value of property, plant and equipment for the six-month period ended June 30, 2024:</w:t>
      </w:r>
    </w:p>
    <w:p>
      <w:pPr>
        <w:spacing w:after="0" w:line="22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8"/>
          <w:szCs w:val="18"/>
          <w:b w:val="1"/>
          <w:bCs w:val="1"/>
          <w:color w:val="FFFFFF"/>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1220" w:type="dxa"/>
            <w:vAlign w:val="bottom"/>
            <w:shd w:val="clear" w:color="auto" w:fill="A6A6A6"/>
          </w:tcPr>
          <w:p>
            <w:pPr>
              <w:jc w:val="right"/>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760" w:type="dxa"/>
            <w:vAlign w:val="bottom"/>
            <w:shd w:val="clear" w:color="auto" w:fill="A6A6A6"/>
          </w:tcPr>
          <w:p>
            <w:pPr>
              <w:spacing w:after="0"/>
              <w:rPr>
                <w:sz w:val="18"/>
                <w:szCs w:val="18"/>
                <w:color w:val="auto"/>
              </w:rPr>
            </w:pPr>
          </w:p>
        </w:tc>
        <w:tc>
          <w:tcPr>
            <w:tcW w:w="138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29"/>
        </w:trPr>
        <w:tc>
          <w:tcPr>
            <w:tcW w:w="78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7"/>
              </w:rPr>
              <w:t>kEUR</w:t>
            </w:r>
          </w:p>
        </w:tc>
        <w:tc>
          <w:tcPr>
            <w:tcW w:w="7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9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Historical cost</w:t>
            </w: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1,715</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Deconsolidation subtractions</w:t>
            </w:r>
          </w:p>
        </w:tc>
        <w:tc>
          <w:tcPr>
            <w:tcW w:w="7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34"/>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Reconsolidation additions</w:t>
            </w: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161</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w:t>
            </w: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178</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91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7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January 1,</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w:t>
            </w:r>
          </w:p>
        </w:tc>
        <w:tc>
          <w:tcPr>
            <w:tcW w:w="7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Deconsolidation subtractions</w:t>
            </w:r>
          </w:p>
        </w:tc>
        <w:tc>
          <w:tcPr>
            <w:tcW w:w="76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w:t>
            </w:r>
          </w:p>
        </w:tc>
      </w:tr>
      <w:tr>
        <w:trPr>
          <w:trHeight w:val="234"/>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Reconsolidation additions</w:t>
            </w: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(96)</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w:t>
            </w: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(102)</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87"/>
        </w:trPr>
        <w:tc>
          <w:tcPr>
            <w:tcW w:w="91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Carrying amount Jan 1,</w:t>
            </w:r>
          </w:p>
        </w:tc>
        <w:tc>
          <w:tcPr>
            <w:tcW w:w="76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371</w:t>
            </w:r>
          </w:p>
        </w:tc>
      </w:tr>
      <w:tr>
        <w:trPr>
          <w:trHeight w:val="238"/>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 June 30,</w:t>
            </w: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76</w:t>
            </w: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560"/>
        </w:trPr>
        <w:tc>
          <w:tcPr>
            <w:tcW w:w="7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8"/>
        </w:trPr>
        <w:tc>
          <w:tcPr>
            <w:tcW w:w="78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229" w:right="339" w:bottom="1440" w:gutter="0" w:footer="0" w:header="0"/>
        </w:sectPr>
      </w:pPr>
    </w:p>
    <w:bookmarkStart w:id="17" w:name="page18"/>
    <w:bookmarkEnd w:id="17"/>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property, plant and equipment was primarily impacted by Sono Motors’ Self-Administration Proceedings. As of February 29, 2024, Sono Motors exited its Self-Administration Proceedings in accordance with the Plan, which settled creditor claims related to the legacy Sion business in exchange for certain assets of Sono Motors with the excluded assets remaining with the Company and reconsolidated. Accordingly, the movement in property, plant and equipment relates primarily to the implementation of the Plan and reconsolidation of the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6.1.1 Right of use asset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Motors leases buildings and warehouses at its headquarters in Munich. At June 30, 2024, the remaining lease terms for the buildings were 3.5 to 7.5 years.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40" w:type="dxa"/>
            <w:vAlign w:val="bottom"/>
            <w:shd w:val="clear" w:color="auto" w:fill="A6A6A6"/>
          </w:tcPr>
          <w:p>
            <w:pPr>
              <w:spacing w:after="0"/>
              <w:rPr>
                <w:sz w:val="18"/>
                <w:szCs w:val="18"/>
                <w:color w:val="auto"/>
              </w:rPr>
            </w:pPr>
          </w:p>
        </w:tc>
        <w:tc>
          <w:tcPr>
            <w:tcW w:w="460" w:type="dxa"/>
            <w:vAlign w:val="bottom"/>
            <w:shd w:val="clear" w:color="auto" w:fill="A6A6A6"/>
          </w:tcPr>
          <w:p>
            <w:pPr>
              <w:spacing w:after="0"/>
              <w:rPr>
                <w:sz w:val="18"/>
                <w:szCs w:val="18"/>
                <w:color w:val="auto"/>
              </w:rPr>
            </w:pPr>
          </w:p>
        </w:tc>
        <w:tc>
          <w:tcPr>
            <w:tcW w:w="1540" w:type="dxa"/>
            <w:vAlign w:val="bottom"/>
            <w:shd w:val="clear" w:color="auto" w:fill="A6A6A6"/>
          </w:tcPr>
          <w:p>
            <w:pPr>
              <w:jc w:val="right"/>
              <w:ind w:right="370"/>
              <w:spacing w:after="0"/>
              <w:rPr>
                <w:sz w:val="20"/>
                <w:szCs w:val="20"/>
                <w:color w:val="auto"/>
              </w:rPr>
            </w:pPr>
            <w:r>
              <w:rPr>
                <w:rFonts w:ascii="Times New Roman" w:cs="Times New Roman" w:eastAsia="Times New Roman" w:hAnsi="Times New Roman"/>
                <w:sz w:val="18"/>
                <w:szCs w:val="18"/>
                <w:b w:val="1"/>
                <w:bCs w:val="1"/>
                <w:color w:val="FFFFFF"/>
              </w:rPr>
              <w:t>Buildings</w:t>
            </w:r>
          </w:p>
        </w:tc>
      </w:tr>
      <w:tr>
        <w:trPr>
          <w:trHeight w:val="216"/>
        </w:trPr>
        <w:tc>
          <w:tcPr>
            <w:tcW w:w="9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924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Right-of-use assets on January 1, 2023</w:t>
            </w:r>
          </w:p>
        </w:tc>
        <w:tc>
          <w:tcPr>
            <w:tcW w:w="460" w:type="dxa"/>
            <w:vAlign w:val="bottom"/>
          </w:tcPr>
          <w:p>
            <w:pPr>
              <w:spacing w:after="0"/>
              <w:rPr>
                <w:sz w:val="16"/>
                <w:szCs w:val="16"/>
                <w:color w:val="auto"/>
              </w:rPr>
            </w:pPr>
          </w:p>
        </w:tc>
        <w:tc>
          <w:tcPr>
            <w:tcW w:w="15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778</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Subsidiary</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0"/>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 on December 31, 2023</w:t>
            </w:r>
          </w:p>
        </w:tc>
        <w:tc>
          <w:tcPr>
            <w:tcW w:w="460" w:type="dxa"/>
            <w:vAlign w:val="bottom"/>
          </w:tcPr>
          <w:p>
            <w:pPr>
              <w:spacing w:after="0"/>
              <w:rPr>
                <w:sz w:val="19"/>
                <w:szCs w:val="19"/>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Reconsolidation of Subsidiary</w:t>
            </w:r>
          </w:p>
        </w:tc>
        <w:tc>
          <w:tcPr>
            <w:tcW w:w="4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w:t>
            </w:r>
          </w:p>
        </w:tc>
      </w:tr>
      <w:tr>
        <w:trPr>
          <w:trHeight w:val="21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right-of-use asset</w:t>
            </w:r>
          </w:p>
        </w:tc>
        <w:tc>
          <w:tcPr>
            <w:tcW w:w="4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8"/>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Right-of-use asset June 30, 2024</w:t>
            </w:r>
          </w:p>
        </w:tc>
        <w:tc>
          <w:tcPr>
            <w:tcW w:w="4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1,023</w:t>
            </w:r>
          </w:p>
        </w:tc>
      </w:tr>
      <w:tr>
        <w:trPr>
          <w:trHeight w:val="209"/>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Interest expense on lease liabilities December 31, 2023</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0"/>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Interest expense on lease liabilities six months ended June 30, 2024</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425"/>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6.2 Other current financial assets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2"/>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 below table displays information on financial instruments included in other current financial assets:</w:t>
            </w: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9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9240" w:type="dxa"/>
            <w:vAlign w:val="bottom"/>
            <w:shd w:val="clear" w:color="auto" w:fill="A6A6A6"/>
          </w:tcPr>
          <w:p>
            <w:pPr>
              <w:jc w:val="center"/>
              <w:ind w:left="827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June 30,</w:t>
            </w:r>
          </w:p>
        </w:tc>
        <w:tc>
          <w:tcPr>
            <w:tcW w:w="460" w:type="dxa"/>
            <w:vAlign w:val="bottom"/>
            <w:shd w:val="clear" w:color="auto" w:fill="A6A6A6"/>
          </w:tcPr>
          <w:p>
            <w:pPr>
              <w:spacing w:after="0"/>
              <w:rPr>
                <w:sz w:val="16"/>
                <w:szCs w:val="16"/>
                <w:color w:val="auto"/>
              </w:rPr>
            </w:pPr>
          </w:p>
        </w:tc>
        <w:tc>
          <w:tcPr>
            <w:tcW w:w="154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 31,</w:t>
            </w:r>
          </w:p>
        </w:tc>
      </w:tr>
      <w:tr>
        <w:trPr>
          <w:trHeight w:val="238"/>
        </w:trPr>
        <w:tc>
          <w:tcPr>
            <w:tcW w:w="9240" w:type="dxa"/>
            <w:vAlign w:val="bottom"/>
            <w:shd w:val="clear" w:color="auto" w:fill="A6A6A6"/>
          </w:tcPr>
          <w:p>
            <w:pPr>
              <w:jc w:val="center"/>
              <w:ind w:left="827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460" w:type="dxa"/>
            <w:vAlign w:val="bottom"/>
            <w:shd w:val="clear" w:color="auto" w:fill="A6A6A6"/>
          </w:tcPr>
          <w:p>
            <w:pPr>
              <w:spacing w:after="0"/>
              <w:rPr>
                <w:sz w:val="20"/>
                <w:szCs w:val="20"/>
                <w:color w:val="auto"/>
              </w:rPr>
            </w:pPr>
          </w:p>
        </w:tc>
        <w:tc>
          <w:tcPr>
            <w:tcW w:w="15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30"/>
        </w:trPr>
        <w:tc>
          <w:tcPr>
            <w:tcW w:w="9240" w:type="dxa"/>
            <w:vAlign w:val="bottom"/>
            <w:tcBorders>
              <w:bottom w:val="single" w:sz="8" w:color="auto"/>
            </w:tcBorders>
          </w:tcPr>
          <w:p>
            <w:pPr>
              <w:jc w:val="center"/>
              <w:ind w:left="8270"/>
              <w:spacing w:after="0"/>
              <w:rPr>
                <w:sz w:val="20"/>
                <w:szCs w:val="20"/>
                <w:color w:val="auto"/>
              </w:rPr>
            </w:pPr>
            <w:r>
              <w:rPr>
                <w:rFonts w:ascii="Times New Roman" w:cs="Times New Roman" w:eastAsia="Times New Roman" w:hAnsi="Times New Roman"/>
                <w:sz w:val="18"/>
                <w:szCs w:val="18"/>
                <w:color w:val="auto"/>
                <w:w w:val="97"/>
              </w:rPr>
              <w:t>kEUR</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9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4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15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13</w:t>
            </w:r>
          </w:p>
        </w:tc>
      </w:tr>
      <w:tr>
        <w:trPr>
          <w:trHeight w:val="234"/>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Sublease asset - related party</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9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current financial assets</w:t>
            </w:r>
          </w:p>
        </w:tc>
        <w:tc>
          <w:tcPr>
            <w:tcW w:w="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156</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terminated its sublease agreement with Sono Motors GmbH.. Other current financial assets consist primarily of prepayments related to salaries and wages.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6.3 Other current non-financial assets</w:t>
            </w: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below table displays information on financial instruments included in other current non-financial assets:</w:t>
            </w: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6"/>
        </w:trPr>
        <w:tc>
          <w:tcPr>
            <w:tcW w:w="9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9160" w:type="dxa"/>
            <w:vAlign w:val="bottom"/>
            <w:shd w:val="clear" w:color="auto" w:fill="A6A6A6"/>
          </w:tcPr>
          <w:p>
            <w:pPr>
              <w:jc w:val="center"/>
              <w:ind w:left="835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June 30,</w:t>
            </w:r>
          </w:p>
        </w:tc>
        <w:tc>
          <w:tcPr>
            <w:tcW w:w="540" w:type="dxa"/>
            <w:vAlign w:val="bottom"/>
            <w:shd w:val="clear" w:color="auto" w:fill="A6A6A6"/>
          </w:tcPr>
          <w:p>
            <w:pPr>
              <w:spacing w:after="0"/>
              <w:rPr>
                <w:sz w:val="16"/>
                <w:szCs w:val="16"/>
                <w:color w:val="auto"/>
              </w:rPr>
            </w:pPr>
          </w:p>
        </w:tc>
        <w:tc>
          <w:tcPr>
            <w:tcW w:w="154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 31,</w:t>
            </w:r>
          </w:p>
        </w:tc>
      </w:tr>
      <w:tr>
        <w:trPr>
          <w:trHeight w:val="238"/>
        </w:trPr>
        <w:tc>
          <w:tcPr>
            <w:tcW w:w="9160" w:type="dxa"/>
            <w:vAlign w:val="bottom"/>
            <w:shd w:val="clear" w:color="auto" w:fill="A6A6A6"/>
          </w:tcPr>
          <w:p>
            <w:pPr>
              <w:jc w:val="center"/>
              <w:ind w:left="835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540" w:type="dxa"/>
            <w:vAlign w:val="bottom"/>
            <w:shd w:val="clear" w:color="auto" w:fill="A6A6A6"/>
          </w:tcPr>
          <w:p>
            <w:pPr>
              <w:spacing w:after="0"/>
              <w:rPr>
                <w:sz w:val="20"/>
                <w:szCs w:val="20"/>
                <w:color w:val="auto"/>
              </w:rPr>
            </w:pPr>
          </w:p>
        </w:tc>
        <w:tc>
          <w:tcPr>
            <w:tcW w:w="15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29"/>
        </w:trPr>
        <w:tc>
          <w:tcPr>
            <w:tcW w:w="9160" w:type="dxa"/>
            <w:vAlign w:val="bottom"/>
            <w:tcBorders>
              <w:bottom w:val="single" w:sz="8" w:color="auto"/>
            </w:tcBorders>
          </w:tcPr>
          <w:p>
            <w:pPr>
              <w:jc w:val="center"/>
              <w:ind w:left="8350"/>
              <w:spacing w:after="0"/>
              <w:rPr>
                <w:sz w:val="20"/>
                <w:szCs w:val="20"/>
                <w:color w:val="auto"/>
              </w:rPr>
            </w:pPr>
            <w:r>
              <w:rPr>
                <w:rFonts w:ascii="Times New Roman" w:cs="Times New Roman" w:eastAsia="Times New Roman" w:hAnsi="Times New Roman"/>
                <w:sz w:val="18"/>
                <w:szCs w:val="18"/>
                <w:color w:val="auto"/>
                <w:w w:val="97"/>
              </w:rPr>
              <w:t>kEUR</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9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Prepayments</w:t>
            </w:r>
          </w:p>
        </w:tc>
        <w:tc>
          <w:tcPr>
            <w:tcW w:w="5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249</w:t>
            </w:r>
          </w:p>
        </w:tc>
        <w:tc>
          <w:tcPr>
            <w:tcW w:w="15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117</w:t>
            </w:r>
          </w:p>
        </w:tc>
      </w:tr>
      <w:tr>
        <w:trPr>
          <w:trHeight w:val="234"/>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r>
      <w:tr>
        <w:trPr>
          <w:trHeight w:val="209"/>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current non-financial assets</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489</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2024, prepayments reflect prepaid operating expense items and vendor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6.4 Equity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equity of Sono Group comprises subscribed capital, capital reserves, other reserves and accumulated deficit. At June 30, 2024 and December 31, 2023, the subscribed capital amounted to kEUR 10,843 and kEUR 10,840 respectively and represented 108,711,643 and 108,667,115 fully paid-in member shares with a par value of EUR 0.06 (ordinary shares EUR 0.06 and EUR 1.50 and high voting shares, EUR 1.50). Capital reserves include any amounts paid in by the owners that exceed the member shares’ par value. Other reserves include mainly effects from equity-settled stock-options. Accumulated deficit consists of losses from prior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1, 2023, through March 31. 2023 and in accordance with the convertible debenture agreements from December 7, December 8, and December 20, 2022, between the Company and Yorkville, the Company issued 14,625,800 ordinary shares to Yorkville to convert a principal amount of kUSD 10,850 (kEUR 10,099) plus accrued interest of kUSD 145 )kEUR 135)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 Financial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6.5.1 Financial liabilities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6.5.1.1 Offsetting of financial assets and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Sono Group neither applies offsetting in the balance sheet nor has any instruments that are subject to a legally enforceable master netting arrangement or a similar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6.5.1.2 Carrying amounts and fair values</w:t>
            </w:r>
          </w:p>
        </w:tc>
        <w:tc>
          <w:tcPr>
            <w:tcW w:w="1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2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A6A6A6"/>
          </w:tcPr>
          <w:p>
            <w:pPr>
              <w:spacing w:after="0"/>
              <w:rPr>
                <w:sz w:val="18"/>
                <w:szCs w:val="18"/>
                <w:color w:val="auto"/>
              </w:rPr>
            </w:pPr>
          </w:p>
        </w:tc>
        <w:tc>
          <w:tcPr>
            <w:tcW w:w="1660" w:type="dxa"/>
            <w:vAlign w:val="bottom"/>
            <w:shd w:val="clear" w:color="auto" w:fill="A6A6A6"/>
          </w:tcPr>
          <w:p>
            <w:pPr>
              <w:spacing w:after="0"/>
              <w:rPr>
                <w:sz w:val="18"/>
                <w:szCs w:val="18"/>
                <w:color w:val="auto"/>
              </w:rPr>
            </w:pPr>
          </w:p>
        </w:tc>
        <w:tc>
          <w:tcPr>
            <w:tcW w:w="2820" w:type="dxa"/>
            <w:vAlign w:val="bottom"/>
            <w:gridSpan w:val="2"/>
            <w:shd w:val="clear" w:color="auto" w:fill="A6A6A6"/>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June 30, 2024</w:t>
            </w:r>
          </w:p>
        </w:tc>
        <w:tc>
          <w:tcPr>
            <w:tcW w:w="13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A6A6A6"/>
          </w:tcPr>
          <w:p>
            <w:pPr>
              <w:spacing w:after="0"/>
              <w:rPr>
                <w:sz w:val="16"/>
                <w:szCs w:val="16"/>
                <w:color w:val="auto"/>
              </w:rPr>
            </w:pPr>
          </w:p>
        </w:tc>
        <w:tc>
          <w:tcPr>
            <w:tcW w:w="1660" w:type="dxa"/>
            <w:vAlign w:val="bottom"/>
            <w:shd w:val="clear" w:color="auto" w:fill="A6A6A6"/>
          </w:tcPr>
          <w:p>
            <w:pPr>
              <w:jc w:val="right"/>
              <w:ind w:right="490"/>
              <w:spacing w:after="0" w:line="194" w:lineRule="exact"/>
              <w:rPr>
                <w:sz w:val="20"/>
                <w:szCs w:val="20"/>
                <w:color w:val="auto"/>
              </w:rPr>
            </w:pPr>
            <w:r>
              <w:rPr>
                <w:rFonts w:ascii="Times New Roman" w:cs="Times New Roman" w:eastAsia="Times New Roman" w:hAnsi="Times New Roman"/>
                <w:sz w:val="18"/>
                <w:szCs w:val="18"/>
                <w:b w:val="1"/>
                <w:bCs w:val="1"/>
                <w:color w:val="FFFFFF"/>
              </w:rPr>
              <w:t>Carrying</w:t>
            </w:r>
          </w:p>
        </w:tc>
        <w:tc>
          <w:tcPr>
            <w:tcW w:w="1400" w:type="dxa"/>
            <w:vAlign w:val="bottom"/>
            <w:shd w:val="clear" w:color="auto" w:fill="A6A6A6"/>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FFFFFF"/>
              </w:rPr>
              <w:t>Category</w:t>
            </w:r>
          </w:p>
        </w:tc>
        <w:tc>
          <w:tcPr>
            <w:tcW w:w="1420" w:type="dxa"/>
            <w:vAlign w:val="bottom"/>
            <w:shd w:val="clear" w:color="auto" w:fill="A6A6A6"/>
          </w:tcPr>
          <w:p>
            <w:pPr>
              <w:spacing w:after="0"/>
              <w:rPr>
                <w:sz w:val="16"/>
                <w:szCs w:val="16"/>
                <w:color w:val="auto"/>
              </w:rPr>
            </w:pPr>
          </w:p>
        </w:tc>
        <w:tc>
          <w:tcPr>
            <w:tcW w:w="1360" w:type="dxa"/>
            <w:vAlign w:val="bottom"/>
            <w:shd w:val="clear" w:color="auto" w:fill="A6A6A6"/>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FFFFFF"/>
              </w:rPr>
              <w:t>Fair Value</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auto"/>
            </w:tcBorders>
            <w:shd w:val="clear" w:color="auto" w:fill="A6A6A6"/>
          </w:tcPr>
          <w:p>
            <w:pPr>
              <w:spacing w:after="0"/>
              <w:rPr>
                <w:sz w:val="20"/>
                <w:szCs w:val="20"/>
                <w:color w:val="auto"/>
              </w:rPr>
            </w:pPr>
          </w:p>
        </w:tc>
        <w:tc>
          <w:tcPr>
            <w:tcW w:w="1660" w:type="dxa"/>
            <w:vAlign w:val="bottom"/>
            <w:tcBorders>
              <w:bottom w:val="single" w:sz="8" w:color="auto"/>
            </w:tcBorders>
            <w:shd w:val="clear" w:color="auto" w:fill="A6A6A6"/>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Amount</w:t>
            </w:r>
          </w:p>
        </w:tc>
        <w:tc>
          <w:tcPr>
            <w:tcW w:w="1400" w:type="dxa"/>
            <w:vAlign w:val="bottom"/>
            <w:tcBorders>
              <w:bottom w:val="single" w:sz="8" w:color="auto"/>
            </w:tcBorders>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(IFRS 9)</w:t>
            </w:r>
          </w:p>
        </w:tc>
        <w:tc>
          <w:tcPr>
            <w:tcW w:w="142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1360" w:type="dxa"/>
            <w:vAlign w:val="bottom"/>
            <w:tcBorders>
              <w:bottom w:val="single" w:sz="8" w:color="auto"/>
            </w:tcBorders>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Level</w:t>
            </w:r>
          </w:p>
        </w:tc>
        <w:tc>
          <w:tcPr>
            <w:tcW w:w="0" w:type="dxa"/>
            <w:vAlign w:val="bottom"/>
          </w:tcPr>
          <w:p>
            <w:pPr>
              <w:spacing w:after="0"/>
              <w:rPr>
                <w:sz w:val="1"/>
                <w:szCs w:val="1"/>
                <w:color w:val="auto"/>
              </w:rPr>
            </w:pPr>
          </w:p>
        </w:tc>
      </w:tr>
      <w:tr>
        <w:trPr>
          <w:trHeight w:val="22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financial assets</w:t>
            </w:r>
          </w:p>
        </w:tc>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kEUR</w:t>
            </w:r>
          </w:p>
        </w:tc>
        <w:tc>
          <w:tcPr>
            <w:tcW w:w="1400" w:type="dxa"/>
            <w:vAlign w:val="bottom"/>
          </w:tcPr>
          <w:p>
            <w:pPr>
              <w:spacing w:after="0"/>
              <w:rPr>
                <w:sz w:val="19"/>
                <w:szCs w:val="19"/>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financial assets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deposits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financial assets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2,191</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liabilities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938</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liabilities</w:t>
            </w:r>
          </w:p>
        </w:tc>
        <w:tc>
          <w:tcPr>
            <w:tcW w:w="1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(host contracts)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21,776</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21,776</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(embedded derivatives)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4,002</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FVTPL</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4,002</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(deferred day-one gain)</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1,043</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(day-one loss)</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(364)</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713</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payables</w:t>
            </w:r>
          </w:p>
        </w:tc>
        <w:tc>
          <w:tcPr>
            <w:tcW w:w="1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564</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5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A6A6A6"/>
          </w:tcPr>
          <w:p>
            <w:pPr>
              <w:spacing w:after="0"/>
              <w:rPr>
                <w:sz w:val="18"/>
                <w:szCs w:val="18"/>
                <w:color w:val="auto"/>
              </w:rPr>
            </w:pPr>
          </w:p>
        </w:tc>
        <w:tc>
          <w:tcPr>
            <w:tcW w:w="1620" w:type="dxa"/>
            <w:vAlign w:val="bottom"/>
            <w:shd w:val="clear" w:color="auto" w:fill="A6A6A6"/>
          </w:tcPr>
          <w:p>
            <w:pPr>
              <w:spacing w:after="0"/>
              <w:rPr>
                <w:sz w:val="18"/>
                <w:szCs w:val="18"/>
                <w:color w:val="auto"/>
              </w:rPr>
            </w:pPr>
          </w:p>
        </w:tc>
        <w:tc>
          <w:tcPr>
            <w:tcW w:w="2860" w:type="dxa"/>
            <w:vAlign w:val="bottom"/>
            <w:gridSpan w:val="2"/>
            <w:shd w:val="clear" w:color="auto" w:fill="A6A6A6"/>
          </w:tcPr>
          <w:p>
            <w:pPr>
              <w:jc w:val="right"/>
              <w:ind w:right="730"/>
              <w:spacing w:after="0"/>
              <w:rPr>
                <w:sz w:val="20"/>
                <w:szCs w:val="20"/>
                <w:color w:val="auto"/>
              </w:rPr>
            </w:pPr>
            <w:r>
              <w:rPr>
                <w:rFonts w:ascii="Times New Roman" w:cs="Times New Roman" w:eastAsia="Times New Roman" w:hAnsi="Times New Roman"/>
                <w:sz w:val="18"/>
                <w:szCs w:val="18"/>
                <w:b w:val="1"/>
                <w:bCs w:val="1"/>
                <w:color w:val="FFFFFF"/>
              </w:rPr>
              <w:t>December 31, 2024</w:t>
            </w:r>
          </w:p>
        </w:tc>
        <w:tc>
          <w:tcPr>
            <w:tcW w:w="13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00" w:type="dxa"/>
            <w:vAlign w:val="bottom"/>
            <w:shd w:val="clear" w:color="auto" w:fill="A6A6A6"/>
          </w:tcPr>
          <w:p>
            <w:pPr>
              <w:spacing w:after="0"/>
              <w:rPr>
                <w:sz w:val="16"/>
                <w:szCs w:val="16"/>
                <w:color w:val="auto"/>
              </w:rPr>
            </w:pPr>
          </w:p>
        </w:tc>
        <w:tc>
          <w:tcPr>
            <w:tcW w:w="1620" w:type="dxa"/>
            <w:vAlign w:val="bottom"/>
            <w:shd w:val="clear" w:color="auto" w:fill="A6A6A6"/>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FFFFFF"/>
              </w:rPr>
              <w:t>Carrying</w:t>
            </w:r>
          </w:p>
        </w:tc>
        <w:tc>
          <w:tcPr>
            <w:tcW w:w="1440" w:type="dxa"/>
            <w:vAlign w:val="bottom"/>
            <w:shd w:val="clear" w:color="auto" w:fill="A6A6A6"/>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FFFFFF"/>
              </w:rPr>
              <w:t>Category</w:t>
            </w:r>
          </w:p>
        </w:tc>
        <w:tc>
          <w:tcPr>
            <w:tcW w:w="1420" w:type="dxa"/>
            <w:vAlign w:val="bottom"/>
            <w:shd w:val="clear" w:color="auto" w:fill="A6A6A6"/>
          </w:tcPr>
          <w:p>
            <w:pPr>
              <w:spacing w:after="0"/>
              <w:rPr>
                <w:sz w:val="16"/>
                <w:szCs w:val="16"/>
                <w:color w:val="auto"/>
              </w:rPr>
            </w:pPr>
          </w:p>
        </w:tc>
        <w:tc>
          <w:tcPr>
            <w:tcW w:w="1360" w:type="dxa"/>
            <w:vAlign w:val="bottom"/>
            <w:shd w:val="clear" w:color="auto" w:fill="A6A6A6"/>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FFFFFF"/>
              </w:rPr>
              <w:t>Fair Value</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auto"/>
            </w:tcBorders>
            <w:shd w:val="clear" w:color="auto" w:fill="A6A6A6"/>
          </w:tcPr>
          <w:p>
            <w:pPr>
              <w:spacing w:after="0"/>
              <w:rPr>
                <w:sz w:val="20"/>
                <w:szCs w:val="20"/>
                <w:color w:val="auto"/>
              </w:rPr>
            </w:pPr>
          </w:p>
        </w:tc>
        <w:tc>
          <w:tcPr>
            <w:tcW w:w="1620" w:type="dxa"/>
            <w:vAlign w:val="bottom"/>
            <w:tcBorders>
              <w:bottom w:val="single" w:sz="8" w:color="auto"/>
            </w:tcBorders>
            <w:shd w:val="clear" w:color="auto" w:fill="A6A6A6"/>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Amount</w:t>
            </w:r>
          </w:p>
        </w:tc>
        <w:tc>
          <w:tcPr>
            <w:tcW w:w="1440" w:type="dxa"/>
            <w:vAlign w:val="bottom"/>
            <w:tcBorders>
              <w:bottom w:val="single" w:sz="8" w:color="auto"/>
            </w:tcBorders>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(IFRS 9)</w:t>
            </w:r>
          </w:p>
        </w:tc>
        <w:tc>
          <w:tcPr>
            <w:tcW w:w="1420" w:type="dxa"/>
            <w:vAlign w:val="bottom"/>
            <w:tcBorders>
              <w:bottom w:val="single" w:sz="8" w:color="auto"/>
            </w:tcBorders>
            <w:shd w:val="clear" w:color="auto" w:fill="A6A6A6"/>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Fair Value</w:t>
            </w:r>
          </w:p>
        </w:tc>
        <w:tc>
          <w:tcPr>
            <w:tcW w:w="1360" w:type="dxa"/>
            <w:vAlign w:val="bottom"/>
            <w:tcBorders>
              <w:bottom w:val="single" w:sz="8" w:color="auto"/>
            </w:tcBorders>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Level</w:t>
            </w:r>
          </w:p>
        </w:tc>
        <w:tc>
          <w:tcPr>
            <w:tcW w:w="0" w:type="dxa"/>
            <w:vAlign w:val="bottom"/>
          </w:tcPr>
          <w:p>
            <w:pPr>
              <w:spacing w:after="0"/>
              <w:rPr>
                <w:sz w:val="1"/>
                <w:szCs w:val="1"/>
                <w:color w:val="auto"/>
              </w:rPr>
            </w:pPr>
          </w:p>
        </w:tc>
      </w:tr>
      <w:tr>
        <w:trPr>
          <w:trHeight w:val="228"/>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 financial assets</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kEUR</w:t>
            </w:r>
          </w:p>
        </w:tc>
        <w:tc>
          <w:tcPr>
            <w:tcW w:w="1440" w:type="dxa"/>
            <w:vAlign w:val="bottom"/>
          </w:tcPr>
          <w:p>
            <w:pPr>
              <w:spacing w:after="0"/>
              <w:rPr>
                <w:sz w:val="19"/>
                <w:szCs w:val="19"/>
                <w:color w:val="auto"/>
              </w:rPr>
            </w:pPr>
          </w:p>
        </w:tc>
        <w:tc>
          <w:tcPr>
            <w:tcW w:w="14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40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financial assets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asset</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979</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deposits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assets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financial assets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asset</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7,412</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Noncurrent financial liabilities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987</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Current financial liabilities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liabilities</w:t>
            </w:r>
          </w:p>
        </w:tc>
        <w:tc>
          <w:tcPr>
            <w:tcW w:w="1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payable</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14,798</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(host contracts)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15,042</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16,771</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(embedded derivatives)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5,808</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FVTPL</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5,808</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debentures (deferred day 1 gain)</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2,311</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1,221</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payables</w:t>
            </w: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270</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FLAC</w:t>
            </w:r>
          </w:p>
        </w:tc>
        <w:tc>
          <w:tcPr>
            <w:tcW w:w="1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The carrying amount approximately equals the fair value, thus no separate fair value disclosure is needed according to IFRS 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each of the categories listed above as defined according to IFRS 9 as of the reporting dates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bottom w:val="single" w:sz="8" w:color="auto"/>
            </w:tcBorders>
            <w:shd w:val="clear" w:color="auto" w:fill="A6A6A6"/>
          </w:tcPr>
          <w:p>
            <w:pPr>
              <w:spacing w:after="0"/>
              <w:rPr>
                <w:sz w:val="18"/>
                <w:szCs w:val="18"/>
                <w:color w:val="auto"/>
              </w:rPr>
            </w:pPr>
          </w:p>
        </w:tc>
        <w:tc>
          <w:tcPr>
            <w:tcW w:w="2820" w:type="dxa"/>
            <w:vAlign w:val="bottom"/>
            <w:tcBorders>
              <w:bottom w:val="single" w:sz="8" w:color="auto"/>
            </w:tcBorders>
            <w:shd w:val="clear" w:color="auto" w:fill="A6A6A6"/>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June 30, 2024</w:t>
            </w:r>
          </w:p>
        </w:tc>
        <w:tc>
          <w:tcPr>
            <w:tcW w:w="1660" w:type="dxa"/>
            <w:vAlign w:val="bottom"/>
            <w:tcBorders>
              <w:bottom w:val="single" w:sz="8" w:color="auto"/>
            </w:tcBorders>
            <w:shd w:val="clear" w:color="auto" w:fill="A6A6A6"/>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December 31,2023</w:t>
            </w:r>
          </w:p>
        </w:tc>
      </w:tr>
      <w:tr>
        <w:trPr>
          <w:trHeight w:val="209"/>
        </w:trPr>
        <w:tc>
          <w:tcPr>
            <w:tcW w:w="67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kEUR</w:t>
            </w: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Financial assets measured at amortized cost (AC)</w:t>
            </w:r>
          </w:p>
        </w:tc>
        <w:tc>
          <w:tcPr>
            <w:tcW w:w="28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2,241</w:t>
            </w:r>
          </w:p>
        </w:tc>
        <w:tc>
          <w:tcPr>
            <w:tcW w:w="16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8,462</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amortized cost (FLAC)</w:t>
            </w:r>
          </w:p>
        </w:tc>
        <w:tc>
          <w:tcPr>
            <w:tcW w:w="2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23,053</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31,204</w:t>
            </w:r>
          </w:p>
        </w:tc>
      </w:tr>
      <w:tr>
        <w:trPr>
          <w:trHeight w:val="234"/>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liabilities measured at fair value through profit or loss (FVTPL)</w:t>
            </w:r>
          </w:p>
        </w:tc>
        <w:tc>
          <w:tcPr>
            <w:tcW w:w="2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4,002</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5,808</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recurring level 3 fair value measurements (i.e., derivatives embedded in the convertible debentures) for the period ended June 30, 2024 and December 31,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shd w:val="clear" w:color="auto" w:fill="A6A6A6"/>
          </w:tcPr>
          <w:p>
            <w:pPr>
              <w:spacing w:after="0"/>
              <w:rPr>
                <w:sz w:val="17"/>
                <w:szCs w:val="17"/>
                <w:color w:val="auto"/>
              </w:rPr>
            </w:pPr>
          </w:p>
        </w:tc>
        <w:tc>
          <w:tcPr>
            <w:tcW w:w="3440" w:type="dxa"/>
            <w:vAlign w:val="bottom"/>
            <w:shd w:val="clear" w:color="auto" w:fill="A6A6A6"/>
          </w:tcPr>
          <w:p>
            <w:pPr>
              <w:jc w:val="center"/>
              <w:ind w:left="1250"/>
              <w:spacing w:after="0"/>
              <w:rPr>
                <w:sz w:val="20"/>
                <w:szCs w:val="20"/>
                <w:color w:val="auto"/>
              </w:rPr>
            </w:pPr>
            <w:r>
              <w:rPr>
                <w:rFonts w:ascii="Times New Roman" w:cs="Times New Roman" w:eastAsia="Times New Roman" w:hAnsi="Times New Roman"/>
                <w:sz w:val="18"/>
                <w:szCs w:val="18"/>
                <w:b w:val="1"/>
                <w:bCs w:val="1"/>
                <w:color w:val="FFFFFF"/>
                <w:w w:val="97"/>
              </w:rPr>
              <w:t>Yorkville 1-3</w:t>
            </w:r>
          </w:p>
        </w:tc>
        <w:tc>
          <w:tcPr>
            <w:tcW w:w="1560" w:type="dxa"/>
            <w:vAlign w:val="bottom"/>
            <w:shd w:val="clear" w:color="auto" w:fill="A6A6A6"/>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8"/>
              </w:rPr>
              <w:t>Yorkville 4</w:t>
            </w:r>
          </w:p>
        </w:tc>
        <w:tc>
          <w:tcPr>
            <w:tcW w:w="1600" w:type="dxa"/>
            <w:vAlign w:val="bottom"/>
            <w:shd w:val="clear" w:color="auto" w:fill="A6A6A6"/>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8"/>
              </w:rPr>
              <w:t>Total Embedded</w:t>
            </w:r>
          </w:p>
        </w:tc>
      </w:tr>
      <w:tr>
        <w:trPr>
          <w:trHeight w:val="238"/>
        </w:trPr>
        <w:tc>
          <w:tcPr>
            <w:tcW w:w="4640" w:type="dxa"/>
            <w:vAlign w:val="bottom"/>
            <w:tcBorders>
              <w:bottom w:val="single" w:sz="8" w:color="auto"/>
            </w:tcBorders>
            <w:shd w:val="clear" w:color="auto" w:fill="A6A6A6"/>
          </w:tcPr>
          <w:p>
            <w:pPr>
              <w:spacing w:after="0"/>
              <w:rPr>
                <w:sz w:val="20"/>
                <w:szCs w:val="20"/>
                <w:color w:val="auto"/>
              </w:rPr>
            </w:pPr>
          </w:p>
        </w:tc>
        <w:tc>
          <w:tcPr>
            <w:tcW w:w="3440" w:type="dxa"/>
            <w:vAlign w:val="bottom"/>
            <w:tcBorders>
              <w:bottom w:val="single" w:sz="8" w:color="auto"/>
            </w:tcBorders>
            <w:shd w:val="clear" w:color="auto" w:fill="A6A6A6"/>
          </w:tcPr>
          <w:p>
            <w:pPr>
              <w:jc w:val="center"/>
              <w:ind w:left="1270"/>
              <w:spacing w:after="0"/>
              <w:rPr>
                <w:sz w:val="20"/>
                <w:szCs w:val="20"/>
                <w:color w:val="auto"/>
              </w:rPr>
            </w:pPr>
            <w:r>
              <w:rPr>
                <w:rFonts w:ascii="Times New Roman" w:cs="Times New Roman" w:eastAsia="Times New Roman" w:hAnsi="Times New Roman"/>
                <w:sz w:val="18"/>
                <w:szCs w:val="18"/>
                <w:b w:val="1"/>
                <w:bCs w:val="1"/>
                <w:color w:val="FFFFFF"/>
                <w:w w:val="99"/>
              </w:rPr>
              <w:t>Derivative</w:t>
            </w:r>
          </w:p>
        </w:tc>
        <w:tc>
          <w:tcPr>
            <w:tcW w:w="1560" w:type="dxa"/>
            <w:vAlign w:val="bottom"/>
            <w:tcBorders>
              <w:bottom w:val="single" w:sz="8" w:color="auto"/>
            </w:tcBorders>
            <w:shd w:val="clear" w:color="auto" w:fill="A6A6A6"/>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Derivative</w:t>
            </w:r>
          </w:p>
        </w:tc>
        <w:tc>
          <w:tcPr>
            <w:tcW w:w="1600" w:type="dxa"/>
            <w:vAlign w:val="bottom"/>
            <w:tcBorders>
              <w:bottom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Derivatives</w:t>
            </w:r>
          </w:p>
        </w:tc>
      </w:tr>
      <w:tr>
        <w:trPr>
          <w:trHeight w:val="187"/>
        </w:trPr>
        <w:tc>
          <w:tcPr>
            <w:tcW w:w="4640" w:type="dxa"/>
            <w:vAlign w:val="bottom"/>
          </w:tcPr>
          <w:p>
            <w:pPr>
              <w:spacing w:after="0"/>
              <w:rPr>
                <w:sz w:val="16"/>
                <w:szCs w:val="16"/>
                <w:color w:val="auto"/>
              </w:rPr>
            </w:pPr>
          </w:p>
        </w:tc>
        <w:tc>
          <w:tcPr>
            <w:tcW w:w="3440" w:type="dxa"/>
            <w:vAlign w:val="bottom"/>
          </w:tcPr>
          <w:p>
            <w:pPr>
              <w:jc w:val="center"/>
              <w:ind w:left="1290"/>
              <w:spacing w:after="0" w:line="188" w:lineRule="exact"/>
              <w:rPr>
                <w:sz w:val="20"/>
                <w:szCs w:val="20"/>
                <w:color w:val="auto"/>
              </w:rPr>
            </w:pPr>
            <w:r>
              <w:rPr>
                <w:rFonts w:ascii="Times New Roman" w:cs="Times New Roman" w:eastAsia="Times New Roman" w:hAnsi="Times New Roman"/>
                <w:sz w:val="18"/>
                <w:szCs w:val="18"/>
                <w:color w:val="auto"/>
              </w:rPr>
              <w:t>kEUR</w:t>
            </w:r>
          </w:p>
        </w:tc>
        <w:tc>
          <w:tcPr>
            <w:tcW w:w="156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color w:val="auto"/>
              </w:rPr>
              <w:t>kEUR</w:t>
            </w:r>
          </w:p>
        </w:tc>
        <w:tc>
          <w:tcPr>
            <w:tcW w:w="1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kEUR</w:t>
            </w: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Carrying Value December 31, 2023</w:t>
            </w:r>
          </w:p>
        </w:tc>
        <w:tc>
          <w:tcPr>
            <w:tcW w:w="34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5,808</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Issue date February 2, 2024</w:t>
            </w:r>
          </w:p>
        </w:tc>
        <w:tc>
          <w:tcPr>
            <w:tcW w:w="3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1,279</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interest expense</w:t>
            </w:r>
          </w:p>
        </w:tc>
        <w:tc>
          <w:tcPr>
            <w:tcW w:w="3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(2,555)</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3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169</w:t>
            </w:r>
          </w:p>
        </w:tc>
        <w:tc>
          <w:tcPr>
            <w:tcW w:w="1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38"/>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Carrying value June 30, 2024</w:t>
            </w:r>
          </w:p>
        </w:tc>
        <w:tc>
          <w:tcPr>
            <w:tcW w:w="3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3,422</w:t>
            </w:r>
          </w:p>
        </w:tc>
        <w:tc>
          <w:tcPr>
            <w:tcW w:w="15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580</w:t>
            </w: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financial assets and liabilities for which the fair value is measured or disclosed in the consolidated financial statements are categorized according to the fair value hierarchy, described as follows, based on the lowest level input that is significant to the fair value measurement as a whole:</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(unadjusted)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inputs, other than quoted prices included within Level 1, which are directly or indirectly observable.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for the asset or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6.5.2 Convertible debentures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Debentures 1-3</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January 1, 2023, through March 31, 2023 and in accordance with the 2022 convertible debenture agreements from December 7, December 8, and December 20, 2022, between the Company and Yorkville, the Company issued 14,625,800 ordinary shares to Yorkville to convert a principal amount of kUSD 10,850 (kEUR 10,099) plus accrued interest of kUSD 145 (kEUR 135).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contractual terms of the 2022 convertible debentures were renegotiated and significantly amended. The amendment resulted in substantially different terms of the contract and, consequently, in derecognition of the original financial liability. A new financial liability, the modified convertible debentures, was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significant differences to the 2022 convertible debentures are as follows: If not converted (either partially or in whole), the modified convertible debentures are repayable, including interest, at maturity on July 1, 2025; The conversion price is the lower of USD 0.25 and 85% of the minimum daily volume-weighted average price on the seven trading days before conversion but not lower than the “floor price” of 20% of the closing price on the trading day immediately prior to the effective date of the amendment to convertible debentures, dated as of November 17, 2023; The trading volume limitations are the same as the 2022 convertible debentures, including that Yorkville shall not have the right to convert any portion of the debentures or receive ordinary shares that would result in it and its affiliates beneficially owing in excess of 4.99% of the number of ordinary shares outstanding immediately after conversion, other than the change in the “fixed conversion 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day-one gains will be amortized pro rata on a straight-line basis until the end of October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Yorkville Convertible Debentures 4</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 2024 the Company issued a convertible debenture to Yorkville with an aggregate nominal amount of kUSD 4,318 (kEUR 4,000) and an interest rate of 12% p.a. (18% p.a. upon event of default or “triggering event”). On August 30, 2024 the Company issued a convertible debenture to Yorkville with an aggregate nominal amount of kUSD 3,338 (kEUR 3,000) and an interest rate of 12% p.a. (18% p.a. upon event of default or “triggering event”). The 2024 convertible debentures are convertible into ordinary shares of the Company. The number of ordinary shares issuable upon conversion is determined by dividing the conversion amount (portion of principal and/or accrued interest to be converted) by the conversion price. The conversion price was the lower of USD .25 or 85% of the minimum daily volume-weighted average price on the seven trading days before conversion.</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conversion is subject to certain limitations and conditions, including that Yorkville shall not have the right to convert any portion of the debentures or receive ordinary shares that would result in it and its affiliates beneficially owing in excess of 4.99% of the number of ordinary shares outstanding immediately after conversion.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 limitations were the trading volume, the conversion price of the shares, and the conversion amount. The agreement was subject to several default event clauses, which could have accelerated repayment.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contractual rights, in particular the conversion rights, can lead to changed cash flows and represent embedded derivative, so that the contract consisted of a host contract and embedded derivative as financial instruments. The embedded derivative (measured at FVTPL) was separated from the host (measured at amortized cost) and accounted for separately, as the economic characteristics and risks are not closely related to the host. The conversion rights of the 2024 convertible debentures were not an equity instrument but a liability, as the conversion features of the loan lead to a conversion into a variable number of shares. The conversion features and any other options provided for in the contracts of the 2024 convertible debentures that have to be bifurcated were treated as a combined embedded derivative as they share the same risk exposure and are interdependent. As the fair value of the 2024 convertible debentures (total fair values of the host contract and embedded derivatives) differed from the transaction price at initial recognition, this difference kEUR 755 was deferred (day-one loss) calculated as the difference between the inception date fair of kEUR 4,755 and net proceeds of kEUR 4,000. The carrying amount of the host contracts and embedded derivatives are presented in the same financial statement line item net of the deferred day-one losses or gains. The deferred day-one losses are being amortized pro rata on a straight-line basis until the end of October 2024.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input factors that flow into the valuation model include the observable input factors share price, exchange rate USD/ EUR and risk-free interest rate. Management assessed that the main unobservable input factors are the credit spread, probability of default, expected recovery rate in case of event of default, expected monthly conversion amounts in equity and expected share price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judgments, estimates and assumptions were made in relation to these input factors:</w:t>
      </w:r>
    </w:p>
    <w:p>
      <w:pPr>
        <w:spacing w:after="0" w:line="225" w:lineRule="exact"/>
        <w:rPr>
          <w:sz w:val="20"/>
          <w:szCs w:val="20"/>
          <w:color w:val="auto"/>
        </w:rPr>
      </w:pPr>
    </w:p>
    <w:p>
      <w:pPr>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12-month rates of Secured Overnight Financing Rates (SOFR) which is in line with the 12-month time horizon of the maturity date and simulation model.</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used in the discounted cash flow model is adjusted for the credit spread with the assumption that Sono Group ́scredit risk is equivalent to a Standard &amp; Poor's rating scale of C or a Moody's rating scale of Caa-3.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ind w:left="11060"/>
        <w:spacing w:after="0"/>
        <w:rPr>
          <w:sz w:val="20"/>
          <w:szCs w:val="20"/>
          <w:color w:val="auto"/>
        </w:rPr>
      </w:pPr>
      <w:r>
        <w:rPr>
          <w:rFonts w:ascii="Times New Roman" w:cs="Times New Roman" w:eastAsia="Times New Roman" w:hAnsi="Times New Roman"/>
          <w:sz w:val="18"/>
          <w:szCs w:val="18"/>
          <w:color w:val="auto"/>
        </w:rPr>
        <w:t>20</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schedule for the convertible debentures is based on three possible scenarios weighted with relevant probabilities. Scenario one: expected average monthly trading volumes over the time period until the conversion of the total amount of the modified convertible debentures at the end of October 2024. Scenario two: expected average monthly trading volumes over the time period until the conversion of the total amount of the modified convertible debentures at the end of June 2025. Scenario three: expected average monthly trading volumes over the time period until the conversion of the total amount of the modified convertible debentures at the end of December 2025, which would include an extension of the maturity of the modified convertible debentures to December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stock trading volume for the Group’s shares being significantly lower than in the previous year, a peer group of shares with similar characteristics as Sono Group was used instead of Sono Group’s shares to assess the expected share price volatility for the modified convertible debentures.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December 31, 2023 and June 30, 2024 balance sheet dates, the contractual rights to extend the term or to early repay the modified convertible debentures was assumed not to be exercised, based on the expected conversion schedule, therefore these rights are not modeled. This is not necessarily indicative of exercise patterns that may occur.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carrying amount of the total hybrid :</w:t>
            </w:r>
          </w:p>
        </w:tc>
        <w:tc>
          <w:tcPr>
            <w:tcW w:w="1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4"/>
        </w:trPr>
        <w:tc>
          <w:tcPr>
            <w:tcW w:w="5400" w:type="dxa"/>
            <w:vAlign w:val="bottom"/>
            <w:shd w:val="clear" w:color="auto" w:fill="A6A6A6"/>
          </w:tcPr>
          <w:p>
            <w:pPr>
              <w:spacing w:after="0"/>
              <w:rPr>
                <w:sz w:val="16"/>
                <w:szCs w:val="16"/>
                <w:color w:val="auto"/>
              </w:rPr>
            </w:pPr>
          </w:p>
        </w:tc>
        <w:tc>
          <w:tcPr>
            <w:tcW w:w="1560" w:type="dxa"/>
            <w:vAlign w:val="bottom"/>
            <w:shd w:val="clear" w:color="auto" w:fill="A6A6A6"/>
          </w:tcPr>
          <w:p>
            <w:pPr>
              <w:spacing w:after="0"/>
              <w:rPr>
                <w:sz w:val="16"/>
                <w:szCs w:val="16"/>
                <w:color w:val="auto"/>
              </w:rPr>
            </w:pPr>
          </w:p>
        </w:tc>
        <w:tc>
          <w:tcPr>
            <w:tcW w:w="1480" w:type="dxa"/>
            <w:vAlign w:val="bottom"/>
            <w:shd w:val="clear" w:color="auto" w:fill="A6A6A6"/>
          </w:tcPr>
          <w:p>
            <w:pPr>
              <w:jc w:val="center"/>
              <w:ind w:right="90"/>
              <w:spacing w:after="0" w:line="194" w:lineRule="exact"/>
              <w:rPr>
                <w:sz w:val="20"/>
                <w:szCs w:val="20"/>
                <w:color w:val="auto"/>
              </w:rPr>
            </w:pPr>
            <w:r>
              <w:rPr>
                <w:rFonts w:ascii="Times New Roman" w:cs="Times New Roman" w:eastAsia="Times New Roman" w:hAnsi="Times New Roman"/>
                <w:sz w:val="18"/>
                <w:szCs w:val="18"/>
                <w:b w:val="1"/>
                <w:bCs w:val="1"/>
                <w:color w:val="FFFFFF"/>
              </w:rPr>
              <w:t>Subordinated</w:t>
            </w:r>
          </w:p>
        </w:tc>
        <w:tc>
          <w:tcPr>
            <w:tcW w:w="1580" w:type="dxa"/>
            <w:vAlign w:val="bottom"/>
            <w:shd w:val="clear" w:color="auto" w:fill="A6A6A6"/>
          </w:tcPr>
          <w:p>
            <w:pPr>
              <w:jc w:val="center"/>
              <w:ind w:right="270"/>
              <w:spacing w:after="0" w:line="194" w:lineRule="exact"/>
              <w:rPr>
                <w:sz w:val="20"/>
                <w:szCs w:val="20"/>
                <w:color w:val="auto"/>
              </w:rPr>
            </w:pPr>
            <w:r>
              <w:rPr>
                <w:rFonts w:ascii="Times New Roman" w:cs="Times New Roman" w:eastAsia="Times New Roman" w:hAnsi="Times New Roman"/>
                <w:sz w:val="18"/>
                <w:szCs w:val="18"/>
                <w:b w:val="1"/>
                <w:bCs w:val="1"/>
                <w:color w:val="FFFFFF"/>
                <w:w w:val="98"/>
              </w:rPr>
              <w:t>Convertible</w:t>
            </w:r>
          </w:p>
        </w:tc>
        <w:tc>
          <w:tcPr>
            <w:tcW w:w="1220" w:type="dxa"/>
            <w:vAlign w:val="bottom"/>
            <w:shd w:val="clear" w:color="auto" w:fill="A6A6A6"/>
          </w:tcPr>
          <w:p>
            <w:pPr>
              <w:spacing w:after="0"/>
              <w:rPr>
                <w:sz w:val="16"/>
                <w:szCs w:val="16"/>
                <w:color w:val="auto"/>
              </w:rPr>
            </w:pPr>
          </w:p>
        </w:tc>
      </w:tr>
      <w:tr>
        <w:trPr>
          <w:trHeight w:val="238"/>
        </w:trPr>
        <w:tc>
          <w:tcPr>
            <w:tcW w:w="5400" w:type="dxa"/>
            <w:vAlign w:val="bottom"/>
            <w:tcBorders>
              <w:bottom w:val="single" w:sz="8" w:color="auto"/>
            </w:tcBorders>
            <w:shd w:val="clear" w:color="auto" w:fill="A6A6A6"/>
          </w:tcPr>
          <w:p>
            <w:pPr>
              <w:spacing w:after="0"/>
              <w:rPr>
                <w:sz w:val="20"/>
                <w:szCs w:val="20"/>
                <w:color w:val="auto"/>
              </w:rPr>
            </w:pPr>
          </w:p>
        </w:tc>
        <w:tc>
          <w:tcPr>
            <w:tcW w:w="1560" w:type="dxa"/>
            <w:vAlign w:val="bottom"/>
            <w:tcBorders>
              <w:bottom w:val="single" w:sz="8" w:color="auto"/>
            </w:tcBorders>
            <w:shd w:val="clear" w:color="auto" w:fill="A6A6A6"/>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Loan 1</w:t>
            </w:r>
          </w:p>
        </w:tc>
        <w:tc>
          <w:tcPr>
            <w:tcW w:w="1480" w:type="dxa"/>
            <w:vAlign w:val="bottom"/>
            <w:tcBorders>
              <w:bottom w:val="single" w:sz="8" w:color="auto"/>
            </w:tcBorders>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7"/>
              </w:rPr>
              <w:t>Loans</w:t>
            </w:r>
          </w:p>
        </w:tc>
        <w:tc>
          <w:tcPr>
            <w:tcW w:w="1580" w:type="dxa"/>
            <w:vAlign w:val="bottom"/>
            <w:tcBorders>
              <w:bottom w:val="single" w:sz="8" w:color="auto"/>
            </w:tcBorders>
            <w:shd w:val="clear" w:color="auto" w:fill="A6A6A6"/>
          </w:tcPr>
          <w:p>
            <w:pPr>
              <w:jc w:val="center"/>
              <w:ind w:right="210"/>
              <w:spacing w:after="0"/>
              <w:rPr>
                <w:sz w:val="20"/>
                <w:szCs w:val="20"/>
                <w:color w:val="auto"/>
              </w:rPr>
            </w:pPr>
            <w:r>
              <w:rPr>
                <w:rFonts w:ascii="Times New Roman" w:cs="Times New Roman" w:eastAsia="Times New Roman" w:hAnsi="Times New Roman"/>
                <w:sz w:val="18"/>
                <w:szCs w:val="18"/>
                <w:b w:val="1"/>
                <w:bCs w:val="1"/>
                <w:color w:val="FFFFFF"/>
                <w:w w:val="98"/>
              </w:rPr>
              <w:t>Debentures*</w:t>
            </w:r>
          </w:p>
        </w:tc>
        <w:tc>
          <w:tcPr>
            <w:tcW w:w="1220" w:type="dxa"/>
            <w:vAlign w:val="bottom"/>
            <w:tcBorders>
              <w:bottom w:val="single" w:sz="8" w:color="auto"/>
            </w:tcBorders>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10"/>
        </w:trPr>
        <w:tc>
          <w:tcPr>
            <w:tcW w:w="5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kEUR</w:t>
            </w:r>
          </w:p>
        </w:tc>
        <w:tc>
          <w:tcPr>
            <w:tcW w:w="14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kEUR</w:t>
            </w:r>
          </w:p>
        </w:tc>
        <w:tc>
          <w:tcPr>
            <w:tcW w:w="15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kEUR</w:t>
            </w: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kEUR</w:t>
            </w:r>
          </w:p>
        </w:tc>
      </w:tr>
      <w:tr>
        <w:trPr>
          <w:trHeight w:val="209"/>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1,318</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2,475</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28,448</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32,241</w:t>
            </w: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Subsequent measurement</w:t>
            </w:r>
          </w:p>
        </w:tc>
        <w:tc>
          <w:tcPr>
            <w:tcW w:w="15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19</w:t>
            </w:r>
          </w:p>
        </w:tc>
        <w:tc>
          <w:tcPr>
            <w:tcW w:w="14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57</w:t>
            </w:r>
          </w:p>
        </w:tc>
        <w:tc>
          <w:tcPr>
            <w:tcW w:w="158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6,338</w:t>
            </w:r>
          </w:p>
        </w:tc>
        <w:tc>
          <w:tcPr>
            <w:tcW w:w="12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6,414</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Deconsolidation of subsidiary</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(1,337)</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(2,532)</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equity</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(10,902)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r>
      <w:tr>
        <w:trPr>
          <w:trHeight w:val="238"/>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23,161</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23,161</w:t>
            </w:r>
          </w:p>
        </w:tc>
      </w:tr>
      <w:tr>
        <w:trPr>
          <w:trHeight w:val="191"/>
        </w:trPr>
        <w:tc>
          <w:tcPr>
            <w:tcW w:w="5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Initial recognition</w:t>
            </w:r>
          </w:p>
        </w:tc>
        <w:tc>
          <w:tcPr>
            <w:tcW w:w="15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4,000</w:t>
            </w:r>
          </w:p>
        </w:tc>
        <w:tc>
          <w:tcPr>
            <w:tcW w:w="12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Subsequent measurement</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(1,431)</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r>
      <w:tr>
        <w:trPr>
          <w:trHeight w:val="212"/>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727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w:t>
            </w: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26,457</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spacing w:after="0" w:line="276" w:lineRule="auto"/>
        <w:rPr>
          <w:sz w:val="20"/>
          <w:szCs w:val="20"/>
          <w:color w:val="auto"/>
        </w:rPr>
      </w:pPr>
      <w:r>
        <w:rPr>
          <w:rFonts w:ascii="Times New Roman" w:cs="Times New Roman" w:eastAsia="Times New Roman" w:hAnsi="Times New Roman"/>
          <w:sz w:val="18"/>
          <w:szCs w:val="18"/>
          <w:color w:val="auto"/>
        </w:rPr>
        <w:t>*amounts presented are for the 2022 convertible debentures and the modified convertible debentures; amounts presented are the sum of the host contracts, embedded derivatives and deferred day-one losses or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9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24"/>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6.6 Other noncurrent financial liabilities</w:t>
            </w:r>
          </w:p>
        </w:tc>
        <w:tc>
          <w:tcPr>
            <w:tcW w:w="5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160" w:type="dxa"/>
            <w:vAlign w:val="bottom"/>
            <w:shd w:val="clear" w:color="auto" w:fill="A6A6A6"/>
          </w:tcPr>
          <w:p>
            <w:pPr>
              <w:jc w:val="center"/>
              <w:ind w:left="835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June 30,</w:t>
            </w:r>
          </w:p>
        </w:tc>
        <w:tc>
          <w:tcPr>
            <w:tcW w:w="540" w:type="dxa"/>
            <w:vAlign w:val="bottom"/>
            <w:shd w:val="clear" w:color="auto" w:fill="A6A6A6"/>
          </w:tcPr>
          <w:p>
            <w:pPr>
              <w:spacing w:after="0"/>
              <w:rPr>
                <w:sz w:val="16"/>
                <w:szCs w:val="16"/>
                <w:color w:val="auto"/>
              </w:rPr>
            </w:pPr>
          </w:p>
        </w:tc>
        <w:tc>
          <w:tcPr>
            <w:tcW w:w="154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 31,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9160" w:type="dxa"/>
            <w:vAlign w:val="bottom"/>
            <w:shd w:val="clear" w:color="auto" w:fill="A6A6A6"/>
          </w:tcPr>
          <w:p>
            <w:pPr>
              <w:jc w:val="center"/>
              <w:ind w:left="835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540" w:type="dxa"/>
            <w:vAlign w:val="bottom"/>
            <w:shd w:val="clear" w:color="auto" w:fill="A6A6A6"/>
          </w:tcPr>
          <w:p>
            <w:pPr>
              <w:spacing w:after="0"/>
              <w:rPr>
                <w:sz w:val="20"/>
                <w:szCs w:val="20"/>
                <w:color w:val="auto"/>
              </w:rPr>
            </w:pPr>
          </w:p>
        </w:tc>
        <w:tc>
          <w:tcPr>
            <w:tcW w:w="15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160" w:type="dxa"/>
            <w:vAlign w:val="bottom"/>
            <w:tcBorders>
              <w:bottom w:val="single" w:sz="8" w:color="auto"/>
            </w:tcBorders>
          </w:tcPr>
          <w:p>
            <w:pPr>
              <w:jc w:val="center"/>
              <w:ind w:left="8350"/>
              <w:spacing w:after="0"/>
              <w:rPr>
                <w:sz w:val="20"/>
                <w:szCs w:val="20"/>
                <w:color w:val="auto"/>
              </w:rPr>
            </w:pPr>
            <w:r>
              <w:rPr>
                <w:rFonts w:ascii="Times New Roman" w:cs="Times New Roman" w:eastAsia="Times New Roman" w:hAnsi="Times New Roman"/>
                <w:sz w:val="18"/>
                <w:szCs w:val="18"/>
                <w:color w:val="auto"/>
                <w:w w:val="97"/>
              </w:rPr>
              <w:t>kEUR</w:t>
            </w:r>
          </w:p>
        </w:tc>
        <w:tc>
          <w:tcPr>
            <w:tcW w:w="5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938</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noncurrent financial liabilities</w:t>
            </w:r>
          </w:p>
        </w:tc>
        <w:tc>
          <w:tcPr>
            <w:tcW w:w="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938</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 liability relates to the Company’s corporate offices and the balance consists of the remaining lease payment obligation due from June 30, 2025 through the end of the lease agreement.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6.7 Current financial liabilities</w:t>
            </w:r>
          </w:p>
        </w:tc>
        <w:tc>
          <w:tcPr>
            <w:tcW w:w="40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6"/>
        </w:trPr>
        <w:tc>
          <w:tcPr>
            <w:tcW w:w="56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94"/>
        </w:trPr>
        <w:tc>
          <w:tcPr>
            <w:tcW w:w="5660" w:type="dxa"/>
            <w:vAlign w:val="bottom"/>
            <w:shd w:val="clear" w:color="auto" w:fill="A6A6A6"/>
          </w:tcPr>
          <w:p>
            <w:pPr>
              <w:spacing w:after="0"/>
              <w:rPr>
                <w:sz w:val="16"/>
                <w:szCs w:val="16"/>
                <w:color w:val="auto"/>
              </w:rPr>
            </w:pPr>
          </w:p>
        </w:tc>
        <w:tc>
          <w:tcPr>
            <w:tcW w:w="4040" w:type="dxa"/>
            <w:vAlign w:val="bottom"/>
            <w:shd w:val="clear" w:color="auto" w:fill="A6A6A6"/>
          </w:tcPr>
          <w:p>
            <w:pPr>
              <w:jc w:val="center"/>
              <w:ind w:left="215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June 30,</w:t>
            </w:r>
          </w:p>
        </w:tc>
        <w:tc>
          <w:tcPr>
            <w:tcW w:w="154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 31,</w:t>
            </w:r>
          </w:p>
        </w:tc>
      </w:tr>
      <w:tr>
        <w:trPr>
          <w:trHeight w:val="238"/>
        </w:trPr>
        <w:tc>
          <w:tcPr>
            <w:tcW w:w="5660" w:type="dxa"/>
            <w:vAlign w:val="bottom"/>
            <w:shd w:val="clear" w:color="auto" w:fill="A6A6A6"/>
          </w:tcPr>
          <w:p>
            <w:pPr>
              <w:spacing w:after="0"/>
              <w:rPr>
                <w:sz w:val="20"/>
                <w:szCs w:val="20"/>
                <w:color w:val="auto"/>
              </w:rPr>
            </w:pPr>
          </w:p>
        </w:tc>
        <w:tc>
          <w:tcPr>
            <w:tcW w:w="4040" w:type="dxa"/>
            <w:vAlign w:val="bottom"/>
            <w:shd w:val="clear" w:color="auto" w:fill="A6A6A6"/>
          </w:tcPr>
          <w:p>
            <w:pPr>
              <w:jc w:val="center"/>
              <w:ind w:left="215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540" w:type="dxa"/>
            <w:vAlign w:val="bottom"/>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29"/>
        </w:trPr>
        <w:tc>
          <w:tcPr>
            <w:tcW w:w="566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center"/>
              <w:ind w:left="2150"/>
              <w:spacing w:after="0"/>
              <w:rPr>
                <w:sz w:val="20"/>
                <w:szCs w:val="20"/>
                <w:color w:val="auto"/>
              </w:rPr>
            </w:pPr>
            <w:r>
              <w:rPr>
                <w:rFonts w:ascii="Times New Roman" w:cs="Times New Roman" w:eastAsia="Times New Roman" w:hAnsi="Times New Roman"/>
                <w:sz w:val="18"/>
                <w:szCs w:val="18"/>
                <w:color w:val="auto"/>
                <w:w w:val="97"/>
              </w:rPr>
              <w:t>kEUR</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5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Loans</w:t>
            </w:r>
          </w:p>
        </w:tc>
        <w:tc>
          <w:tcPr>
            <w:tcW w:w="404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26,457</w:t>
            </w:r>
          </w:p>
        </w:tc>
        <w:tc>
          <w:tcPr>
            <w:tcW w:w="15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23,161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payables (affiliated companies)</w:t>
            </w:r>
          </w:p>
        </w:tc>
        <w:tc>
          <w:tcPr>
            <w:tcW w:w="4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14,798</w:t>
            </w:r>
          </w:p>
        </w:tc>
      </w:tr>
      <w:tr>
        <w:trPr>
          <w:trHeight w:val="234"/>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r>
      <w:tr>
        <w:trPr>
          <w:trHeight w:val="209"/>
        </w:trPr>
        <w:tc>
          <w:tcPr>
            <w:tcW w:w="5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financial liabilities</w:t>
            </w:r>
          </w:p>
        </w:tc>
        <w:tc>
          <w:tcPr>
            <w:tcW w:w="4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26,578</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38,102</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affiliate company balance relates to amounts owed to Sono Motors with no repayment terms and therefore classified as current. This balance was settled as part of the Plan to exit insolvency that was presented and accepted by the Court effective February 29,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6.8 Trade and other payables</w:t>
            </w:r>
          </w:p>
        </w:tc>
        <w:tc>
          <w:tcPr>
            <w:tcW w:w="3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4"/>
        </w:trPr>
        <w:tc>
          <w:tcPr>
            <w:tcW w:w="3960" w:type="dxa"/>
            <w:vAlign w:val="bottom"/>
            <w:shd w:val="clear" w:color="auto" w:fill="A6A6A6"/>
          </w:tcPr>
          <w:p>
            <w:pPr>
              <w:spacing w:after="0"/>
              <w:rPr>
                <w:sz w:val="16"/>
                <w:szCs w:val="16"/>
                <w:color w:val="auto"/>
              </w:rPr>
            </w:pPr>
          </w:p>
        </w:tc>
        <w:tc>
          <w:tcPr>
            <w:tcW w:w="3140" w:type="dxa"/>
            <w:vAlign w:val="bottom"/>
            <w:shd w:val="clear" w:color="auto" w:fill="A6A6A6"/>
          </w:tcPr>
          <w:p>
            <w:pPr>
              <w:spacing w:after="0"/>
              <w:rPr>
                <w:sz w:val="16"/>
                <w:szCs w:val="16"/>
                <w:color w:val="auto"/>
              </w:rPr>
            </w:pPr>
          </w:p>
        </w:tc>
        <w:tc>
          <w:tcPr>
            <w:tcW w:w="1280" w:type="dxa"/>
            <w:vAlign w:val="bottom"/>
            <w:shd w:val="clear" w:color="auto" w:fill="A6A6A6"/>
          </w:tcPr>
          <w:p>
            <w:pPr>
              <w:spacing w:after="0"/>
              <w:rPr>
                <w:sz w:val="16"/>
                <w:szCs w:val="16"/>
                <w:color w:val="auto"/>
              </w:rPr>
            </w:pPr>
          </w:p>
        </w:tc>
        <w:tc>
          <w:tcPr>
            <w:tcW w:w="1440" w:type="dxa"/>
            <w:vAlign w:val="bottom"/>
            <w:shd w:val="clear" w:color="auto" w:fill="A6A6A6"/>
          </w:tcPr>
          <w:p>
            <w:pPr>
              <w:jc w:val="center"/>
              <w:ind w:right="51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June 30,</w:t>
            </w:r>
          </w:p>
        </w:tc>
        <w:tc>
          <w:tcPr>
            <w:tcW w:w="1420" w:type="dxa"/>
            <w:vAlign w:val="bottom"/>
            <w:shd w:val="clear" w:color="auto" w:fill="A6A6A6"/>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FFFFFF"/>
                <w:w w:val="99"/>
              </w:rPr>
              <w:t>December 31,</w:t>
            </w:r>
          </w:p>
        </w:tc>
      </w:tr>
      <w:tr>
        <w:trPr>
          <w:trHeight w:val="238"/>
        </w:trPr>
        <w:tc>
          <w:tcPr>
            <w:tcW w:w="3960" w:type="dxa"/>
            <w:vAlign w:val="bottom"/>
            <w:shd w:val="clear" w:color="auto" w:fill="A6A6A6"/>
          </w:tcPr>
          <w:p>
            <w:pPr>
              <w:spacing w:after="0"/>
              <w:rPr>
                <w:sz w:val="20"/>
                <w:szCs w:val="20"/>
                <w:color w:val="auto"/>
              </w:rPr>
            </w:pPr>
          </w:p>
        </w:tc>
        <w:tc>
          <w:tcPr>
            <w:tcW w:w="3140" w:type="dxa"/>
            <w:vAlign w:val="bottom"/>
            <w:shd w:val="clear" w:color="auto" w:fill="A6A6A6"/>
          </w:tcPr>
          <w:p>
            <w:pPr>
              <w:spacing w:after="0"/>
              <w:rPr>
                <w:sz w:val="20"/>
                <w:szCs w:val="20"/>
                <w:color w:val="auto"/>
              </w:rPr>
            </w:pPr>
          </w:p>
        </w:tc>
        <w:tc>
          <w:tcPr>
            <w:tcW w:w="1280" w:type="dxa"/>
            <w:vAlign w:val="bottom"/>
            <w:shd w:val="clear" w:color="auto" w:fill="A6A6A6"/>
          </w:tcPr>
          <w:p>
            <w:pPr>
              <w:spacing w:after="0"/>
              <w:rPr>
                <w:sz w:val="20"/>
                <w:szCs w:val="20"/>
                <w:color w:val="auto"/>
              </w:rPr>
            </w:pPr>
          </w:p>
        </w:tc>
        <w:tc>
          <w:tcPr>
            <w:tcW w:w="1440" w:type="dxa"/>
            <w:vAlign w:val="bottom"/>
            <w:shd w:val="clear" w:color="auto" w:fill="A6A6A6"/>
          </w:tcPr>
          <w:p>
            <w:pPr>
              <w:jc w:val="center"/>
              <w:ind w:right="510"/>
              <w:spacing w:after="0"/>
              <w:rPr>
                <w:sz w:val="20"/>
                <w:szCs w:val="20"/>
                <w:color w:val="auto"/>
              </w:rPr>
            </w:pPr>
            <w:r>
              <w:rPr>
                <w:rFonts w:ascii="Times New Roman" w:cs="Times New Roman" w:eastAsia="Times New Roman" w:hAnsi="Times New Roman"/>
                <w:sz w:val="18"/>
                <w:szCs w:val="18"/>
                <w:b w:val="1"/>
                <w:bCs w:val="1"/>
                <w:color w:val="FFFFFF"/>
                <w:w w:val="99"/>
              </w:rPr>
              <w:t>2024</w:t>
            </w:r>
          </w:p>
        </w:tc>
        <w:tc>
          <w:tcPr>
            <w:tcW w:w="1420" w:type="dxa"/>
            <w:vAlign w:val="bottom"/>
            <w:shd w:val="clear" w:color="auto" w:fill="A6A6A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w w:val="99"/>
              </w:rPr>
              <w:t>2023</w:t>
            </w:r>
          </w:p>
        </w:tc>
      </w:tr>
      <w:tr>
        <w:trPr>
          <w:trHeight w:val="229"/>
        </w:trPr>
        <w:tc>
          <w:tcPr>
            <w:tcW w:w="39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7"/>
              </w:rPr>
              <w:t>kEUR</w:t>
            </w: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Trade payables</w:t>
            </w:r>
          </w:p>
        </w:tc>
        <w:tc>
          <w:tcPr>
            <w:tcW w:w="3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4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121</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1,221</w:t>
            </w:r>
          </w:p>
        </w:tc>
      </w:tr>
      <w:tr>
        <w:trPr>
          <w:trHeight w:val="23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3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592</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10"/>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w:t>
            </w:r>
          </w:p>
        </w:tc>
        <w:tc>
          <w:tcPr>
            <w:tcW w:w="3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713</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1,491</w:t>
            </w:r>
          </w:p>
        </w:tc>
      </w:tr>
      <w:tr>
        <w:trPr>
          <w:trHeight w:val="426"/>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6.9 Provisions</w:t>
            </w:r>
          </w:p>
        </w:tc>
        <w:tc>
          <w:tcPr>
            <w:tcW w:w="3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39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94"/>
        </w:trPr>
        <w:tc>
          <w:tcPr>
            <w:tcW w:w="3960" w:type="dxa"/>
            <w:vAlign w:val="bottom"/>
            <w:shd w:val="clear" w:color="auto" w:fill="A6A6A6"/>
          </w:tcPr>
          <w:p>
            <w:pPr>
              <w:spacing w:after="0"/>
              <w:rPr>
                <w:sz w:val="16"/>
                <w:szCs w:val="16"/>
                <w:color w:val="auto"/>
              </w:rPr>
            </w:pPr>
          </w:p>
        </w:tc>
        <w:tc>
          <w:tcPr>
            <w:tcW w:w="3140" w:type="dxa"/>
            <w:vAlign w:val="bottom"/>
            <w:shd w:val="clear" w:color="auto" w:fill="A6A6A6"/>
          </w:tcPr>
          <w:p>
            <w:pPr>
              <w:jc w:val="center"/>
              <w:ind w:left="1110"/>
              <w:spacing w:after="0" w:line="194" w:lineRule="exact"/>
              <w:rPr>
                <w:sz w:val="20"/>
                <w:szCs w:val="20"/>
                <w:color w:val="auto"/>
              </w:rPr>
            </w:pPr>
            <w:r>
              <w:rPr>
                <w:rFonts w:ascii="Times New Roman" w:cs="Times New Roman" w:eastAsia="Times New Roman" w:hAnsi="Times New Roman"/>
                <w:sz w:val="18"/>
                <w:szCs w:val="18"/>
                <w:b w:val="1"/>
                <w:bCs w:val="1"/>
                <w:color w:val="FFFFFF"/>
              </w:rPr>
              <w:t>Balance</w:t>
            </w:r>
          </w:p>
        </w:tc>
        <w:tc>
          <w:tcPr>
            <w:tcW w:w="1280" w:type="dxa"/>
            <w:vAlign w:val="bottom"/>
            <w:shd w:val="clear" w:color="auto" w:fill="A6A6A6"/>
          </w:tcPr>
          <w:p>
            <w:pPr>
              <w:spacing w:after="0"/>
              <w:rPr>
                <w:sz w:val="16"/>
                <w:szCs w:val="16"/>
                <w:color w:val="auto"/>
              </w:rPr>
            </w:pPr>
          </w:p>
        </w:tc>
        <w:tc>
          <w:tcPr>
            <w:tcW w:w="1440" w:type="dxa"/>
            <w:vAlign w:val="bottom"/>
            <w:shd w:val="clear" w:color="auto" w:fill="A6A6A6"/>
          </w:tcPr>
          <w:p>
            <w:pPr>
              <w:spacing w:after="0"/>
              <w:rPr>
                <w:sz w:val="16"/>
                <w:szCs w:val="16"/>
                <w:color w:val="auto"/>
              </w:rPr>
            </w:pPr>
          </w:p>
        </w:tc>
        <w:tc>
          <w:tcPr>
            <w:tcW w:w="1420" w:type="dxa"/>
            <w:vAlign w:val="bottom"/>
            <w:shd w:val="clear" w:color="auto" w:fill="A6A6A6"/>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FFFFFF"/>
                <w:w w:val="98"/>
              </w:rPr>
              <w:t>Balance</w:t>
            </w:r>
          </w:p>
        </w:tc>
      </w:tr>
      <w:tr>
        <w:trPr>
          <w:trHeight w:val="238"/>
        </w:trPr>
        <w:tc>
          <w:tcPr>
            <w:tcW w:w="3960" w:type="dxa"/>
            <w:vAlign w:val="bottom"/>
            <w:tcBorders>
              <w:bottom w:val="single" w:sz="8" w:color="auto"/>
            </w:tcBorders>
            <w:shd w:val="clear" w:color="auto" w:fill="A6A6A6"/>
          </w:tcPr>
          <w:p>
            <w:pPr>
              <w:spacing w:after="0"/>
              <w:rPr>
                <w:sz w:val="20"/>
                <w:szCs w:val="20"/>
                <w:color w:val="auto"/>
              </w:rPr>
            </w:pPr>
          </w:p>
        </w:tc>
        <w:tc>
          <w:tcPr>
            <w:tcW w:w="3140" w:type="dxa"/>
            <w:vAlign w:val="bottom"/>
            <w:tcBorders>
              <w:bottom w:val="single" w:sz="8" w:color="auto"/>
            </w:tcBorders>
            <w:shd w:val="clear" w:color="auto" w:fill="A6A6A6"/>
          </w:tcPr>
          <w:p>
            <w:pPr>
              <w:jc w:val="center"/>
              <w:ind w:left="1150"/>
              <w:spacing w:after="0"/>
              <w:rPr>
                <w:sz w:val="20"/>
                <w:szCs w:val="20"/>
                <w:color w:val="auto"/>
              </w:rPr>
            </w:pPr>
            <w:r>
              <w:rPr>
                <w:rFonts w:ascii="Times New Roman" w:cs="Times New Roman" w:eastAsia="Times New Roman" w:hAnsi="Times New Roman"/>
                <w:sz w:val="18"/>
                <w:szCs w:val="18"/>
                <w:b w:val="1"/>
                <w:bCs w:val="1"/>
                <w:color w:val="FFFFFF"/>
                <w:w w:val="99"/>
              </w:rPr>
              <w:t>January 1, 2024</w:t>
            </w:r>
          </w:p>
        </w:tc>
        <w:tc>
          <w:tcPr>
            <w:tcW w:w="1280" w:type="dxa"/>
            <w:vAlign w:val="bottom"/>
            <w:tcBorders>
              <w:bottom w:val="single" w:sz="8" w:color="auto"/>
            </w:tcBorders>
            <w:shd w:val="clear" w:color="auto" w:fill="A6A6A6"/>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Usage</w:t>
            </w:r>
          </w:p>
        </w:tc>
        <w:tc>
          <w:tcPr>
            <w:tcW w:w="1440" w:type="dxa"/>
            <w:vAlign w:val="bottom"/>
            <w:tcBorders>
              <w:bottom w:val="single" w:sz="8" w:color="auto"/>
            </w:tcBorders>
            <w:shd w:val="clear" w:color="auto" w:fill="A6A6A6"/>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Reversals</w:t>
            </w:r>
          </w:p>
        </w:tc>
        <w:tc>
          <w:tcPr>
            <w:tcW w:w="1420" w:type="dxa"/>
            <w:vAlign w:val="bottom"/>
            <w:tcBorders>
              <w:bottom w:val="single" w:sz="8" w:color="auto"/>
            </w:tcBorders>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June 30, 2024</w:t>
            </w:r>
          </w:p>
        </w:tc>
      </w:tr>
      <w:tr>
        <w:trPr>
          <w:trHeight w:val="210"/>
        </w:trPr>
        <w:tc>
          <w:tcPr>
            <w:tcW w:w="39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jc w:val="center"/>
              <w:ind w:left="1170"/>
              <w:spacing w:after="0"/>
              <w:rPr>
                <w:sz w:val="20"/>
                <w:szCs w:val="20"/>
                <w:color w:val="auto"/>
              </w:rPr>
            </w:pPr>
            <w:r>
              <w:rPr>
                <w:rFonts w:ascii="Times New Roman" w:cs="Times New Roman" w:eastAsia="Times New Roman" w:hAnsi="Times New Roman"/>
                <w:sz w:val="18"/>
                <w:szCs w:val="18"/>
                <w:color w:val="auto"/>
                <w:w w:val="97"/>
              </w:rPr>
              <w:t>kEUR</w:t>
            </w: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kEUR</w:t>
            </w:r>
          </w:p>
        </w:tc>
        <w:tc>
          <w:tcPr>
            <w:tcW w:w="14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kEUR</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kEUR</w:t>
            </w:r>
          </w:p>
        </w:tc>
      </w:tr>
      <w:tr>
        <w:trPr>
          <w:trHeight w:val="191"/>
        </w:trPr>
        <w:tc>
          <w:tcPr>
            <w:tcW w:w="3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Other provisions</w:t>
            </w:r>
          </w:p>
        </w:tc>
        <w:tc>
          <w:tcPr>
            <w:tcW w:w="3140" w:type="dxa"/>
            <w:vAlign w:val="bottom"/>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397</w:t>
            </w:r>
          </w:p>
        </w:tc>
        <w:tc>
          <w:tcPr>
            <w:tcW w:w="1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(397)</w:t>
            </w:r>
          </w:p>
        </w:tc>
        <w:tc>
          <w:tcPr>
            <w:tcW w:w="14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w:t>
            </w:r>
          </w:p>
        </w:tc>
        <w:tc>
          <w:tcPr>
            <w:tcW w:w="31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Audit provisions</w:t>
            </w:r>
          </w:p>
        </w:tc>
        <w:tc>
          <w:tcPr>
            <w:tcW w:w="3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1,231</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provisions</w:t>
            </w:r>
          </w:p>
        </w:tc>
        <w:tc>
          <w:tcPr>
            <w:tcW w:w="3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1,628</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(1,628)</w:t>
            </w: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relates primarily to services to prepare consolidated annual financial statements in accordance with IFRS and services provided by our independent auditors. Provisions established at December 31, 2023 were expended and the Company had no additional provisional items to accrue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6.9.1 Parental guarantee</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Sono N.V. signed a hard comfort letter for the benefit of Sono Motors and had the obligation to provide Sono Motors with financial resources in such a way that Sono Motors is able to meet all its current and future obligations as the obligations fall due for payment. This obligation is recognized as a provision in 2023. Sono Motors exited voluntary insolvency proceedings in February of 2024 and as an integral part of the negotiated settlement agreement was relinquished from all debt by and between Sono NV and Sono Motors. Accordingly, the liability was extinguished with a corresponding charge to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earnings attributable to Sono N.V. shareholders by the weighted average number of ordinary and high voting shares outstanding during the reporting period. The high voting shares entitle the shareholders to additional voting rights but not to higher dividend rights. There are currently no factors resulting in a dilution of earnings per share due to the income/(loss) for each period presented. As a result, basic earnings per share equals diluted earnings per share.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shd w:val="clear" w:color="auto" w:fill="A6A6A6"/>
          </w:tcPr>
          <w:p>
            <w:pPr>
              <w:spacing w:after="0"/>
              <w:rPr>
                <w:sz w:val="18"/>
                <w:szCs w:val="18"/>
                <w:color w:val="auto"/>
              </w:rPr>
            </w:pPr>
          </w:p>
        </w:tc>
        <w:tc>
          <w:tcPr>
            <w:tcW w:w="3360" w:type="dxa"/>
            <w:vAlign w:val="bottom"/>
            <w:gridSpan w:val="2"/>
            <w:shd w:val="clear" w:color="auto" w:fill="A6A6A6"/>
          </w:tcPr>
          <w:p>
            <w:pPr>
              <w:jc w:val="right"/>
              <w:ind w:right="810"/>
              <w:spacing w:after="0"/>
              <w:rPr>
                <w:sz w:val="20"/>
                <w:szCs w:val="20"/>
                <w:color w:val="auto"/>
              </w:rPr>
            </w:pPr>
            <w:r>
              <w:rPr>
                <w:rFonts w:ascii="Times New Roman" w:cs="Times New Roman" w:eastAsia="Times New Roman" w:hAnsi="Times New Roman"/>
                <w:sz w:val="18"/>
                <w:szCs w:val="18"/>
                <w:b w:val="1"/>
                <w:bCs w:val="1"/>
                <w:color w:val="FFFFFF"/>
              </w:rPr>
              <w:t>Six Months Ended</w:t>
            </w:r>
          </w:p>
        </w:tc>
      </w:tr>
      <w:tr>
        <w:trPr>
          <w:trHeight w:val="230"/>
        </w:trPr>
        <w:tc>
          <w:tcPr>
            <w:tcW w:w="7880" w:type="dxa"/>
            <w:vAlign w:val="bottom"/>
            <w:shd w:val="clear" w:color="auto" w:fill="A6A6A6"/>
          </w:tcPr>
          <w:p>
            <w:pPr>
              <w:spacing w:after="0"/>
              <w:rPr>
                <w:sz w:val="19"/>
                <w:szCs w:val="19"/>
                <w:color w:val="auto"/>
              </w:rPr>
            </w:pPr>
          </w:p>
        </w:tc>
        <w:tc>
          <w:tcPr>
            <w:tcW w:w="1960" w:type="dxa"/>
            <w:vAlign w:val="bottom"/>
            <w:shd w:val="clear" w:color="auto" w:fill="A6A6A6"/>
          </w:tcPr>
          <w:p>
            <w:pPr>
              <w:jc w:val="right"/>
              <w:ind w:right="670"/>
              <w:spacing w:after="0"/>
              <w:rPr>
                <w:sz w:val="20"/>
                <w:szCs w:val="20"/>
                <w:color w:val="auto"/>
              </w:rPr>
            </w:pPr>
            <w:r>
              <w:rPr>
                <w:rFonts w:ascii="Times New Roman" w:cs="Times New Roman" w:eastAsia="Times New Roman" w:hAnsi="Times New Roman"/>
                <w:sz w:val="18"/>
                <w:szCs w:val="18"/>
                <w:b w:val="1"/>
                <w:bCs w:val="1"/>
                <w:color w:val="FFFFFF"/>
              </w:rPr>
              <w:t>6/30/24</w:t>
            </w:r>
          </w:p>
        </w:tc>
        <w:tc>
          <w:tcPr>
            <w:tcW w:w="1400" w:type="dxa"/>
            <w:vAlign w:val="bottom"/>
            <w:shd w:val="clear" w:color="auto" w:fill="A6A6A6"/>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6/30/23</w:t>
            </w:r>
          </w:p>
        </w:tc>
      </w:tr>
      <w:tr>
        <w:trPr>
          <w:trHeight w:val="229"/>
        </w:trPr>
        <w:tc>
          <w:tcPr>
            <w:tcW w:w="78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kEUR</w:t>
            </w:r>
          </w:p>
        </w:tc>
        <w:tc>
          <w:tcPr>
            <w:tcW w:w="14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kEUR</w:t>
            </w:r>
          </w:p>
        </w:tc>
      </w:tr>
      <w:tr>
        <w:trPr>
          <w:trHeight w:val="191"/>
        </w:trPr>
        <w:tc>
          <w:tcPr>
            <w:tcW w:w="7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/(loss)</w:t>
            </w:r>
          </w:p>
        </w:tc>
        <w:tc>
          <w:tcPr>
            <w:tcW w:w="1960" w:type="dxa"/>
            <w:vAlign w:val="bottom"/>
          </w:tcPr>
          <w:p>
            <w:pPr>
              <w:jc w:val="right"/>
              <w:ind w:right="270"/>
              <w:spacing w:after="0" w:line="191" w:lineRule="exact"/>
              <w:rPr>
                <w:sz w:val="20"/>
                <w:szCs w:val="20"/>
                <w:color w:val="auto"/>
              </w:rPr>
            </w:pPr>
            <w:r>
              <w:rPr>
                <w:rFonts w:ascii="Times New Roman" w:cs="Times New Roman" w:eastAsia="Times New Roman" w:hAnsi="Times New Roman"/>
                <w:sz w:val="18"/>
                <w:szCs w:val="18"/>
                <w:color w:val="auto"/>
              </w:rPr>
              <w:t>60,640</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(49,294)</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108,672</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105,637</w:t>
            </w:r>
          </w:p>
        </w:tc>
      </w:tr>
      <w:tr>
        <w:trPr>
          <w:trHeight w:val="234"/>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0.56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-711200</wp:posOffset>
            </wp:positionV>
            <wp:extent cx="205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parties of Sono Group include the following persons as well as their close family members:</w:t>
      </w:r>
    </w:p>
    <w:p>
      <w:pPr>
        <w:spacing w:after="0" w:line="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shareholders - Jona Christians and Laurin Hahn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Supervisory Board members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related parties of Sono Group also include the following entities: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Management UG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Sono Motors Investment UG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SVSE, LLC</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SVSE, LLC (“SVSE”) owns 17,306,251 Ordinary Shares of the Company and 3,000,000 high voting shares of the Company. The sole member of SVSE is George O’Leary, our chief executive officer and chief financial officer and the sole member of the Company’s management board.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Sono N.V. controlled Sono Motors GmbH through May of 2023 when it lost control due to insolvency proceedings. In February 2024, Sono Motors GmbH exited the Subsidiary Self-Administration Proceedings and Sono N.V. regained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 2024, the quoting of the Company’s ordinary shares commenced on OTCQB under the ticker symbol “SEVCF”.</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received the second tranche of the Yorkville Investment of mEUR 3.0 in September 2024. A corresponding convertible debenture was issued to Yorkville for approximately mUSD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5"/>
          <w:szCs w:val="25"/>
          <w:b w:val="1"/>
          <w:bCs w:val="1"/>
          <w:color w:val="002A41"/>
        </w:rPr>
        <w:t>Sono Group N.V. Reports Profit of €60.6 Million and Significant Progress in First Half of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2A41"/>
        </w:rPr>
        <w:t>Showcases Robust Development and Commitment to Sustainable Mobility Solutions</w:t>
      </w:r>
    </w:p>
    <w:p>
      <w:pPr>
        <w:spacing w:after="0" w:line="21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002A41"/>
        </w:rPr>
        <w:t xml:space="preserve">MUNICH, December 6, 2024 </w:t>
      </w:r>
      <w:r>
        <w:rPr>
          <w:rFonts w:ascii="Times New Roman" w:cs="Times New Roman" w:eastAsia="Times New Roman" w:hAnsi="Times New Roman"/>
          <w:sz w:val="18"/>
          <w:szCs w:val="18"/>
          <w:color w:val="002A41"/>
        </w:rPr>
        <w:t>– The solar technology company</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0000"/>
        </w:rPr>
        <w:t>Sono Group N.V. (OTCQB: SEVCF)</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(hereafter referred to as “Sono” or the “Company”,</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parent company to Sono Motors GmbH or “Sono Motors”) today announced its financial results for the first six months of 2024, highlighting a €60.6 million profit and its recovery following its exit from insolvency earlier this year.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A41"/>
        </w:rPr>
        <w:t>Key financial highlights</w:t>
      </w:r>
    </w:p>
    <w:p>
      <w:pPr>
        <w:spacing w:after="0" w:line="225" w:lineRule="exact"/>
        <w:rPr>
          <w:sz w:val="20"/>
          <w:szCs w:val="20"/>
          <w:color w:val="auto"/>
        </w:rPr>
      </w:pPr>
    </w:p>
    <w:p>
      <w:pPr>
        <w:ind w:left="660" w:right="360" w:hanging="328"/>
        <w:spacing w:after="0" w:line="286" w:lineRule="auto"/>
        <w:tabs>
          <w:tab w:leader="none" w:pos="660" w:val="left"/>
        </w:tabs>
        <w:numPr>
          <w:ilvl w:val="0"/>
          <w:numId w:val="8"/>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€60.6 million profit: </w:t>
      </w:r>
      <w:r>
        <w:rPr>
          <w:rFonts w:ascii="Times New Roman" w:cs="Times New Roman" w:eastAsia="Times New Roman" w:hAnsi="Times New Roman"/>
          <w:sz w:val="18"/>
          <w:szCs w:val="18"/>
          <w:color w:val="002A41"/>
        </w:rPr>
        <w:t>The profit primarily stemmed from the extinguishment of liabilities, parental guarantee reversal and recapitalization and</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reconsolidation of Sono Motors.</w:t>
      </w:r>
    </w:p>
    <w:p>
      <w:pPr>
        <w:spacing w:after="0" w:line="181" w:lineRule="exact"/>
        <w:rPr>
          <w:rFonts w:ascii="Times New Roman" w:cs="Times New Roman" w:eastAsia="Times New Roman" w:hAnsi="Times New Roman"/>
          <w:sz w:val="18"/>
          <w:szCs w:val="18"/>
          <w:color w:val="002A41"/>
        </w:rPr>
      </w:pPr>
    </w:p>
    <w:p>
      <w:pPr>
        <w:ind w:left="660" w:right="260" w:hanging="328"/>
        <w:spacing w:after="0" w:line="286" w:lineRule="auto"/>
        <w:tabs>
          <w:tab w:leader="none" w:pos="660" w:val="left"/>
        </w:tabs>
        <w:numPr>
          <w:ilvl w:val="0"/>
          <w:numId w:val="8"/>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Operational efficiency: </w:t>
      </w:r>
      <w:r>
        <w:rPr>
          <w:rFonts w:ascii="Times New Roman" w:cs="Times New Roman" w:eastAsia="Times New Roman" w:hAnsi="Times New Roman"/>
          <w:sz w:val="18"/>
          <w:szCs w:val="18"/>
          <w:color w:val="002A41"/>
        </w:rPr>
        <w:t>General and administrative expenses decreased significantly from €8.1 million in H1 2023 to €2.9 million in H1 2024,</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reflecting leaner operations post-restructuring.</w:t>
      </w:r>
    </w:p>
    <w:p>
      <w:pPr>
        <w:spacing w:after="0" w:line="181" w:lineRule="exact"/>
        <w:rPr>
          <w:rFonts w:ascii="Times New Roman" w:cs="Times New Roman" w:eastAsia="Times New Roman" w:hAnsi="Times New Roman"/>
          <w:sz w:val="18"/>
          <w:szCs w:val="18"/>
          <w:color w:val="002A41"/>
        </w:rPr>
      </w:pPr>
    </w:p>
    <w:p>
      <w:pPr>
        <w:jc w:val="both"/>
        <w:ind w:left="660" w:right="180" w:hanging="328"/>
        <w:spacing w:after="0" w:line="268" w:lineRule="auto"/>
        <w:tabs>
          <w:tab w:leader="none" w:pos="660" w:val="left"/>
        </w:tabs>
        <w:numPr>
          <w:ilvl w:val="0"/>
          <w:numId w:val="8"/>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Substantial reduction in development expenses: </w:t>
      </w:r>
      <w:r>
        <w:rPr>
          <w:rFonts w:ascii="Times New Roman" w:cs="Times New Roman" w:eastAsia="Times New Roman" w:hAnsi="Times New Roman"/>
          <w:sz w:val="18"/>
          <w:szCs w:val="18"/>
          <w:color w:val="002A41"/>
        </w:rPr>
        <w:t>Cost of development expenses decreased by over 96% from €16.0 million in H1 2023 to €0.6</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million in H1 2024, reflecting the streamlined focus on retrofitting solar technology onto third party vehicles and the discontinuation of the Sion passenger car program.</w:t>
      </w:r>
    </w:p>
    <w:p>
      <w:pPr>
        <w:spacing w:after="0" w:line="197" w:lineRule="exact"/>
        <w:rPr>
          <w:rFonts w:ascii="Times New Roman" w:cs="Times New Roman" w:eastAsia="Times New Roman" w:hAnsi="Times New Roman"/>
          <w:sz w:val="18"/>
          <w:szCs w:val="18"/>
          <w:color w:val="002A41"/>
        </w:rPr>
      </w:pPr>
    </w:p>
    <w:p>
      <w:pPr>
        <w:ind w:left="660" w:right="20" w:hanging="328"/>
        <w:spacing w:after="0" w:line="268" w:lineRule="auto"/>
        <w:tabs>
          <w:tab w:leader="none" w:pos="660" w:val="left"/>
        </w:tabs>
        <w:numPr>
          <w:ilvl w:val="0"/>
          <w:numId w:val="8"/>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Strengthened cash position: </w:t>
      </w:r>
      <w:r>
        <w:rPr>
          <w:rFonts w:ascii="Times New Roman" w:cs="Times New Roman" w:eastAsia="Times New Roman" w:hAnsi="Times New Roman"/>
          <w:sz w:val="18"/>
          <w:szCs w:val="18"/>
          <w:color w:val="002A41"/>
        </w:rPr>
        <w:t>The Company maintained a cash balance of €2.2 million as of June 30, 2024, which was further enhanced by receipt</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of the second tranche of funding from YA II PN, Ltd. (“Yorkville”) in September 2024 in the amount of €3.0 million. This funding reinforced the Company's financial stability and supported its operational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02A41"/>
        </w:rPr>
        <w:t>Six-Month 2024 Milestone Achievements</w:t>
      </w:r>
    </w:p>
    <w:p>
      <w:pPr>
        <w:spacing w:after="0" w:line="225" w:lineRule="exact"/>
        <w:rPr>
          <w:sz w:val="20"/>
          <w:szCs w:val="20"/>
          <w:color w:val="auto"/>
        </w:rPr>
      </w:pPr>
    </w:p>
    <w:p>
      <w:pPr>
        <w:ind w:left="660" w:right="180" w:hanging="328"/>
        <w:spacing w:after="0" w:line="286" w:lineRule="auto"/>
        <w:tabs>
          <w:tab w:leader="none" w:pos="660" w:val="left"/>
        </w:tabs>
        <w:numPr>
          <w:ilvl w:val="0"/>
          <w:numId w:val="9"/>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Exiting insolvency: </w:t>
      </w:r>
      <w:r>
        <w:rPr>
          <w:rFonts w:ascii="Times New Roman" w:cs="Times New Roman" w:eastAsia="Times New Roman" w:hAnsi="Times New Roman"/>
          <w:sz w:val="18"/>
          <w:szCs w:val="18"/>
          <w:color w:val="002A41"/>
        </w:rPr>
        <w:t>The Company’s wholly-owned subsidiary, Sono Motors, successfully exited its self-administration proceedings in February</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2024, marking what the Company believes is a crucial step towards the financial and operational stability of Sono.</w:t>
      </w:r>
    </w:p>
    <w:p>
      <w:pPr>
        <w:spacing w:after="0" w:line="181" w:lineRule="exact"/>
        <w:rPr>
          <w:rFonts w:ascii="Times New Roman" w:cs="Times New Roman" w:eastAsia="Times New Roman" w:hAnsi="Times New Roman"/>
          <w:sz w:val="18"/>
          <w:szCs w:val="18"/>
          <w:color w:val="002A41"/>
        </w:rPr>
      </w:pPr>
    </w:p>
    <w:p>
      <w:pPr>
        <w:ind w:left="660" w:hanging="328"/>
        <w:spacing w:after="0" w:line="268" w:lineRule="auto"/>
        <w:tabs>
          <w:tab w:leader="none" w:pos="660" w:val="left"/>
        </w:tabs>
        <w:numPr>
          <w:ilvl w:val="0"/>
          <w:numId w:val="9"/>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Additional funding: </w:t>
      </w:r>
      <w:r>
        <w:rPr>
          <w:rFonts w:ascii="Times New Roman" w:cs="Times New Roman" w:eastAsia="Times New Roman" w:hAnsi="Times New Roman"/>
          <w:sz w:val="18"/>
          <w:szCs w:val="18"/>
          <w:color w:val="002A41"/>
        </w:rPr>
        <w:t>In H1 2024 Sono received funding commitments of up to €9 million, of which €4 million were received in February 2024</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and €3 million in September 2024. Subject to compliance with the terms of the investment, the Company expects the commitments to position it to obtain sufficient funding for its business strategy and operations through June 2025.</w:t>
      </w:r>
    </w:p>
    <w:p>
      <w:pPr>
        <w:spacing w:after="0" w:line="197" w:lineRule="exact"/>
        <w:rPr>
          <w:rFonts w:ascii="Times New Roman" w:cs="Times New Roman" w:eastAsia="Times New Roman" w:hAnsi="Times New Roman"/>
          <w:sz w:val="18"/>
          <w:szCs w:val="18"/>
          <w:color w:val="002A41"/>
        </w:rPr>
      </w:pPr>
    </w:p>
    <w:p>
      <w:pPr>
        <w:ind w:left="660" w:right="280" w:hanging="328"/>
        <w:spacing w:after="0" w:line="286" w:lineRule="auto"/>
        <w:tabs>
          <w:tab w:leader="none" w:pos="660" w:val="left"/>
        </w:tabs>
        <w:numPr>
          <w:ilvl w:val="0"/>
          <w:numId w:val="9"/>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Commencement of OTCQB trading: </w:t>
      </w:r>
      <w:r>
        <w:rPr>
          <w:rFonts w:ascii="Times New Roman" w:cs="Times New Roman" w:eastAsia="Times New Roman" w:hAnsi="Times New Roman"/>
          <w:sz w:val="18"/>
          <w:szCs w:val="18"/>
          <w:color w:val="002A41"/>
        </w:rPr>
        <w:t>On July 2, 2024, the Company's ordinary shares began trading on OTCQB under the symbol "SEVCF,"</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enhancing access for investors and reinforcing shareholder transparency.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A41"/>
        </w:rPr>
        <w:t>Recent Updates</w:t>
      </w:r>
    </w:p>
    <w:p>
      <w:pPr>
        <w:spacing w:after="0" w:line="225" w:lineRule="exact"/>
        <w:rPr>
          <w:sz w:val="20"/>
          <w:szCs w:val="20"/>
          <w:color w:val="auto"/>
        </w:rPr>
      </w:pPr>
    </w:p>
    <w:p>
      <w:pPr>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Green Innovation Award: </w:t>
      </w:r>
      <w:r>
        <w:rPr>
          <w:rFonts w:ascii="Times New Roman" w:cs="Times New Roman" w:eastAsia="Times New Roman" w:hAnsi="Times New Roman"/>
          <w:sz w:val="18"/>
          <w:szCs w:val="18"/>
          <w:color w:val="002A41"/>
        </w:rPr>
        <w:t>Sono received the prestigious Green Innovation Award at the Intermobility and Bus Expo (IBE) in Rimini, Italy. The</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Company believes this accolade highlights the innovative and transformative nature of Sono's solar technology and reinforces its strong position in sustainable mobility solutions.</w:t>
      </w:r>
    </w:p>
    <w:p>
      <w:pPr>
        <w:spacing w:after="0" w:line="197" w:lineRule="exact"/>
        <w:rPr>
          <w:rFonts w:ascii="Times New Roman" w:cs="Times New Roman" w:eastAsia="Times New Roman" w:hAnsi="Times New Roman"/>
          <w:sz w:val="18"/>
          <w:szCs w:val="18"/>
          <w:color w:val="002A41"/>
        </w:rPr>
      </w:pPr>
    </w:p>
    <w:p>
      <w:pPr>
        <w:ind w:left="660" w:right="100" w:hanging="328"/>
        <w:spacing w:after="0" w:line="262" w:lineRule="auto"/>
        <w:tabs>
          <w:tab w:leader="none" w:pos="660" w:val="left"/>
        </w:tabs>
        <w:numPr>
          <w:ilvl w:val="0"/>
          <w:numId w:val="10"/>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Partnership with Hofmeister &amp; Meincke: </w:t>
      </w:r>
      <w:r>
        <w:rPr>
          <w:rFonts w:ascii="Times New Roman" w:cs="Times New Roman" w:eastAsia="Times New Roman" w:hAnsi="Times New Roman"/>
          <w:sz w:val="18"/>
          <w:szCs w:val="18"/>
          <w:color w:val="002A41"/>
        </w:rPr>
        <w:t>Sono is leveraging Hofmeister &amp; Meincke’s strong market presence in Germany and globally to</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distribute its Solar Bus Kit, Solar Kits for trucks and vans and other solar products to potential customers. A recently completed training program for 80 Hofmeister &amp; Meincke’s sales representatives ensures they are equipped to effectively promote Sono’s innovative solutions, expanding the reach of sustainable mobility technologies.</w:t>
      </w:r>
    </w:p>
    <w:p>
      <w:pPr>
        <w:spacing w:after="0" w:line="203" w:lineRule="exact"/>
        <w:rPr>
          <w:rFonts w:ascii="Times New Roman" w:cs="Times New Roman" w:eastAsia="Times New Roman" w:hAnsi="Times New Roman"/>
          <w:sz w:val="18"/>
          <w:szCs w:val="18"/>
          <w:color w:val="002A41"/>
        </w:rPr>
      </w:pPr>
    </w:p>
    <w:p>
      <w:pPr>
        <w:ind w:left="660" w:right="320" w:hanging="328"/>
        <w:spacing w:after="0" w:line="262" w:lineRule="auto"/>
        <w:tabs>
          <w:tab w:leader="none" w:pos="660" w:val="left"/>
        </w:tabs>
        <w:numPr>
          <w:ilvl w:val="0"/>
          <w:numId w:val="10"/>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Expanded product portfolio: </w:t>
      </w:r>
      <w:r>
        <w:rPr>
          <w:rFonts w:ascii="Times New Roman" w:cs="Times New Roman" w:eastAsia="Times New Roman" w:hAnsi="Times New Roman"/>
          <w:sz w:val="18"/>
          <w:szCs w:val="18"/>
          <w:color w:val="002A41"/>
        </w:rPr>
        <w:t>Sono expanded its portfolio with new options for its solar bus kit, new solar kits for trucks, vans and trailers, as</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well as high-voltage solar solutions for refrigerated vehicles. These innovative solutions are designed to help fleet operators reduce fuel consumption, lower emissions and cut operational costs, showcasing Sono’s commitment to sustainable and versatile solar applications across various vehicle types.</w:t>
      </w:r>
    </w:p>
    <w:p>
      <w:pPr>
        <w:spacing w:after="0" w:line="203" w:lineRule="exact"/>
        <w:rPr>
          <w:rFonts w:ascii="Times New Roman" w:cs="Times New Roman" w:eastAsia="Times New Roman" w:hAnsi="Times New Roman"/>
          <w:sz w:val="18"/>
          <w:szCs w:val="18"/>
          <w:color w:val="002A41"/>
        </w:rPr>
      </w:pPr>
    </w:p>
    <w:p>
      <w:pPr>
        <w:ind w:left="660" w:right="140" w:hanging="328"/>
        <w:spacing w:after="0" w:line="262" w:lineRule="auto"/>
        <w:tabs>
          <w:tab w:leader="none" w:pos="660" w:val="left"/>
        </w:tabs>
        <w:numPr>
          <w:ilvl w:val="0"/>
          <w:numId w:val="10"/>
        </w:numPr>
        <w:rPr>
          <w:rFonts w:ascii="Times New Roman" w:cs="Times New Roman" w:eastAsia="Times New Roman" w:hAnsi="Times New Roman"/>
          <w:sz w:val="18"/>
          <w:szCs w:val="18"/>
          <w:color w:val="002A41"/>
        </w:rPr>
      </w:pPr>
      <w:r>
        <w:rPr>
          <w:rFonts w:ascii="Times New Roman" w:cs="Times New Roman" w:eastAsia="Times New Roman" w:hAnsi="Times New Roman"/>
          <w:sz w:val="18"/>
          <w:szCs w:val="18"/>
          <w:b w:val="1"/>
          <w:bCs w:val="1"/>
          <w:color w:val="002A41"/>
        </w:rPr>
        <w:t xml:space="preserve">Progress Toward Planned Nasdaq Uplisting: </w:t>
      </w:r>
      <w:r>
        <w:rPr>
          <w:rFonts w:ascii="Times New Roman" w:cs="Times New Roman" w:eastAsia="Times New Roman" w:hAnsi="Times New Roman"/>
          <w:sz w:val="18"/>
          <w:szCs w:val="18"/>
          <w:color w:val="002A41"/>
        </w:rPr>
        <w:t>On November 7, 2024, at an extraordinary general meeting of shareholders, key measures to</w:t>
      </w:r>
      <w:r>
        <w:rPr>
          <w:rFonts w:ascii="Times New Roman" w:cs="Times New Roman" w:eastAsia="Times New Roman" w:hAnsi="Times New Roman"/>
          <w:sz w:val="18"/>
          <w:szCs w:val="18"/>
          <w:b w:val="1"/>
          <w:bCs w:val="1"/>
          <w:color w:val="002A41"/>
        </w:rPr>
        <w:t xml:space="preserve"> </w:t>
      </w:r>
      <w:r>
        <w:rPr>
          <w:rFonts w:ascii="Times New Roman" w:cs="Times New Roman" w:eastAsia="Times New Roman" w:hAnsi="Times New Roman"/>
          <w:sz w:val="18"/>
          <w:szCs w:val="18"/>
          <w:color w:val="002A41"/>
        </w:rPr>
        <w:t>advance Sono's planned uplisting to the Nasdaq Capital Market were approved. These included appointing Owen May to the Supervisory Board, approving amendments to the Articles of Association to meet Nasdaq requirements, and authorizing preferred shares intended to enable potential future conversion of debt into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left="660" w:right="180" w:hanging="328"/>
        <w:spacing w:after="0" w:line="291" w:lineRule="auto"/>
        <w:tabs>
          <w:tab w:leader="none" w:pos="660" w:val="left"/>
        </w:tabs>
        <w:numPr>
          <w:ilvl w:val="0"/>
          <w:numId w:val="11"/>
        </w:numPr>
        <w:rPr>
          <w:rFonts w:ascii="Times New Roman" w:cs="Times New Roman" w:eastAsia="Times New Roman" w:hAnsi="Times New Roman"/>
          <w:sz w:val="17"/>
          <w:szCs w:val="17"/>
          <w:color w:val="002A41"/>
        </w:rPr>
      </w:pPr>
      <w:r>
        <w:rPr>
          <w:rFonts w:ascii="Times New Roman" w:cs="Times New Roman" w:eastAsia="Times New Roman" w:hAnsi="Times New Roman"/>
          <w:sz w:val="17"/>
          <w:szCs w:val="17"/>
          <w:b w:val="1"/>
          <w:bCs w:val="1"/>
          <w:color w:val="002A41"/>
        </w:rPr>
        <w:t xml:space="preserve">Debt-to-Equity Conversion Term Sheet Signed: </w:t>
      </w:r>
      <w:r>
        <w:rPr>
          <w:rFonts w:ascii="Times New Roman" w:cs="Times New Roman" w:eastAsia="Times New Roman" w:hAnsi="Times New Roman"/>
          <w:sz w:val="17"/>
          <w:szCs w:val="17"/>
          <w:color w:val="002A41"/>
        </w:rPr>
        <w:t>Sono has entered into a non-binding term sheet with Yorkville to convert approximately $32</w:t>
      </w:r>
      <w:r>
        <w:rPr>
          <w:rFonts w:ascii="Times New Roman" w:cs="Times New Roman" w:eastAsia="Times New Roman" w:hAnsi="Times New Roman"/>
          <w:sz w:val="17"/>
          <w:szCs w:val="17"/>
          <w:b w:val="1"/>
          <w:bCs w:val="1"/>
          <w:color w:val="002A41"/>
        </w:rPr>
        <w:t xml:space="preserve"> </w:t>
      </w:r>
      <w:r>
        <w:rPr>
          <w:rFonts w:ascii="Times New Roman" w:cs="Times New Roman" w:eastAsia="Times New Roman" w:hAnsi="Times New Roman"/>
          <w:sz w:val="17"/>
          <w:szCs w:val="17"/>
          <w:color w:val="002A41"/>
        </w:rPr>
        <w:t>million in outstanding debt into equity through the issuance of preferred shares. This initiative, pending the signing of definitive agreements, strengthens Sono’s balance sheet, reduces default risk, and marks significant progress towards the Company’s planned Nasdaq uplisting.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A41"/>
        </w:rPr>
        <w:t>Looking Ahead</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002A41"/>
        </w:rPr>
        <w:t>Managing Director, CEO and CFO George O’Leary said, “We believe our results demonstrate the resilience of our business model and the effectiveness of our strategic pivot to solar retrofit solutions. We see the €60.6 million profit and successful exit from insolvency mark as a key turning point for Sono, setting the stage for sustainable growth.”</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002A41"/>
        </w:rPr>
        <w:t>The Company remains committed to advancing its solar integration technology, providing scalable solutions for the transportation sector and reducing dependence on fossil fuels.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A41"/>
        </w:rPr>
        <w:t>For more information about Sono Group N.V., Sono Motors GmbH and their solar solutions, vis</w:t>
      </w:r>
      <w:r>
        <w:rPr>
          <w:rFonts w:ascii="Times New Roman" w:cs="Times New Roman" w:eastAsia="Times New Roman" w:hAnsi="Times New Roman"/>
          <w:sz w:val="18"/>
          <w:szCs w:val="18"/>
          <w:color w:val="000000"/>
        </w:rPr>
        <w:t>it sonogroupnv.com and sonomotors.com.</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002B41"/>
        </w:rPr>
        <w:t>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ABOUT SONO GROUP N.V.</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Sono Group N.V. (OTCQB: SEVCF) </w:t>
      </w:r>
      <w:r>
        <w:rPr>
          <w:rFonts w:ascii="Times New Roman" w:cs="Times New Roman" w:eastAsia="Times New Roman" w:hAnsi="Times New Roman"/>
          <w:sz w:val="18"/>
          <w:szCs w:val="18"/>
          <w:color w:val="002B41"/>
        </w:rPr>
        <w:t>and its wholly-owned subsidiary Sono Motors GmbH are on a pioneering mission to accelerate the revolution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2B41"/>
        </w:rPr>
        <w:t>mobility by making every commercial vehicle solar. Our disruptive solar technology has been developed to enable seamless integration into all types of commercial vehicles to reduce the impact of CO2 emissions and pave the way for climate-friendly mobility.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press@sonomotors.com | ir.sonomotors.com/news-events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ir@sonomotors.com | ir.sonomotors.com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LinkedIn: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https://www.linkedin.com/company/sonogroupnv</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002A41"/>
        </w:rPr>
        <w:t>This press release may contain forward-looking statements. The words "expect", "anticipate", "intend", "plan", "estimate", "aim", "forecast", "project", "target", “will” and similar expressions (or their negative) identify certain of these forward-looking statements. These forward-looking statements are statements regarding the intentions, beliefs, or current expectations of the Company and Sono Motors (together, the “companies”). Forward-looking statements involve inherent known and unknown risks, uncertainties and contingencies because they relate to events and depend on circumstances that may or may not occur in the future and could cause the companies’ actual results, performance or achievements to differ materially from those expressed or implied by such forward-looking statements. These risks, uncertainties and assumptions include, but are not limited to, risks, uncertainties and assumptions with respect to: our ability to access the unfunded portion of the investment from YA II PN, Ltd. (“Yorkville”), including our ability to successfully comply with the agreements related thereto and the absence of any termination event or any event of default; our ability to maintain relationships with creditors, suppliers, service providers, customers, employees and other third parties in light of the performance and credit risks associated with our constrained liquidity position and capital structure; our status as a foreign private issuer under the Securities Exchange Act of 1934; our ability to comply with OTCQB continuing standards, as well as our ability to have our shares admitted to trading on a national stock exchange, including the Nasdaq Capital Market, in the future; our ability to enter into a definitive agreement with Yorkville with respect to the conversion of outstanding debt into equity through the issuance of preferred shares; our ability to achieve our stated goals; our strategies, plan, objectives and goals, including, among others, the successful implementation and management of the pivot of our business to exclusively retrofitting and integrating our solar technology onto third party vehicles; our ability to raise the additional funding required beyond the investment from Yorkville to further develop and commercialize our solar technology and business as well as to continue as a going concern. For additional information concerning some of the risks, uncertainties and assumptions that could affect our forward-looking statements, please refer to our filings with the U.S. Securities and Exchange Commission (“SEC”), including our Annual Report on Form 20-F, which are accessible on the SEC’s website at www.sec.gov and on our website at ir.sonomotors.com. Many of these risks and uncertainties relate to factors that are beyond our ability to control or estimate precisely, such as the actions of courts, regulatory authorities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3"/>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2024-12-06T05:15:09Z</dcterms:created>
  <dcterms:modified xsi:type="dcterms:W3CDTF">2024-12-06T05:15:09Z</dcterms:modified>
</cp:coreProperties>
</file>