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March 14, 2026</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200" w:right="339" w:bottom="1440" w:gutter="0" w:footer="0" w:header="0"/>
          <w:type w:val="continuous"/>
        </w:sectPr>
      </w:pPr>
    </w:p>
    <w:p>
      <w:pPr>
        <w:spacing w:after="0" w:line="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2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3"/>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33333"/>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310"/>
        </w:trPr>
        <w:tc>
          <w:tcPr>
            <w:tcW w:w="31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9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Ordinary shares</w:t>
            </w:r>
          </w:p>
        </w:tc>
        <w:tc>
          <w:tcPr>
            <w:tcW w:w="3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33333"/>
              </w:rPr>
              <w:t>SSM</w:t>
            </w:r>
          </w:p>
        </w:tc>
        <w:tc>
          <w:tcPr>
            <w:tcW w:w="4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33333"/>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2026, the supervisory board of Sono Group N.V. (the “Company”) resolved to terminate all current and future funding commitments to its sole operational subsidiary, Sono Motors GmbH, and to exit the legacy solar operations conducted through Sono Motors GmbH, with immediate effect. The Company’s decision was driven by Sono Motors GmbH’s historical lack of profitability, which has resulted in the Company having to continuously provide funding to Sono Motors GmbH, and thus incur losses, and a determination by the supervisory board that there was not a clear path for Sono Motors GmbH to achieve profitability in a reasonably desirable timeframe and thus, avoid future losses by the Company. This decision was made in conjunction with the decision on March 14, 2026 by the Company’s management board, with the approval of the supervisory board, to adopt a new business strategy focused on the purchase and holding of digital assets, principally Bitcoin, by applying a covered-call yield strategy (the “Treasury Strategy”), as previously announced by the Company in its Current Report on Form 8-K filed with the U.S. Securities Exchange Commission on March 16, 2026 (the “March 16 Current Report”). The Treasury Strategy is projected to generate cash flow for the Company in the first year of its execution. The Company is also exploring other strategic alternatives to maximize shareholder value.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unable to make a good faith estimate of the total costs and charges, if any, that may be incurred in connection with the cessation of funding to Sono Motors GmbH and the exit from the Company’s legacy solar business. The determination of any such costs is subject to significant uncertainties, including, among other things, the timing, scope and manner of any actions undertaken with respect to Sono Motors GmbH following the cessation of funding, as well as the extent of any obligations of the Company in connection therewith.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costs, if any, may include legal, advisory and other professional fees and expenses associated with activities relating to Sono Motors GmbH. Any such costs and expenditures, if incurred, are expected to be reduced by cash flow to the Company from the Treasury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amend this Current Report on Form 8-K (this “Current Report”) to disclose material costs, charges and cash expenditures to be borne directly by the Company, if and when such amounts become reasonably estimable.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2026, the Company issued a press release regarding the cessation of funding to Sono Motors GmbH and exit from the Company’s legacy solar business. A copy of that press release is filed as Exhibit 99.1 to this Current Report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the Company intends to solicit the ratification by its shareholders of the engagement by the Company in the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cessation of funding to Sono Motors GmbH and exit from the Company’s legacy solar operations, including their timing and the costs, charges and cash expenditures the Company may incur as a result;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and Sono Motors GmbH; the Company’s product offerings and developments and business plans, including the decisions to cease funding to Sono Motors GmbH and exit the legacy solar business and to pursue the Treasury Strategy;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timing, nature and amount of any costs, charges or cash expenditures incurred by the Company in connection with the cessation of funding to Sono Motors GmbH and exit from the Company’s legacy solar operations;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current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Current Report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filed with this Current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March 19, 2026</w:t>
            </w: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59"/>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67"/>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76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McGurn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McGurn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CEO and 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ectPr>
          <w:pgSz w:w="11900" w:h="16838" w:orient="portrait"/>
          <w:cols w:equalWidth="0" w:num="1">
            <w:col w:w="11240"/>
          </w:cols>
          <w:pgMar w:left="320" w:top="57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C000"/>
        </w:rPr>
        <w:t>PRESS RELEASE</w:t>
      </w:r>
    </w:p>
    <w:p>
      <w:pPr>
        <w:spacing w:after="0" w:line="200" w:lineRule="exact"/>
        <w:rPr>
          <w:sz w:val="20"/>
          <w:szCs w:val="20"/>
          <w:color w:val="auto"/>
        </w:rPr>
      </w:pPr>
    </w:p>
    <w:p>
      <w:pPr>
        <w:spacing w:after="0" w:line="287"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43"/>
          <w:szCs w:val="43"/>
          <w:color w:val="002B41"/>
        </w:rPr>
        <w:t>Sono Group N.V. Announces Strategic Evolution: Adoption of Digital Asset Treasury Strategy and Exit from Legacy Solar Operations</w:t>
      </w:r>
    </w:p>
    <w:p>
      <w:pPr>
        <w:spacing w:after="0" w:line="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b w:val="1"/>
          <w:bCs w:val="1"/>
          <w:color w:val="002A41"/>
        </w:rPr>
        <w:t>Board-approved transition positions the Company to pursue recurring cash flow generation and a clearer path toward long-term shareholder value, with the goal of reducing ongoing operational losses</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Munich, March 19, 2026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Sono Group N.V. (Nasdaq: SSM) (hereafter referred to as “Sono” or the “Company”, parent company to Sono Motors GmbH, hereafter referred to as “Sono Solar” or “Subsidiary”) today announced two decisive, board-approved actions that together define a new strategic direction: the adoption of a Digital Asset Treasury ("DAT") strategy and the cessation of funding to its solar subsidiary, Sono Motors GmbH, while continuing to evaluate strategic alternatives for those operations where appropriate. These actions reflect the Company’s commitment to disciplined capital stewardship and its determination to pursue a clearer and more credible path toward potential profitability and long-term shareholder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Treasury Strategy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14, 2026, the Company’s management board, with supervisory board approval, formally adopted a Digital Asset Treasury strategy and policy. The Company expects to allocate a substantial portion of its treasury reserves to digital assets, primarily Bitcoin. To execute this strategy with institutional rigor, the Company has entered into an ISDA Master Agreement framework with Blockchain.com, one of the world's most established digital asset platforms, establishing the contractual infrastructure to execute derivatives and hedging transactions in connection with its digital asset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Under the DAT strategy, the Company intends to generate recurring income from its treasury by applying a covered-call yield approach against its Bitcoin holdings. This is a commonly used income-generating strategy in institutional portfolios, allowing the Company to monetize its holdings in a disciplined, rules-based manner while retaining measured exposure to Bitcoin price appreciation.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implement this strategy with disciplined risk management and will continuously evaluate market conditions and exposure levels. The Company also intends to solicit formal ratification of the DAT strategy from its shareholders through a proxy statement and duly noticed shareholder meeting, reflecting its commitment to transparency and shareholder alignment at every stage of this evolution.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Exit from Legacy Solar Operations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Following a thorough review of all available strategic pathways for Sono Motors GmbH (operating as Sono Solar), the Company’s management board, with supervisory board approval, has resolved to discontinue all current and future funding commitments to the subsidiary and to initiate the transition of legacy solar operations, while continuing to evaluate strategic alternatives for those assets where appropriate.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Sono Solar’s team built a genuinely differentiated solar-integration technology, recognized most recently with the European Transport Prize for Sustainability 2026, and demonstrated exceptional commitment through a challenging commercialization environment. The boards concluded, however, that persistent structural headwinds in the commercial vehicle solar sector, limited commercial partner traction, and the absence of a near-to-medium-term path to sustainable profitability made continued investment no longer in the best interests of the Company’s stakeholders.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transition is expected to substantially reduce operational cash outflows and is aimed at reducing recurring losses, positioning the Company's balance sheet for the next strategic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7" w:name="page8"/>
    <w:bookmarkEnd w:id="7"/>
    <w:p>
      <w:pPr>
        <w:spacing w:after="0" w:line="281" w:lineRule="auto"/>
        <w:rPr>
          <w:sz w:val="20"/>
          <w:szCs w:val="20"/>
          <w:color w:val="auto"/>
        </w:rPr>
      </w:pPr>
      <w:r>
        <w:rPr>
          <w:rFonts w:ascii="Times New Roman" w:cs="Times New Roman" w:eastAsia="Times New Roman" w:hAnsi="Times New Roman"/>
          <w:sz w:val="17"/>
          <w:szCs w:val="17"/>
          <w:color w:val="auto"/>
        </w:rPr>
        <w:t>“The people of Sono Solar built something genuinely differentiated, a technology recognized at the highest levels of our industry. This decision is not a reflection of their efforts. It is a reflection of market realities and our fiduciary responsibility to shareholders,” said Kevin McGurn, Managing Director and CEO of Sono Group N.V. “We are choosing to stop funding losses we cannot sustain and to redirect the Company’s resources toward a strategy we believe offers a clearer and more credible path to generating cash flow and long-term value, executed with institutional discipline and the governance rigor.”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Compliance</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Both the management board and supervisory board of Sono Group N.V. have approved the DAT strategy and the cessation of funding to Sono Motors GmbH. The Company will bring the DAT strategy to shareholders for formal ratification at a shareholder meeting to be noticed in accordance with applicable law and the Company’s governance documents. The Company will continue to comply with all applicable Nasdaq Capital Market listing requirements and SEC reporting obligations throughout this transition.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SONO GROUP N.V.</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Sono Group N.V. (Nasdaq: SSM) is a Netherlands-incorporated holding company listed on the Nasdaq Capital Market. In March 2026, the Company announced a strategic realignment, repositioning its balance sheet toward digital assets and initiating the exit from its legacy solar operations. For more information about Sono Group N.V. visit sonogroupnv.com. Follow us on social media: LinkedIn, Facebook, BlueSky, Truth Social,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1306195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cessation of funding to Sono Motors GmbH and exit from the Company’s legacy solar operations, including their timing and the costs, charges and cash expenditures the Company may incur as a result;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and Sono Motors GmbH; the Company’s product offerings and developments and business plans, including the decisions to cease funding to Sono Motors GmbH and exit the legacy solar business and to pursue the Treasury Strategy;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press release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timing, nature and amount of any costs, charges or cash expenditures incurred by the Company in connection with the cessation of funding to Sono Motors GmbH and exit from the Company’s legacy solar operations;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current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press release is not a substitute for the Proxy Statement or any other document that the Company may file with the SEC or send to the Company’s shareholders in connection with the Special Meeting. This press release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right="140"/>
        <w:spacing w:after="0" w:line="266" w:lineRule="auto"/>
        <w:rPr>
          <w:sz w:val="20"/>
          <w:szCs w:val="20"/>
          <w:color w:val="auto"/>
        </w:rPr>
      </w:pPr>
      <w:r>
        <w:rPr>
          <w:rFonts w:ascii="Times New Roman" w:cs="Times New Roman" w:eastAsia="Times New Roman" w:hAnsi="Times New Roman"/>
          <w:sz w:val="18"/>
          <w:szCs w:val="18"/>
          <w:color w:val="auto"/>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press@sono-solar.com | ir.sonomotors.com/news-events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ir@sonomotors.com | ir.sonomotors.com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https://www.linkedin.com/company/sonogroupnv</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2026-03-19T15:30:23Z</dcterms:created>
  <dcterms:modified xsi:type="dcterms:W3CDTF">2026-03-19T15:30:23Z</dcterms:modified>
</cp:coreProperties>
</file>