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nt10q_111725.htm"/>
      <w:bookmarkStart w:id="1" w:name="ksnt10q_111725"/>
      <w:bookmarkEnd w:id="0"/>
      <w:bookmarkEnd w:id="1"/>
      <w:r>
        <w:rPr/>
        <w:t> </w:t>
      </w:r>
    </w:p>
    <w:p>
      <w:pPr>
        <w:pStyle w:val="TextBody"/>
        <w:bidi w:val="0"/>
        <w:spacing w:before="0" w:after="0"/>
        <w:ind w:left="0" w:right="0" w:hanging="0"/>
        <w:jc w:val="center"/>
        <w:rPr>
          <w:b/>
          <w:sz w:val="36"/>
        </w:rPr>
      </w:pPr>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bidi w:val="0"/>
        <w:spacing w:before="0" w:after="0"/>
        <w:ind w:left="0" w:right="0" w:hanging="0"/>
        <w:jc w:val="center"/>
        <w:rPr/>
      </w:pPr>
      <w:r>
        <w:rPr/>
        <w:t> </w:t>
      </w:r>
    </w:p>
    <w:tbl>
      <w:tblPr>
        <w:tblW w:w="1745" w:type="dxa"/>
        <w:jc w:val="left"/>
        <w:tblInd w:w="-10" w:type="dxa"/>
        <w:tblLayout w:type="fixed"/>
        <w:tblCellMar>
          <w:top w:w="28" w:type="dxa"/>
          <w:left w:w="28" w:type="dxa"/>
          <w:bottom w:w="28" w:type="dxa"/>
          <w:right w:w="28" w:type="dxa"/>
        </w:tblCellMar>
      </w:tblPr>
      <w:tblGrid>
        <w:gridCol w:w="1745"/>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sz w:val="20"/>
              </w:rPr>
            </w:pPr>
            <w:r>
              <w:rPr>
                <w:sz w:val="20"/>
              </w:rPr>
              <w:t>SEC FILE NUMBER</w:t>
            </w:r>
          </w:p>
          <w:p>
            <w:pPr>
              <w:pStyle w:val="TableContents"/>
              <w:bidi w:val="0"/>
              <w:spacing w:before="0" w:after="0"/>
              <w:ind w:left="0" w:right="0" w:hanging="0"/>
              <w:jc w:val="center"/>
              <w:rPr>
                <w:sz w:val="20"/>
              </w:rPr>
            </w:pPr>
            <w:r>
              <w:rPr>
                <w:sz w:val="20"/>
              </w:rPr>
              <w:t>001-41066</w:t>
            </w:r>
          </w:p>
        </w:tc>
      </w:tr>
      <w:tr>
        <w:trPr/>
        <w:tc>
          <w:tcPr>
            <w:tcW w:w="17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sz w:val="20"/>
              </w:rPr>
            </w:pPr>
            <w:r>
              <w:rPr>
                <w:sz w:val="20"/>
              </w:rPr>
              <w:t>CUSIP NUMBER</w:t>
            </w:r>
          </w:p>
          <w:p>
            <w:pPr>
              <w:pStyle w:val="TableContents"/>
              <w:bidi w:val="0"/>
              <w:spacing w:before="0" w:after="0"/>
              <w:ind w:left="0" w:right="0" w:hanging="0"/>
              <w:jc w:val="center"/>
              <w:rPr>
                <w:sz w:val="20"/>
              </w:rPr>
            </w:pPr>
            <w:r>
              <w:rPr>
                <w:sz w:val="20"/>
              </w:rPr>
              <w:t>N81409 125</w:t>
            </w:r>
          </w:p>
          <w:p>
            <w:pPr>
              <w:pStyle w:val="TableContents"/>
              <w:bidi w:val="0"/>
              <w:spacing w:before="0" w:after="0"/>
              <w:ind w:left="0" w:right="0" w:hanging="0"/>
              <w:jc w:val="center"/>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12b-25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NOTIFICATION OF LATE FILING </w:t>
      </w:r>
    </w:p>
    <w:tbl>
      <w:tblPr>
        <w:tblW w:w="9805" w:type="dxa"/>
        <w:jc w:val="left"/>
        <w:tblInd w:w="0" w:type="dxa"/>
        <w:tblLayout w:type="fixed"/>
        <w:tblCellMar>
          <w:top w:w="0" w:type="dxa"/>
          <w:left w:w="0" w:type="dxa"/>
          <w:bottom w:w="0" w:type="dxa"/>
          <w:right w:w="0" w:type="dxa"/>
        </w:tblCellMar>
      </w:tblPr>
      <w:tblGrid>
        <w:gridCol w:w="1145"/>
        <w:gridCol w:w="60"/>
        <w:gridCol w:w="8600"/>
      </w:tblGrid>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right"/>
              <w:rPr>
                <w:i/>
                <w:sz w:val="20"/>
              </w:rPr>
            </w:pPr>
            <w:r>
              <w:rPr>
                <w:i/>
                <w:sz w:val="20"/>
              </w:rPr>
              <w:t xml:space="preserve">(Check One):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Form 10-K  ☐ Form 20-F  ☐ Form 11-K  ☒ Form 10-Q  ☐ Form 10-D  ☐ Form N-CEN  ☐ Form N-CSR</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sz w:val="20"/>
              </w:rPr>
            </w:pPr>
            <w:r>
              <w:rPr>
                <w:sz w:val="20"/>
              </w:rPr>
              <w:t>For Period Ended: September 30, 2025</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10-K</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20-F</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11-K</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10-Q</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sz w:val="20"/>
              </w:rPr>
            </w:pPr>
            <w:r>
              <w:rPr>
                <w:sz w:val="20"/>
              </w:rPr>
              <w:t xml:space="preserve">For the Transition Period Ended: </w:t>
            </w:r>
          </w:p>
        </w:tc>
      </w:tr>
    </w:tbl>
    <w:p>
      <w:pPr>
        <w:pStyle w:val="TextBody"/>
        <w:bidi w:val="0"/>
        <w:spacing w:before="0" w:after="0"/>
        <w:ind w:left="0" w:right="0" w:hanging="0"/>
        <w:jc w:val="left"/>
        <w:rPr/>
      </w:pPr>
      <w:r>
        <w:rPr/>
        <w:t> </w:t>
      </w:r>
    </w:p>
    <w:tbl>
      <w:tblPr>
        <w:tblW w:w="9785" w:type="dxa"/>
        <w:jc w:val="left"/>
        <w:tblInd w:w="-10" w:type="dxa"/>
        <w:tblLayout w:type="fixed"/>
        <w:tblCellMar>
          <w:top w:w="28" w:type="dxa"/>
          <w:left w:w="28" w:type="dxa"/>
          <w:bottom w:w="0" w:type="dxa"/>
          <w:right w:w="28" w:type="dxa"/>
        </w:tblCellMar>
      </w:tblPr>
      <w:tblGrid>
        <w:gridCol w:w="9785"/>
      </w:tblGrid>
      <w:tr>
        <w:trPr/>
        <w:tc>
          <w:tcPr>
            <w:tcW w:w="978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 </w:t>
            </w:r>
          </w:p>
        </w:tc>
      </w:tr>
      <w:tr>
        <w:trPr/>
        <w:tc>
          <w:tcPr>
            <w:tcW w:w="978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ind w:left="0" w:right="0" w:hanging="0"/>
              <w:jc w:val="center"/>
              <w:rPr>
                <w:i/>
                <w:sz w:val="20"/>
              </w:rPr>
            </w:pPr>
            <w:r>
              <w:rPr>
                <w:i/>
                <w:sz w:val="20"/>
              </w:rPr>
              <w:t>Read Instruction (on back page) Before Preparing Form. Please Print or Type.</w:t>
            </w:r>
          </w:p>
          <w:p>
            <w:pPr>
              <w:pStyle w:val="TableContents"/>
              <w:bidi w:val="0"/>
              <w:spacing w:before="0" w:after="0"/>
              <w:ind w:left="0" w:right="0" w:hanging="0"/>
              <w:jc w:val="center"/>
              <w:rPr>
                <w:b/>
                <w:sz w:val="20"/>
              </w:rPr>
            </w:pPr>
            <w:r>
              <w:rPr>
                <w:b/>
                <w:sz w:val="20"/>
              </w:rPr>
              <w:t>Nothing in this form shall be construed to imply that the Commission has verified any information contained herein.</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the notification relates to a portion of the filing checked above, identify the item(s) to which the notification relates:</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PART I-REGISTRANT INFORMATION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Sono Group N.V.</w:t>
      </w:r>
    </w:p>
    <w:p>
      <w:pPr>
        <w:pStyle w:val="TextBody"/>
        <w:bidi w:val="0"/>
        <w:spacing w:before="0" w:after="0"/>
        <w:ind w:left="0" w:right="0" w:hanging="0"/>
        <w:jc w:val="center"/>
        <w:rPr>
          <w:sz w:val="20"/>
        </w:rPr>
      </w:pPr>
      <w:r>
        <w:rPr>
          <w:sz w:val="20"/>
        </w:rPr>
        <w:t>Full name of Registrant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N/A </w:t>
      </w:r>
    </w:p>
    <w:p>
      <w:pPr>
        <w:pStyle w:val="TextBody"/>
        <w:bidi w:val="0"/>
        <w:spacing w:before="0" w:after="0"/>
        <w:ind w:left="0" w:right="0" w:hanging="0"/>
        <w:jc w:val="center"/>
        <w:rPr>
          <w:sz w:val="20"/>
        </w:rPr>
      </w:pPr>
      <w:r>
        <w:rPr>
          <w:sz w:val="20"/>
        </w:rPr>
        <w:t>Former name if Applicable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Waldmeisterstraße 93</w:t>
      </w:r>
    </w:p>
    <w:p>
      <w:pPr>
        <w:pStyle w:val="TextBody"/>
        <w:bidi w:val="0"/>
        <w:spacing w:before="0" w:after="0"/>
        <w:ind w:left="0" w:right="0" w:hanging="0"/>
        <w:jc w:val="center"/>
        <w:rPr>
          <w:sz w:val="20"/>
        </w:rPr>
      </w:pPr>
      <w:r>
        <w:rPr>
          <w:sz w:val="20"/>
        </w:rPr>
        <w:t>Address of Principal Executive Office (Street and number)</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80935 Munich, Germany</w:t>
      </w:r>
    </w:p>
    <w:p>
      <w:pPr>
        <w:pStyle w:val="TextBody"/>
        <w:bidi w:val="0"/>
        <w:spacing w:before="0" w:after="0"/>
        <w:ind w:left="0" w:right="0" w:hanging="0"/>
        <w:jc w:val="center"/>
        <w:rPr>
          <w:sz w:val="20"/>
        </w:rPr>
      </w:pPr>
      <w:r>
        <w:rPr>
          <w:sz w:val="20"/>
        </w:rPr>
        <w:t>City, State and Zip Code</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PART II - RULE 12b-25 (b) AND (c)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28" w:type="dxa"/>
        </w:tblCellMar>
      </w:tblPr>
      <w:tblGrid>
        <w:gridCol w:w="335"/>
        <w:gridCol w:w="150"/>
        <w:gridCol w:w="288"/>
        <w:gridCol w:w="9432"/>
      </w:tblGrid>
      <w:tr>
        <w:trPr/>
        <w:tc>
          <w:tcPr>
            <w:tcW w:w="335" w:type="dxa"/>
            <w:vMerge w:val="restart"/>
            <w:tcBorders>
              <w:right w:val="single" w:sz="8" w:space="0" w:color="000000"/>
            </w:tcBorders>
            <w:vAlign w:val="center"/>
          </w:tcPr>
          <w:p>
            <w:pPr>
              <w:pStyle w:val="TableContents"/>
              <w:bidi w:val="0"/>
              <w:spacing w:before="0" w:after="283"/>
              <w:jc w:val="center"/>
              <w:rPr/>
            </w:pPr>
            <w:r>
              <w:rPr/>
              <w:t>☒</w:t>
            </w:r>
          </w:p>
        </w:tc>
        <w:tc>
          <w:tcPr>
            <w:tcW w:w="150" w:type="dxa"/>
            <w:tcBorders/>
            <w:tcMar>
              <w:top w:w="45" w:type="dxa"/>
              <w:left w:w="45" w:type="dxa"/>
              <w:bottom w:w="45" w:type="dxa"/>
              <w:right w:w="45" w:type="dxa"/>
            </w:tcMar>
            <w:vAlign w:val="center"/>
          </w:tcPr>
          <w:p>
            <w:pPr>
              <w:pStyle w:val="TableContents"/>
              <w:bidi w:val="0"/>
              <w:spacing w:before="0" w:after="283"/>
              <w:jc w:val="left"/>
              <w:rPr/>
            </w:pPr>
            <w:r>
              <w:rPr/>
              <w:t> </w:t>
            </w:r>
          </w:p>
        </w:tc>
        <w:tc>
          <w:tcPr>
            <w:tcW w:w="288" w:type="dxa"/>
            <w:tcBorders/>
            <w:tcMar>
              <w:top w:w="45" w:type="dxa"/>
              <w:left w:w="45" w:type="dxa"/>
              <w:bottom w:w="45" w:type="dxa"/>
              <w:right w:w="45" w:type="dxa"/>
            </w:tcMar>
            <w:vAlign w:val="center"/>
          </w:tcPr>
          <w:p>
            <w:pPr>
              <w:pStyle w:val="TableContents"/>
              <w:bidi w:val="0"/>
              <w:spacing w:before="0" w:after="283"/>
              <w:jc w:val="left"/>
              <w:rPr>
                <w:sz w:val="20"/>
              </w:rPr>
            </w:pPr>
            <w:r>
              <w:rPr>
                <w:sz w:val="20"/>
              </w:rPr>
              <w:t>(a)</w:t>
            </w:r>
          </w:p>
        </w:tc>
        <w:tc>
          <w:tcPr>
            <w:tcW w:w="9432" w:type="dxa"/>
            <w:tcBorders/>
            <w:tcMar>
              <w:top w:w="45" w:type="dxa"/>
              <w:left w:w="45" w:type="dxa"/>
              <w:bottom w:w="45" w:type="dxa"/>
              <w:right w:w="45" w:type="dxa"/>
            </w:tcMar>
            <w:vAlign w:val="center"/>
          </w:tcPr>
          <w:p>
            <w:pPr>
              <w:pStyle w:val="TableContents"/>
              <w:bidi w:val="0"/>
              <w:spacing w:before="0" w:after="283"/>
              <w:jc w:val="both"/>
              <w:rPr>
                <w:sz w:val="20"/>
              </w:rPr>
            </w:pPr>
            <w:r>
              <w:rPr>
                <w:sz w:val="20"/>
              </w:rPr>
              <w:t>The reason described in reasonable detail in Part III of this form could not be eliminated without unreasonable effort or expense;</w:t>
            </w:r>
          </w:p>
        </w:tc>
      </w:tr>
      <w:tr>
        <w:trPr/>
        <w:tc>
          <w:tcPr>
            <w:tcW w:w="335" w:type="dxa"/>
            <w:vMerge w:val="continue"/>
            <w:tcBorders>
              <w:right w:val="single" w:sz="8" w:space="0" w:color="000000"/>
            </w:tcBorders>
            <w:vAlign w:val="center"/>
          </w:tcPr>
          <w:p>
            <w:pPr>
              <w:pStyle w:val="Normal"/>
              <w:bidi w:val="0"/>
              <w:jc w:val="left"/>
              <w:rPr/>
            </w:pPr>
            <w:r>
              <w:rPr/>
            </w:r>
          </w:p>
        </w:tc>
        <w:tc>
          <w:tcPr>
            <w:tcW w:w="150" w:type="dxa"/>
            <w:tcBorders/>
            <w:tcMar>
              <w:top w:w="45" w:type="dxa"/>
              <w:left w:w="45" w:type="dxa"/>
              <w:bottom w:w="45" w:type="dxa"/>
              <w:right w:w="45" w:type="dxa"/>
            </w:tcMar>
            <w:vAlign w:val="center"/>
          </w:tcPr>
          <w:p>
            <w:pPr>
              <w:pStyle w:val="TableContents"/>
              <w:bidi w:val="0"/>
              <w:spacing w:before="0" w:after="283"/>
              <w:jc w:val="left"/>
              <w:rPr/>
            </w:pPr>
            <w:r>
              <w:rPr/>
              <w:t> </w:t>
            </w:r>
          </w:p>
        </w:tc>
        <w:tc>
          <w:tcPr>
            <w:tcW w:w="288" w:type="dxa"/>
            <w:tcBorders/>
            <w:tcMar>
              <w:top w:w="45" w:type="dxa"/>
              <w:left w:w="45" w:type="dxa"/>
              <w:bottom w:w="45" w:type="dxa"/>
              <w:right w:w="45" w:type="dxa"/>
            </w:tcMar>
            <w:vAlign w:val="center"/>
          </w:tcPr>
          <w:p>
            <w:pPr>
              <w:pStyle w:val="TableContents"/>
              <w:bidi w:val="0"/>
              <w:spacing w:before="0" w:after="283"/>
              <w:jc w:val="left"/>
              <w:rPr>
                <w:sz w:val="20"/>
              </w:rPr>
            </w:pPr>
            <w:r>
              <w:rPr>
                <w:sz w:val="20"/>
              </w:rPr>
              <w:t>(b)</w:t>
            </w:r>
          </w:p>
        </w:tc>
        <w:tc>
          <w:tcPr>
            <w:tcW w:w="9432" w:type="dxa"/>
            <w:tcBorders/>
            <w:tcMar>
              <w:top w:w="45" w:type="dxa"/>
              <w:left w:w="45" w:type="dxa"/>
              <w:bottom w:w="45" w:type="dxa"/>
              <w:right w:w="45" w:type="dxa"/>
            </w:tcMar>
            <w:vAlign w:val="center"/>
          </w:tcPr>
          <w:p>
            <w:pPr>
              <w:pStyle w:val="TableContents"/>
              <w:bidi w:val="0"/>
              <w:spacing w:before="0" w:after="283"/>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35" w:type="dxa"/>
            <w:vMerge w:val="continue"/>
            <w:tcBorders>
              <w:right w:val="single" w:sz="8" w:space="0" w:color="000000"/>
            </w:tcBorders>
            <w:vAlign w:val="center"/>
          </w:tcPr>
          <w:p>
            <w:pPr>
              <w:pStyle w:val="Normal"/>
              <w:bidi w:val="0"/>
              <w:jc w:val="left"/>
              <w:rPr/>
            </w:pPr>
            <w:r>
              <w:rPr/>
            </w:r>
          </w:p>
        </w:tc>
        <w:tc>
          <w:tcPr>
            <w:tcW w:w="150" w:type="dxa"/>
            <w:tcBorders/>
            <w:tcMar>
              <w:top w:w="45" w:type="dxa"/>
              <w:left w:w="45" w:type="dxa"/>
              <w:bottom w:w="45" w:type="dxa"/>
              <w:right w:w="45" w:type="dxa"/>
            </w:tcMar>
            <w:vAlign w:val="center"/>
          </w:tcPr>
          <w:p>
            <w:pPr>
              <w:pStyle w:val="TableContents"/>
              <w:bidi w:val="0"/>
              <w:spacing w:before="0" w:after="283"/>
              <w:jc w:val="left"/>
              <w:rPr/>
            </w:pPr>
            <w:r>
              <w:rPr/>
              <w:t> </w:t>
            </w:r>
          </w:p>
        </w:tc>
        <w:tc>
          <w:tcPr>
            <w:tcW w:w="288" w:type="dxa"/>
            <w:tcBorders/>
            <w:tcMar>
              <w:top w:w="45" w:type="dxa"/>
              <w:left w:w="45" w:type="dxa"/>
              <w:bottom w:w="45" w:type="dxa"/>
              <w:right w:w="45" w:type="dxa"/>
            </w:tcMar>
            <w:vAlign w:val="center"/>
          </w:tcPr>
          <w:p>
            <w:pPr>
              <w:pStyle w:val="TableContents"/>
              <w:bidi w:val="0"/>
              <w:spacing w:before="0" w:after="283"/>
              <w:jc w:val="left"/>
              <w:rPr>
                <w:sz w:val="20"/>
              </w:rPr>
            </w:pPr>
            <w:r>
              <w:rPr>
                <w:sz w:val="20"/>
              </w:rPr>
              <w:t>(c)</w:t>
            </w:r>
          </w:p>
        </w:tc>
        <w:tc>
          <w:tcPr>
            <w:tcW w:w="9432" w:type="dxa"/>
            <w:tcBorders/>
            <w:tcMar>
              <w:top w:w="45" w:type="dxa"/>
              <w:left w:w="45" w:type="dxa"/>
              <w:bottom w:w="45" w:type="dxa"/>
              <w:right w:w="45" w:type="dxa"/>
            </w:tcMar>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PART III - NARRATIVE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sz w:val="20"/>
        </w:rPr>
      </w:pPr>
      <w:r>
        <w:rPr>
          <w:sz w:val="20"/>
        </w:rPr>
        <w:t>Sono Group N.V.’s (the “Registrant”) management has been working to finalize the accounting adjustments resulting from the Registrant’s initial transition from International Financial Reporting Standards (“IFRS”) to U.S. Generally Accepted Accounting Principles (“U.S. GAAP”). In addition, the Company is finalizing the accounting for the September 5, 2025 exchange of outstanding convertible debentures into preferred shares, including classification, measurement and related EPS and disclosure impacts. As a result, the Registrant is unable to file its Quarterly Report on Form 10-Q within the prescribed time period without unreasonable effort or expense. The Registrant expects to be able to file within the additional time allowed by this report.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PART IV - OTHER INFORMATION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06"/>
        <w:gridCol w:w="3040"/>
        <w:gridCol w:w="164"/>
        <w:gridCol w:w="164"/>
        <w:gridCol w:w="2254"/>
        <w:gridCol w:w="164"/>
        <w:gridCol w:w="164"/>
        <w:gridCol w:w="4049"/>
      </w:tblGrid>
      <w:tr>
        <w:trPr/>
        <w:tc>
          <w:tcPr>
            <w:tcW w:w="206" w:type="dxa"/>
            <w:tcBorders/>
            <w:vAlign w:val="center"/>
          </w:tcPr>
          <w:p>
            <w:pPr>
              <w:pStyle w:val="TableContents"/>
              <w:bidi w:val="0"/>
              <w:spacing w:before="0" w:after="283"/>
              <w:jc w:val="left"/>
              <w:rPr/>
            </w:pPr>
            <w:r>
              <w:rPr/>
              <w:t> </w:t>
            </w:r>
          </w:p>
        </w:tc>
        <w:tc>
          <w:tcPr>
            <w:tcW w:w="304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25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sz w:val="20"/>
              </w:rPr>
            </w:pPr>
            <w:r>
              <w:rPr>
                <w:sz w:val="20"/>
              </w:rPr>
              <w:t>(1)</w:t>
            </w:r>
          </w:p>
        </w:tc>
        <w:tc>
          <w:tcPr>
            <w:tcW w:w="9999" w:type="dxa"/>
            <w:gridSpan w:val="7"/>
            <w:tcBorders/>
            <w:vAlign w:val="center"/>
          </w:tcPr>
          <w:p>
            <w:pPr>
              <w:pStyle w:val="TableContents"/>
              <w:bidi w:val="0"/>
              <w:spacing w:before="0" w:after="283"/>
              <w:jc w:val="left"/>
              <w:rPr>
                <w:sz w:val="20"/>
              </w:rPr>
            </w:pPr>
            <w:r>
              <w:rPr>
                <w:sz w:val="20"/>
              </w:rPr>
              <w:t>Name and telephone number of person to contact in regard to this notification</w:t>
            </w:r>
          </w:p>
        </w:tc>
      </w:tr>
      <w:tr>
        <w:trPr/>
        <w:tc>
          <w:tcPr>
            <w:tcW w:w="206" w:type="dxa"/>
            <w:tcBorders/>
            <w:vAlign w:val="center"/>
          </w:tcPr>
          <w:p>
            <w:pPr>
              <w:pStyle w:val="TableContents"/>
              <w:bidi w:val="0"/>
              <w:spacing w:before="0" w:after="283"/>
              <w:jc w:val="left"/>
              <w:rPr/>
            </w:pPr>
            <w:r>
              <w:rPr/>
              <w:t> </w:t>
            </w:r>
          </w:p>
        </w:tc>
        <w:tc>
          <w:tcPr>
            <w:tcW w:w="304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418"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4213" w:type="dxa"/>
            <w:gridSpan w:val="2"/>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304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George O’Leary</w:t>
            </w:r>
          </w:p>
        </w:tc>
        <w:tc>
          <w:tcPr>
            <w:tcW w:w="164"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2254" w:type="dxa"/>
            <w:tcBorders>
              <w:bottom w:val="single" w:sz="8" w:space="0" w:color="000000"/>
            </w:tcBorders>
            <w:tcMar>
              <w:bottom w:w="28" w:type="dxa"/>
            </w:tcMar>
            <w:vAlign w:val="center"/>
          </w:tcPr>
          <w:p>
            <w:pPr>
              <w:pStyle w:val="TableContents"/>
              <w:bidi w:val="0"/>
              <w:spacing w:before="0" w:after="283"/>
              <w:jc w:val="center"/>
              <w:rPr>
                <w:sz w:val="20"/>
              </w:rPr>
            </w:pPr>
            <w:r>
              <w:rPr>
                <w:sz w:val="20"/>
              </w:rPr>
              <w:t>561</w:t>
            </w:r>
          </w:p>
        </w:tc>
        <w:tc>
          <w:tcPr>
            <w:tcW w:w="164"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4049" w:type="dxa"/>
            <w:tcBorders>
              <w:bottom w:val="single" w:sz="8" w:space="0" w:color="000000"/>
            </w:tcBorders>
            <w:tcMar>
              <w:bottom w:w="28" w:type="dxa"/>
            </w:tcMar>
            <w:vAlign w:val="center"/>
          </w:tcPr>
          <w:p>
            <w:pPr>
              <w:pStyle w:val="TableContents"/>
              <w:bidi w:val="0"/>
              <w:spacing w:before="0" w:after="283"/>
              <w:jc w:val="center"/>
              <w:rPr>
                <w:sz w:val="20"/>
              </w:rPr>
            </w:pPr>
            <w:r>
              <w:rPr>
                <w:sz w:val="20"/>
              </w:rPr>
              <w:t>955-0727</w:t>
            </w:r>
          </w:p>
        </w:tc>
      </w:tr>
      <w:tr>
        <w:trPr/>
        <w:tc>
          <w:tcPr>
            <w:tcW w:w="206" w:type="dxa"/>
            <w:tcBorders/>
            <w:vAlign w:val="center"/>
          </w:tcPr>
          <w:p>
            <w:pPr>
              <w:pStyle w:val="TableContents"/>
              <w:bidi w:val="0"/>
              <w:spacing w:before="0" w:after="283"/>
              <w:jc w:val="left"/>
              <w:rPr/>
            </w:pPr>
            <w:r>
              <w:rPr/>
              <w:t> </w:t>
            </w:r>
          </w:p>
        </w:tc>
        <w:tc>
          <w:tcPr>
            <w:tcW w:w="3040" w:type="dxa"/>
            <w:tcBorders/>
            <w:vAlign w:val="center"/>
          </w:tcPr>
          <w:p>
            <w:pPr>
              <w:pStyle w:val="TableContents"/>
              <w:bidi w:val="0"/>
              <w:spacing w:before="0" w:after="283"/>
              <w:jc w:val="center"/>
              <w:rPr>
                <w:sz w:val="20"/>
              </w:rPr>
            </w:pPr>
            <w:r>
              <w:rPr>
                <w:sz w:val="20"/>
              </w:rPr>
              <w:t>(Name)</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254" w:type="dxa"/>
            <w:tcBorders/>
            <w:vAlign w:val="center"/>
          </w:tcPr>
          <w:p>
            <w:pPr>
              <w:pStyle w:val="TableContents"/>
              <w:bidi w:val="0"/>
              <w:spacing w:before="0" w:after="283"/>
              <w:jc w:val="center"/>
              <w:rPr>
                <w:sz w:val="20"/>
              </w:rPr>
            </w:pPr>
            <w:r>
              <w:rPr>
                <w:sz w:val="20"/>
              </w:rPr>
              <w:t>(Area Code)</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283"/>
              <w:jc w:val="center"/>
              <w:rPr>
                <w:sz w:val="20"/>
              </w:rPr>
            </w:pPr>
            <w:r>
              <w:rPr>
                <w:sz w:val="20"/>
              </w:rPr>
              <w:t>(Telephone Number)</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sz w:val="20"/>
              </w:rPr>
            </w:pPr>
            <w:r>
              <w:rPr>
                <w:sz w:val="20"/>
              </w:rPr>
              <w:t>(2)</w:t>
            </w:r>
          </w:p>
        </w:tc>
        <w:tc>
          <w:tcPr>
            <w:tcW w:w="9999" w:type="dxa"/>
            <w:gridSpan w:val="7"/>
            <w:tcBorders/>
            <w:vAlign w:val="center"/>
          </w:tcPr>
          <w:p>
            <w:pPr>
              <w:pStyle w:val="TableContents"/>
              <w:bidi w:val="0"/>
              <w:spacing w:before="0" w:after="283"/>
              <w:jc w:val="left"/>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9999" w:type="dxa"/>
            <w:gridSpan w:val="7"/>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sz w:val="20"/>
              </w:rPr>
            </w:pPr>
            <w:r>
              <w:rPr>
                <w:sz w:val="20"/>
              </w:rPr>
              <w:t>(3)</w:t>
            </w:r>
          </w:p>
        </w:tc>
        <w:tc>
          <w:tcPr>
            <w:tcW w:w="9999" w:type="dxa"/>
            <w:gridSpan w:val="7"/>
            <w:tcBorders/>
            <w:vAlign w:val="center"/>
          </w:tcPr>
          <w:p>
            <w:pPr>
              <w:pStyle w:val="TableContents"/>
              <w:bidi w:val="0"/>
              <w:spacing w:before="0" w:after="283"/>
              <w:jc w:val="left"/>
              <w:rPr>
                <w:sz w:val="20"/>
              </w:rPr>
            </w:pPr>
            <w:r>
              <w:rPr>
                <w:sz w:val="20"/>
              </w:rPr>
              <w:t>Is it anticipated that any significant change in results of operations from the corresponding period for the last fiscal year will be reflected by the earnings statements to be included in the subject report or portion thereof? ☒ Yes ☐ No</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0"/>
              <w:ind w:left="0" w:right="0" w:hanging="0"/>
              <w:jc w:val="left"/>
              <w:rPr>
                <w:sz w:val="20"/>
              </w:rPr>
            </w:pPr>
            <w:r>
              <w:rPr>
                <w:sz w:val="20"/>
              </w:rPr>
              <w:t>If so, attach an explanation of the anticipated change, both narratively and quantitatively, and, if appropriate, state the reasons why a reasonable estimate of the results cannot be made.</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Previously, the Registrant’s financial statements were prepared in accordance with IFRS as permitted in the United States under the status of a “foreign private issuer” as defined under Rule 3b-4 under the Securities Exchange Act of 1934, as amended. As of June 30, 2024, the Registrant determined that it no longer qualified as a “foreign private issuer” under the Securities and Exchange Commission rules. Consequently, the Registrant is now required to prepare its consolidated financial statements in accordance with U.S. GAAP. Due to differences in accounting treatments between IFRS and U.S. GAAP, certain amounts historically reported for the Registrant’s financial position, operating results, and cash flows under IFRS will change under U.S. GAAP standards, and therefore, will be incomparable to amounts previously reported under IFRS for all previous periods.</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Additionally, as a result of the change in filer status, the Registrant is now required to file quarterly reports on Form 10-Q, which represents a further change from its prior financial reporting practices as a foreign private issuer.</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As disclosed in the interim financial report for the first half of 2024 filed on December 6, 2024, the Registrant completed a restructuring in February 2024. The resulting gain from reconsolidation was recorded in the first nine months of 2024 and significantly impacted the results for that period. In contrast, the first nine months of 2025 reflects a substantially smaller amount of other income, primarily related to fair value adjustments on outstanding debt, leading to a material difference in reported net income compared to the prior-year quarter.</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Sono Group N.V.</w:t>
      </w:r>
    </w:p>
    <w:p>
      <w:pPr>
        <w:pStyle w:val="TextBody"/>
        <w:bidi w:val="0"/>
        <w:spacing w:before="0" w:after="0"/>
        <w:ind w:left="0" w:right="0" w:hanging="0"/>
        <w:jc w:val="center"/>
        <w:rPr>
          <w:sz w:val="20"/>
        </w:rPr>
      </w:pPr>
      <w:r>
        <w:rPr>
          <w:sz w:val="20"/>
        </w:rPr>
        <w:t>(Name of Registrant as Specified in Charter)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has caused this notification to be signed on its behalf by the undersigned hereunto duly authorized.</w:t>
      </w:r>
    </w:p>
    <w:p>
      <w:pPr>
        <w:pStyle w:val="TextBody"/>
        <w:bidi w:val="0"/>
        <w:spacing w:before="0" w:after="0"/>
        <w:ind w:left="0" w:right="0" w:hanging="0"/>
        <w:jc w:val="left"/>
        <w:rPr/>
      </w:pPr>
      <w:r>
        <w:rPr/>
        <w:t> </w:t>
      </w:r>
    </w:p>
    <w:tbl>
      <w:tblPr>
        <w:tblW w:w="4490" w:type="dxa"/>
        <w:jc w:val="left"/>
        <w:tblInd w:w="0" w:type="dxa"/>
        <w:tblLayout w:type="fixed"/>
        <w:tblCellMar>
          <w:top w:w="0" w:type="dxa"/>
          <w:left w:w="0" w:type="dxa"/>
          <w:bottom w:w="0" w:type="dxa"/>
          <w:right w:w="0" w:type="dxa"/>
        </w:tblCellMar>
      </w:tblPr>
      <w:tblGrid>
        <w:gridCol w:w="515"/>
        <w:gridCol w:w="1685"/>
        <w:gridCol w:w="635"/>
        <w:gridCol w:w="1655"/>
      </w:tblGrid>
      <w:tr>
        <w:trPr/>
        <w:tc>
          <w:tcPr>
            <w:tcW w:w="515" w:type="dxa"/>
            <w:tcBorders/>
            <w:vAlign w:val="center"/>
          </w:tcPr>
          <w:p>
            <w:pPr>
              <w:pStyle w:val="TableContents"/>
              <w:bidi w:val="0"/>
              <w:spacing w:before="0" w:after="283"/>
              <w:jc w:val="left"/>
              <w:rPr>
                <w:sz w:val="20"/>
              </w:rPr>
            </w:pPr>
            <w:r>
              <w:rPr>
                <w:sz w:val="20"/>
              </w:rPr>
              <w:t xml:space="preserve">Date: </w:t>
            </w:r>
          </w:p>
        </w:tc>
        <w:tc>
          <w:tcPr>
            <w:tcW w:w="1685" w:type="dxa"/>
            <w:tcBorders/>
            <w:vAlign w:val="center"/>
          </w:tcPr>
          <w:p>
            <w:pPr>
              <w:pStyle w:val="TableContents"/>
              <w:bidi w:val="0"/>
              <w:spacing w:before="0" w:after="283"/>
              <w:jc w:val="left"/>
              <w:rPr/>
            </w:pPr>
            <w:r>
              <w:rPr/>
              <w:t> </w:t>
            </w:r>
            <w:r>
              <w:rPr>
                <w:sz w:val="20"/>
              </w:rPr>
              <w:t>November 17, 2025</w:t>
            </w:r>
          </w:p>
        </w:tc>
        <w:tc>
          <w:tcPr>
            <w:tcW w:w="635" w:type="dxa"/>
            <w:tcBorders/>
            <w:vAlign w:val="center"/>
          </w:tcPr>
          <w:p>
            <w:pPr>
              <w:pStyle w:val="TableContents"/>
              <w:bidi w:val="0"/>
              <w:spacing w:before="0" w:after="283"/>
              <w:jc w:val="left"/>
              <w:rPr>
                <w:sz w:val="20"/>
              </w:rPr>
            </w:pPr>
            <w:r>
              <w:rPr>
                <w:sz w:val="20"/>
              </w:rPr>
              <w:t xml:space="preserve">By: </w:t>
            </w:r>
          </w:p>
        </w:tc>
        <w:tc>
          <w:tcPr>
            <w:tcW w:w="16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George O’Leary  </w:t>
            </w:r>
          </w:p>
        </w:tc>
      </w:tr>
      <w:tr>
        <w:trPr/>
        <w:tc>
          <w:tcPr>
            <w:tcW w:w="51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  </w:t>
            </w:r>
          </w:p>
        </w:tc>
        <w:tc>
          <w:tcPr>
            <w:tcW w:w="1655" w:type="dxa"/>
            <w:tcBorders/>
            <w:vAlign w:val="center"/>
          </w:tcPr>
          <w:p>
            <w:pPr>
              <w:pStyle w:val="TableContents"/>
              <w:bidi w:val="0"/>
              <w:spacing w:before="0" w:after="283"/>
              <w:jc w:val="left"/>
              <w:rPr>
                <w:sz w:val="20"/>
              </w:rPr>
            </w:pPr>
            <w:r>
              <w:rPr>
                <w:sz w:val="20"/>
              </w:rPr>
              <w:t>George O’Leary</w:t>
            </w:r>
          </w:p>
        </w:tc>
      </w:tr>
      <w:tr>
        <w:trPr/>
        <w:tc>
          <w:tcPr>
            <w:tcW w:w="51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 </w:t>
            </w:r>
          </w:p>
        </w:tc>
        <w:tc>
          <w:tcPr>
            <w:tcW w:w="1655"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3</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912</Words>
  <Characters>4862</Characters>
  <CharactersWithSpaces>5837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