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001-41066</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98-1828632</w:t>
            </w:r>
          </w:p>
        </w:tc>
      </w:tr>
      <w:tr>
        <w:trPr>
          <w:trHeight w:val="216"/>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Waldmeisterstraße 93, 80935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Munich, 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+49 (0)89 4520 5818</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8060" w:type="dxa"/>
            <w:vAlign w:val="bottom"/>
            <w:gridSpan w:val="5"/>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180" w:type="dxa"/>
            <w:vAlign w:val="bottom"/>
            <w:tcBorders>
              <w:bottom w:val="single" w:sz="8" w:color="auto"/>
            </w:tcBorders>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1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bl>
    <w:p>
      <w:pPr>
        <w:spacing w:after="0" w:line="17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541"/>
        </w:trPr>
        <w:tc>
          <w:tcPr>
            <w:tcW w:w="25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3" w:right="339" w:bottom="1440" w:gutter="0" w:footer="0" w:header="0"/>
        </w:sectPr>
      </w:pPr>
    </w:p>
    <w:bookmarkStart w:id="1" w:name="page2"/>
    <w:bookmarkEnd w:id="1"/>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6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firstLine="8"/>
        <w:spacing w:after="0" w:line="266"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more detail in this quarterly report on Form 10-Q, the registrant was involved in preliminary self-administration proceedings under German insolvency law before the local court of Munich, Germany from mid-May 2023 through January 31, 2024. Since no insolvency plan providing for the distribution of securities was confirmed by the court, the registrant has not checked either of the boxes above.</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May 15, 2025, there were 1,409,921 ordinary shares, nominal value €0.02 per share, of the registrant outstanding and 40,000 high voting shares, nominal value €0.50 per share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7"/>
              </w:rPr>
              <w:t>Sono Group N.V.</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620" w:type="dxa"/>
            <w:vAlign w:val="bottom"/>
            <w:gridSpan w:val="6"/>
            <w:vMerge w:val="restart"/>
          </w:tcPr>
          <w:p>
            <w:pPr>
              <w:spacing w:after="0"/>
              <w:rPr>
                <w:sz w:val="24"/>
                <w:szCs w:val="24"/>
                <w:color w:val="auto"/>
              </w:rPr>
            </w:pPr>
          </w:p>
        </w:tc>
        <w:tc>
          <w:tcPr>
            <w:tcW w:w="9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gridSpan w:val="5"/>
            <w:vMerge w:val="continue"/>
          </w:tcPr>
          <w:p>
            <w:pPr>
              <w:spacing w:after="0"/>
              <w:rPr>
                <w:sz w:val="14"/>
                <w:szCs w:val="14"/>
                <w:color w:val="auto"/>
              </w:rPr>
            </w:pPr>
          </w:p>
        </w:tc>
        <w:tc>
          <w:tcPr>
            <w:tcW w:w="3620" w:type="dxa"/>
            <w:vAlign w:val="bottom"/>
            <w:gridSpan w:val="6"/>
            <w:vMerge w:val="continue"/>
          </w:tcPr>
          <w:p>
            <w:pPr>
              <w:spacing w:after="0"/>
              <w:rPr>
                <w:sz w:val="14"/>
                <w:szCs w:val="14"/>
                <w:color w:val="auto"/>
              </w:rPr>
            </w:pPr>
          </w:p>
        </w:tc>
        <w:tc>
          <w:tcPr>
            <w:tcW w:w="560" w:type="dxa"/>
            <w:vAlign w:val="bottom"/>
            <w:gridSpan w:val="4"/>
          </w:tcPr>
          <w:p>
            <w:pPr>
              <w:jc w:val="center"/>
              <w:ind w:left="270"/>
              <w:spacing w:after="0" w:line="169" w:lineRule="exact"/>
              <w:rPr>
                <w:sz w:val="20"/>
                <w:szCs w:val="20"/>
                <w:color w:val="auto"/>
              </w:rPr>
            </w:pPr>
            <w:r>
              <w:rPr>
                <w:rFonts w:ascii="Times New Roman" w:cs="Times New Roman" w:eastAsia="Times New Roman" w:hAnsi="Times New Roman"/>
                <w:sz w:val="18"/>
                <w:szCs w:val="18"/>
                <w:color w:val="0000EE"/>
                <w:w w:val="88"/>
              </w:rPr>
              <w:t>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7"/>
                <w:szCs w:val="17"/>
                <w:color w:val="auto"/>
              </w:rPr>
            </w:pPr>
          </w:p>
        </w:tc>
        <w:tc>
          <w:tcPr>
            <w:tcW w:w="2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3060" w:type="dxa"/>
            <w:vAlign w:val="bottom"/>
            <w:gridSpan w:val="5"/>
          </w:tcPr>
          <w:p>
            <w:pPr>
              <w:spacing w:after="0"/>
              <w:rPr>
                <w:sz w:val="17"/>
                <w:szCs w:val="17"/>
                <w:color w:val="auto"/>
              </w:rPr>
            </w:pPr>
          </w:p>
        </w:tc>
        <w:tc>
          <w:tcPr>
            <w:tcW w:w="3620" w:type="dxa"/>
            <w:vAlign w:val="bottom"/>
            <w:gridSpan w:val="6"/>
          </w:tcPr>
          <w:p>
            <w:pPr>
              <w:spacing w:after="0"/>
              <w:rPr>
                <w:sz w:val="17"/>
                <w:szCs w:val="17"/>
                <w:color w:val="auto"/>
              </w:rPr>
            </w:pPr>
          </w:p>
        </w:tc>
        <w:tc>
          <w:tcPr>
            <w:tcW w:w="56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w:t>
            </w:r>
          </w:p>
        </w:tc>
        <w:tc>
          <w:tcPr>
            <w:tcW w:w="56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 for the Three Months Ended March 31,</w:t>
            </w:r>
          </w:p>
        </w:tc>
        <w:tc>
          <w:tcPr>
            <w:tcW w:w="420" w:type="dxa"/>
            <w:vAlign w:val="bottom"/>
            <w:gridSpan w:val="2"/>
          </w:tcPr>
          <w:p>
            <w:pPr>
              <w:spacing w:after="0"/>
              <w:rPr>
                <w:sz w:val="17"/>
                <w:szCs w:val="17"/>
                <w:color w:val="auto"/>
              </w:rPr>
            </w:pPr>
          </w:p>
        </w:tc>
        <w:tc>
          <w:tcPr>
            <w:tcW w:w="56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2025 and 2024</w:t>
            </w:r>
          </w:p>
        </w:tc>
        <w:tc>
          <w:tcPr>
            <w:tcW w:w="8020" w:type="dxa"/>
            <w:vAlign w:val="bottom"/>
            <w:tcBorders>
              <w:top w:val="single" w:sz="8" w:color="0000EE"/>
            </w:tcBorders>
            <w:gridSpan w:val="14"/>
          </w:tcPr>
          <w:p>
            <w:pPr>
              <w:spacing w:after="0"/>
              <w:rPr>
                <w:sz w:val="17"/>
                <w:szCs w:val="17"/>
                <w:color w:val="auto"/>
              </w:rPr>
            </w:pPr>
          </w:p>
        </w:tc>
        <w:tc>
          <w:tcPr>
            <w:tcW w:w="4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Shareholders’ Equity for the Three Months Ended March 31, 2025 and 2024</w:t>
            </w:r>
          </w:p>
        </w:tc>
        <w:tc>
          <w:tcPr>
            <w:tcW w:w="300" w:type="dxa"/>
            <w:vAlign w:val="bottom"/>
          </w:tcPr>
          <w:p>
            <w:pPr>
              <w:spacing w:after="0"/>
              <w:rPr>
                <w:sz w:val="17"/>
                <w:szCs w:val="17"/>
                <w:color w:val="auto"/>
              </w:rPr>
            </w:pPr>
          </w:p>
        </w:tc>
        <w:tc>
          <w:tcPr>
            <w:tcW w:w="56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w:t>
            </w:r>
          </w:p>
        </w:tc>
        <w:tc>
          <w:tcPr>
            <w:tcW w:w="300" w:type="dxa"/>
            <w:vAlign w:val="bottom"/>
          </w:tcPr>
          <w:p>
            <w:pPr>
              <w:spacing w:after="0"/>
              <w:rPr>
                <w:sz w:val="17"/>
                <w:szCs w:val="17"/>
                <w:color w:val="auto"/>
              </w:rPr>
            </w:pPr>
          </w:p>
        </w:tc>
        <w:tc>
          <w:tcPr>
            <w:tcW w:w="56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700" w:type="dxa"/>
            <w:vAlign w:val="bottom"/>
            <w:gridSpan w:val="6"/>
          </w:tcPr>
          <w:p>
            <w:pPr>
              <w:spacing w:after="0"/>
              <w:rPr>
                <w:sz w:val="17"/>
                <w:szCs w:val="17"/>
                <w:color w:val="auto"/>
              </w:rPr>
            </w:pPr>
          </w:p>
        </w:tc>
        <w:tc>
          <w:tcPr>
            <w:tcW w:w="1820" w:type="dxa"/>
            <w:vAlign w:val="bottom"/>
            <w:gridSpan w:val="3"/>
          </w:tcPr>
          <w:p>
            <w:pPr>
              <w:spacing w:after="0"/>
              <w:rPr>
                <w:sz w:val="17"/>
                <w:szCs w:val="17"/>
                <w:color w:val="auto"/>
              </w:rPr>
            </w:pPr>
          </w:p>
        </w:tc>
        <w:tc>
          <w:tcPr>
            <w:tcW w:w="56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7"/>
                <w:szCs w:val="17"/>
                <w:color w:val="auto"/>
              </w:rPr>
            </w:pPr>
          </w:p>
        </w:tc>
        <w:tc>
          <w:tcPr>
            <w:tcW w:w="95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gridSpan w:val="4"/>
          </w:tcPr>
          <w:p>
            <w:pPr>
              <w:spacing w:after="0"/>
              <w:rPr>
                <w:sz w:val="17"/>
                <w:szCs w:val="17"/>
                <w:color w:val="auto"/>
              </w:rPr>
            </w:pPr>
          </w:p>
        </w:tc>
        <w:tc>
          <w:tcPr>
            <w:tcW w:w="3060" w:type="dxa"/>
            <w:vAlign w:val="bottom"/>
            <w:gridSpan w:val="4"/>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7"/>
                <w:szCs w:val="17"/>
                <w:color w:val="auto"/>
              </w:rPr>
            </w:pPr>
          </w:p>
        </w:tc>
        <w:tc>
          <w:tcPr>
            <w:tcW w:w="17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2580" w:type="dxa"/>
            <w:vAlign w:val="bottom"/>
            <w:gridSpan w:val="6"/>
          </w:tcPr>
          <w:p>
            <w:pPr>
              <w:spacing w:after="0"/>
              <w:rPr>
                <w:sz w:val="17"/>
                <w:szCs w:val="17"/>
                <w:color w:val="auto"/>
              </w:rPr>
            </w:pPr>
          </w:p>
        </w:tc>
        <w:tc>
          <w:tcPr>
            <w:tcW w:w="5160" w:type="dxa"/>
            <w:vAlign w:val="bottom"/>
            <w:gridSpan w:val="8"/>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29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540" w:type="dxa"/>
            <w:vAlign w:val="bottom"/>
            <w:gridSpan w:val="10"/>
            <w:vMerge w:val="restart"/>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540" w:type="dxa"/>
            <w:vAlign w:val="bottom"/>
            <w:gridSpan w:val="10"/>
            <w:vMerge w:val="continue"/>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1660" w:type="dxa"/>
            <w:vAlign w:val="bottom"/>
            <w:gridSpan w:val="5"/>
          </w:tcPr>
          <w:p>
            <w:pPr>
              <w:spacing w:after="0"/>
              <w:rPr>
                <w:sz w:val="17"/>
                <w:szCs w:val="17"/>
                <w:color w:val="auto"/>
              </w:rPr>
            </w:pPr>
          </w:p>
        </w:tc>
        <w:tc>
          <w:tcPr>
            <w:tcW w:w="2760" w:type="dxa"/>
            <w:vAlign w:val="bottom"/>
            <w:gridSpan w:val="3"/>
          </w:tcPr>
          <w:p>
            <w:pPr>
              <w:spacing w:after="0"/>
              <w:rPr>
                <w:sz w:val="17"/>
                <w:szCs w:val="17"/>
                <w:color w:val="auto"/>
              </w:rPr>
            </w:pPr>
          </w:p>
        </w:tc>
        <w:tc>
          <w:tcPr>
            <w:tcW w:w="3780" w:type="dxa"/>
            <w:vAlign w:val="bottom"/>
            <w:gridSpan w:val="7"/>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5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160" w:type="dxa"/>
            <w:vAlign w:val="bottom"/>
            <w:gridSpan w:val="8"/>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160" w:type="dxa"/>
            <w:vAlign w:val="bottom"/>
            <w:gridSpan w:val="8"/>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720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7"/>
                <w:szCs w:val="17"/>
                <w:color w:val="auto"/>
              </w:rPr>
            </w:pPr>
          </w:p>
        </w:tc>
        <w:tc>
          <w:tcPr>
            <w:tcW w:w="17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Pr>
          <w:p>
            <w:pPr>
              <w:spacing w:after="0"/>
              <w:rPr>
                <w:sz w:val="17"/>
                <w:szCs w:val="17"/>
                <w:color w:val="auto"/>
              </w:rPr>
            </w:pPr>
          </w:p>
        </w:tc>
        <w:tc>
          <w:tcPr>
            <w:tcW w:w="7200" w:type="dxa"/>
            <w:vAlign w:val="bottom"/>
            <w:gridSpan w:val="13"/>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tcPr>
          <w:p>
            <w:pPr>
              <w:spacing w:after="0"/>
              <w:rPr>
                <w:sz w:val="17"/>
                <w:szCs w:val="17"/>
                <w:color w:val="auto"/>
              </w:rPr>
            </w:pPr>
          </w:p>
        </w:tc>
        <w:tc>
          <w:tcPr>
            <w:tcW w:w="7740" w:type="dxa"/>
            <w:vAlign w:val="bottom"/>
            <w:gridSpan w:val="14"/>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0" w:type="dxa"/>
            <w:vAlign w:val="bottom"/>
            <w:gridSpan w:val="15"/>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60" w:type="dxa"/>
            <w:vAlign w:val="bottom"/>
            <w:gridSpan w:val="1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5"/>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80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r>
        <w:trPr>
          <w:trHeight w:val="209"/>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lease assets</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r>
      <w:tr>
        <w:trPr>
          <w:trHeight w:val="210"/>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 at fair value</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25,160</w:t>
            </w: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long term portion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16,375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25,732</w:t>
            </w:r>
          </w:p>
        </w:tc>
      </w:tr>
      <w:tr>
        <w:trPr>
          <w:trHeight w:val="209"/>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€0.02 per share, 4,300,000 shares authorized, 1,409,921 and 1,409,885 shares</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 respectively (1)</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High Voting Shares, par value €0.5 per share, 53,400 shares authorized, 40,000 shares issued and outstanding</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2025 and December 31, 2024, respectively (1)</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298,699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298,699</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(312,591)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(321,428)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r>
      <w:tr>
        <w:trPr>
          <w:trHeight w:val="209"/>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r>
      <w:tr>
        <w:trPr>
          <w:trHeight w:val="425"/>
        </w:trPr>
        <w:tc>
          <w:tcPr>
            <w:tcW w:w="9680" w:type="dxa"/>
            <w:vAlign w:val="bottom"/>
            <w:gridSpan w:val="3"/>
          </w:tcPr>
          <w:p>
            <w:pPr>
              <w:ind w:left="238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tc>
        <w:tc>
          <w:tcPr>
            <w:tcW w:w="1560" w:type="dxa"/>
            <w:vAlign w:val="bottom"/>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and Costs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deconsolidation/reconsolidation</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(income)/loss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 and Costs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(61,313)</w:t>
            </w:r>
          </w:p>
        </w:tc>
      </w:tr>
      <w:tr>
        <w:trPr>
          <w:trHeight w:val="209"/>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61,313</w:t>
            </w:r>
          </w:p>
        </w:tc>
      </w:tr>
      <w:tr>
        <w:trPr>
          <w:trHeight w:val="216"/>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changes in fair value of convertible note payable carried at fair value</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30"/>
        </w:trPr>
        <w:tc>
          <w:tcPr>
            <w:tcW w:w="8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19,564</w:t>
            </w:r>
          </w:p>
        </w:tc>
      </w:tr>
      <w:tr>
        <w:trPr>
          <w:trHeight w:val="209"/>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80,877</w:t>
            </w:r>
          </w:p>
        </w:tc>
      </w:tr>
      <w:tr>
        <w:trPr>
          <w:trHeight w:val="209"/>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to common shareholders: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1,449,918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1,449,485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10,302,853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14,727,612</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High</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Ordinary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Voting</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High</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Additional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4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Ordinary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Voting</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in</w:t>
            </w: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34"/>
        </w:trPr>
        <w:tc>
          <w:tcPr>
            <w:tcW w:w="34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Outstanding</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Deficit</w:t>
            </w: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28"/>
        </w:trPr>
        <w:tc>
          <w:tcPr>
            <w:tcW w:w="3420" w:type="dxa"/>
            <w:vAlign w:val="bottom"/>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8"/>
        </w:trPr>
        <w:tc>
          <w:tcPr>
            <w:tcW w:w="3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1,408,895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298,621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(87,688)</w:t>
            </w:r>
          </w:p>
        </w:tc>
      </w:tr>
      <w:tr>
        <w:trPr>
          <w:trHeight w:val="216"/>
        </w:trPr>
        <w:tc>
          <w:tcPr>
            <w:tcW w:w="3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for the period</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80,877</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80,877</w:t>
            </w:r>
          </w:p>
        </w:tc>
      </w:tr>
      <w:tr>
        <w:trPr>
          <w:trHeight w:val="216"/>
        </w:trPr>
        <w:tc>
          <w:tcPr>
            <w:tcW w:w="3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1,408,895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298,621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r>
      <w:tr>
        <w:trPr>
          <w:trHeight w:val="414"/>
        </w:trPr>
        <w:tc>
          <w:tcPr>
            <w:tcW w:w="3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High</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Ordinary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Voting</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High</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Additional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4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Ordinary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Voting</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in</w:t>
            </w: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34"/>
        </w:trPr>
        <w:tc>
          <w:tcPr>
            <w:tcW w:w="34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Outstanding</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Deficit</w:t>
            </w: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28"/>
        </w:trPr>
        <w:tc>
          <w:tcPr>
            <w:tcW w:w="3420" w:type="dxa"/>
            <w:vAlign w:val="bottom"/>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8"/>
        </w:trPr>
        <w:tc>
          <w:tcPr>
            <w:tcW w:w="3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1,409,885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298,699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r>
      <w:tr>
        <w:trPr>
          <w:trHeight w:val="216"/>
        </w:trPr>
        <w:tc>
          <w:tcPr>
            <w:tcW w:w="3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in connection</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December 2024 reverse share split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Income for the period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8,837</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8,837</w:t>
            </w:r>
          </w:p>
        </w:tc>
      </w:tr>
      <w:tr>
        <w:trPr>
          <w:trHeight w:val="216"/>
        </w:trPr>
        <w:tc>
          <w:tcPr>
            <w:tcW w:w="3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1,409,921</w:t>
            </w: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298,699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(13,844)</w:t>
            </w:r>
          </w:p>
        </w:tc>
      </w:tr>
      <w:tr>
        <w:trPr>
          <w:trHeight w:val="414"/>
        </w:trPr>
        <w:tc>
          <w:tcPr>
            <w:tcW w:w="8960" w:type="dxa"/>
            <w:vAlign w:val="bottom"/>
            <w:gridSpan w:val="11"/>
          </w:tcPr>
          <w:p>
            <w:pPr>
              <w:ind w:left="238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187"/>
        </w:trPr>
        <w:tc>
          <w:tcPr>
            <w:tcW w:w="8000" w:type="dxa"/>
            <w:vAlign w:val="bottom"/>
          </w:tcPr>
          <w:p>
            <w:pPr>
              <w:spacing w:after="0"/>
              <w:rPr>
                <w:sz w:val="16"/>
                <w:szCs w:val="16"/>
                <w:color w:val="auto"/>
              </w:rPr>
            </w:pPr>
          </w:p>
        </w:tc>
        <w:tc>
          <w:tcPr>
            <w:tcW w:w="16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8"/>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210"/>
        </w:trPr>
        <w:tc>
          <w:tcPr>
            <w:tcW w:w="80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reconsolidation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changes in fair value of convertible note payable carried at fair value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taxes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VAT payable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Reconsolidation of the Subsidiary cash balance</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29"/>
        </w:trPr>
        <w:tc>
          <w:tcPr>
            <w:tcW w:w="80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convertible notes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80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translation on cash</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December 31, 2024 and 2023</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at March 31, 2025 and 2024</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Global Market”). The Company’s ordinary shares commenced trading on the Nasdaq Global Market under the ticker symbol “SEV” on November 17, 2021. On July 12, 2023 and August 28, 2023, the Company received notices from Nasdaq Global Market stating that the staff of the Listing Qualifications Department (the “Staff”) had determined that the Company’s securities will be delisted from Nasdaq in accordance with Nasdaq’s Listing Rules and notifying the Company of the suspension in trading of its ordinary shares as of the opening of business on July 21, 2023. On December 11, 2023, the Company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 On July 2, 2024, the quoting of the Company’s ordinary shares commenced on OTCQB under the ticker symbol “SEVCF”.</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its management in the United States of America since January 31, 2024. Prior to this date, the Company’s management was based in Germany. The business address of the Company is Waldmeisterstraße 93, 80935 Munich, Germany (trade register number: 80683568). Sono N.V.’s sole and wholly-owned subsidiary, Sono Motors GmbH (“Sono Motors” or the “Subsidiary”), is registered in the commercial register (Handelsregister) at the local court (Amtsgericht) of Munich, Germany, under HRB 224131. Sono Motors’ registered headquarters is Waldmeisterstraße 93, 80935 Munich, Germany. Sono N.V. is the ultimate parent of the Group. Hereinafter, Sono N.V. and its consolidated subsidiary collectively are referred to as “Sono Group”, or the “Group”, “Management”, “we” and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on May 15, 2023. The Subsidiary withdrew its application for Preliminary Self-Administration Proceedings (as defined herein) on January 31, 2024, and the Subsidiary exited its Self-Administration Proceedings on February 29, 2024. See “Note 3 Liquidity and Going concern” for additional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the accounting principles generally accepted in the United States of America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On a consolidated basis, the Company’s operations are comprised of the parent company, Sono N.V. and its subsidiary, Sono Motors. All significant intercompany transactions and balances have been eliminated upon consolidation. In addition, certain amounts in the prior periods consolidated financial statements have been reclassified to conform to the current period presentation.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Consolidation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applied in the presentation of the accompanying consolidated financial statements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and pursuant to the rules and regulations of the SEC for annual financial reporting. All amounts referred to in the notes to the consolidated financial statements are presented in euros (EUR) and have been rounded to the nearest thousand, unless otherwise stated. Substantially all of the Company’s operations are conducted in EUR and the current reporting currency is the same as the functional currency.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second quarter of 2024, the Company determined that it no longer qualified as a foreign private issuer under the SEC rules. As a result, beginning January 1, 2025, the Company became subject to the reporting requirements applicable to U.S. domestic issuers. Accordingly, these consolidated financial statements have been prepared in accordance with U.S. GAAP, and the transition from International Financial Reporting Standards (“IFRS”), as issued by the International Accounting Standards Board (“IASB”), has been applied retrospectively to all periods presented.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normal and recurring adjustments that are, in the opinion of management, necessary to present a fair statement of the Company’s condensed consolidated financial position as of March 31, 2025 and the results of operations for the three month period then ended. In the opinion of management, all adjustments (consisting of normal recurring accruals) considered necessary in order to make the condensed consolidated financial statements not misleading have been included. All significant intercompany accounts and transactions have been eliminated in consolidation. The preparation of the unaudited condensed consolidated financial statements requires management to make estimates and assumptions that affect the amounts reported in the financial statements and accompanying notes; actual results could materially differ from those estimates. The unaudited condensed consolidated financial statements have been prepared pursuant to the rules and regulations of the Securities and Exchange Commission ("SEC") and accordingly do not include all of the disclosures normally made in the Company’s annual condensed consolidated financial statements. Accordingly, these unaudited condensed consolidated financial statements should be read in conjunction with the condensed consolidated financial statements and notes thereto for the fiscal year ended December 31, 2024, included in the Company’s Annual Report on Form 10-K for fiscal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of assets and liabilities and disclosures of contingent assets and liabilities at the date of the consolidated financial statements, and the reported amounts of revenues and expenses during the reporting period. Accordingly, actual results could differ from those estimates. Significant estimates include assumptions about cash flow and fair value assumptions associated with measurements of convertible notes payable carried at fair value, valuation of inventory; valuation allowance for deferred tax assets; and borrowing rate consideration for right-of-use (“ROU”) lease assets including related lease liability and useful life of fixed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statement purposes, the Company considers all highly liquid investments with original maturities of six months or less to be cash and cash equivalents. Accounts maintained in US bank accounts are insured by the Federal Deposit Insurance Corporation (“FDIC”) up to $250,000. The Company had $-0- and $-0- in US bank cash balances in excess of the FDIC insured limit as of March 31,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transition under ASU 2016-02, the Company elected the suite of practical expedients as a package applied to all of its leases, including (i) not reassessing whether any expired or existing contracts are or contain leases, (ii) not reassessing the lease classification for any expired or existing leases, and</w:t>
      </w:r>
    </w:p>
    <w:p>
      <w:pPr>
        <w:jc w:val="both"/>
        <w:ind w:firstLine="8"/>
        <w:spacing w:after="0" w:line="253" w:lineRule="auto"/>
        <w:tabs>
          <w:tab w:leader="none" w:pos="3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reassessing initial direct costs for any existing leases. For new leases, the Company will determine if an arrangement is or contains a lease at inception. Leases are included as ROU assets within other assets and lease liabilities within current liabilities and within other long-term liabilities on the Company’s consolidated balance sheets. Additionally, the Company elected the exemption available under ASC 842-20-25-2 for short term lease agreements and recognizes lease payments on a straight line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and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The ROU asset also includes any lease payments made and excludes lease incentives. Lease expense for lease payments is recognized on a straight-line basis over the lease term. See Note 7 for more complete details on balances as of the reporting periods presented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stock used in development, is stated at the lower of cost or net realizable value. Cost is determined by the first-in, first-out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counts are taken routinely and obsolete, outdated inventory is directly charged off to cost of goods sold.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exposed to a concentration of credit risk are cash and accounts receivable. Generally, the Company’s cash and cash equivalents are in checking accounts.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When retired or otherwise disposed, the related carrying value and accumulated depreciation are removed from the respective accounts and the net difference less any amount realized from disposition, is reflected in earnings. For consolidated financial statement purposes, property and equipment are recorded at cost and depreciated using the straight-line method over their estimated useful lives of 5 to 7 years. The cost of repairs and maintenance is expensed as incurred; major replacements and improvements are capitalized.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examines the possibility of decreases in the value of fixed assets when events or changes in circumstances reflect the fact that their recorded value may not be recoverable. The Company recognizes an impairment loss when the sum of expected undiscounted future cash flows is less than the carrying amount of the asset. The amount of impairment is measured as the difference between the asset’s estimated fair value and its book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recognition is based on Accounting Standards Codification (ASC) Topic 606 – Revenue from Contracts with Customers. Revenue is recognized at the point in time when control of the goods or services is transferred to the customer. The Company typically recognizes revenue upon formal acceptance by the customer. Control is considered to be transferred when the customer has the ability to direct the use of and obtain substantially all of the remaining benefits of that good. We consider this the point at which the performance obligation is fulfilled, and the customer obtains control of the promised good or service.</w:t>
      </w:r>
    </w:p>
    <w:p>
      <w:pPr>
        <w:spacing w:after="0" w:line="183" w:lineRule="exact"/>
        <w:rPr>
          <w:sz w:val="20"/>
          <w:szCs w:val="20"/>
          <w:color w:val="auto"/>
        </w:rPr>
      </w:pPr>
    </w:p>
    <w:p>
      <w:pPr>
        <w:ind w:left="98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Revenue is recognized upon delivery and successful customer acceptance (i.e., transfer of risks and rewards as well as physical possession).</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is also recognized upon acceptance by the customer, as these services are typically customized and do not provide incremental value until completion.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control does not transfer over time but rather at a single point (usually project completion or delivery), revenue is recognized at a point in time in accordance with ASC 606-10-25-30 and related guidance.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Fair Value of Assets and Liabilities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from the sale of an asset or paid to transfer a liability (i.e., an exit price) in the principal or most advantageous market in an orderly transaction between market participants. In determining fair value, the accounting standards have established a three-level hierarchy that distinguishes between (i) market data obtained or developed from independent sources (i.e., observable data inputs) and (ii) a reporting entity’s own data and assumptions that market participants would use in pricing an asset or liability (i.e., unobservable data inputs). Financial assets and financial liabilities measured and reported at fair value are classified in one of the following categories, in order of priority of observability and objectivity of pricing inputs:</w:t>
      </w:r>
    </w:p>
    <w:p>
      <w:pPr>
        <w:spacing w:after="0" w:line="187"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based on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based on significant directly observable data (other than Level 1 quoted prices) or significant indirectly observable data through corroboration with observable market data. Inputs would normally be (i) quoted prices in active markets for similar assets or liabilities, (ii) quoted prices in inactive markets for identical or similar assets or liabilities or (iii) information derived from or corroborated by observable market data;</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based on prices or valuation techniques that require significant unobservable data inputs. Inputs would normally be a reporting entity’s own data and judgments about assumptions that market participants would use in pricing the asset or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 level for an asset or liability is based on the lowest level of any input that is significant to the fair value measurement.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techniques should maximize the use of observable inputs and minimize the use of unobservable inputs.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binomial lattice option pricing model to estimate the fair value of options, warrants and other Level 3 financial assets and liabilities.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to employees and nonemployees under Financial Accounting Standards Board (“FASB”) Accounting Standards Codification (“ASC”) 718 “Compensation – Stock Compensation” using the fair value-based method. Under this method, compensation cost is measured at the grant date based on the value of the award and is recognized over the service period, which is usually the vesting period. This guidance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The Company uses a binomial lattice pricing model to estimate the fair value of options and warrants granted.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Accounting Standards Codification subtopic 740-10, Income Taxes (“ASC 740-10”)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during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 Deferred income taxes may arise from temporary differences resulting from income and expense items reported for financial accounting and tax purposes in different periods. No income tax has been provisioned for the three months ended March 31, 2025 and 2024, since the Company has sustained losses historically and has substantial net operating loss carryforwards for both periods. Due to the uncertainty of the utilization and recoverability of the loss carry-forwards and other deferred tax assets, management has determined a full valuation allowance for the deferred tax assets, since it is more likely than not that the deferred tax assets will not be realizable.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Recurring 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assets and financial liabilities is their cost, which may differ from fair value. The carrying value of cash held as demand deposits, accounts payable, and accrued liabilities approximated their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Net Income / (Loss)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by the weighted average number of shares of common stock outstanding during the period. For periods the Company reports a net loss, all outstanding stock options and other dilutive securities are excluded from the calculation of diluted net loss per common share because inclusion of these securities would be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ending March 31, 2025, and 2024, basic net income/(loss) per share was EUR6.09 and EUR55.80 respectively. Weighted average common shares used were 1,449,918 and 1,449,485.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ending March 31, 2025, and 2024 fully diluted income/(loss) per share was EUR0.86 and EUR5.49 respectively. Weighted average common shares including all outstanding stock options and other dilutive securities were 10,302,853 and 14,727,612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“management approach” to identify its reportable segments. The management approach designates the internal organization used by management for making operating decisions and assessing performance as the basis for identifying the Company’s reportable segments. Using the management approach, the Company determined that it has one operating segment, solar retrofitting of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the FASB issued ASU No. 2024-01, “Compensation—Stock Compensation (Topic 718): Scope Applications of Profits Interests and Similar Awards” (“ASU 2024-01”). ASU 2024-01 adds an example to Topic 718 which illustrates how to apply the scope guidance to determine whether profits interests and similar awards should be accounted for as share-based payment arrangements under Topic 718 or under other U.S. GAAP. ASU 2024-01 is effective for annual periods beginning after December 15, 2025, although early adoption is permitted. Upon adoption, ASU 2024-01 is not expected to have an impact on the Company’s consolidated financial statements.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This standard requires disclosure of specific information about costs and expenses and becomes effective January 1, 2027. We are currently evaluating the impact of this standard on our consolidated financial statements and related disclosures.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Conversions and Other Options (Subtopic 470-20): Induced Conversions of Convertible Debt Instruments” (“ASU 2024-04”). ASU 2024-04 clarifies the requirements for determining whether certain 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We are currently evaluating the impact of this standard on our consolidated financial statements and related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FASB issued ASU No 2024-02, “Codification Improvements - Amendments to Remove References to the Concepts Statements” (“ASU 2024-02”). ASU 2024-02 removes references to various Concepts Statements. In most instances, the references are extraneous and not required to understand or apply the guidance. ASU 2024-02 is effective for fiscal years beginning after December 15, 2024. Early adoption is permitted. ASU 2024-02 can be applied prospectively or retrospectively. The adoption did not have a material effect on the Company’s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were issued or became effective in the period that had, or are expected to have, a material impact on our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Liquidity and Going Concern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evaluate whether there is substantial doubt about its ability to continue as a going concern each reporting period, including interim periods. In evaluating the Company’s ability to continue as a going concern, management considered the conditions and events that could raise substantial doubt about the Company’s ability to continue as a going concern within 12 months after the Company’s financial statements were issued (May 31, 2026). Management considered the Company’s current financial condition and liquidity sources, including current funds available, forecasted future cash flows and the Company’s obligations due before May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including uncertainty related to product development and generation of revenues and positive cash flow from its Sono Motors GmbH division and a dependence on outside sources of capital. The attainment of profitable operations is dependent on future events, including obtaining adequate financing to fulfill the Company’s growth and operating activities and generating a level of revenues adequate to support the Company’s cost structure.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cash balances of EUR0.8 million, a working capital deficit of EUR14.1 million and an accumulated deficit of EUR312.6 million. For the three months ended March 31, 2025, the Company had net income of EUR8.8 million. The Company recorded an operating loss of EUR1.8 million and expects to continue to incur small operating losses and have net cash outflows for at least the next 12 months, offset by cash flows from financing and other business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evaluated the significance of the conditions described above in relation to the Company’s ability to meet its obligations and concluded that, if additional funding commitments from YA II PN, Ltd (“Yorkville”) are achieved based upon the notification from Nasdaq of our uplisting to the Nasdaq Capital Market, which cannot be guaranteed, the Company will have sufficient funds to meet its obligations within one year from the date of the consolidated financial statements. Based upon this uncertainty, Management has concluded that there is substantial doubt that the company will continue as a going concern.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Deconsolidation Due to Loss of Control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from Deconsolidation and Extinguishment of Debt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close of February 2023, Sono Group announced the decision to restructure the business model to focus exclusively on retrofitting and integrating solar technology into third-party vehicles going forward. At the same time, Sono Group discontinued the Sion passenger car program with immediate effect and terminated approximately 250 employees. Management ultimately concluded that Sono Motors was over-indebted and faced impending illiquidity (</w:t>
      </w:r>
      <w:r>
        <w:rPr>
          <w:rFonts w:ascii="Times New Roman" w:cs="Times New Roman" w:eastAsia="Times New Roman" w:hAnsi="Times New Roman"/>
          <w:sz w:val="18"/>
          <w:szCs w:val="18"/>
          <w:i w:val="1"/>
          <w:iCs w:val="1"/>
          <w:color w:val="auto"/>
        </w:rPr>
        <w:t>drohende Zahlungsunf</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higkeit</w:t>
      </w:r>
      <w:r>
        <w:rPr>
          <w:rFonts w:ascii="Times New Roman" w:cs="Times New Roman" w:eastAsia="Times New Roman" w:hAnsi="Times New Roman"/>
          <w:sz w:val="18"/>
          <w:szCs w:val="18"/>
          <w:color w:val="auto"/>
        </w:rPr>
        <w:t>), with Sono N.V., in turn, becoming over-indebted and also facing impending illiquidity. Consequently, management decided to apply for the opening of self-administration proceedings with respect to Sono N.V. and Sono Motors with the goal of sustainably restructuring the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2023, Sono N.V. applied to the insolvency court of Munich, Germany (the “Court”), to permit the opening of a self-administration proceeding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with respect to Sono Group N.V. pursuant to Section 270 (b)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On the same day, Sono Motors GmbH applied to the same court to permit the opening of self-administration proceeding in the form of a protective shield proceeding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with respect to Sono Motors GmbH pursuant Section 270 (d) of the German Insolvency Code. Sono Group N.V. conducts its business through its subsidiary Sono Motors GmbH, and is jointly referred to as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Self-administration proceedings are debtor-in-possession type proceedings under German insolvency law, which are available to businesses in financial distress and typically aim to preserve the business and the entity that are the subject of the proceedings. In these proceedings, Management retains control and operation of the subject company’s business under the supervision of a custodian, who is initially appointed on a preliminary basis (</w:t>
      </w:r>
      <w:r>
        <w:rPr>
          <w:rFonts w:ascii="Times New Roman" w:cs="Times New Roman" w:eastAsia="Times New Roman" w:hAnsi="Times New Roman"/>
          <w:sz w:val="18"/>
          <w:szCs w:val="18"/>
          <w:i w:val="1"/>
          <w:iCs w:val="1"/>
          <w:color w:val="auto"/>
        </w:rPr>
        <w:t>vorl</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ufiger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and is primarily responsible for monitoring the subject company’s compliance with German insolvency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and May 19, 2023, respectively, the Court admitted the opening of Self-Administration Proceedings with respect to the Company and the Subsidiary on a preliminary basis (the “Preliminary Self-Administration Proceedings”). The Court also appointed preliminary custodians for each of the Company and the Subsidiary in their respective Preliminary Self-Administration Proceedings. On September 1, 2023, the Court opened the Self-Administration Proceedings with respect to the Subsidiary (the “Opened GmbH Self-Administration Proceedings”).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considering all facts and conditions, management concluded that Sono N.V. lost control over Sono Motors upon opening of insolvency proceedings in self-administration (protective shield proceedings, May 19, 2023). Sono N.V. therefore deconsolidated Sono Motors as of May 19, 2023 in accordance with ASU 810-10-55.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loss of control, Sono N.V. derecognized the assets and liabilities of Sono Motors from the consolidated statement of financial position, recognized its remaining investment retained in Sono Motors at its fair value and subsequently accounted for the investment under the equity method of accounting pursuant to ASU 810-10-55.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deconsolidation, the Company recognized no fair value of the subsidiary at the date of deconsolidation, derecognized the carrying value of assets and liabilities transferred, and recorded a gain for the excess of liabilities extinguished over the carrying value of assets derecognized. Additionally, the Company recognized a provision for potential creditor claims during the Self-Administration Proceedings. The provision was charged against the deconsolidation gain. The net deconsolidation gain and reversal of the parental guarantee provision for the year ended December 31, 2023 resulted in a net loss of EUR21.8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Reconsolidation of Sono Motors GmbH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Subsidiary exited its Self-Administration Proceedings via its plan under the German Insolvency Code, which set out how the Subsidiary intended to restructure its debt and procure the inflow of new cash, including pursuant to a funding commitment from Yorkville. As a result, all outstanding debts between the Company and the Subsidiary were extinguished, and the Subsidiary was reconsolidated into our consolidated financial statements effective March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reconsolidation resulted in a net gain of approximately EUR62.7 million, reflecting the revaluation of the Subsidiary’s net assets and the extinguishment of parental guarantees and related liabilities. This gain is recorded in our operating results for the three months ended March 31, 2024 and represents the financial impact of regaining control over the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2024, the Company was deemed to have regained control of Sono Motors. The Company recorded the fair value of net assets consolidated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 The following table reflects the March 1, 2024 Balance Sheet of Sono Motors: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4"/>
        </w:trPr>
        <w:tc>
          <w:tcPr>
            <w:tcW w:w="42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42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6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6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recorded on reconsolidation</w:t>
            </w:r>
          </w:p>
        </w:tc>
        <w:tc>
          <w:tcPr>
            <w:tcW w:w="5420" w:type="dxa"/>
            <w:vAlign w:val="bottom"/>
          </w:tcPr>
          <w:p>
            <w:pPr>
              <w:spacing w:after="0"/>
              <w:rPr>
                <w:sz w:val="19"/>
                <w:szCs w:val="19"/>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1,978</w:t>
            </w:r>
          </w:p>
        </w:tc>
      </w:tr>
      <w:tr>
        <w:trPr>
          <w:trHeight w:val="630"/>
        </w:trPr>
        <w:tc>
          <w:tcPr>
            <w:tcW w:w="4260" w:type="dxa"/>
            <w:vAlign w:val="bottom"/>
          </w:tcPr>
          <w:p>
            <w:pPr>
              <w:spacing w:after="0"/>
              <w:rPr>
                <w:sz w:val="24"/>
                <w:szCs w:val="24"/>
                <w:color w:val="auto"/>
              </w:rPr>
            </w:pPr>
          </w:p>
        </w:tc>
        <w:tc>
          <w:tcPr>
            <w:tcW w:w="542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Pr>
          <w:p>
            <w:pPr>
              <w:spacing w:after="0"/>
              <w:rPr>
                <w:sz w:val="24"/>
                <w:szCs w:val="24"/>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as of March 31, 2025 and December 31, 2024 were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2025</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KEUR8 and KEUR18,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its office and warehouse space. The lease has a remaining life of 5yrs. The Company accounts for its leases according to ASC 842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w w:val="99"/>
              </w:rPr>
              <w:t>Lease expense was KEUR42 and KEUR42 for the three months ended March 31, 2025 and 2024, respectively.</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as of March 31, 2025:</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0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beyond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r>
      <w:tr>
        <w:trPr>
          <w:trHeight w:val="395"/>
        </w:trPr>
        <w:tc>
          <w:tcPr>
            <w:tcW w:w="800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Liability as of</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Liability as of</w:t>
            </w:r>
          </w:p>
        </w:tc>
      </w:tr>
      <w:tr>
        <w:trPr>
          <w:trHeight w:val="216"/>
        </w:trPr>
        <w:tc>
          <w:tcPr>
            <w:tcW w:w="80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 term</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was calculated over a 122 month period at a discount rate of 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the three months ended March 31, 2025, the Company recorded KEUR5.2 of an operating lease running on a month-to-month basis.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Expenses</w:t>
            </w:r>
          </w:p>
        </w:tc>
        <w:tc>
          <w:tcPr>
            <w:tcW w:w="3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related to accounts payable and accrued expenses as of March 31, 2025 and December 31, 2024 were as follows:</w:t>
            </w:r>
          </w:p>
        </w:tc>
        <w:tc>
          <w:tcPr>
            <w:tcW w:w="1560" w:type="dxa"/>
            <w:vAlign w:val="bottom"/>
          </w:tcPr>
          <w:p>
            <w:pPr>
              <w:spacing w:after="0"/>
              <w:rPr>
                <w:sz w:val="24"/>
                <w:szCs w:val="24"/>
                <w:color w:val="auto"/>
              </w:rPr>
            </w:pPr>
          </w:p>
        </w:tc>
      </w:tr>
      <w:tr>
        <w:trPr>
          <w:trHeight w:val="414"/>
        </w:trPr>
        <w:tc>
          <w:tcPr>
            <w:tcW w:w="4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2025</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4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35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356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56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425"/>
        </w:trPr>
        <w:tc>
          <w:tcPr>
            <w:tcW w:w="4440" w:type="dxa"/>
            <w:vAlign w:val="bottom"/>
          </w:tcPr>
          <w:p>
            <w:pPr>
              <w:spacing w:after="0"/>
              <w:rPr>
                <w:sz w:val="24"/>
                <w:szCs w:val="24"/>
                <w:color w:val="auto"/>
              </w:rPr>
            </w:pPr>
          </w:p>
        </w:tc>
        <w:tc>
          <w:tcPr>
            <w:tcW w:w="356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Convertible Notes Payable at Fair Value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2025 and December 31, 2024, the estimated fair value of our convertible debt is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2025</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80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 $29,656 convertible notes</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7, 2022, the Company entered into a share purchase agreement with Yorkville to purchase up to $31.1 million in convertible debentures (the “2022 Debentures”). On February 5, 2024 and August 30, 2024, Company issued additional convertible debentures in the amounts of $4.3 million and $3.3 million, respectively, (the “February 2024 Debenture” and "August 2024 Debenture” respectively, and together, the “2024 Debentures”), pursuant to a funding commitment letter entered into between the Company and Yorkville in connection with Sono Group’s restructuring in connection with the Self-Administration Proceedings. On December 30, 2024 the Company and Yorkville entered into a securities purchase agreement (the “Securities Purchase Agreement”). Under the terms of the Securities Purchase Agreement, Yorkville committed to provide limited financing to the Company in the amount of $5 million, subject to certain conditions and limitations. Following a number of amendments to the Securities Purchase Agreement the Company issued to Yorkville two additional debentures (“2025 Debentures”) in the amounts of $1 million and $1 million on February 12, 2025 and March 25, 2025, respectively. The following table reflects the outstanding debt and accrued interest for each tranche as of March 31, 2025 and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Accrued Interest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2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Issue Date</w:t>
            </w:r>
          </w:p>
        </w:tc>
        <w:tc>
          <w:tcPr>
            <w:tcW w:w="2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Maturity Date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KUSD</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Tranch-1 @4% (12%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7, 2022</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Tranch-2 @4% (12%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8, 2022</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8,150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Tranch-3 @4% (12%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20, 2022</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Tranch-4 @12% (18%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5, 2024</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4,318</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Tranch-5 @12% (18%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August 30, 2024</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August 30, 2025</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3,338</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Tranch-6a @12% (18%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12, 2025</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12, 2026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Tranch-6b @12% (18%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25, 2025</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March 24, 2026</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29,656</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5,621</w:t>
            </w:r>
          </w:p>
        </w:tc>
      </w:tr>
      <w:tr>
        <w:trPr>
          <w:trHeight w:val="395"/>
        </w:trPr>
        <w:tc>
          <w:tcPr>
            <w:tcW w:w="3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Accrued Interest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240" w:type="dxa"/>
            <w:vAlign w:val="bottom"/>
          </w:tcPr>
          <w:p>
            <w:pPr>
              <w:spacing w:after="0"/>
              <w:rPr>
                <w:sz w:val="20"/>
                <w:szCs w:val="20"/>
                <w:color w:val="auto"/>
              </w:rPr>
            </w:pPr>
          </w:p>
        </w:tc>
        <w:tc>
          <w:tcPr>
            <w:tcW w:w="2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Issue Date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KUSD</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Tranch-1 @4% (12% - default rate)</w:t>
            </w:r>
          </w:p>
        </w:tc>
        <w:tc>
          <w:tcPr>
            <w:tcW w:w="46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December 7, 2022</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Tranch-2 @4% (12% - default rate)</w:t>
            </w:r>
          </w:p>
        </w:tc>
        <w:tc>
          <w:tcPr>
            <w:tcW w:w="46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December 8, 2022</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8,150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Tranch-3 @4% (12% - default rate)</w:t>
            </w:r>
          </w:p>
        </w:tc>
        <w:tc>
          <w:tcPr>
            <w:tcW w:w="46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December 20, 2022</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Tranch-4 @12% (18% - default rate)</w:t>
            </w:r>
          </w:p>
        </w:tc>
        <w:tc>
          <w:tcPr>
            <w:tcW w:w="46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February 5, 2024</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4,318</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Tranch-5 @12% (18% - default rate)</w:t>
            </w:r>
          </w:p>
        </w:tc>
        <w:tc>
          <w:tcPr>
            <w:tcW w:w="46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August 30, 2024</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3,338</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27,656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Debentures carry a coupon of 4% and were convertible into common stock at the holder’s option at, the lower of (i) $1.75, or (ii) 96.5% of the lowest daily VWAP of the Ordinary Shares during the (7) consecutive Trading Days immediately preceding the conversion date or other date of determination). As a result of the amendment described below, the 2022 Debentures have a maturity date of the later of July 1, 2025 or 12 months from the issuance date of each such new note. The 2022 Debentures contain default provisions that accelerate the payment of principal and interest calculated at the default rate of 12%. Resulting from the Company’s application for its Self-Administration Proceedings, the 2022 Debentures have been in default since the filing with the bankruptcy court.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contractual terms of the 2022 Debentures were renegotiated and significantly amended resulting in modified convertible debentures. The maturity date was extended until July 1, 2025. The conversion price was changed to the lower of USD 0.25 and 85% of the minimum daily volume-weighted average price on the seven trading days before conversion, provided that the conversion price will not be below the nominal value of EUR 0.06, as translated to USD, and, if and only if the shares of Sono Group are listed and traded on Nasdaq on the relevant conversion date, the conversion price will not be lower than the Floor Price of USD 0.006.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The 2024 Debentures carry a coupon of 12% and are convertible into common stock at the holder’s option at, the lower of (x) a price per Ordinary Share equal to $18.75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2024 Debenture has a maturity date of July 2025, and the August 2024 Debenture has a maturity date of August 2025.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Debentures carry a coupon of 12% and are convertible into common stock at the holder’s option at, the lower of (x) a price per Ordinary Share equal to $1.75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2025 Debenture has a maturity date of February 2026, and the March 2025 Debenture has a maturity date of March 2026.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and conditions of the convertible notes under the guidance of ASC 815. The conversion feature did not meet the definition of “indexed to a company’s own stock” provided for in ASC 815 due to the variable number of shares issuable at conversion. Therefore, the conversion feature requires bifurcation and liability classification. Rather than bifurcating and recording the embedded derivative as a derivative liability, the Company elected to initially and subsequently measure the convertible note in its entirety at fair value, with changes in fair value recognized in earnings in accordance with ASC 815-15-25-4.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convertible notes, which under ASC 815-15-25-4 is Fair Value, is on the balance sheet, with changes in the carrying value being recorded in earnings. The components of the convertible promissory notes as of March 31, 2025 and December 31, 2024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Indexed common shares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8,819,247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18,537,485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Convertible Notes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EUR15,305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EUR24,035</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utilized a binomial lattice option pricing model to estimate the fair value per share of the underlying common equity.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of 2025 the Company entered into an exchange agreement whereby the holder will exchange the debt for 1,200 shares of perpetual preferred stock. Each share has a preestablished value of $30K for a total value of $36M. The exchange agreement is contingent upon the Company successfully uplisting its ordinary shares to the Nasdaq Capital Market. As part of the commitment, the holder has agreed to a conversion price of $4.00 for six months. These terms have been embodied into the calculation of fair value at March 31, 2025. The table below reflects the assumptions used as inputs to the binomial lattice option pricing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Assumption</w:t>
            </w: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price of underlying common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of underlying common equity</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2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treasury rates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rate at year end USD/EUR</w:t>
            </w:r>
          </w:p>
        </w:tc>
        <w:tc>
          <w:tcPr>
            <w:tcW w:w="12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1.0389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authorized share capital of 4,300,000 ordinary shares with a nominal value of €0.02 per share and 53,400 high voting shares with a nominal value of €0.50 per share with 1,409,921 ordinary shares and 40,000 high voting shares were issued and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December 23, 2024, the Company amended its articles of association to implement a reverse share split (the “Reverse Share Split”) of both its ordinary shares and high voting shares at a ratio of 1-for-75. The Reverse Share Split had been previously approved by the Company’s shareholders at an extraordinary general meeting held on January 31, 2024 (the “January 2024 EGM”). The Reverse Share Split took market effect on January 6, 2025, following confirmation from the Financial Industry Regulatory Authority (“FINRA”) that it had received and reviewed all necessary documentation to process the Reverse Share Split.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Reverse Share Split, every 75 ordinary shares issued and outstanding immediately prior to the Reverse Share Split were converted into one ordinary share, and every 75 high voting shares were converted into one high voting share. Fractional shares resulting from the Reverse Share Split were rounded down to the nearest whole number, with no cash or other compensation paid in lieu of fractional shares. All share and per-share data have been retroactively adjusted throughout this report to account for this share split. In connection with the reverse share split, the Company also decreased the nominal value per share from €0.06 to €0.02 for Ordinary Shares and from €1.50 to €0.5 for High Voting Shares.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these actions, the presentation of the Company’s ordinary shares and high voting shares in the consolidated financial statements as of March 31, 2025 and December 31, 2024 has been adjusted to reflect the post-split basis for comparative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2020, against the background of our intention to terminate all relevant benefits under former employee participation programs from 2017 and 2018 (respectively, “VESP 2017” and “VESP 2018”) pursuant to which employees were granted virtual shares, we adopted our conversion stock option program under the LTIP (“CSOP”). Under the CSOP, the Company granted 1,850,100 fully vested stock options, each with an exercise price of €0.06 and which are not subject to any performance criteria, with effect as of the closing date of our IPO on November 19, 2021. The stock options became exercisable one year after the closing of our IPO and are exercisable only in certain windows. The stock options will expire four years after the closing of our IPO.</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former supervisory board members received one-time awards of restricted stock units for Ordinary Shares (“RSUs”) under the LTIP in connection with the Company’s IPO and such individual’s appointment as a member of the supervisory board, starting from the date of the Company’s IPO. The awards of a total of 63,868 RSUs were granted on November 21, 2021 and vest in four equal, annual installments on each anniversary of the grant date, with the fourth installment vesting on the earlier of (a) the fourth anniversary of the grant date or (b) the Company's annual general meeting of shareholders to be held in 2025. As of December 31, 2022 there were 15,967 RSUs fully vested. As of December 31, 2023 there were 19,724 RSUs fully vested. Due to termination of the former supervisory board members no further RSUs were vested in the year 2024 or in the three months ended March 31, 2025. Hence, there were 19,724 RSUs fully vested as of March 31, 2025 and December 31, 2024.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the table below, all outstanding stock options and exercise prices have been retrospectively adjusted to reflect the Reverse Share Split implemented on December 23, 2024. The following table summarizes stock option activity as of and for the three ended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of</w:t>
            </w:r>
          </w:p>
        </w:tc>
        <w:tc>
          <w:tcPr>
            <w:tcW w:w="140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020" w:type="dxa"/>
            <w:vAlign w:val="bottom"/>
          </w:tcPr>
          <w:p>
            <w:pPr>
              <w:spacing w:after="0"/>
              <w:rPr>
                <w:sz w:val="18"/>
                <w:szCs w:val="18"/>
                <w:color w:val="auto"/>
              </w:rPr>
            </w:pP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40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Term (Yrs)</w:t>
            </w: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EUR</w:t>
            </w:r>
          </w:p>
        </w:tc>
      </w:tr>
      <w:tr>
        <w:trPr>
          <w:trHeight w:val="209"/>
        </w:trPr>
        <w:tc>
          <w:tcPr>
            <w:tcW w:w="4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33,689</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3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3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3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3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33,689</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3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33,689</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20" w:type="dxa"/>
            <w:vAlign w:val="bottom"/>
          </w:tcPr>
          <w:p>
            <w:pPr>
              <w:spacing w:after="0"/>
              <w:rPr>
                <w:sz w:val="24"/>
                <w:szCs w:val="24"/>
                <w:color w:val="auto"/>
              </w:rPr>
            </w:pPr>
          </w:p>
        </w:tc>
        <w:tc>
          <w:tcPr>
            <w:tcW w:w="32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General and Administrative Expenses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details on general and administrative expenses: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2025</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March 31, 2024</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lease expense</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67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Research and Development Expenses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2025</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March 31, 2024</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657"/>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Selling and Distribution Expenses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2025</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March 31, 2024</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and distribution expenses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contracts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carries various service contracts on its office buildings and certain copier equipment for repairs, maintenance and inspections. All contracts are short term and can be cancelled on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tax assets and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is recognized using the liability method on temporary differences as of the end of the reporting period between the carrying amounts of assets and liabilities and their tax bases.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 Deferred tax liabilities are recognized for all taxable temporary differences associated with investments in subsidiaries and associates, except where the Group is able to control the reversal of the temporary differences, and it is probable that the temporary difference will not reverse in the foreseeable future.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and to the extent that it is probable that future taxable income will allow the deferred tax asset to be realized.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may only be recognized up to the amount of the deferred tax liabilities as it is not sufficiently probable that future taxable profit will be available against which they can be utilized.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there is a legally enforceable right to offset current tax assets and current tax liabilities and these relate to income taxes levied by the same tax jurisdiction. As the net deferred tax asset is not booked in a first step, no valuation allowance is booked. Given the loss history of the Company, deferred tax assets are not recognized on the balance sheet. The amount of deferred tax assets/liabilities as of March 31, 2025 and December 31, 2024 are zero. There are no deferred taxes regarding Outside Basis Differences as those are permanent differences.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of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approximate their respective fair values due to the short-term nature of such instruments. The Company measures certain financial instruments at fair value on a recurring basis, including certain convertible notes payable. All financial instruments carried at fair value fall within Level 3 of the fair value hierarchy as their value is based on unobservable inputs. The Company evaluates its financial assets and liabilities subject to fair value measurements on a recurring basis to determine the appropriate level in which to classify them for each reporting period. This determination requires significant judgments to be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summarizes the conclusions reached regarding fair value measurements as of March 31, 2025 and December 31, 2024:</w:t>
      </w: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011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KEUR</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660" w:type="dxa"/>
            <w:vAlign w:val="bottom"/>
            <w:tcBorders>
              <w:top w:val="single" w:sz="8" w:color="auto"/>
              <w:bottom w:val="single" w:sz="8" w:color="auto"/>
              <w:right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Level 1</w:t>
            </w:r>
          </w:p>
        </w:tc>
        <w:tc>
          <w:tcPr>
            <w:tcW w:w="820" w:type="dxa"/>
            <w:vAlign w:val="bottom"/>
            <w:tcBorders>
              <w:top w:val="single" w:sz="8" w:color="auto"/>
              <w:bottom w:val="single" w:sz="8" w:color="auto"/>
              <w:right w:val="single" w:sz="8" w:color="auto"/>
            </w:tcBorders>
          </w:tcPr>
          <w:p>
            <w:pPr>
              <w:spacing w:after="0"/>
              <w:rPr>
                <w:sz w:val="18"/>
                <w:szCs w:val="18"/>
                <w:color w:val="auto"/>
              </w:rPr>
            </w:pPr>
          </w:p>
        </w:tc>
        <w:tc>
          <w:tcPr>
            <w:tcW w:w="264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Level 3</w:t>
            </w:r>
          </w:p>
        </w:tc>
        <w:tc>
          <w:tcPr>
            <w:tcW w:w="16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6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18"/>
                <w:szCs w:val="18"/>
                <w:color w:val="auto"/>
              </w:rPr>
            </w:pPr>
          </w:p>
        </w:tc>
        <w:tc>
          <w:tcPr>
            <w:tcW w:w="168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CCEEFF"/>
            </w:tcBorders>
            <w:shd w:val="clear" w:color="auto" w:fill="CCEEFF"/>
          </w:tcPr>
          <w:p>
            <w:pPr>
              <w:spacing w:after="0"/>
              <w:rPr>
                <w:sz w:val="18"/>
                <w:szCs w:val="18"/>
                <w:color w:val="auto"/>
              </w:rPr>
            </w:pPr>
          </w:p>
        </w:tc>
      </w:tr>
      <w:tr>
        <w:trPr>
          <w:trHeight w:val="191"/>
        </w:trPr>
        <w:tc>
          <w:tcPr>
            <w:tcW w:w="26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Convertible notes payable at fair</w:t>
            </w:r>
          </w:p>
        </w:tc>
        <w:tc>
          <w:tcPr>
            <w:tcW w:w="17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Pr>
          <w:p>
            <w:pPr>
              <w:spacing w:after="0"/>
              <w:rPr>
                <w:sz w:val="16"/>
                <w:szCs w:val="16"/>
                <w:color w:val="auto"/>
              </w:rPr>
            </w:pPr>
          </w:p>
        </w:tc>
      </w:tr>
      <w:tr>
        <w:trPr>
          <w:trHeight w:val="234"/>
        </w:trPr>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7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15,305</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15,305</w:t>
            </w:r>
          </w:p>
        </w:tc>
      </w:tr>
      <w:tr>
        <w:trPr>
          <w:trHeight w:val="209"/>
        </w:trPr>
        <w:tc>
          <w:tcPr>
            <w:tcW w:w="26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18"/>
                <w:szCs w:val="18"/>
                <w:color w:val="auto"/>
              </w:rPr>
            </w:pPr>
          </w:p>
        </w:tc>
        <w:tc>
          <w:tcPr>
            <w:tcW w:w="16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15,305</w:t>
            </w:r>
          </w:p>
        </w:tc>
        <w:tc>
          <w:tcPr>
            <w:tcW w:w="16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15,305</w:t>
            </w:r>
          </w:p>
        </w:tc>
      </w:tr>
      <w:tr>
        <w:trPr>
          <w:trHeight w:val="426"/>
        </w:trPr>
        <w:tc>
          <w:tcPr>
            <w:tcW w:w="2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187"/>
        </w:trPr>
        <w:tc>
          <w:tcPr>
            <w:tcW w:w="2660" w:type="dxa"/>
            <w:vAlign w:val="bottom"/>
            <w:tcBorders>
              <w:lef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3460" w:type="dxa"/>
            <w:vAlign w:val="bottom"/>
            <w:gridSpan w:val="2"/>
          </w:tcPr>
          <w:p>
            <w:pPr>
              <w:jc w:val="center"/>
              <w:ind w:right="1110"/>
              <w:spacing w:after="0" w:line="188"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r>
      <w:tr>
        <w:trPr>
          <w:trHeight w:val="238"/>
        </w:trPr>
        <w:tc>
          <w:tcPr>
            <w:tcW w:w="266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68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210"/>
        </w:trPr>
        <w:tc>
          <w:tcPr>
            <w:tcW w:w="26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Level 1</w:t>
            </w:r>
          </w:p>
        </w:tc>
        <w:tc>
          <w:tcPr>
            <w:tcW w:w="82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Level 3</w:t>
            </w:r>
          </w:p>
        </w:tc>
        <w:tc>
          <w:tcPr>
            <w:tcW w:w="16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6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18"/>
                <w:szCs w:val="18"/>
                <w:color w:val="auto"/>
              </w:rPr>
            </w:pPr>
          </w:p>
        </w:tc>
        <w:tc>
          <w:tcPr>
            <w:tcW w:w="168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91"/>
        </w:trPr>
        <w:tc>
          <w:tcPr>
            <w:tcW w:w="26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Convertible notes payable at fair</w:t>
            </w:r>
          </w:p>
        </w:tc>
        <w:tc>
          <w:tcPr>
            <w:tcW w:w="17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r>
      <w:tr>
        <w:trPr>
          <w:trHeight w:val="234"/>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7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24,035</w:t>
            </w:r>
          </w:p>
        </w:tc>
        <w:tc>
          <w:tcPr>
            <w:tcW w:w="16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24,035</w:t>
            </w:r>
          </w:p>
        </w:tc>
      </w:tr>
      <w:tr>
        <w:trPr>
          <w:trHeight w:val="209"/>
        </w:trPr>
        <w:tc>
          <w:tcPr>
            <w:tcW w:w="26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18"/>
                <w:szCs w:val="18"/>
                <w:color w:val="auto"/>
              </w:rPr>
            </w:pPr>
          </w:p>
        </w:tc>
        <w:tc>
          <w:tcPr>
            <w:tcW w:w="16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24,035</w:t>
            </w:r>
          </w:p>
        </w:tc>
        <w:tc>
          <w:tcPr>
            <w:tcW w:w="16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24,035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Convertible notes payable is a Level 3 financial instrument that is measured at fair value on a recurring basis. Gains/(Losses) from the change in fair value of convertible notes payable were KEUR10,331 and KEUR21,062,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Convertible Notes</w:t>
            </w:r>
          </w:p>
        </w:tc>
      </w:tr>
      <w:tr>
        <w:trPr>
          <w:trHeight w:val="216"/>
        </w:trPr>
        <w:tc>
          <w:tcPr>
            <w:tcW w:w="968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Payable at Fair</w:t>
            </w:r>
          </w:p>
        </w:tc>
      </w:tr>
      <w:tr>
        <w:trPr>
          <w:trHeight w:val="216"/>
        </w:trPr>
        <w:tc>
          <w:tcPr>
            <w:tcW w:w="968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34"/>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new Borrowings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1,928</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(gain)/loss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16"/>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15,305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24, 2025, the Company and YA II PN, Ltd. (“Yorkville”) entered into a fourth Omnibus Amendment to Transaction Documents (the “Fourth Omnibus Amendment”), pursuant to which the parties agreed to modify the terms of the Securities Purchase Agreement to, among other things, provide for an immediate advance by Yorkville to the Company of $500,000 in the form of a secured convertible debenture in the aggregate principal amount of $500,000 (the “Third Debenture”). As a result of the issuance of the Advance Debentures (as defined herein), and pursuant to the Fourth Omnibus Amendment, the debenture to be issued to Yorkville, upon the satisfaction of all of the conditions set forth in the Securities Purchase Agreement, will have an aggregate principal amount of $2,500,000. Under the terms of the Fourth Omnibus Amendment, Debenture 6 (as defined in the Exchange Agreement), will collectively consist of the debenture to be issued pursuant to the Securities Purchase Agreement and the Advance Debentures for purposes of the transactions contemplated by the Exchange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Third Debenture (as defined herein) will mature on April 24, 2026, which maturity date may be extended at the option of Yorkville. Further, interest accrues on the outstanding principal balance of the Third Debenture at an annual rate of 12%, which will increase to an annual rate of 18% upon an Event of Default (as defined in the Third Debenture) for so long as such Event of Default remains uncured. Yorkville will have the right to convert the Third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Third Debenture) then in effect or the nominal value of one Ordinary Share. Net proceeds to the Company from the Third Debenture were $500,000.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unaudited condensed consolidated financial statements and related notes thereto included in Part I, Item 1 of this Quarterly Report on Form 10-Q for the quarter ended March 31, 2025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audited consolidated financial statements and related notes thereto for the year ended December 31, 2024, included in our Annual Report on Form 10-K filed with the U.S.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April 17, 2025 (our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2024 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 Item 1A of our Annual Report on2024 Form 10-K, as updated from time to time in our other filings with the SEC. You should carefully read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 gain an understanding of the important factors that could cause actual results to differ materially from our forward-looking statements. Please also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The events and circumstances reflected in our forward-looking statements may not be achieved or may not occur, and actual results could differ materially from those described in or implied by the forward-looking statements contained in the following discussion and analysis. As a result of these risks, you should not place undue reliance on these forward-looking statements. We assume no obligation to revise or update any forward-looking statements for any reason, except as required by law.</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conduct our business through our subsidiary Sono Motors GmbH, a German limited liability company (Gesellschaft mit beschr</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 xml:space="preserve">nkter Haftung)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Unless otherwise indicated or the context otherwise requires, the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Sono Motors,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Sono,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ourselves,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similar terms refer to Sono Group N.V. together with the Subsidiary.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Sono Group N.V.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Sono Motors GmbH.</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that relate to our current expectations and views of future events. These statements relate to events that involve known and unknown risks, uncertainties and other factors, including those listed under “Risk Factors” in Item 1A of Part I of our 2024 Form 10-K, which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“estimate,” “intend,” “plan,” “believe,” “potential,” “forecast,” “project,” “target,” “continue,” “is/are likely to,” “will” or other similar or comparable expressions (including the negative of any of the foregoing). These forward-looking statements include all matters that are not historical facts and are statements regarding our intentions, beliefs, or current expectations. Forward-looking statements involve inherent known and unknown risks, uncertainties and contingencies because they relate to events and depend on circumstances that may or may not occur in the future and could cause our actual results, performance or achievements to differ materially from those expressed or implied by such forward-looking statements. Forward-looking statements contained in this Quarterly Report include, but are not limited to, statements about:</w:t>
      </w:r>
    </w:p>
    <w:p>
      <w:pPr>
        <w:spacing w:after="0" w:line="189" w:lineRule="exact"/>
        <w:rPr>
          <w:sz w:val="20"/>
          <w:szCs w:val="20"/>
          <w:color w:val="auto"/>
        </w:rPr>
      </w:pPr>
    </w:p>
    <w:p>
      <w:pPr>
        <w:jc w:val="both"/>
        <w:ind w:left="900" w:hanging="447"/>
        <w:spacing w:after="0" w:line="261"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access the unfunded portion of the Yorkville Commitment (as defined herein) and implement the Debt Conversion (as defined herein), including our ability to meet the initial listing requirements for admission of our securities to trading on the Nasdaq Capital Market and to satisfy the other conditions precedent set forth in the Securities Purchase Agreement and the Exchange Agreement (each as defined herein);</w:t>
      </w:r>
    </w:p>
    <w:p>
      <w:pPr>
        <w:spacing w:after="0" w:line="17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closing the transactions contemplated by the Securities Purchase Agreement and the Exchange Agreement;</w:t>
      </w:r>
    </w:p>
    <w:p>
      <w:pPr>
        <w:spacing w:after="0" w:line="225"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transactions contemplated by the Exchange Agreement and Securities Purchase Agreement on the Company’s operating results;</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lenders, suppliers, customers, employees and other third parties, to pursue new customer arrangements and projects, and to attract, retain and motivate key employees in light of the performance and credit risks associated with our constrained liquidity position and capital structure;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2" w:name="page23"/>
    <w:bookmarkEnd w:id="22"/>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continuing standards of OTCQB;</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plan, objectives and goals, including, for example:</w:t>
      </w:r>
    </w:p>
    <w:p>
      <w:pPr>
        <w:spacing w:after="0" w:line="225" w:lineRule="exact"/>
        <w:rPr>
          <w:rFonts w:ascii="Times New Roman" w:cs="Times New Roman" w:eastAsia="Times New Roman" w:hAnsi="Times New Roman"/>
          <w:sz w:val="18"/>
          <w:szCs w:val="18"/>
          <w:color w:val="auto"/>
        </w:rPr>
      </w:pPr>
    </w:p>
    <w:p>
      <w:pPr>
        <w:ind w:left="1760" w:hanging="443"/>
        <w:spacing w:after="0" w:line="282" w:lineRule="auto"/>
        <w:tabs>
          <w:tab w:leader="none" w:pos="1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and management of the pivot of our business to exclusively retrofitting and integrating our solar technology onto third party vehicles; and</w:t>
      </w:r>
    </w:p>
    <w:p>
      <w:pPr>
        <w:spacing w:after="0" w:line="161" w:lineRule="exact"/>
        <w:rPr>
          <w:rFonts w:ascii="Times New Roman" w:cs="Times New Roman" w:eastAsia="Times New Roman" w:hAnsi="Times New Roman"/>
          <w:sz w:val="18"/>
          <w:szCs w:val="18"/>
          <w:color w:val="auto"/>
        </w:rPr>
      </w:pPr>
    </w:p>
    <w:p>
      <w:pPr>
        <w:ind w:left="1760" w:hanging="443"/>
        <w:spacing w:after="0" w:line="282" w:lineRule="auto"/>
        <w:tabs>
          <w:tab w:leader="none" w:pos="1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continued development, sale and delivery of our solar solutions for vehicles and similar products, as well as the continuous advancement of our current technologies and development of new technologies;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 sufficient number of future customer contracts or otherwise raise the additional funding required beyond the Yorkville Commitment to further develop and commercialize our solar technology and business as well as to continue as a going concern;</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and financial performance, including our ability to turn profitable, scale our operations and build a well-recognized and respected brand cost-effectively;</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customer acceptance of and demand for our products, including by developing and maintaining relationships with key business partners who are crucial for our operations or who directly deal with end users in our target market; and</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of our industry, market size and the regulatory and competitive environment in which we operate.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such forward-looking statements to be covered by the safe harbor provisions for forward-looking statements contained in Section 27A of the Securities Act of 1933, as amended, and Section 21E of the Securities Exchange Act of 1934, as amended (the “Exchange Act”). These forward-looking statements are subject to known and unknown risks, uncertainties and assumptions, many of which are beyond our control. In addition, these forward-looking statements reflect our current views with respect to future events and trends that we believe may affect our financial condition, results of operations, business strategy, short-term and long-term business operations and objectives, and financial needs. These forward-looking statements are neither promises nor guarantees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Quarterly Report.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risks, uncertainties, and assumptions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our 2024 Form 10-K,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in this Quarterly Report and elsewhere in this Quarterly Report.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at https://ir.sonomotors.com. We therefore encourage investors and others interested in the Company to review the information that we make available on our website, in addition to following our filings with the U.S. Securities and Exchange Commission (“SEC”), webcasts, press releases and conference calls. Information contained on our website is not part of this Quarterly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technology company focused on the development and commercialization of solar integration solutions for commercial vehicles. Our proprietary solar charge controller (MCU) technology enables the seamless integration of solar energy into high- and low-voltage vehicle architectures, reducing fuel consumption and emissions for diesel-powered vehicles and extending battery life for electric vehicles.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portfolio includes complete solar solutions for refrigerated trailers, electric buses, commercial vans and trucks, as well as standalone components, such as solar charge controllers (MCUs) and solar modules. We also provide engineering services to assist OEMs and fleet operators in integrating solar technology into their vehicle production processes.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pivot to solar-only solutions in early 2023, we have continued to refine and expand our offerings, with an increased focus on OEM partnerships to drive adoption of factory-installed solar solutions. While we have generated limited revenue to date, we believe that our technology has large market potential in addressing the growing demand for cost-saving and emission-reducing energy solutions for commercial fleets.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incurred operating losses since our inception; however, in 2024, we recorded an operating profit due to the impact of revaluation gains following the reconsolidation of our operating subsidiary after the termination of the self-administration proceedings with respect to the Companies (the “Self-Administration Proceedings”) in early 2024. This one-time accounting impact significantly influenced our reported net income for the year ending December 31, 2024. In the first quarter of 2025, we reported net income of €1.5 million, primarily driven by fair value adjustments related to our outstanding convertible debt. Excluding these effects, our core operations remain in an investment and scaling phase, and we expect to continue incurring operating losses going forward as we expand our product offerings, scale production and establish strategic partnerships.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we had cash and cash equivalents of €0.8 million, and we anticipate that our current funding arrangements, including the Yorkville Commitment and the Debt Conversion, if we are able to successfully satisfy the conditions precedent thereto, will be sufficient to support our business operations through the first quarter of 2026. However, we will have to either secure a sufficient number of future customer contracts or secure additional financing to execute our long-term growth strategy, and our ability to secure such funding will depend on, among other things, market conditions, operational milestones and investor confidence.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a single business segment, managing our financing, research and development and product commercialization on a consolidated basis. Our financial results reflect a transition from pre-revenue technology development to commercial-scale implementation, and we expect continued volatility as we scale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Developments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24, 2025, the Company and YA II PN, Ltd. (“Yorkville”) entered into a fourth Omnibus Amendment to Transaction Documents (the “Fourth Omnibus Amendment”), pursuant to which the parties agreed to modify the terms of the Securities Purchase Agreement to, among other things, provide for an immediate advance by Yorkville to the Company of $500,000 in the form of a secured convertible debenture in the aggregate principal amount of $500,000 (the “Third Debenture”). As a result of the issuance of the Advance Debentures (as defined herein), and pursuant to the Fourth Omnibus Amendment, the debenture to be issued to Yorkville, upon the satisfaction of all of the conditions set forth in the Securities Purchase Agreement, will have an aggregate principal amount of $2,500,000. Under the terms of the Fourth Omnibus Amendment, Debenture 6 (as defined in the Exchange Agreement), will collectively consist of the debenture to be issued pursuant to the Securities Purchase Agreement and the Advance Debentures for purposes of the transactions contemplated by the Exchange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Third Debenture (as defined herein) will mature on April 24, 2026, which maturity date may be extended at the option of Yorkville. Further, interest accrues on the outstanding principal balance of the Third Debenture at an annual rate of 12%, which will increase to an annual rate of 18% upon an Event of Default (as defined in the Third Debenture) for so long as such Event of Default remains uncured. Yorkville will have the right to convert the Third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Third Debenture) then in effect or the nominal value of one Ordinary Share. Net proceeds to the Company from the Third Debenture were $500,000.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yet generated material revenue from our solar technology solutions. Historically, our revenue has been derived primarily from prototype sales and pilot installations of our solar retrofit solutions, including the Solar Bus Kit. In 2024, we expanded our product offerings to include additional commercial vehicle categories, such as trucks, refrigerated trailers and electric vans. While these developments position us for potential future revenue growth, we expect revenue generation to remain limited in the near term as we focus on finalizing product developments, securing large-scale partnerships with OEMs and fleet operators and ramping up commercial deployments.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our continued transition to an asset-light business model in 2024, revenue growth will depend on our ability to successfully scale our solar technology offerings through direct sales and strategic partnerships. Additionally, regulatory approvals and customer adoption rates will play a critical role in the timing and magnitude of revenue recognition in the coming years. We anticipate that revenue fluctuations may occur as we move from initial pilot programs toward broader commercialization.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While we anticipate an increase in revenue as adoption of our solar solutions expands, our future revenue growth is subject to factors including successful commercialization of our technology, scaling production, obtaining additional regulatory approvals and securing long-term contracts with OEMs and fleet operators. Additionally, revenue growth may be affected by macroeconomic conditions, supply chain constraints and shifts in government incentives for renewable energy technologies.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expected revenue streams include the sale of complete solar solutions, standalone solar products such as solar modules and solar charge controllers, as well as data services and engineering services that support OEM integration and fleet adoption. Our revenue recognition follows standard contract-based policies, with revenue recognized upon delivery of products or completion of contractual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cost of sales has been minimal, reflecting the limited revenue generation from prototype projects and early-stage product deployments. As we scale production and move toward broader commercialization, we expect cost of sales to increase in line with higher manufacturing volumes, supply chain expenditures and product fulfillment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research expenses in prior years, as we did not engage in fundamental research activities. Our development expenses primarily consist of</w:t>
      </w:r>
    </w:p>
    <w:p>
      <w:pPr>
        <w:spacing w:after="0" w:line="27" w:lineRule="exact"/>
        <w:rPr>
          <w:sz w:val="20"/>
          <w:szCs w:val="20"/>
          <w:color w:val="auto"/>
        </w:rPr>
      </w:pPr>
    </w:p>
    <w:p>
      <w:pPr>
        <w:jc w:val="both"/>
        <w:ind w:firstLine="8"/>
        <w:spacing w:after="0" w:line="253" w:lineRule="auto"/>
        <w:tabs>
          <w:tab w:leader="none" w:pos="2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for our development team, including salaries, bonuses and related share-based compensation, (ii) costs associated with prototype development and solar integration, (iii) professional services and (iv) other expenses. Development costs are expensed as incurred, as the recognition criteria for capitalization have not been met. In 2024, research and development expenses declined as we shifted from early-stage development to commercialization. We intend to focus future investments on optimizing our solar charge controller technology, enhancing solar integration efficiency and supporting OEM partnerships.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selling, general and administrative expenses (“SG&amp;A”) on an accrual basis when incurred. These expenses primarily include employee compensation, consultant and professional service fees, legal and compliance costs, marketing and promotional activities, intellectual property-related expenses and general overhead costs. As we continue to scale our operations and expand our market presence, we anticipate SG&amp;A expenses to reflect investments in business development, commercialization efforts and strategic partnerships. Additionally, as a public company, we expect continued costs related to regulatory compliance, financial reporting and investor relations.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primarily includes government grants, reimbursements for personnel expenses and any non-recurring income. Other operating expenses mainly consist of foreign exchange losses from currency conversions and other non-operating costs. These items may vary from period to period depending on external factors such as exchange rate fluctuations and grant allocations.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Reconsolidation of Subsidiary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Subsidiary exited its Self-Administration Proceedings via its plan under the German Insolvency Code, which set out how the Subsidiary intended to restructure its debt and procure the inflow of new cash, including pursuant to a funding commitment from Yorkville. As a result, all outstanding debts between the Company and the Subsidiary were extinguished, and the Subsidiary was reconsolidated into our consolidated financial statements effective March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reconsolidation resulted in a net gain of approximately €62.7 million, reflecting the revaluation of the Subsidiary’s net assets and the extinguishment of parental guarantees and related liabilities. This gain is recorded in our 2024 operating results and represents the financial impact of regaining control over the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While this gain had a significant positive effect on our reported 2024 operating results, it does not reflect ongoing business operations or recurring profitability. We expect that our future financial performance will be driven by commercialization of our solar solutions, expansion of OEM partnerships and disciplined cost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expenses primarily consist of costs associated with interest-bearing liabilities, including convertible debentures and other financing instruments used to support our operations. These expenses reflect the cost of capital required to fund our business activities and ongoing development efforts.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w:t>
            </w: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26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6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(in €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26</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7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(240)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(1,135)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(440)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reconsolidation</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62,734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(62,734)</w:t>
            </w: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 income</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(1,806)</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61,313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(63,119)</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changes in fair value of convertible debt carried at fair value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10,331</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 (Loss) on foreign currency translation</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Gain before tax</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8,837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80,877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(72,040)</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 and earnings</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Gain for the period</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8,837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80,877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(72,040)</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that will not be reclassified to profit or loss</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8"/>
                <w:szCs w:val="18"/>
                <w:color w:val="auto"/>
              </w:rPr>
            </w:pPr>
          </w:p>
        </w:tc>
      </w:tr>
      <w:tr>
        <w:trPr>
          <w:trHeight w:val="23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8,837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80,877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(72,040)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recorded revenue of €26 thousand, while for the three months ended March 31, 2024, we recorded no revenue. Our revenue is generated from the sale of our integrated solar solutions as well as individual components, including solar charge controllers, solar panels, and other assembly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recorded cost of sales of €20 thousand. For the three months ended March 31, 2024, we recorded no cost of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cost of development expenses increased to approximately €440 thousand from €221 thousand for the three months ended March 31, 2024. The increase primarily reflects improvements and refinements to our solar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SG&amp;A expenses totaled approximately €1,375 thousand, compared to €1,187 thousand for the three months ended March 31, 2024. The increase reflects higher selling and distribution expenses as the Company intensifies its revenue generating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largest components of SG&amp;A expenses in the first quarter of 2025 were payroll and social contributions, and legal, audit and other advisory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comparison, SG&amp;A expenses in the first quarter of 2024 included expenses related to the restructuring process.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deconsolidation/reconsolidation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recognized a gain of approximately €62,734 thousand in connection with the reconsolidation of the Subsidiary following its exit from its Self-Administration Proceedings. This gain primarily reflects the extinguishment of certain liabilities and the re-recognition of net assets upon regaining control of the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we recorded no gain or loss in connection to reconsolidation of the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Income/(expense) from changes in fair value of convertible notes payable carried at 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recognized a gain of approximately €10,331 thousand from the fair value measurement of financial liabilities. This gain primarily relates to the revaluation of convertible debentures issued in connection with our financing arrangements, which are accounted for at fair value through profit or loss under U.S. GAAP.</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we recorded a gain of approximately €21,062 thousand from the revaluation of convertible debentures under the same fair value accounting treatment.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Foreign Currency Translation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recorded a foreign currency translation gain of approximately €312 thousand, primarily resulting from exchange rate movements impacting Euro-denominated balances. We recognized a net loss from foreign currency translation of approximately €1,498 thousand for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reported net income of €8,837 thousand, while for the three months ended March 31, 2024, we reported a net income of €80,877 thousand. This change in net income was primarily driven by the €62,734 thousand reconsolidation gain recognized upon regaining control of our Subsidiary after the completion of its Self-Administration Proceedings in the first quarter of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anticipate incurring operating losses in future periods as we continue to scale our operations, invest in research and development and expand our commercial footprint. Our long-term financial performance will depend on successful commercialization of our ViPV solutions, revenue growth from OEM partnerships and standalone product sales and efficient cost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our cash was €801 thousand, compared to €1,354 thousand as of December 31, 2024. Cash consists of cash in bank accounts.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generate material revenue from operations and continue to incur operating expenses related to the commercialization of our solar technology, general and administrative functions and development activities. Our liquidity position is highly dependent on external financing, including equity and equity-linked financings, debt instruments and strategic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we have financed our operations through:</w:t>
      </w:r>
    </w:p>
    <w:p>
      <w:pPr>
        <w:spacing w:after="0" w:line="225" w:lineRule="exact"/>
        <w:rPr>
          <w:sz w:val="20"/>
          <w:szCs w:val="20"/>
          <w:color w:val="auto"/>
        </w:rPr>
      </w:pPr>
    </w:p>
    <w:p>
      <w:pPr>
        <w:ind w:left="960" w:right="80" w:hanging="446"/>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equity-linked financings, including our initial public offering (“IPO”) in November 2021, a follow-on offering in May 2022 and a committed equity facility entered into in June 2022.</w:t>
      </w:r>
    </w:p>
    <w:p>
      <w:pPr>
        <w:spacing w:after="0" w:line="161" w:lineRule="exact"/>
        <w:rPr>
          <w:rFonts w:ascii="Times New Roman" w:cs="Times New Roman" w:eastAsia="Times New Roman" w:hAnsi="Times New Roman"/>
          <w:sz w:val="18"/>
          <w:szCs w:val="18"/>
          <w:color w:val="auto"/>
        </w:rPr>
      </w:pPr>
    </w:p>
    <w:p>
      <w:pPr>
        <w:jc w:val="both"/>
        <w:ind w:left="1820" w:right="60" w:hanging="442"/>
        <w:spacing w:after="0" w:line="261"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2021, the Company consummated its IPO of 10,000,000 Ordinary Shares at a price of $15.00 per share. In addition, the underwriters in our IPO exercised their greenshoe option to purchase an additional 1,500,000 ordinary shares (“Ordinary Shares”) at a price of $13.95 per share. In total, the Company raised $160 million (€142 million) through the IPO, after deducting underwriting discounts and commissions.</w:t>
      </w:r>
    </w:p>
    <w:p>
      <w:pPr>
        <w:spacing w:after="0" w:line="179" w:lineRule="exact"/>
        <w:rPr>
          <w:rFonts w:ascii="Times New Roman" w:cs="Times New Roman" w:eastAsia="Times New Roman" w:hAnsi="Times New Roman"/>
          <w:sz w:val="18"/>
          <w:szCs w:val="18"/>
          <w:color w:val="auto"/>
        </w:rPr>
      </w:pPr>
    </w:p>
    <w:p>
      <w:pPr>
        <w:jc w:val="both"/>
        <w:ind w:left="1820" w:right="60" w:hanging="442"/>
        <w:spacing w:after="0" w:line="261"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successfully completed a follow-on offering on May 3, 2022 of 10,930,000 Ordinary Shares at a price of $4.00 per share, which amount included shares sold pursuant to the partial exercise of the underwriters’ over-allotment option. Pursuant to the offering, the Company received proceeds of $42 million (€39 million) after deducting underwriting discounts and commissions.</w:t>
      </w:r>
    </w:p>
    <w:p>
      <w:pPr>
        <w:spacing w:after="0" w:line="179" w:lineRule="exact"/>
        <w:rPr>
          <w:rFonts w:ascii="Times New Roman" w:cs="Times New Roman" w:eastAsia="Times New Roman" w:hAnsi="Times New Roman"/>
          <w:sz w:val="18"/>
          <w:szCs w:val="18"/>
          <w:color w:val="auto"/>
        </w:rPr>
      </w:pPr>
    </w:p>
    <w:p>
      <w:pPr>
        <w:jc w:val="both"/>
        <w:ind w:left="1820" w:right="60" w:hanging="442"/>
        <w:spacing w:after="0" w:line="258"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2022, the Company entered into an ordinary share purchase agreement with Joh. Berenberg, Gossler &amp; Co. KG (“Berenberg”), which governed a committed equity facility (the “CEF”) for the Company. The CEF provided the Company with the right, but not the obligation, to sell and issue up to $150 million of its Ordinary Shares over a period of 24 months to Berenberg, subject to certain limitations and conditions. During 2022, the Company sold to Berenberg a total of 8,748,433 Ordinary Shares for total gross proceeds of $17 million (€17 million).</w:t>
      </w:r>
    </w:p>
    <w:p>
      <w:pPr>
        <w:spacing w:after="0" w:line="183" w:lineRule="exact"/>
        <w:rPr>
          <w:rFonts w:ascii="Times New Roman" w:cs="Times New Roman" w:eastAsia="Times New Roman" w:hAnsi="Times New Roman"/>
          <w:sz w:val="18"/>
          <w:szCs w:val="18"/>
          <w:color w:val="auto"/>
        </w:rPr>
      </w:pPr>
    </w:p>
    <w:p>
      <w:pPr>
        <w:ind w:left="960" w:right="60" w:hanging="446"/>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Convertible Debentures (as defined below) issued to Yorkville pursuant to the securities purchase agreement in December 2022 and subsequent amendment in 2024.</w:t>
      </w:r>
    </w:p>
    <w:p>
      <w:pPr>
        <w:spacing w:after="0" w:line="161" w:lineRule="exact"/>
        <w:rPr>
          <w:rFonts w:ascii="Times New Roman" w:cs="Times New Roman" w:eastAsia="Times New Roman" w:hAnsi="Times New Roman"/>
          <w:sz w:val="18"/>
          <w:szCs w:val="18"/>
          <w:color w:val="auto"/>
        </w:rPr>
      </w:pPr>
    </w:p>
    <w:p>
      <w:pPr>
        <w:jc w:val="both"/>
        <w:ind w:left="1820" w:right="60" w:hanging="442"/>
        <w:spacing w:after="0" w:line="266"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2022, the Company entered into a securities purchase agreement with Yorkville under which the Company agreed to sell and issue to Yorkville debentures (the “2022 Convertible Debentures”) in a gross aggregate principal amount of up to $31.1 million (€29.4 million).</w:t>
      </w:r>
    </w:p>
    <w:p>
      <w:pPr>
        <w:spacing w:after="0" w:line="175" w:lineRule="exact"/>
        <w:rPr>
          <w:rFonts w:ascii="Times New Roman" w:cs="Times New Roman" w:eastAsia="Times New Roman" w:hAnsi="Times New Roman"/>
          <w:sz w:val="18"/>
          <w:szCs w:val="18"/>
          <w:color w:val="auto"/>
        </w:rPr>
      </w:pPr>
    </w:p>
    <w:p>
      <w:pPr>
        <w:jc w:val="both"/>
        <w:ind w:left="1820" w:right="60" w:hanging="442"/>
        <w:spacing w:after="0" w:line="256"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context of the former Self-Administration Proceedings and in connection with Yorkville’s commitment to provide limited financing (the “First Commitment”) to the Company pursuant to a funding commitment letter (the “Funding Commitment Letter”), the Companies entered into certain investment-related agreements with Yorkville in mid-November 2023, and on April 30, 2024, the Company and Yorkville entered into an amendment to the Funding Commitment Letter pursuant to which Yorkville committed additional financing to the Company (the “Second Commitment” and together with the First Commitment, the “Yorkville Restructuring Investment”).</w:t>
      </w:r>
    </w:p>
    <w:p>
      <w:pPr>
        <w:spacing w:after="0" w:line="187" w:lineRule="exact"/>
        <w:rPr>
          <w:rFonts w:ascii="Times New Roman" w:cs="Times New Roman" w:eastAsia="Times New Roman" w:hAnsi="Times New Roman"/>
          <w:sz w:val="18"/>
          <w:szCs w:val="18"/>
          <w:color w:val="auto"/>
        </w:rPr>
      </w:pPr>
    </w:p>
    <w:p>
      <w:pPr>
        <w:jc w:val="both"/>
        <w:ind w:left="1820" w:right="60" w:hanging="442"/>
        <w:spacing w:after="0" w:line="266"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p>
      <w:pPr>
        <w:spacing w:after="0" w:line="175" w:lineRule="exact"/>
        <w:rPr>
          <w:rFonts w:ascii="Times New Roman" w:cs="Times New Roman" w:eastAsia="Times New Roman" w:hAnsi="Times New Roman"/>
          <w:sz w:val="18"/>
          <w:szCs w:val="18"/>
          <w:color w:val="auto"/>
        </w:rPr>
      </w:pPr>
    </w:p>
    <w:p>
      <w:pPr>
        <w:jc w:val="both"/>
        <w:ind w:left="1820" w:right="60" w:hanging="442"/>
        <w:spacing w:after="0" w:line="266"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entered into a Securities Purchase Agreement (the “Securities Purchase Agreement”), pursuant to which the Company agreed to sell and issue to Yorkville a new convertible debenture (the “New Commitment Debenture”) in the aggregate principal amount of $5 million (the “Yorkville Commitment”).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ind w:left="1820" w:right="60" w:hanging="442"/>
        <w:spacing w:after="0" w:line="261" w:lineRule="auto"/>
        <w:tabs>
          <w:tab w:leader="none" w:pos="1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and Yorkville entered into an Omnibus Amendment to Transaction Documents, pursuant to which the parties agreed to modify the terms of the Securities Purchase Agreement to, among other things, provide for an immediate advance of $1,000,000 of the Yorkville Commitment in the form of a $1,000,000 secured convertible debenture (the “First Advance Debenture”).</w:t>
      </w:r>
    </w:p>
    <w:p>
      <w:pPr>
        <w:spacing w:after="0" w:line="179" w:lineRule="exact"/>
        <w:rPr>
          <w:rFonts w:ascii="Times New Roman" w:cs="Times New Roman" w:eastAsia="Times New Roman" w:hAnsi="Times New Roman"/>
          <w:sz w:val="18"/>
          <w:szCs w:val="18"/>
          <w:color w:val="auto"/>
        </w:rPr>
      </w:pPr>
    </w:p>
    <w:p>
      <w:pPr>
        <w:jc w:val="both"/>
        <w:ind w:left="1820" w:right="60" w:hanging="442"/>
        <w:spacing w:after="0" w:line="261" w:lineRule="auto"/>
        <w:tabs>
          <w:tab w:leader="none" w:pos="1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2025, the Company and Yorkville entered into a third Omnibus Amendment to Transaction Documents, pursuant to which the parties agreed to modify the terms of the Securities Purchase Agreement to, among other things, provide for an immediate advance of $1 million of the Yorkville Commitment in the form of a $1,000,000 secured convertible debenture (the “Second Advance Debenture”).</w:t>
      </w:r>
    </w:p>
    <w:p>
      <w:pPr>
        <w:spacing w:after="0" w:line="179" w:lineRule="exact"/>
        <w:rPr>
          <w:rFonts w:ascii="Times New Roman" w:cs="Times New Roman" w:eastAsia="Times New Roman" w:hAnsi="Times New Roman"/>
          <w:sz w:val="18"/>
          <w:szCs w:val="18"/>
          <w:color w:val="auto"/>
        </w:rPr>
      </w:pPr>
    </w:p>
    <w:p>
      <w:pPr>
        <w:jc w:val="both"/>
        <w:ind w:left="1820" w:right="60" w:hanging="442"/>
        <w:spacing w:after="0" w:line="261" w:lineRule="auto"/>
        <w:tabs>
          <w:tab w:leader="none" w:pos="1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2025, the Company and Yorkville entered into a fourth Omnibus Amendment, pursuant to which the parties agreed to modify the terms of the Securities Purchase Agreement to, among other things, provide for an immediate advance of $500,000 of the Yorkville Commitment in the form of a $500,000 secured convertible debenture (the “Third Advance Debenture” and together with the First Advance Debenture and the Second Advance Debenture, the “Advance Debentures”).</w:t>
      </w:r>
    </w:p>
    <w:p>
      <w:pPr>
        <w:spacing w:after="0" w:line="179" w:lineRule="exact"/>
        <w:rPr>
          <w:rFonts w:ascii="Times New Roman" w:cs="Times New Roman" w:eastAsia="Times New Roman" w:hAnsi="Times New Roman"/>
          <w:sz w:val="18"/>
          <w:szCs w:val="18"/>
          <w:color w:val="auto"/>
        </w:rPr>
      </w:pPr>
    </w:p>
    <w:p>
      <w:pPr>
        <w:jc w:val="both"/>
        <w:ind w:left="1820" w:right="60" w:hanging="442"/>
        <w:spacing w:after="0" w:line="258" w:lineRule="auto"/>
        <w:tabs>
          <w:tab w:leader="none" w:pos="1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also entered into the Exchange Agreement (the “Exchange Agreement”), pursuant to which the Company agreed to issue, subject to the satisfaction of certain closing conditions, 1,242 preferred shares to Yorkville solely in exchange for the surrender and cancellation of all of the debentures held by Yorkville, including the 2022 Convertible Debentures, the convertible debentures issued to Yorkville on February 5, 2024 and August 30, 2024, the New Commitment Debenture (if issued) and the Advance Debentures (the “Debt Conversion”).</w:t>
      </w:r>
    </w:p>
    <w:p>
      <w:pPr>
        <w:spacing w:after="0" w:line="183"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grant funding from government and public research institutions, supporting the development of our proprietary solar technology.</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revenues from sale of prototypes, our solar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outflows have primarily been driven by:</w:t>
      </w:r>
    </w:p>
    <w:p>
      <w:pPr>
        <w:spacing w:after="0" w:line="225" w:lineRule="exact"/>
        <w:rPr>
          <w:sz w:val="20"/>
          <w:szCs w:val="20"/>
          <w:color w:val="auto"/>
        </w:rPr>
      </w:pPr>
    </w:p>
    <w:p>
      <w:pPr>
        <w:ind w:left="960" w:hanging="44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expenditures, including product testing, solar module validation and MCU development.</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costs, such as payroll, legal and advisory services and public company compliance costs.</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commercialization efforts, including OEM partnerships and vehicle integration projects.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 and 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current funding structure, which is based on the receipt of the unfunded portion of the Yorkville Commitment and implementation of the Debt Conversion, if we are able to successfully satisfy the conditions precedent thereto, is expected to provide sufficient capital through the end of the first quarter of 2026, we will have to either secure a sufficient number of future customer contracts or secure additional external financing to support our scaling and commercialization efforts.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actively evaluating a mix of financing options, including:</w:t>
      </w:r>
    </w:p>
    <w:p>
      <w:pPr>
        <w:spacing w:after="0" w:line="225" w:lineRule="exact"/>
        <w:rPr>
          <w:sz w:val="20"/>
          <w:szCs w:val="20"/>
          <w:color w:val="auto"/>
        </w:rPr>
      </w:pPr>
    </w:p>
    <w:p>
      <w:pPr>
        <w:ind w:left="960" w:hanging="446"/>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equity or debt financings, subject to market conditions.</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Non-dilutive funding sources, such as government grants and strategic collaborations.</w:t>
      </w:r>
    </w:p>
    <w:p>
      <w:pPr>
        <w:spacing w:after="0" w:line="225" w:lineRule="exact"/>
        <w:rPr>
          <w:rFonts w:ascii="Times New Roman" w:cs="Times New Roman" w:eastAsia="Times New Roman" w:hAnsi="Times New Roman"/>
          <w:sz w:val="18"/>
          <w:szCs w:val="18"/>
          <w:color w:val="auto"/>
        </w:rPr>
      </w:pPr>
    </w:p>
    <w:p>
      <w:pPr>
        <w:ind w:left="5540" w:right="1760" w:hanging="5026"/>
        <w:spacing w:after="0" w:line="532" w:lineRule="auto"/>
        <w:tabs>
          <w:tab w:leader="none" w:pos="9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generation from sales of our solar solutions and engineering services, which we expect to ramp up over time.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Our future financing requirements will depend on many factors, including, among others:</w:t>
      </w:r>
    </w:p>
    <w:p>
      <w:pPr>
        <w:spacing w:after="0" w:line="225" w:lineRule="exact"/>
        <w:rPr>
          <w:sz w:val="20"/>
          <w:szCs w:val="20"/>
          <w:color w:val="auto"/>
        </w:rPr>
      </w:pPr>
    </w:p>
    <w:p>
      <w:pPr>
        <w:ind w:left="960" w:hanging="4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willingness to adopt solar-powered mobility solutions;</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proprietary solar technology in time or at all;</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initial listing requirements for admission of our Ordinary Shares to trading on the Nasdaq Capital Market;</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installation processes and capabilities within our projected costs and timelines;</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raw materials or certain products;</w:t>
      </w:r>
    </w:p>
    <w:p>
      <w:pPr>
        <w:spacing w:after="0" w:line="225" w:lineRule="exact"/>
        <w:rPr>
          <w:rFonts w:ascii="Times New Roman" w:cs="Times New Roman" w:eastAsia="Times New Roman" w:hAnsi="Times New Roman"/>
          <w:sz w:val="18"/>
          <w:szCs w:val="18"/>
          <w:color w:val="auto"/>
        </w:rPr>
      </w:pPr>
    </w:p>
    <w:p>
      <w:pPr>
        <w:ind w:left="960" w:right="80" w:hanging="446"/>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agree on acceptable terms and conditions on all or a significant portion of the government grants, loans and other incentives for which we may apply;</w:t>
      </w:r>
    </w:p>
    <w:p>
      <w:pPr>
        <w:spacing w:after="0" w:line="161" w:lineRule="exact"/>
        <w:rPr>
          <w:rFonts w:ascii="Times New Roman" w:cs="Times New Roman" w:eastAsia="Times New Roman" w:hAnsi="Times New Roman"/>
          <w:sz w:val="18"/>
          <w:szCs w:val="18"/>
          <w:color w:val="auto"/>
        </w:rPr>
      </w:pPr>
    </w:p>
    <w:p>
      <w:pPr>
        <w:ind w:left="960" w:right="80" w:hanging="446"/>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network for aftersales customer service or otherwise successfully address the service and maintenance requirements of our customers;</w:t>
      </w:r>
    </w:p>
    <w:p>
      <w:pPr>
        <w:spacing w:after="0" w:line="161"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 and</w:t>
      </w:r>
    </w:p>
    <w:p>
      <w:pPr>
        <w:spacing w:after="0" w:line="225" w:lineRule="exact"/>
        <w:rPr>
          <w:rFonts w:ascii="Times New Roman" w:cs="Times New Roman" w:eastAsia="Times New Roman" w:hAnsi="Times New Roman"/>
          <w:sz w:val="18"/>
          <w:szCs w:val="18"/>
          <w:color w:val="auto"/>
        </w:rPr>
      </w:pPr>
    </w:p>
    <w:p>
      <w:pPr>
        <w:ind w:left="960" w:hanging="4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secure additional funding on acceptable terms, we may be required to adjust our growth strategy, delay development projects or pursue alternative financing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relied on external financing to fund our operations, and as of March 31, 2025, we had cash of €0.8 million. Based on our current operating plan and if we are able to successfully access the unfunded portion of the Yorkville Commitment and implement the Debt Conversion, we anticipate that our existing cash resources, together with the remaining unfunded portion of the Yorkville Commitment, will be sufficient to fund our business operations through the end of the first quarter of 2026.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our ability to continue as a going concern is dependent on the uplisting of our Ordinary Shares to the Nasdaq Capital Market, which we cannot guarantee will occur, and on our ability to either secure a sufficient number of future customer contracts or secure additional capital. If we are unable to obtain sufficient funding, we may need to modify our operating plans, reduce costs or pursue alternative financing strategies. Management continues to evaluate financing alternatives, and we remain confident in our ability to raise the necessary capital to execute our business plan, especially if we are able to satisfy the initial listing requirements of the Nasdaq Capital Market. Based upon this uncertainty, our management has concluded that there is substantial doubt that the company will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flows (used in) from operating, investing and financing activities for the three months ended March 31, 2025 and 2024.</w:t>
      </w:r>
    </w:p>
    <w:p>
      <w:pPr>
        <w:spacing w:after="0" w:line="16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 thousands )</w:t>
            </w:r>
          </w:p>
        </w:tc>
        <w:tc>
          <w:tcPr>
            <w:tcW w:w="1020" w:type="dxa"/>
            <w:vAlign w:val="bottom"/>
          </w:tcPr>
          <w:p>
            <w:pPr>
              <w:spacing w:after="0"/>
              <w:rPr>
                <w:sz w:val="18"/>
                <w:szCs w:val="18"/>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(2,169)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3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1,928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(241)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13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1,354</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the period</w:t>
            </w:r>
          </w:p>
        </w:tc>
        <w:tc>
          <w:tcPr>
            <w:tcW w:w="13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801</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w:t>
            </w:r>
          </w:p>
        </w:tc>
      </w:tr>
      <w:tr>
        <w:trPr>
          <w:trHeight w:val="864"/>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decreased from €12,393 thousand in the three months ended March 31, 2024 to €2,169 thousand for the three months ended March 31, 2025. The decrease was primarily driven by higher cash outflows in the first three months of 2024 related to the restructuring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provided no cash flows in the three months ended March 31, 2025. Net cash provided by investing activities in the three months ended March 31, 2024 was €1,305 thousand with the entire amount related to reconsolidation of the Subsidiary cash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€1,928 thousand in the three months ended March 31, 2025, resulting from proceeds received in connection with the issuance of convertible notes. For the three months ended March 31, 2024, net cash provided by financing activities amounted to €4,000 thousand, resulting from the proceeds received in connection with the issuance of convertible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disclosed in Note 2 of the notes to our consolidated financial statements included in Part II, Item 8 of the 2024 Form 10-K. Since the date of such financial statements, there have been no material changes to our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our management team, with the participation of our principal executive officer and principal financial officer, carried out an evaluation of the effectiveness of our disclosure controls and procedures (as defined in Rules 13a-15(e) and 15d-15(e) under the Exchange Act). Based on that evaluation, our principal executive officer and principal financial officer concluded that, due to the unremediated material weakness in our internal control over financial reporting as described below and in Part II, Item 9A. “Controls and Procedures” in our 2024 Form 10-K, our disclosure controls and procedures were not effective as of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previous years’ audits, the material weaknesses that were identified relate to: (i) a lack of consistent and proper application of processes and procedures;</w:t>
      </w:r>
    </w:p>
    <w:p>
      <w:pPr>
        <w:spacing w:after="0" w:line="27" w:lineRule="exact"/>
        <w:rPr>
          <w:sz w:val="20"/>
          <w:szCs w:val="20"/>
          <w:color w:val="auto"/>
        </w:rPr>
      </w:pPr>
    </w:p>
    <w:p>
      <w:pPr>
        <w:jc w:val="both"/>
        <w:ind w:firstLine="8"/>
        <w:spacing w:after="0" w:line="253" w:lineRule="auto"/>
        <w:tabs>
          <w:tab w:leader="none" w:pos="2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 In 2023, certain measures that were planned in order to remedy such material weaknesses could not be implemented as planned as a result of the Self-Administration Proceedings.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light of the Companies’ successful emergence from their respective Self-Administration Proceedings and the restructuring/recapitalization of our businesses, we are currently planning measures to remedy such material weaknesses. Beginning January 1, 2025, the planned remedial measures began with the hiring of additional accounting staff and the appointment of a new chief financial offer who possess the requisite skills to address technical accounting and reporting issues and implement processes that include taking steps to improve our controls and procedures. We continue to devote attention to remediating the aforementioned deficiencies and specifically plan to incorporate automated and software-based accounting tools, engage third parties to support our internal resources related to accounting and internal controls, implement ongoing internal training for our accounting and finance teams and continue to invest in our finance IT systems. However, as of March 31, 2025, we are still in the process of remediating the previously identified material weaknesses.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2025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We are, from time to time, party to various claims and legal proceedings arising in the ordinary course of our business. See Part I, Item I “Financial Statements (Unaudited) - Note 14, Commitments and Contingencies” in this Quarterly Report, which are incorporated herein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we are not required to include risk factors in this Quarterly Report. For additional risks relating to our operations, see the section titled “Risk Factors” contained in our 2024 Form 10-K.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right="80" w:firstLine="8"/>
        <w:spacing w:after="0" w:line="260" w:lineRule="auto"/>
        <w:tabs>
          <w:tab w:leader="none" w:pos="1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2025, none of our directors or officers adopted or terminated a “Rule 10b5-1 trading arrangement” or a “non-Rule 10b5-1 trading arrangement” (in each case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Exhibit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9"/>
          </w:tcPr>
          <w:p>
            <w:pPr>
              <w:ind w:left="138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240" w:type="dxa"/>
            <w:vAlign w:val="bottom"/>
          </w:tcPr>
          <w:p>
            <w:pPr>
              <w:spacing w:after="0"/>
              <w:rPr>
                <w:rFonts w:ascii="Times New Roman" w:cs="Times New Roman" w:eastAsia="Times New Roman" w:hAnsi="Times New Roman"/>
                <w:sz w:val="18"/>
                <w:szCs w:val="18"/>
                <w:color w:val="0000EE"/>
                <w:w w:val="97"/>
              </w:rPr>
            </w:pPr>
            <w:hyperlink r:id="rId3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Articles of Association of Sono Group N.V. (translated into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English)</w:t>
              </w:r>
            </w:hyperlink>
          </w:p>
        </w:tc>
        <w:tc>
          <w:tcPr>
            <w:tcW w:w="3660" w:type="dxa"/>
            <w:vAlign w:val="bottom"/>
            <w:tcBorders>
              <w:top w:val="single" w:sz="8" w:color="0000EE"/>
            </w:tcBorders>
            <w:gridSpan w:val="6"/>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Proposed amendment of the Company’s articles of association</w:t>
              </w:r>
            </w:hyperlink>
          </w:p>
        </w:tc>
        <w:tc>
          <w:tcPr>
            <w:tcW w:w="320" w:type="dxa"/>
            <w:vAlign w:val="bottom"/>
            <w:gridSpan w:val="10"/>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with Part A (English translation)</w:t>
              </w:r>
            </w:hyperlink>
          </w:p>
        </w:tc>
        <w:tc>
          <w:tcPr>
            <w:tcW w:w="2460" w:type="dxa"/>
            <w:vAlign w:val="bottom"/>
            <w:gridSpan w:val="16"/>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Proposed amendment of the Company’s articles of association</w:t>
              </w:r>
            </w:hyperlink>
          </w:p>
        </w:tc>
        <w:tc>
          <w:tcPr>
            <w:tcW w:w="320" w:type="dxa"/>
            <w:vAlign w:val="bottom"/>
            <w:gridSpan w:val="10"/>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with Part B (English translation)</w:t>
              </w:r>
            </w:hyperlink>
          </w:p>
        </w:tc>
      </w:tr>
      <w:tr>
        <w:trPr>
          <w:trHeight w:val="20"/>
        </w:trPr>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Proposed amendment of the Company’s articles of association</w:t>
              </w:r>
            </w:hyperlink>
          </w:p>
        </w:tc>
        <w:tc>
          <w:tcPr>
            <w:tcW w:w="320" w:type="dxa"/>
            <w:vAlign w:val="bottom"/>
            <w:gridSpan w:val="10"/>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with Part C (increased authorized capital) (English translation)</w:t>
              </w:r>
            </w:hyperlink>
          </w:p>
        </w:tc>
      </w:tr>
      <w:tr>
        <w:trPr>
          <w:trHeight w:val="20"/>
        </w:trPr>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5</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internal rules of the Management Board of Sono Group</w:t>
              </w:r>
            </w:hyperlink>
          </w:p>
        </w:tc>
        <w:tc>
          <w:tcPr>
            <w:tcW w:w="18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1"/>
              </w:rPr>
            </w:pPr>
            <w:hyperlink r:id="rId38">
              <w:r>
                <w:rPr>
                  <w:rFonts w:ascii="Times New Roman" w:cs="Times New Roman" w:eastAsia="Times New Roman" w:hAnsi="Times New Roman"/>
                  <w:sz w:val="18"/>
                  <w:szCs w:val="18"/>
                  <w:color w:val="0000EE"/>
                  <w:w w:val="91"/>
                </w:rPr>
                <w:t>N.V.</w:t>
              </w:r>
            </w:hyperlink>
          </w:p>
        </w:tc>
        <w:tc>
          <w:tcPr>
            <w:tcW w:w="4480" w:type="dxa"/>
            <w:vAlign w:val="bottom"/>
            <w:gridSpan w:val="20"/>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6</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of internal rules of the Supervisory Board of Sono Group</w:t>
              </w:r>
            </w:hyperlink>
          </w:p>
        </w:tc>
        <w:tc>
          <w:tcPr>
            <w:tcW w:w="260" w:type="dxa"/>
            <w:vAlign w:val="bottom"/>
            <w:gridSpan w:val="8"/>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1"/>
              </w:rPr>
            </w:pPr>
            <w:hyperlink r:id="rId39">
              <w:r>
                <w:rPr>
                  <w:rFonts w:ascii="Times New Roman" w:cs="Times New Roman" w:eastAsia="Times New Roman" w:hAnsi="Times New Roman"/>
                  <w:sz w:val="18"/>
                  <w:szCs w:val="18"/>
                  <w:color w:val="0000EE"/>
                  <w:w w:val="91"/>
                </w:rPr>
                <w:t>N.V.</w:t>
              </w:r>
            </w:hyperlink>
          </w:p>
        </w:tc>
        <w:tc>
          <w:tcPr>
            <w:tcW w:w="4480" w:type="dxa"/>
            <w:vAlign w:val="bottom"/>
            <w:gridSpan w:val="20"/>
          </w:tcPr>
          <w:p>
            <w:pPr>
              <w:spacing w:after="0"/>
              <w:rPr>
                <w:sz w:val="17"/>
                <w:szCs w:val="17"/>
                <w:color w:val="auto"/>
              </w:rPr>
            </w:pPr>
          </w:p>
        </w:tc>
      </w:tr>
      <w:tr>
        <w:trPr>
          <w:trHeight w:val="412"/>
        </w:trPr>
        <w:tc>
          <w:tcPr>
            <w:tcW w:w="1000" w:type="dxa"/>
            <w:vAlign w:val="bottom"/>
            <w:gridSpan w:val="3"/>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Secured Convertible Debenture, dated February 12, 2025, issued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by Sono Group N.V. to YA II PN, Ltd.</w:t>
              </w:r>
            </w:hyperlink>
          </w:p>
        </w:tc>
        <w:tc>
          <w:tcPr>
            <w:tcW w:w="1880" w:type="dxa"/>
            <w:vAlign w:val="bottom"/>
            <w:tcBorders>
              <w:top w:val="single" w:sz="8" w:color="0000EE"/>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12"/>
        </w:trPr>
        <w:tc>
          <w:tcPr>
            <w:tcW w:w="1000" w:type="dxa"/>
            <w:vAlign w:val="bottom"/>
            <w:gridSpan w:val="3"/>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Omnibus Amendment to Transaction Documents, dated February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12, 2025, by and between Sono Group N.V. and YA II PN, Ltd.</w:t>
              </w:r>
            </w:hyperlink>
          </w:p>
        </w:tc>
        <w:tc>
          <w:tcPr>
            <w:tcW w:w="100" w:type="dxa"/>
            <w:vAlign w:val="bottom"/>
            <w:gridSpan w:val="2"/>
          </w:tcPr>
          <w:p>
            <w:pPr>
              <w:spacing w:after="0"/>
              <w:rPr>
                <w:sz w:val="17"/>
                <w:szCs w:val="17"/>
                <w:color w:val="auto"/>
              </w:rPr>
            </w:pPr>
          </w:p>
        </w:tc>
      </w:tr>
      <w:tr>
        <w:trPr>
          <w:trHeight w:val="20"/>
        </w:trPr>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gridSpan w:val="3"/>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Omnibus Amendment to Transaction Documents, dated March 7,</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2025, by and between Sono Group N.V. and YA II PN, Ltd.</w:t>
              </w:r>
            </w:hyperlink>
          </w:p>
        </w:tc>
        <w:tc>
          <w:tcPr>
            <w:tcW w:w="42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000" w:type="dxa"/>
            <w:vAlign w:val="bottom"/>
            <w:gridSpan w:val="3"/>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Secured Convertible Debenture, dated March 25, 2025, issued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Sono Group N.V. to YA II PN, Ltd.</w:t>
              </w:r>
            </w:hyperlink>
          </w:p>
        </w:tc>
        <w:tc>
          <w:tcPr>
            <w:tcW w:w="100" w:type="dxa"/>
            <w:vAlign w:val="bottom"/>
            <w:gridSpan w:val="2"/>
          </w:tcPr>
          <w:p>
            <w:pPr>
              <w:spacing w:after="0"/>
              <w:rPr>
                <w:sz w:val="17"/>
                <w:szCs w:val="17"/>
                <w:color w:val="auto"/>
              </w:rPr>
            </w:pPr>
          </w:p>
        </w:tc>
      </w:tr>
      <w:tr>
        <w:trPr>
          <w:trHeight w:val="20"/>
        </w:trPr>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gridSpan w:val="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Omnibus Amendment to Transaction Documents, dated March 25,</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2025, by and between Sono Group N.V. and YA II PN, Ltd.</w:t>
              </w:r>
            </w:hyperlink>
          </w:p>
        </w:tc>
        <w:tc>
          <w:tcPr>
            <w:tcW w:w="50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00" w:type="dxa"/>
            <w:vAlign w:val="bottom"/>
            <w:gridSpan w:val="3"/>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Secured Convertible Debenture, dated April 24, 2025, issued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Sono Group N.V. to YA II PN, Ltd.</w:t>
              </w:r>
            </w:hyperlink>
          </w:p>
        </w:tc>
        <w:tc>
          <w:tcPr>
            <w:tcW w:w="200" w:type="dxa"/>
            <w:vAlign w:val="bottom"/>
            <w:gridSpan w:val="5"/>
          </w:tcPr>
          <w:p>
            <w:pPr>
              <w:spacing w:after="0"/>
              <w:rPr>
                <w:sz w:val="17"/>
                <w:szCs w:val="17"/>
                <w:color w:val="auto"/>
              </w:rPr>
            </w:pPr>
          </w:p>
        </w:tc>
      </w:tr>
      <w:tr>
        <w:trPr>
          <w:trHeight w:val="20"/>
        </w:trPr>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000" w:type="dxa"/>
            <w:vAlign w:val="bottom"/>
            <w:gridSpan w:val="3"/>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60" w:type="dxa"/>
            <w:vAlign w:val="bottom"/>
          </w:tcPr>
          <w:p>
            <w:pPr>
              <w:spacing w:after="0"/>
              <w:rPr>
                <w:sz w:val="24"/>
                <w:szCs w:val="24"/>
                <w:color w:val="auto"/>
              </w:rPr>
            </w:pPr>
          </w:p>
        </w:tc>
        <w:tc>
          <w:tcPr>
            <w:tcW w:w="4820" w:type="dxa"/>
            <w:vAlign w:val="bottom"/>
            <w:gridSpan w:val="21"/>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Omnibus Amendment to Transaction Documents, dated April 24,</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2025, by and between Sono Group N.V. and YA II PN, Ltd.</w:t>
              </w:r>
            </w:hyperlink>
          </w:p>
        </w:tc>
        <w:tc>
          <w:tcPr>
            <w:tcW w:w="42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Rule</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13a-14(a) or 15d-14(a) of the Securities Exchange Act of 1934.</w:t>
            </w:r>
          </w:p>
        </w:tc>
        <w:tc>
          <w:tcPr>
            <w:tcW w:w="40" w:type="dxa"/>
            <w:vAlign w:val="bottom"/>
            <w:tcBorders>
              <w:top w:val="single" w:sz="8" w:color="0000EE"/>
            </w:tcBorders>
            <w:gridSpan w:val="2"/>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1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Rule</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or 15d-14(a) of the Securities Exchange Act of 1934.</w:t>
            </w:r>
          </w:p>
        </w:tc>
        <w:tc>
          <w:tcPr>
            <w:tcW w:w="20" w:type="dxa"/>
            <w:vAlign w:val="bottom"/>
            <w:tcBorders>
              <w:top w:val="single" w:sz="8" w:color="0000EE"/>
            </w:tcBorders>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18</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260" w:type="dxa"/>
            <w:vAlign w:val="bottom"/>
            <w:gridSpan w:val="8"/>
          </w:tcPr>
          <w:p>
            <w:pPr>
              <w:spacing w:after="0"/>
              <w:rPr>
                <w:sz w:val="17"/>
                <w:szCs w:val="17"/>
                <w:color w:val="auto"/>
              </w:rPr>
            </w:pPr>
          </w:p>
        </w:tc>
      </w:tr>
      <w:tr>
        <w:trPr>
          <w:trHeight w:val="20"/>
        </w:trPr>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720" w:type="dxa"/>
            <w:vAlign w:val="bottom"/>
            <w:gridSpan w:val="18"/>
          </w:tcPr>
          <w:p>
            <w:pPr>
              <w:spacing w:after="0" w:line="20" w:lineRule="exact"/>
              <w:rPr>
                <w:sz w:val="1"/>
                <w:szCs w:val="1"/>
                <w:color w:val="auto"/>
              </w:rPr>
            </w:pPr>
          </w:p>
        </w:tc>
      </w:tr>
      <w:tr>
        <w:trPr>
          <w:trHeight w:val="41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18</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gridSpan w:val="10"/>
            <w:shd w:val="clear" w:color="auto" w:fill="0000EE"/>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260" w:type="dxa"/>
            <w:vAlign w:val="bottom"/>
            <w:gridSpan w:val="8"/>
          </w:tcPr>
          <w:p>
            <w:pPr>
              <w:spacing w:after="0"/>
              <w:rPr>
                <w:sz w:val="17"/>
                <w:szCs w:val="17"/>
                <w:color w:val="auto"/>
              </w:rPr>
            </w:pPr>
          </w:p>
        </w:tc>
      </w:tr>
      <w:tr>
        <w:trPr>
          <w:trHeight w:val="20"/>
        </w:trPr>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720" w:type="dxa"/>
            <w:vAlign w:val="bottom"/>
            <w:gridSpan w:val="18"/>
          </w:tcPr>
          <w:p>
            <w:pPr>
              <w:spacing w:after="0" w:line="20" w:lineRule="exact"/>
              <w:rPr>
                <w:sz w:val="1"/>
                <w:szCs w:val="1"/>
                <w:color w:val="auto"/>
              </w:rPr>
            </w:pPr>
          </w:p>
        </w:tc>
      </w:tr>
      <w:tr>
        <w:trPr>
          <w:trHeight w:val="43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1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3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4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6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Filed/Furnished</w:t>
            </w: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Filing</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16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File No.</w:t>
            </w:r>
          </w:p>
        </w:tc>
        <w:tc>
          <w:tcPr>
            <w:tcW w:w="160" w:type="dxa"/>
            <w:vAlign w:val="bottom"/>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Exhibit</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2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12/30/2024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99.3</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10/23/2024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99.4</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10/23/2024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99.5</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10/23/2024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333-260432</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3.2</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11/8/2021</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333-260432</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3.3</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11/8/2021</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10.1</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2/13/2025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10.2</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2/13/2025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10.1</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3/7/2025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10.1</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3/26/2025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10.2</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3/26/2025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10.1</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4/25/2025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10.2</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4/25/2025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980" w:space="180"/>
            <w:col w:w="5080"/>
          </w:cols>
          <w:pgMar w:left="320" w:top="819" w:right="3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2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6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SONO GROUP N.V.</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O’Leary</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George O’Leary</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Managing Director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 Scott Calhoun</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M. Scott Calhoun</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57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O’Leary,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Sono Group N.V.;</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George O’Leary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O’Leary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Scott Calhoun, certify that:</w:t>
      </w:r>
    </w:p>
    <w:p>
      <w:pPr>
        <w:spacing w:after="0" w:line="225"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Sono Group N.V.;</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Martin Scott Calhoun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Sono Group N.V. (the “Company”) for the quarterly period ended March 31, 2025, as filed with the Securities and Exchange Commission on the date hereof (the “Report”), I, George O’Leary,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George O’Leary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Sono Group N.V. (the “Company”) for the quarterly period ended March 31, 2025, as filed with the Securities and Exchange Commission on the date hereof (the “Report”), I, Martin Scott Calhoun,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Martin Scott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3"/>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
      <w:numFmt w:val="bullet"/>
      <w:start w:val="1"/>
    </w:lvl>
    <w:lvl w:ilvl="1">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Roman"/>
      <w:start w:val="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34" Type="http://schemas.openxmlformats.org/officeDocument/2006/relationships/hyperlink" Target="http://www.sec.gov/Archives/edgar/data/1840416/000117184324007104/exh_31.htm" TargetMode="External"/><Relationship Id="rId35" Type="http://schemas.openxmlformats.org/officeDocument/2006/relationships/hyperlink" Target="http://www.sec.gov/Archives/edgar/data/1840416/000117184324005768/exh_993.htm" TargetMode="External"/><Relationship Id="rId36" Type="http://schemas.openxmlformats.org/officeDocument/2006/relationships/hyperlink" Target="http://www.sec.gov/Archives/edgar/data/1840416/000117184324005768/exh_994.htm" TargetMode="External"/><Relationship Id="rId37" Type="http://schemas.openxmlformats.org/officeDocument/2006/relationships/hyperlink" Target="http://www.sec.gov/Archives/edgar/data/1840416/000117184324005768/exh_995.htm" TargetMode="External"/><Relationship Id="rId38" Type="http://schemas.openxmlformats.org/officeDocument/2006/relationships/hyperlink" Target="http://www.sec.gov/Archives/edgar/data/1840416/000110465921135375/tm212911d11_ex3-2.htm" TargetMode="External"/><Relationship Id="rId39" Type="http://schemas.openxmlformats.org/officeDocument/2006/relationships/hyperlink" Target="http://www.sec.gov/Archives/edgar/data/1840416/000110465921135375/tm212911d11_ex3-3.htm" TargetMode="External"/><Relationship Id="rId40" Type="http://schemas.openxmlformats.org/officeDocument/2006/relationships/hyperlink" Target="http://www.sec.gov/Archives/edgar/data/1840416/000117184325000803/exh_101.htm" TargetMode="External"/><Relationship Id="rId41" Type="http://schemas.openxmlformats.org/officeDocument/2006/relationships/hyperlink" Target="http://www.sec.gov/Archives/edgar/data/1840416/000117184325000803/exh_102.htm" TargetMode="External"/><Relationship Id="rId42" Type="http://schemas.openxmlformats.org/officeDocument/2006/relationships/hyperlink" Target="http://www.sec.gov/Archives/edgar/data/1840416/000117184325001327/exh_101.htm" TargetMode="External"/><Relationship Id="rId43" Type="http://schemas.openxmlformats.org/officeDocument/2006/relationships/hyperlink" Target="http://www.sec.gov/Archives/edgar/data/1840416/000117184325001726/exh_101.htm" TargetMode="External"/><Relationship Id="rId44" Type="http://schemas.openxmlformats.org/officeDocument/2006/relationships/hyperlink" Target="http://www.sec.gov/Archives/edgar/data/1840416/000117184325001726/exh_102.htm" TargetMode="External"/><Relationship Id="rId45" Type="http://schemas.openxmlformats.org/officeDocument/2006/relationships/hyperlink" Target="http://www.sec.gov/Archives/edgar/data/1840416/000117184325002511/exh_101.htm" TargetMode="External"/><Relationship Id="rId46" Type="http://schemas.openxmlformats.org/officeDocument/2006/relationships/hyperlink" Target="http://www.sec.gov/Archives/edgar/data/1840416/000117184325002511/exh_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2025-05-20T06:31:10Z</dcterms:created>
  <dcterms:modified xsi:type="dcterms:W3CDTF">2025-05-20T06:31:10Z</dcterms:modified>
</cp:coreProperties>
</file>