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ev20221231_20f.htm"/>
      <w:bookmarkStart w:id="1" w:name="kssev20221231_20f"/>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br/>
      </w:r>
      <w:r>
        <w:rPr>
          <w:rFonts w:ascii="Times New Roman" w:hAnsi="Times New Roman"/>
          <w:b/>
          <w:caps w:val="false"/>
          <w:smallCaps w:val="false"/>
          <w:sz w:val="20"/>
        </w:rPr>
        <w:t>Washington, DC 20549</w:t>
      </w:r>
    </w:p>
    <w:p>
      <w:pPr>
        <w:pStyle w:val="TextBody"/>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FORM 20-F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STATEMENT PURSUANT TO SECTION 12(b) OR (g) OF THE SECURITIES EXCHANGE ACT OF 1934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OR</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fiscal year ended December 31,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9585" w:type="dxa"/>
        <w:jc w:val="left"/>
        <w:tblInd w:w="0" w:type="dxa"/>
        <w:tblLayout w:type="fixed"/>
        <w:tblCellMar>
          <w:top w:w="0" w:type="dxa"/>
          <w:left w:w="0" w:type="dxa"/>
          <w:bottom w:w="0" w:type="dxa"/>
          <w:right w:w="0" w:type="dxa"/>
        </w:tblCellMar>
      </w:tblPr>
      <w:tblGrid>
        <w:gridCol w:w="230"/>
        <w:gridCol w:w="935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55"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tbl>
      <w:tblPr>
        <w:tblW w:w="10050" w:type="dxa"/>
        <w:jc w:val="left"/>
        <w:tblInd w:w="0" w:type="dxa"/>
        <w:tblLayout w:type="fixed"/>
        <w:tblCellMar>
          <w:top w:w="0" w:type="dxa"/>
          <w:left w:w="0" w:type="dxa"/>
          <w:bottom w:w="0" w:type="dxa"/>
          <w:right w:w="0" w:type="dxa"/>
        </w:tblCellMar>
      </w:tblPr>
      <w:tblGrid>
        <w:gridCol w:w="230"/>
        <w:gridCol w:w="982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20"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SHELL COMPANY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Date of event requiring this shell company report _______________</w:t>
        <w:br/>
      </w:r>
      <w:r>
        <w:rPr>
          <w:rFonts w:ascii="Times New Roman" w:hAnsi="Times New Roman"/>
          <w:b/>
          <w:caps w:val="false"/>
          <w:smallCaps w:val="false"/>
          <w:sz w:val="20"/>
        </w:rPr>
        <w:t>For the transition period from ____________ to ____________</w:t>
      </w:r>
    </w:p>
    <w:p>
      <w:pPr>
        <w:pStyle w:val="TextBody"/>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Commission File No. 001-41066</w:t>
      </w:r>
    </w:p>
    <w:p>
      <w:pPr>
        <w:pStyle w:val="TextBody"/>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center"/>
        <w:rPr>
          <w:rFonts w:ascii="Times New Roman" w:hAnsi="Times New Roman"/>
          <w:caps w:val="false"/>
          <w:smallCaps w:val="false"/>
          <w:sz w:val="36"/>
        </w:rPr>
      </w:pPr>
      <w:r>
        <w:rPr>
          <w:rFonts w:ascii="Times New Roman" w:hAnsi="Times New Roman"/>
          <w:b/>
          <w:caps w:val="false"/>
          <w:smallCaps w:val="false"/>
          <w:sz w:val="36"/>
        </w:rPr>
        <w:t>SONO GROUP N.V.</w:t>
      </w:r>
      <w:r>
        <w:rPr>
          <w:rFonts w:ascii="Times New Roman" w:hAnsi="Times New Roman"/>
          <w:caps w:val="false"/>
          <w:smallCaps w:val="false"/>
          <w:sz w:val="36"/>
        </w:rPr>
        <w:br/>
      </w:r>
      <w:r>
        <w:rPr>
          <w:rFonts w:ascii="Times New Roman" w:hAnsi="Times New Roman"/>
          <w:caps w:val="false"/>
          <w:smallCaps w:val="false"/>
          <w:sz w:val="20"/>
        </w:rPr>
        <w:t>(Exact name of Registrant as specified in its charter)</w:t>
      </w:r>
    </w:p>
    <w:p>
      <w:pPr>
        <w:pStyle w:val="TextBody"/>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________________________________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4015"/>
      </w:tblGrid>
      <w:tr>
        <w:trPr/>
        <w:tc>
          <w:tcPr>
            <w:tcW w:w="4015" w:type="dxa"/>
            <w:tcBorders/>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N/A</w:t>
            </w:r>
          </w:p>
        </w:tc>
      </w:tr>
      <w:tr>
        <w:trPr/>
        <w:tc>
          <w:tcPr>
            <w:tcW w:w="4015" w:type="dxa"/>
            <w:tcBorders/>
            <w:vAlign w:val="center"/>
          </w:tcPr>
          <w:p>
            <w:pPr>
              <w:pStyle w:val="TableContents"/>
              <w:bidi w:val="0"/>
              <w:spacing w:before="0" w:after="0"/>
              <w:ind w:left="0" w:right="0" w:firstLine="20"/>
              <w:jc w:val="center"/>
              <w:rPr>
                <w:rFonts w:ascii="Times New Roman" w:hAnsi="Times New Roman"/>
                <w:caps w:val="false"/>
                <w:smallCaps w:val="false"/>
                <w:sz w:val="20"/>
              </w:rPr>
            </w:pPr>
            <w:r>
              <w:rPr>
                <w:rFonts w:ascii="Times New Roman" w:hAnsi="Times New Roman"/>
                <w:b/>
                <w:caps w:val="false"/>
                <w:smallCaps w:val="false"/>
                <w:sz w:val="20"/>
              </w:rPr>
              <w:t>(Translation of Registrant</w:t>
            </w:r>
            <w:r>
              <w:rPr>
                <w:rFonts w:ascii="Times New Roman" w:hAnsi="Times New Roman"/>
                <w:caps w:val="false"/>
                <w:smallCaps w:val="false"/>
                <w:sz w:val="20"/>
              </w:rPr>
              <w:t>’</w:t>
            </w:r>
            <w:r>
              <w:rPr>
                <w:rFonts w:ascii="Times New Roman" w:hAnsi="Times New Roman"/>
                <w:b/>
                <w:caps w:val="false"/>
                <w:smallCaps w:val="false"/>
                <w:sz w:val="20"/>
              </w:rPr>
              <w:t>s name into English)</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4000"/>
      </w:tblGrid>
      <w:tr>
        <w:trPr/>
        <w:tc>
          <w:tcPr>
            <w:tcW w:w="4000" w:type="dxa"/>
            <w:tcBorders/>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Federal Republic of Germany</w:t>
            </w:r>
          </w:p>
        </w:tc>
      </w:tr>
      <w:tr>
        <w:trPr/>
        <w:tc>
          <w:tcPr>
            <w:tcW w:w="4000" w:type="dxa"/>
            <w:tcBorders/>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(Jurisdiction of incorporation or 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center"/>
        <w:rPr>
          <w:rFonts w:ascii="Times New Roman" w:hAnsi="Times New Roman"/>
          <w:caps w:val="false"/>
          <w:smallCaps w:val="false"/>
          <w:sz w:val="20"/>
        </w:rPr>
      </w:pPr>
      <w:r>
        <w:rPr>
          <w:rFonts w:ascii="Times New Roman" w:hAnsi="Times New Roman"/>
          <w:b/>
          <w:caps w:val="false"/>
          <w:smallCaps w:val="false"/>
          <w:sz w:val="20"/>
        </w:rPr>
        <w:t>Waldmeisterstraße 76</w:t>
      </w:r>
      <w:r>
        <w:rPr>
          <w:rFonts w:ascii="Times New Roman" w:hAnsi="Times New Roman"/>
          <w:caps w:val="false"/>
          <w:smallCaps w:val="false"/>
          <w:sz w:val="20"/>
        </w:rPr>
        <w:br/>
      </w:r>
      <w:r>
        <w:rPr>
          <w:rFonts w:ascii="Times New Roman" w:hAnsi="Times New Roman"/>
          <w:b/>
          <w:caps w:val="false"/>
          <w:smallCaps w:val="false"/>
          <w:sz w:val="20"/>
        </w:rPr>
        <w:t>80935 Munich, Germany</w:t>
      </w:r>
      <w:r>
        <w:rPr>
          <w:rFonts w:ascii="Times New Roman" w:hAnsi="Times New Roman"/>
          <w:caps w:val="false"/>
          <w:smallCaps w:val="false"/>
          <w:sz w:val="20"/>
        </w:rPr>
        <w:br/>
      </w:r>
      <w:r>
        <w:rPr>
          <w:rFonts w:ascii="Times New Roman" w:hAnsi="Times New Roman"/>
          <w:b/>
          <w:caps w:val="false"/>
          <w:smallCaps w:val="false"/>
          <w:sz w:val="20"/>
        </w:rPr>
        <w:t>+49 (0)89 4520 5818</w:t>
      </w:r>
      <w:r>
        <w:rPr>
          <w:rFonts w:ascii="Times New Roman" w:hAnsi="Times New Roman"/>
          <w:caps w:val="false"/>
          <w:smallCaps w:val="false"/>
          <w:sz w:val="20"/>
        </w:rPr>
        <w:br/>
        <w:t>(</w:t>
      </w:r>
      <w:r>
        <w:rPr>
          <w:rFonts w:ascii="Times New Roman" w:hAnsi="Times New Roman"/>
          <w:i/>
          <w:caps w:val="false"/>
          <w:smallCaps w:val="false"/>
          <w:sz w:val="20"/>
        </w:rPr>
        <w:t>Address of principal executive offices</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Torsten Kiedel</w:t>
      </w:r>
    </w:p>
    <w:p>
      <w:pPr>
        <w:pStyle w:val="TextBody"/>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p>
      <w:pPr>
        <w:pStyle w:val="TextBody"/>
        <w:bidi w:val="0"/>
        <w:spacing w:before="0" w:after="0"/>
        <w:ind w:left="0" w:right="0" w:firstLine="20"/>
        <w:jc w:val="center"/>
        <w:rPr>
          <w:rFonts w:ascii="Times New Roman" w:hAnsi="Times New Roman"/>
          <w:caps w:val="false"/>
          <w:smallCaps w:val="false"/>
          <w:sz w:val="20"/>
        </w:rPr>
      </w:pPr>
      <w:r>
        <w:rPr>
          <w:rFonts w:ascii="Times New Roman" w:hAnsi="Times New Roman"/>
          <w:b/>
          <w:caps w:val="false"/>
          <w:smallCaps w:val="false"/>
          <w:sz w:val="20"/>
        </w:rPr>
        <w:t>Sono Group N.V.</w:t>
      </w:r>
      <w:r>
        <w:rPr>
          <w:rFonts w:ascii="Times New Roman" w:hAnsi="Times New Roman"/>
          <w:caps w:val="false"/>
          <w:smallCaps w:val="false"/>
          <w:sz w:val="20"/>
        </w:rPr>
        <w:br/>
      </w:r>
      <w:r>
        <w:rPr>
          <w:rFonts w:ascii="Times New Roman" w:hAnsi="Times New Roman"/>
          <w:b/>
          <w:caps w:val="false"/>
          <w:smallCaps w:val="false"/>
          <w:sz w:val="20"/>
        </w:rPr>
        <w:t>Waldmeisterstraße 76</w:t>
      </w:r>
      <w:r>
        <w:rPr>
          <w:rFonts w:ascii="Times New Roman" w:hAnsi="Times New Roman"/>
          <w:caps w:val="false"/>
          <w:smallCaps w:val="false"/>
          <w:sz w:val="20"/>
        </w:rPr>
        <w:br/>
      </w:r>
      <w:r>
        <w:rPr>
          <w:rFonts w:ascii="Times New Roman" w:hAnsi="Times New Roman"/>
          <w:b/>
          <w:caps w:val="false"/>
          <w:smallCaps w:val="false"/>
          <w:sz w:val="20"/>
        </w:rPr>
        <w:t>80935 Munich, Germany</w:t>
      </w:r>
      <w:r>
        <w:rPr>
          <w:rFonts w:ascii="Times New Roman" w:hAnsi="Times New Roman"/>
          <w:caps w:val="false"/>
          <w:smallCaps w:val="false"/>
          <w:sz w:val="20"/>
        </w:rPr>
        <w:br/>
      </w:r>
      <w:r>
        <w:rPr>
          <w:rFonts w:ascii="Times New Roman" w:hAnsi="Times New Roman"/>
          <w:b/>
          <w:caps w:val="false"/>
          <w:smallCaps w:val="false"/>
          <w:sz w:val="20"/>
        </w:rPr>
        <w:t>+49 (0)89 4520 5818</w:t>
      </w:r>
      <w:r>
        <w:rPr>
          <w:rFonts w:ascii="Times New Roman" w:hAnsi="Times New Roman"/>
          <w:caps w:val="false"/>
          <w:smallCaps w:val="false"/>
          <w:sz w:val="20"/>
        </w:rPr>
        <w:br/>
      </w:r>
      <w:r>
        <w:rPr>
          <w:rFonts w:ascii="Times New Roman" w:hAnsi="Times New Roman"/>
          <w:b/>
          <w:caps w:val="false"/>
          <w:smallCaps w:val="false"/>
          <w:sz w:val="20"/>
        </w:rPr>
        <w:t>ir@sonomotors.com</w:t>
      </w:r>
      <w:r>
        <w:rPr>
          <w:rFonts w:ascii="Times New Roman" w:hAnsi="Times New Roman"/>
          <w:caps w:val="false"/>
          <w:smallCaps w:val="false"/>
          <w:sz w:val="20"/>
        </w:rPr>
        <w:br/>
        <w:t>(</w:t>
      </w:r>
      <w:r>
        <w:rPr>
          <w:rFonts w:ascii="Times New Roman" w:hAnsi="Times New Roman"/>
          <w:i/>
          <w:caps w:val="false"/>
          <w:smallCaps w:val="false"/>
          <w:sz w:val="20"/>
        </w:rPr>
        <w:t>Name, Telephone, E-mail and/or Facsimile number and Address of Company Contact Person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Securities registered or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30" w:type="dxa"/>
        <w:jc w:val="left"/>
        <w:tblInd w:w="0" w:type="dxa"/>
        <w:tblLayout w:type="fixed"/>
        <w:tblCellMar>
          <w:top w:w="0" w:type="dxa"/>
          <w:left w:w="0" w:type="dxa"/>
          <w:bottom w:w="0" w:type="dxa"/>
          <w:right w:w="0" w:type="dxa"/>
        </w:tblCellMar>
      </w:tblPr>
      <w:tblGrid>
        <w:gridCol w:w="3925"/>
        <w:gridCol w:w="1630"/>
        <w:gridCol w:w="3775"/>
      </w:tblGrid>
      <w:tr>
        <w:trPr/>
        <w:tc>
          <w:tcPr>
            <w:tcW w:w="3925" w:type="dxa"/>
            <w:tcBorders/>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30" w:type="dxa"/>
            <w:tcBorders/>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775" w:type="dxa"/>
            <w:tcBorders/>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925" w:type="dxa"/>
            <w:tcBorders/>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Ordinary Shares, par value of €0.06 per share</w:t>
            </w:r>
          </w:p>
        </w:tc>
        <w:tc>
          <w:tcPr>
            <w:tcW w:w="1630" w:type="dxa"/>
            <w:tcBorders/>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SEVCQ</w:t>
            </w:r>
          </w:p>
        </w:tc>
        <w:tc>
          <w:tcPr>
            <w:tcW w:w="3775" w:type="dxa"/>
            <w:tcBorders/>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On December 11, 2023, the issuer received a decision of the Nasdaq Hearings Panel (the “Panel”) advising the issuer that the Panel has determined to delist the issuer’s ordinary shares from The Nasdaq Global Market (“Nasdaq”). Nasdaq informed the issuer that Nasdaq will complete the delisting following the lapse of applicable appeal periods. The issuer does not intend to appeal the Panel’s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center"/>
        <w:rPr>
          <w:rFonts w:ascii="Times New Roman" w:hAnsi="Times New Roman"/>
          <w:caps w:val="false"/>
          <w:smallCaps w:val="false"/>
          <w:sz w:val="20"/>
        </w:rPr>
      </w:pPr>
      <w:r>
        <w:rPr>
          <w:rFonts w:ascii="Times New Roman" w:hAnsi="Times New Roman"/>
          <w:b/>
          <w:caps w:val="false"/>
          <w:smallCaps w:val="false"/>
          <w:sz w:val="20"/>
        </w:rPr>
        <w:t xml:space="preserve">Securities registered or to be registered pursuant to Section 12(g) of the Act: </w:t>
      </w:r>
      <w:r>
        <w:rPr>
          <w:rFonts w:ascii="Times New Roman" w:hAnsi="Times New Roman"/>
          <w:caps w:val="false"/>
          <w:smallCaps w:val="false"/>
          <w:sz w:val="20"/>
        </w:rPr>
        <w:br/>
      </w:r>
      <w:r>
        <w:rPr>
          <w:rFonts w:ascii="Times New Roman" w:hAnsi="Times New Roman"/>
          <w:b/>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0"/>
        <w:jc w:val="center"/>
        <w:rPr>
          <w:rFonts w:ascii="Times New Roman" w:hAnsi="Times New Roman"/>
          <w:caps w:val="false"/>
          <w:smallCaps w:val="false"/>
          <w:sz w:val="20"/>
        </w:rPr>
      </w:pPr>
      <w:r>
        <w:rPr>
          <w:rFonts w:ascii="Times New Roman" w:hAnsi="Times New Roman"/>
          <w:b/>
          <w:caps w:val="false"/>
          <w:smallCaps w:val="false"/>
          <w:sz w:val="20"/>
        </w:rPr>
        <w:t xml:space="preserve">Securities for which there is a reporting obligation pursuant to Section 15(d) of the Act: </w:t>
      </w:r>
      <w:r>
        <w:rPr>
          <w:rFonts w:ascii="Times New Roman" w:hAnsi="Times New Roman"/>
          <w:caps w:val="false"/>
          <w:smallCaps w:val="false"/>
          <w:sz w:val="20"/>
        </w:rPr>
        <w:br/>
      </w:r>
      <w:r>
        <w:rPr>
          <w:rFonts w:ascii="Times New Roman" w:hAnsi="Times New Roman"/>
          <w:b/>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Number of outstanding shares of each of the issuer’s classes of capital or common stock as of the close of the period covered by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0" w:firstLine="20"/>
        <w:jc w:val="left"/>
        <w:rPr>
          <w:rFonts w:ascii="Times New Roman" w:hAnsi="Times New Roman"/>
          <w:caps w:val="false"/>
          <w:smallCaps w:val="false"/>
          <w:sz w:val="20"/>
        </w:rPr>
      </w:pPr>
      <w:r>
        <w:rPr>
          <w:rFonts w:ascii="Times New Roman" w:hAnsi="Times New Roman"/>
          <w:caps w:val="false"/>
          <w:smallCaps w:val="false"/>
          <w:sz w:val="20"/>
        </w:rPr>
        <w:t>90,946,073 ordinary shares, with a par value of €0.06 and 3,000,000 high-voting shares with a par value of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If this report is an annual or transition report, indicate by check mark if the registrant is not required to file reports pursuant to Section 13 or 15(d) of the Exchange Act of 1934.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and posted on its corporate website, if any, every Interactive Data File required to be submitted and posted pursuant to Rule 405 of Regulation S-T during the preceding 12 months.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or an emerging growth company.</w:t>
      </w:r>
    </w:p>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2065"/>
        <w:gridCol w:w="1600"/>
        <w:gridCol w:w="1960"/>
        <w:gridCol w:w="2470"/>
      </w:tblGrid>
      <w:tr>
        <w:trPr/>
        <w:tc>
          <w:tcPr>
            <w:tcW w:w="2065" w:type="dxa"/>
            <w:tcBorders/>
            <w:vAlign w:val="center"/>
          </w:tcPr>
          <w:p>
            <w:pPr>
              <w:pStyle w:val="TableContents"/>
              <w:bidi w:val="0"/>
              <w:spacing w:before="0" w:after="0"/>
              <w:ind w:left="160" w:right="0" w:firstLine="2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1600" w:type="dxa"/>
            <w:tcBorders/>
            <w:vAlign w:val="center"/>
          </w:tcPr>
          <w:p>
            <w:pPr>
              <w:pStyle w:val="TableContents"/>
              <w:bidi w:val="0"/>
              <w:spacing w:before="0" w:after="0"/>
              <w:ind w:left="180" w:right="0" w:firstLine="20"/>
              <w:jc w:val="left"/>
              <w:rPr>
                <w:rFonts w:ascii="Times New Roman" w:hAnsi="Times New Roman"/>
                <w:caps w:val="false"/>
                <w:smallCaps w:val="false"/>
                <w:sz w:val="20"/>
              </w:rPr>
            </w:pPr>
            <w:r>
              <w:rPr>
                <w:rFonts w:ascii="Times New Roman" w:hAnsi="Times New Roman"/>
                <w:caps w:val="false"/>
                <w:smallCaps w:val="false"/>
                <w:sz w:val="20"/>
              </w:rPr>
              <w:t>Accelerated filer ☐</w:t>
            </w:r>
          </w:p>
        </w:tc>
        <w:tc>
          <w:tcPr>
            <w:tcW w:w="1960" w:type="dxa"/>
            <w:tcBorders/>
            <w:vAlign w:val="center"/>
          </w:tcPr>
          <w:p>
            <w:pPr>
              <w:pStyle w:val="TableContents"/>
              <w:bidi w:val="0"/>
              <w:spacing w:before="0" w:after="0"/>
              <w:ind w:left="160" w:right="0" w:firstLine="2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70" w:type="dxa"/>
            <w:tcBorders/>
            <w:vAlign w:val="center"/>
          </w:tcPr>
          <w:p>
            <w:pPr>
              <w:pStyle w:val="TableContents"/>
              <w:bidi w:val="0"/>
              <w:spacing w:before="0" w:after="0"/>
              <w:ind w:left="160" w:right="0" w:firstLine="2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 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1150"/>
        <w:gridCol w:w="3610"/>
        <w:gridCol w:w="715"/>
      </w:tblGrid>
      <w:tr>
        <w:trPr/>
        <w:tc>
          <w:tcPr>
            <w:tcW w:w="1150" w:type="dxa"/>
            <w:tcBorders/>
            <w:vAlign w:val="center"/>
          </w:tcPr>
          <w:p>
            <w:pPr>
              <w:pStyle w:val="TableContents"/>
              <w:bidi w:val="0"/>
              <w:spacing w:before="0" w:after="0"/>
              <w:ind w:left="160" w:right="0" w:firstLine="20"/>
              <w:jc w:val="left"/>
              <w:rPr>
                <w:rFonts w:ascii="Times New Roman" w:hAnsi="Times New Roman"/>
                <w:caps w:val="false"/>
                <w:smallCaps w:val="false"/>
                <w:sz w:val="20"/>
              </w:rPr>
            </w:pPr>
            <w:r>
              <w:rPr>
                <w:rFonts w:ascii="Times New Roman" w:hAnsi="Times New Roman"/>
                <w:caps w:val="false"/>
                <w:smallCaps w:val="false"/>
                <w:sz w:val="20"/>
              </w:rPr>
              <w:t>U.S. GAAP ☐</w:t>
            </w:r>
          </w:p>
        </w:tc>
        <w:tc>
          <w:tcPr>
            <w:tcW w:w="3610" w:type="dxa"/>
            <w:tcBorders/>
            <w:vAlign w:val="center"/>
          </w:tcPr>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International Financial Reporting Standards</w:t>
            </w:r>
          </w:p>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as issued by the International</w:t>
            </w:r>
          </w:p>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Accounting Standards Board ☒</w:t>
            </w:r>
          </w:p>
        </w:tc>
        <w:tc>
          <w:tcPr>
            <w:tcW w:w="715" w:type="dxa"/>
            <w:tcBorders/>
            <w:vAlign w:val="center"/>
          </w:tcPr>
          <w:p>
            <w:pPr>
              <w:pStyle w:val="TableContents"/>
              <w:bidi w:val="0"/>
              <w:spacing w:before="0" w:after="0"/>
              <w:ind w:left="160" w:right="0" w:firstLine="20"/>
              <w:jc w:val="right"/>
              <w:rPr>
                <w:rFonts w:ascii="Times New Roman" w:hAnsi="Times New Roman"/>
                <w:caps w:val="false"/>
                <w:smallCaps w:val="false"/>
                <w:sz w:val="20"/>
              </w:rPr>
            </w:pPr>
            <w:r>
              <w:rPr>
                <w:rFonts w:ascii="Times New Roman" w:hAnsi="Times New Roman"/>
                <w:caps w:val="false"/>
                <w:smallCaps w:val="false"/>
                <w:sz w:val="20"/>
              </w:rPr>
              <w:t>Other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If this is an annual report, indicate by check mark whether the registrant is a shell company. Yes ☐ No ☒</w:t>
      </w:r>
    </w:p>
    <w:p>
      <w:pPr>
        <w:pStyle w:val="TextBody"/>
        <w:bidi w:val="0"/>
        <w:spacing w:before="0" w:after="0"/>
        <w:ind w:left="0" w:right="0" w:firstLine="20"/>
        <w:jc w:val="left"/>
        <w:rPr>
          <w:caps w:val="false"/>
          <w:smallCaps w:val="false"/>
        </w:rPr>
      </w:pPr>
      <w:r>
        <w:rPr>
          <w:caps w:val="false"/>
          <w:smallCaps w:val="false"/>
        </w:rPr>
        <w:t> </w:t>
      </w:r>
    </w:p>
    <w:p>
      <w:pPr>
        <w:pStyle w:val="TextBody"/>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(APPLICABLE ONLY TO ISSUERS INVOLVED IN BANKRUPTCY PROCEEDINGS DURING THE PAST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described in more detail in this annual report on Form 20-F, since mid-May 2023 the issuer has been involved in preliminary self-administration proceedings under German insolvency law before the local court of Munich, Germany. Since no insolvency plan providing for the distribution of securities has been confirmed by the court, the issuer has not checked either of the boxes above.</w:t>
      </w:r>
    </w:p>
    <w:p>
      <w:pPr>
        <w:pStyle w:val="TextBody"/>
        <w:bidi w:val="0"/>
        <w:spacing w:before="0" w:after="0"/>
        <w:ind w:left="0" w:right="0" w:firstLine="2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145" w:type="dxa"/>
        <w:jc w:val="left"/>
        <w:tblInd w:w="0" w:type="dxa"/>
        <w:tblLayout w:type="fixed"/>
        <w:tblCellMar>
          <w:top w:w="0" w:type="dxa"/>
          <w:left w:w="0" w:type="dxa"/>
          <w:bottom w:w="0" w:type="dxa"/>
          <w:right w:w="0" w:type="dxa"/>
        </w:tblCellMar>
      </w:tblPr>
      <w:tblGrid>
        <w:gridCol w:w="6895"/>
        <w:gridCol w:w="250"/>
      </w:tblGrid>
      <w:tr>
        <w:trPr/>
        <w:tc>
          <w:tcPr>
            <w:tcW w:w="6895" w:type="dxa"/>
            <w:tcBorders/>
            <w:vAlign w:val="center"/>
          </w:tcPr>
          <w:p>
            <w:pPr>
              <w:pStyle w:val="TableContents"/>
              <w:bidi w:val="0"/>
              <w:spacing w:before="0" w:after="0"/>
              <w:ind w:left="0" w:right="0" w:firstLine="20"/>
              <w:jc w:val="left"/>
              <w:rPr/>
            </w:pPr>
            <w:hyperlink w:anchor="Intro">
              <w:r>
                <w:rPr>
                  <w:rStyle w:val="InternetLink"/>
                  <w:rFonts w:ascii="Times New Roman" w:hAnsi="Times New Roman"/>
                  <w:caps w:val="false"/>
                  <w:smallCaps w:val="false"/>
                  <w:sz w:val="20"/>
                  <w:u w:val="single"/>
                </w:rPr>
                <w:t>INTRODUCTION</w:t>
              </w:r>
            </w:hyperlink>
          </w:p>
        </w:tc>
        <w:tc>
          <w:tcPr>
            <w:tcW w:w="250" w:type="dxa"/>
            <w:tcBorders/>
            <w:vAlign w:val="center"/>
          </w:tcPr>
          <w:p>
            <w:pPr>
              <w:pStyle w:val="TableContents"/>
              <w:bidi w:val="0"/>
              <w:spacing w:before="0" w:after="0"/>
              <w:ind w:left="160" w:right="0" w:firstLine="20"/>
              <w:jc w:val="right"/>
              <w:rPr/>
            </w:pPr>
            <w:hyperlink w:anchor="Intro">
              <w:r>
                <w:rPr>
                  <w:rStyle w:val="InternetLink"/>
                  <w:rFonts w:ascii="Times New Roman" w:hAnsi="Times New Roman"/>
                  <w:caps w:val="false"/>
                  <w:smallCaps w:val="false"/>
                  <w:sz w:val="20"/>
                </w:rPr>
                <w:t>i</w:t>
              </w:r>
            </w:hyperlink>
          </w:p>
        </w:tc>
      </w:tr>
      <w:tr>
        <w:trPr/>
        <w:tc>
          <w:tcPr>
            <w:tcW w:w="6895" w:type="dxa"/>
            <w:tcBorders/>
            <w:vAlign w:val="center"/>
          </w:tcPr>
          <w:p>
            <w:pPr>
              <w:pStyle w:val="TableContents"/>
              <w:bidi w:val="0"/>
              <w:spacing w:before="0" w:after="0"/>
              <w:ind w:left="0" w:right="0" w:firstLine="20"/>
              <w:jc w:val="left"/>
              <w:rPr/>
            </w:pPr>
            <w:hyperlink w:anchor="Presentation">
              <w:r>
                <w:rPr>
                  <w:rStyle w:val="InternetLink"/>
                  <w:rFonts w:ascii="Times New Roman" w:hAnsi="Times New Roman"/>
                  <w:caps w:val="false"/>
                  <w:smallCaps w:val="false"/>
                  <w:sz w:val="20"/>
                  <w:u w:val="single"/>
                </w:rPr>
                <w:t>PRESENTATION OF FINANCIAL AND OTHER INFORMATION</w:t>
              </w:r>
            </w:hyperlink>
          </w:p>
        </w:tc>
        <w:tc>
          <w:tcPr>
            <w:tcW w:w="250" w:type="dxa"/>
            <w:tcBorders/>
            <w:vAlign w:val="center"/>
          </w:tcPr>
          <w:p>
            <w:pPr>
              <w:pStyle w:val="TableContents"/>
              <w:bidi w:val="0"/>
              <w:spacing w:before="0" w:after="0"/>
              <w:ind w:left="160" w:right="0" w:firstLine="20"/>
              <w:jc w:val="right"/>
              <w:rPr/>
            </w:pPr>
            <w:hyperlink w:anchor="Presentation">
              <w:r>
                <w:rPr>
                  <w:rStyle w:val="InternetLink"/>
                  <w:rFonts w:ascii="Times New Roman" w:hAnsi="Times New Roman"/>
                  <w:caps w:val="false"/>
                  <w:smallCaps w:val="false"/>
                  <w:sz w:val="20"/>
                </w:rPr>
                <w:t>ii</w:t>
              </w:r>
            </w:hyperlink>
          </w:p>
        </w:tc>
      </w:tr>
      <w:tr>
        <w:trPr/>
        <w:tc>
          <w:tcPr>
            <w:tcW w:w="6895" w:type="dxa"/>
            <w:tcBorders/>
            <w:vAlign w:val="center"/>
          </w:tcPr>
          <w:p>
            <w:pPr>
              <w:pStyle w:val="TableContents"/>
              <w:bidi w:val="0"/>
              <w:spacing w:before="0" w:after="0"/>
              <w:ind w:left="0" w:right="0" w:firstLine="20"/>
              <w:jc w:val="left"/>
              <w:rPr/>
            </w:pPr>
            <w:hyperlink w:anchor="Market_and_Industry_data">
              <w:r>
                <w:rPr>
                  <w:rStyle w:val="InternetLink"/>
                  <w:rFonts w:ascii="Times New Roman" w:hAnsi="Times New Roman"/>
                  <w:caps w:val="false"/>
                  <w:smallCaps w:val="false"/>
                  <w:sz w:val="20"/>
                  <w:u w:val="single"/>
                </w:rPr>
                <w:t>MARKET AND INDUSTRY DATA</w:t>
              </w:r>
            </w:hyperlink>
          </w:p>
        </w:tc>
        <w:tc>
          <w:tcPr>
            <w:tcW w:w="250" w:type="dxa"/>
            <w:tcBorders/>
            <w:vAlign w:val="center"/>
          </w:tcPr>
          <w:p>
            <w:pPr>
              <w:pStyle w:val="TableContents"/>
              <w:bidi w:val="0"/>
              <w:spacing w:before="0" w:after="0"/>
              <w:ind w:left="160" w:right="0" w:firstLine="20"/>
              <w:jc w:val="right"/>
              <w:rPr/>
            </w:pPr>
            <w:hyperlink w:anchor="Market_and_Industry_data">
              <w:r>
                <w:rPr>
                  <w:rStyle w:val="InternetLink"/>
                  <w:rFonts w:ascii="Times New Roman" w:hAnsi="Times New Roman"/>
                  <w:caps w:val="false"/>
                  <w:smallCaps w:val="false"/>
                  <w:sz w:val="20"/>
                </w:rPr>
                <w:t>ii</w:t>
              </w:r>
            </w:hyperlink>
          </w:p>
        </w:tc>
      </w:tr>
      <w:tr>
        <w:trPr/>
        <w:tc>
          <w:tcPr>
            <w:tcW w:w="6895" w:type="dxa"/>
            <w:tcBorders/>
            <w:vAlign w:val="center"/>
          </w:tcPr>
          <w:p>
            <w:pPr>
              <w:pStyle w:val="TableContents"/>
              <w:bidi w:val="0"/>
              <w:spacing w:before="0" w:after="0"/>
              <w:ind w:left="0" w:right="0" w:firstLine="20"/>
              <w:jc w:val="left"/>
              <w:rPr/>
            </w:pPr>
            <w:hyperlink w:anchor="Trademarks">
              <w:r>
                <w:rPr>
                  <w:rStyle w:val="InternetLink"/>
                  <w:rFonts w:ascii="Times New Roman" w:hAnsi="Times New Roman"/>
                  <w:caps w:val="false"/>
                  <w:smallCaps w:val="false"/>
                  <w:sz w:val="20"/>
                  <w:u w:val="single"/>
                </w:rPr>
                <w:t>TRADEMARKS, SERVICE MARKS AND TRADE NAMES</w:t>
              </w:r>
            </w:hyperlink>
          </w:p>
        </w:tc>
        <w:tc>
          <w:tcPr>
            <w:tcW w:w="250" w:type="dxa"/>
            <w:tcBorders/>
            <w:vAlign w:val="center"/>
          </w:tcPr>
          <w:p>
            <w:pPr>
              <w:pStyle w:val="TableContents"/>
              <w:bidi w:val="0"/>
              <w:spacing w:before="0" w:after="0"/>
              <w:ind w:left="160" w:right="0" w:firstLine="20"/>
              <w:jc w:val="right"/>
              <w:rPr/>
            </w:pPr>
            <w:hyperlink w:anchor="Trademarks">
              <w:r>
                <w:rPr>
                  <w:rStyle w:val="InternetLink"/>
                  <w:rFonts w:ascii="Times New Roman" w:hAnsi="Times New Roman"/>
                  <w:caps w:val="false"/>
                  <w:smallCaps w:val="false"/>
                  <w:sz w:val="20"/>
                </w:rPr>
                <w:t>iii</w:t>
              </w:r>
            </w:hyperlink>
          </w:p>
        </w:tc>
      </w:tr>
      <w:tr>
        <w:trPr/>
        <w:tc>
          <w:tcPr>
            <w:tcW w:w="6895" w:type="dxa"/>
            <w:tcBorders/>
            <w:vAlign w:val="center"/>
          </w:tcPr>
          <w:p>
            <w:pPr>
              <w:pStyle w:val="TableContents"/>
              <w:bidi w:val="0"/>
              <w:spacing w:before="0" w:after="0"/>
              <w:ind w:left="0" w:right="0" w:firstLine="20"/>
              <w:jc w:val="left"/>
              <w:rPr/>
            </w:pPr>
            <w:hyperlink w:anchor="Cautionary_statement">
              <w:r>
                <w:rPr>
                  <w:rStyle w:val="InternetLink"/>
                  <w:rFonts w:ascii="Times New Roman" w:hAnsi="Times New Roman"/>
                  <w:caps w:val="false"/>
                  <w:smallCaps w:val="false"/>
                  <w:sz w:val="20"/>
                  <w:u w:val="single"/>
                </w:rPr>
                <w:t>CAUTIONARY STATEMENT REGARDING FORWARD-LOOKING STATEMENTS</w:t>
              </w:r>
            </w:hyperlink>
          </w:p>
        </w:tc>
        <w:tc>
          <w:tcPr>
            <w:tcW w:w="250" w:type="dxa"/>
            <w:tcBorders/>
            <w:vAlign w:val="center"/>
          </w:tcPr>
          <w:p>
            <w:pPr>
              <w:pStyle w:val="TableContents"/>
              <w:bidi w:val="0"/>
              <w:spacing w:before="0" w:after="0"/>
              <w:ind w:left="160" w:right="0" w:firstLine="20"/>
              <w:jc w:val="right"/>
              <w:rPr/>
            </w:pPr>
            <w:hyperlink w:anchor="Cautionary_statement">
              <w:r>
                <w:rPr>
                  <w:rStyle w:val="InternetLink"/>
                  <w:rFonts w:ascii="Times New Roman" w:hAnsi="Times New Roman"/>
                  <w:caps w:val="false"/>
                  <w:smallCaps w:val="false"/>
                  <w:sz w:val="20"/>
                </w:rPr>
                <w:t>iii</w:t>
              </w:r>
            </w:hyperlink>
          </w:p>
        </w:tc>
      </w:tr>
      <w:tr>
        <w:trPr/>
        <w:tc>
          <w:tcPr>
            <w:tcW w:w="6895" w:type="dxa"/>
            <w:tcBorders/>
            <w:vAlign w:val="center"/>
          </w:tcPr>
          <w:p>
            <w:pPr>
              <w:pStyle w:val="TableContents"/>
              <w:bidi w:val="0"/>
              <w:spacing w:before="0" w:after="0"/>
              <w:ind w:left="0" w:right="0" w:firstLine="20"/>
              <w:jc w:val="left"/>
              <w:rPr/>
            </w:pPr>
            <w:hyperlink w:anchor="Risk_factors">
              <w:r>
                <w:rPr>
                  <w:rStyle w:val="InternetLink"/>
                  <w:rFonts w:ascii="Times New Roman" w:hAnsi="Times New Roman"/>
                  <w:caps w:val="false"/>
                  <w:smallCaps w:val="false"/>
                  <w:sz w:val="20"/>
                  <w:u w:val="single"/>
                </w:rPr>
                <w:t>RISK FACTOR SUMMARY</w:t>
              </w:r>
            </w:hyperlink>
          </w:p>
        </w:tc>
        <w:tc>
          <w:tcPr>
            <w:tcW w:w="250" w:type="dxa"/>
            <w:tcBorders/>
            <w:vAlign w:val="center"/>
          </w:tcPr>
          <w:p>
            <w:pPr>
              <w:pStyle w:val="TableContents"/>
              <w:bidi w:val="0"/>
              <w:spacing w:before="0" w:after="0"/>
              <w:ind w:left="160" w:right="0" w:firstLine="20"/>
              <w:jc w:val="right"/>
              <w:rPr/>
            </w:pPr>
            <w:hyperlink w:anchor="Risk_factors">
              <w:r>
                <w:rPr>
                  <w:rStyle w:val="InternetLink"/>
                  <w:rFonts w:ascii="Times New Roman" w:hAnsi="Times New Roman"/>
                  <w:caps w:val="false"/>
                  <w:smallCaps w:val="false"/>
                  <w:sz w:val="20"/>
                </w:rPr>
                <w:t>v</w:t>
              </w:r>
            </w:hyperlink>
          </w:p>
        </w:tc>
      </w:tr>
      <w:tr>
        <w:trPr/>
        <w:tc>
          <w:tcPr>
            <w:tcW w:w="6895" w:type="dxa"/>
            <w:tcBorders/>
            <w:vAlign w:val="center"/>
          </w:tcPr>
          <w:p>
            <w:pPr>
              <w:pStyle w:val="TableContents"/>
              <w:bidi w:val="0"/>
              <w:spacing w:before="0" w:after="0"/>
              <w:ind w:left="0" w:right="0" w:firstLine="20"/>
              <w:jc w:val="left"/>
              <w:rPr/>
            </w:pPr>
            <w:hyperlink w:anchor="P1">
              <w:r>
                <w:rPr>
                  <w:rStyle w:val="InternetLink"/>
                  <w:rFonts w:ascii="Times New Roman" w:hAnsi="Times New Roman"/>
                  <w:caps w:val="false"/>
                  <w:smallCaps w:val="false"/>
                  <w:sz w:val="20"/>
                  <w:u w:val="single"/>
                </w:rPr>
                <w:t>PART I.</w:t>
              </w:r>
            </w:hyperlink>
          </w:p>
        </w:tc>
        <w:tc>
          <w:tcPr>
            <w:tcW w:w="250" w:type="dxa"/>
            <w:tcBorders/>
            <w:vAlign w:val="center"/>
          </w:tcPr>
          <w:p>
            <w:pPr>
              <w:pStyle w:val="TableContents"/>
              <w:bidi w:val="0"/>
              <w:spacing w:before="0" w:after="0"/>
              <w:ind w:left="160" w:right="0" w:firstLine="20"/>
              <w:jc w:val="right"/>
              <w:rPr/>
            </w:pPr>
            <w:hyperlink w:anchor="P1">
              <w:r>
                <w:rPr>
                  <w:rStyle w:val="InternetLink"/>
                  <w:rFonts w:ascii="Times New Roman" w:hAnsi="Times New Roman"/>
                  <w:caps w:val="false"/>
                  <w:smallCaps w:val="false"/>
                  <w:sz w:val="20"/>
                </w:rPr>
                <w:t>1</w:t>
              </w:r>
            </w:hyperlink>
          </w:p>
        </w:tc>
      </w:tr>
      <w:tr>
        <w:trPr/>
        <w:tc>
          <w:tcPr>
            <w:tcW w:w="6895" w:type="dxa"/>
            <w:tcBorders/>
            <w:vAlign w:val="center"/>
          </w:tcPr>
          <w:p>
            <w:pPr>
              <w:pStyle w:val="TableContents"/>
              <w:bidi w:val="0"/>
              <w:spacing w:before="0" w:after="0"/>
              <w:ind w:left="0" w:right="0" w:firstLine="20"/>
              <w:jc w:val="left"/>
              <w:rPr/>
            </w:pPr>
            <w:hyperlink w:anchor="P1I1">
              <w:r>
                <w:rPr>
                  <w:rStyle w:val="InternetLink"/>
                  <w:rFonts w:ascii="Times New Roman" w:hAnsi="Times New Roman"/>
                  <w:caps w:val="false"/>
                  <w:smallCaps w:val="false"/>
                  <w:sz w:val="20"/>
                  <w:u w:val="single"/>
                </w:rPr>
                <w:t>ITEM 1. IDENTITY OF DIRECTORS, SENIOR MANAGEMENT AND ADVISERS</w:t>
              </w:r>
            </w:hyperlink>
          </w:p>
        </w:tc>
        <w:tc>
          <w:tcPr>
            <w:tcW w:w="250" w:type="dxa"/>
            <w:tcBorders/>
            <w:vAlign w:val="center"/>
          </w:tcPr>
          <w:p>
            <w:pPr>
              <w:pStyle w:val="TableContents"/>
              <w:bidi w:val="0"/>
              <w:spacing w:before="0" w:after="0"/>
              <w:ind w:left="160" w:right="0" w:firstLine="20"/>
              <w:jc w:val="right"/>
              <w:rPr/>
            </w:pPr>
            <w:hyperlink w:anchor="P1I1">
              <w:r>
                <w:rPr>
                  <w:rStyle w:val="InternetLink"/>
                  <w:rFonts w:ascii="Times New Roman" w:hAnsi="Times New Roman"/>
                  <w:caps w:val="false"/>
                  <w:smallCaps w:val="false"/>
                  <w:sz w:val="20"/>
                </w:rPr>
                <w:t>1</w:t>
              </w:r>
            </w:hyperlink>
          </w:p>
        </w:tc>
      </w:tr>
      <w:tr>
        <w:trPr/>
        <w:tc>
          <w:tcPr>
            <w:tcW w:w="6895" w:type="dxa"/>
            <w:tcBorders/>
            <w:vAlign w:val="center"/>
          </w:tcPr>
          <w:p>
            <w:pPr>
              <w:pStyle w:val="TableContents"/>
              <w:bidi w:val="0"/>
              <w:spacing w:before="0" w:after="0"/>
              <w:ind w:left="0" w:right="0" w:firstLine="20"/>
              <w:jc w:val="left"/>
              <w:rPr/>
            </w:pPr>
            <w:hyperlink w:anchor="P1I1A">
              <w:r>
                <w:rPr>
                  <w:rStyle w:val="InternetLink"/>
                  <w:rFonts w:ascii="Times New Roman" w:hAnsi="Times New Roman"/>
                  <w:caps w:val="false"/>
                  <w:smallCaps w:val="false"/>
                  <w:sz w:val="20"/>
                  <w:u w:val="single"/>
                </w:rPr>
                <w:t>A. Directors and Senior Management</w:t>
              </w:r>
            </w:hyperlink>
          </w:p>
        </w:tc>
        <w:tc>
          <w:tcPr>
            <w:tcW w:w="250" w:type="dxa"/>
            <w:tcBorders/>
            <w:vAlign w:val="center"/>
          </w:tcPr>
          <w:p>
            <w:pPr>
              <w:pStyle w:val="TableContents"/>
              <w:bidi w:val="0"/>
              <w:spacing w:before="0" w:after="0"/>
              <w:ind w:left="160" w:right="0" w:firstLine="20"/>
              <w:jc w:val="right"/>
              <w:rPr/>
            </w:pPr>
            <w:hyperlink w:anchor="P1I1A">
              <w:r>
                <w:rPr>
                  <w:rStyle w:val="InternetLink"/>
                  <w:rFonts w:ascii="Times New Roman" w:hAnsi="Times New Roman"/>
                  <w:caps w:val="false"/>
                  <w:smallCaps w:val="false"/>
                  <w:sz w:val="20"/>
                </w:rPr>
                <w:t>1</w:t>
              </w:r>
            </w:hyperlink>
          </w:p>
        </w:tc>
      </w:tr>
      <w:tr>
        <w:trPr/>
        <w:tc>
          <w:tcPr>
            <w:tcW w:w="6895" w:type="dxa"/>
            <w:tcBorders/>
            <w:vAlign w:val="center"/>
          </w:tcPr>
          <w:p>
            <w:pPr>
              <w:pStyle w:val="TableContents"/>
              <w:bidi w:val="0"/>
              <w:spacing w:before="0" w:after="0"/>
              <w:ind w:left="0" w:right="0" w:firstLine="20"/>
              <w:jc w:val="left"/>
              <w:rPr/>
            </w:pPr>
            <w:hyperlink w:anchor="P1I2">
              <w:r>
                <w:rPr>
                  <w:rStyle w:val="InternetLink"/>
                  <w:rFonts w:ascii="Times New Roman" w:hAnsi="Times New Roman"/>
                  <w:caps w:val="false"/>
                  <w:smallCaps w:val="false"/>
                  <w:sz w:val="20"/>
                  <w:u w:val="single"/>
                </w:rPr>
                <w:t>ITEM 2. OFFER STATISTICS AND EXPECTED TIMETABLE</w:t>
              </w:r>
            </w:hyperlink>
          </w:p>
        </w:tc>
        <w:tc>
          <w:tcPr>
            <w:tcW w:w="250" w:type="dxa"/>
            <w:tcBorders/>
            <w:vAlign w:val="center"/>
          </w:tcPr>
          <w:p>
            <w:pPr>
              <w:pStyle w:val="TableContents"/>
              <w:bidi w:val="0"/>
              <w:spacing w:before="0" w:after="0"/>
              <w:ind w:left="160" w:right="0" w:firstLine="20"/>
              <w:jc w:val="right"/>
              <w:rPr/>
            </w:pPr>
            <w:hyperlink w:anchor="P1I2">
              <w:r>
                <w:rPr>
                  <w:rStyle w:val="InternetLink"/>
                  <w:rFonts w:ascii="Times New Roman" w:hAnsi="Times New Roman"/>
                  <w:caps w:val="false"/>
                  <w:smallCaps w:val="false"/>
                  <w:sz w:val="20"/>
                </w:rPr>
                <w:t>1</w:t>
              </w:r>
            </w:hyperlink>
          </w:p>
        </w:tc>
      </w:tr>
      <w:tr>
        <w:trPr/>
        <w:tc>
          <w:tcPr>
            <w:tcW w:w="6895" w:type="dxa"/>
            <w:tcBorders/>
            <w:vAlign w:val="center"/>
          </w:tcPr>
          <w:p>
            <w:pPr>
              <w:pStyle w:val="TableContents"/>
              <w:bidi w:val="0"/>
              <w:spacing w:before="0" w:after="0"/>
              <w:ind w:left="0" w:right="0" w:firstLine="20"/>
              <w:jc w:val="left"/>
              <w:rPr/>
            </w:pPr>
            <w:hyperlink w:anchor="P1I3">
              <w:r>
                <w:rPr>
                  <w:rStyle w:val="InternetLink"/>
                  <w:rFonts w:ascii="Times New Roman" w:hAnsi="Times New Roman"/>
                  <w:caps w:val="false"/>
                  <w:smallCaps w:val="false"/>
                  <w:sz w:val="20"/>
                  <w:u w:val="single"/>
                </w:rPr>
                <w:t>ITEM 3. KEY INFORMATION</w:t>
              </w:r>
            </w:hyperlink>
          </w:p>
        </w:tc>
        <w:tc>
          <w:tcPr>
            <w:tcW w:w="250" w:type="dxa"/>
            <w:tcBorders/>
            <w:vAlign w:val="center"/>
          </w:tcPr>
          <w:p>
            <w:pPr>
              <w:pStyle w:val="TableContents"/>
              <w:bidi w:val="0"/>
              <w:spacing w:before="0" w:after="0"/>
              <w:ind w:left="160" w:right="0" w:firstLine="20"/>
              <w:jc w:val="right"/>
              <w:rPr/>
            </w:pPr>
            <w:hyperlink w:anchor="P1I3">
              <w:r>
                <w:rPr>
                  <w:rStyle w:val="InternetLink"/>
                  <w:rFonts w:ascii="Times New Roman" w:hAnsi="Times New Roman"/>
                  <w:caps w:val="false"/>
                  <w:smallCaps w:val="false"/>
                  <w:sz w:val="20"/>
                </w:rPr>
                <w:t>1</w:t>
              </w:r>
            </w:hyperlink>
          </w:p>
        </w:tc>
      </w:tr>
      <w:tr>
        <w:trPr/>
        <w:tc>
          <w:tcPr>
            <w:tcW w:w="6895" w:type="dxa"/>
            <w:tcBorders/>
            <w:vAlign w:val="center"/>
          </w:tcPr>
          <w:p>
            <w:pPr>
              <w:pStyle w:val="TableContents"/>
              <w:bidi w:val="0"/>
              <w:spacing w:before="0" w:after="0"/>
              <w:ind w:left="0" w:right="0" w:firstLine="20"/>
              <w:jc w:val="left"/>
              <w:rPr/>
            </w:pPr>
            <w:hyperlink w:anchor="P1I3A">
              <w:r>
                <w:rPr>
                  <w:rStyle w:val="InternetLink"/>
                  <w:rFonts w:ascii="Times New Roman" w:hAnsi="Times New Roman"/>
                  <w:caps w:val="false"/>
                  <w:smallCaps w:val="false"/>
                  <w:sz w:val="20"/>
                  <w:u w:val="single"/>
                </w:rPr>
                <w:t>A. [Reserved]</w:t>
              </w:r>
            </w:hyperlink>
          </w:p>
        </w:tc>
        <w:tc>
          <w:tcPr>
            <w:tcW w:w="250" w:type="dxa"/>
            <w:tcBorders/>
            <w:vAlign w:val="center"/>
          </w:tcPr>
          <w:p>
            <w:pPr>
              <w:pStyle w:val="TableContents"/>
              <w:bidi w:val="0"/>
              <w:spacing w:before="0" w:after="0"/>
              <w:ind w:left="160" w:right="0" w:firstLine="20"/>
              <w:jc w:val="right"/>
              <w:rPr/>
            </w:pPr>
            <w:hyperlink w:anchor="P1I3A">
              <w:r>
                <w:rPr>
                  <w:rStyle w:val="InternetLink"/>
                  <w:rFonts w:ascii="Times New Roman" w:hAnsi="Times New Roman"/>
                  <w:caps w:val="false"/>
                  <w:smallCaps w:val="false"/>
                  <w:sz w:val="20"/>
                </w:rPr>
                <w:t>1</w:t>
              </w:r>
            </w:hyperlink>
          </w:p>
        </w:tc>
      </w:tr>
      <w:tr>
        <w:trPr/>
        <w:tc>
          <w:tcPr>
            <w:tcW w:w="6895" w:type="dxa"/>
            <w:tcBorders/>
            <w:vAlign w:val="center"/>
          </w:tcPr>
          <w:p>
            <w:pPr>
              <w:pStyle w:val="TableContents"/>
              <w:bidi w:val="0"/>
              <w:spacing w:before="0" w:after="0"/>
              <w:ind w:left="0" w:right="0" w:firstLine="20"/>
              <w:jc w:val="left"/>
              <w:rPr/>
            </w:pPr>
            <w:hyperlink w:anchor="P1I3B">
              <w:r>
                <w:rPr>
                  <w:rStyle w:val="InternetLink"/>
                  <w:rFonts w:ascii="Times New Roman" w:hAnsi="Times New Roman"/>
                  <w:caps w:val="false"/>
                  <w:smallCaps w:val="false"/>
                  <w:sz w:val="20"/>
                  <w:u w:val="single"/>
                </w:rPr>
                <w:t>B. Capitalization and Indebtedness</w:t>
              </w:r>
            </w:hyperlink>
          </w:p>
        </w:tc>
        <w:tc>
          <w:tcPr>
            <w:tcW w:w="250" w:type="dxa"/>
            <w:tcBorders/>
            <w:vAlign w:val="center"/>
          </w:tcPr>
          <w:p>
            <w:pPr>
              <w:pStyle w:val="TableContents"/>
              <w:bidi w:val="0"/>
              <w:spacing w:before="0" w:after="0"/>
              <w:ind w:left="160" w:right="0" w:firstLine="20"/>
              <w:jc w:val="right"/>
              <w:rPr/>
            </w:pPr>
            <w:hyperlink w:anchor="P1I3B">
              <w:r>
                <w:rPr>
                  <w:rStyle w:val="InternetLink"/>
                  <w:rFonts w:ascii="Times New Roman" w:hAnsi="Times New Roman"/>
                  <w:caps w:val="false"/>
                  <w:smallCaps w:val="false"/>
                  <w:sz w:val="20"/>
                </w:rPr>
                <w:t>1</w:t>
              </w:r>
            </w:hyperlink>
          </w:p>
        </w:tc>
      </w:tr>
      <w:tr>
        <w:trPr/>
        <w:tc>
          <w:tcPr>
            <w:tcW w:w="6895" w:type="dxa"/>
            <w:tcBorders/>
            <w:vAlign w:val="center"/>
          </w:tcPr>
          <w:p>
            <w:pPr>
              <w:pStyle w:val="TableContents"/>
              <w:bidi w:val="0"/>
              <w:spacing w:before="0" w:after="0"/>
              <w:ind w:left="0" w:right="0" w:firstLine="20"/>
              <w:jc w:val="left"/>
              <w:rPr/>
            </w:pPr>
            <w:hyperlink w:anchor="P1I3C">
              <w:r>
                <w:rPr>
                  <w:rStyle w:val="InternetLink"/>
                  <w:rFonts w:ascii="Times New Roman" w:hAnsi="Times New Roman"/>
                  <w:caps w:val="false"/>
                  <w:smallCaps w:val="false"/>
                  <w:sz w:val="20"/>
                  <w:u w:val="single"/>
                </w:rPr>
                <w:t>C. Reasons for the Offer and Use of Proceeds</w:t>
              </w:r>
            </w:hyperlink>
          </w:p>
        </w:tc>
        <w:tc>
          <w:tcPr>
            <w:tcW w:w="250" w:type="dxa"/>
            <w:tcBorders/>
            <w:vAlign w:val="center"/>
          </w:tcPr>
          <w:p>
            <w:pPr>
              <w:pStyle w:val="TableContents"/>
              <w:bidi w:val="0"/>
              <w:spacing w:before="0" w:after="0"/>
              <w:ind w:left="160" w:right="0" w:firstLine="20"/>
              <w:jc w:val="right"/>
              <w:rPr/>
            </w:pPr>
            <w:hyperlink w:anchor="P1I3C">
              <w:r>
                <w:rPr>
                  <w:rStyle w:val="InternetLink"/>
                  <w:rFonts w:ascii="Times New Roman" w:hAnsi="Times New Roman"/>
                  <w:caps w:val="false"/>
                  <w:smallCaps w:val="false"/>
                  <w:sz w:val="20"/>
                </w:rPr>
                <w:t>1</w:t>
              </w:r>
            </w:hyperlink>
          </w:p>
        </w:tc>
      </w:tr>
      <w:tr>
        <w:trPr/>
        <w:tc>
          <w:tcPr>
            <w:tcW w:w="6895" w:type="dxa"/>
            <w:tcBorders/>
            <w:vAlign w:val="center"/>
          </w:tcPr>
          <w:p>
            <w:pPr>
              <w:pStyle w:val="TableContents"/>
              <w:bidi w:val="0"/>
              <w:spacing w:before="0" w:after="0"/>
              <w:ind w:left="0" w:right="0" w:firstLine="20"/>
              <w:jc w:val="left"/>
              <w:rPr/>
            </w:pPr>
            <w:hyperlink w:anchor="P1I3D">
              <w:r>
                <w:rPr>
                  <w:rStyle w:val="InternetLink"/>
                  <w:rFonts w:ascii="Times New Roman" w:hAnsi="Times New Roman"/>
                  <w:caps w:val="false"/>
                  <w:smallCaps w:val="false"/>
                  <w:sz w:val="20"/>
                  <w:u w:val="single"/>
                </w:rPr>
                <w:t>D. Risk Factors</w:t>
              </w:r>
            </w:hyperlink>
          </w:p>
        </w:tc>
        <w:tc>
          <w:tcPr>
            <w:tcW w:w="250" w:type="dxa"/>
            <w:tcBorders/>
            <w:vAlign w:val="center"/>
          </w:tcPr>
          <w:p>
            <w:pPr>
              <w:pStyle w:val="TableContents"/>
              <w:bidi w:val="0"/>
              <w:spacing w:before="0" w:after="0"/>
              <w:ind w:left="160" w:right="0" w:firstLine="20"/>
              <w:jc w:val="right"/>
              <w:rPr/>
            </w:pPr>
            <w:hyperlink w:anchor="P1I3D">
              <w:r>
                <w:rPr>
                  <w:rStyle w:val="InternetLink"/>
                  <w:rFonts w:ascii="Times New Roman" w:hAnsi="Times New Roman"/>
                  <w:caps w:val="false"/>
                  <w:smallCaps w:val="false"/>
                  <w:sz w:val="20"/>
                </w:rPr>
                <w:t>1</w:t>
              </w:r>
            </w:hyperlink>
          </w:p>
        </w:tc>
      </w:tr>
      <w:tr>
        <w:trPr/>
        <w:tc>
          <w:tcPr>
            <w:tcW w:w="6895" w:type="dxa"/>
            <w:tcBorders/>
            <w:vAlign w:val="center"/>
          </w:tcPr>
          <w:p>
            <w:pPr>
              <w:pStyle w:val="TableContents"/>
              <w:bidi w:val="0"/>
              <w:spacing w:before="0" w:after="0"/>
              <w:ind w:left="0" w:right="0" w:firstLine="20"/>
              <w:jc w:val="left"/>
              <w:rPr/>
            </w:pPr>
            <w:hyperlink w:anchor="P1I4">
              <w:r>
                <w:rPr>
                  <w:rStyle w:val="InternetLink"/>
                  <w:rFonts w:ascii="Times New Roman" w:hAnsi="Times New Roman"/>
                  <w:caps w:val="false"/>
                  <w:smallCaps w:val="false"/>
                  <w:sz w:val="20"/>
                  <w:u w:val="single"/>
                </w:rPr>
                <w:t>ITEM 4. INFORMATION ON THE COMPANY</w:t>
              </w:r>
            </w:hyperlink>
          </w:p>
        </w:tc>
        <w:tc>
          <w:tcPr>
            <w:tcW w:w="250" w:type="dxa"/>
            <w:tcBorders/>
            <w:vAlign w:val="center"/>
          </w:tcPr>
          <w:p>
            <w:pPr>
              <w:pStyle w:val="TableContents"/>
              <w:bidi w:val="0"/>
              <w:spacing w:before="0" w:after="0"/>
              <w:ind w:left="160" w:right="0" w:firstLine="20"/>
              <w:jc w:val="right"/>
              <w:rPr/>
            </w:pPr>
            <w:hyperlink w:anchor="P1I4">
              <w:r>
                <w:rPr>
                  <w:rStyle w:val="InternetLink"/>
                  <w:rFonts w:ascii="Times New Roman" w:hAnsi="Times New Roman"/>
                  <w:caps w:val="false"/>
                  <w:smallCaps w:val="false"/>
                  <w:sz w:val="20"/>
                </w:rPr>
                <w:t>38</w:t>
              </w:r>
            </w:hyperlink>
          </w:p>
        </w:tc>
      </w:tr>
      <w:tr>
        <w:trPr/>
        <w:tc>
          <w:tcPr>
            <w:tcW w:w="6895" w:type="dxa"/>
            <w:tcBorders/>
            <w:vAlign w:val="center"/>
          </w:tcPr>
          <w:p>
            <w:pPr>
              <w:pStyle w:val="TableContents"/>
              <w:bidi w:val="0"/>
              <w:spacing w:before="0" w:after="0"/>
              <w:ind w:left="0" w:right="0" w:firstLine="20"/>
              <w:jc w:val="left"/>
              <w:rPr/>
            </w:pPr>
            <w:hyperlink w:anchor="P1I4A">
              <w:r>
                <w:rPr>
                  <w:rStyle w:val="InternetLink"/>
                  <w:rFonts w:ascii="Times New Roman" w:hAnsi="Times New Roman"/>
                  <w:caps w:val="false"/>
                  <w:smallCaps w:val="false"/>
                  <w:sz w:val="20"/>
                  <w:u w:val="single"/>
                </w:rPr>
                <w:t>A. Corporate History</w:t>
              </w:r>
            </w:hyperlink>
          </w:p>
        </w:tc>
        <w:tc>
          <w:tcPr>
            <w:tcW w:w="250" w:type="dxa"/>
            <w:tcBorders/>
            <w:vAlign w:val="center"/>
          </w:tcPr>
          <w:p>
            <w:pPr>
              <w:pStyle w:val="TableContents"/>
              <w:bidi w:val="0"/>
              <w:spacing w:before="0" w:after="0"/>
              <w:ind w:left="160" w:right="0" w:firstLine="20"/>
              <w:jc w:val="right"/>
              <w:rPr/>
            </w:pPr>
            <w:hyperlink w:anchor="P1I4A">
              <w:r>
                <w:rPr>
                  <w:rStyle w:val="InternetLink"/>
                  <w:rFonts w:ascii="Times New Roman" w:hAnsi="Times New Roman"/>
                  <w:caps w:val="false"/>
                  <w:smallCaps w:val="false"/>
                  <w:sz w:val="20"/>
                </w:rPr>
                <w:t>38</w:t>
              </w:r>
            </w:hyperlink>
          </w:p>
        </w:tc>
      </w:tr>
      <w:tr>
        <w:trPr/>
        <w:tc>
          <w:tcPr>
            <w:tcW w:w="6895" w:type="dxa"/>
            <w:tcBorders/>
            <w:vAlign w:val="center"/>
          </w:tcPr>
          <w:p>
            <w:pPr>
              <w:pStyle w:val="TableContents"/>
              <w:bidi w:val="0"/>
              <w:spacing w:before="0" w:after="0"/>
              <w:ind w:left="0" w:right="0" w:firstLine="20"/>
              <w:jc w:val="left"/>
              <w:rPr/>
            </w:pPr>
            <w:hyperlink w:anchor="P1I4B">
              <w:r>
                <w:rPr>
                  <w:rStyle w:val="InternetLink"/>
                  <w:rFonts w:ascii="Times New Roman" w:hAnsi="Times New Roman"/>
                  <w:caps w:val="false"/>
                  <w:smallCaps w:val="false"/>
                  <w:sz w:val="20"/>
                  <w:u w:val="single"/>
                </w:rPr>
                <w:t>B. Business Overview</w:t>
              </w:r>
            </w:hyperlink>
          </w:p>
        </w:tc>
        <w:tc>
          <w:tcPr>
            <w:tcW w:w="250" w:type="dxa"/>
            <w:tcBorders/>
            <w:vAlign w:val="center"/>
          </w:tcPr>
          <w:p>
            <w:pPr>
              <w:pStyle w:val="TableContents"/>
              <w:bidi w:val="0"/>
              <w:spacing w:before="0" w:after="0"/>
              <w:ind w:left="160" w:right="0" w:firstLine="20"/>
              <w:jc w:val="right"/>
              <w:rPr/>
            </w:pPr>
            <w:hyperlink w:anchor="P1I4B">
              <w:r>
                <w:rPr>
                  <w:rStyle w:val="InternetLink"/>
                  <w:rFonts w:ascii="Times New Roman" w:hAnsi="Times New Roman"/>
                  <w:caps w:val="false"/>
                  <w:smallCaps w:val="false"/>
                  <w:sz w:val="20"/>
                </w:rPr>
                <w:t>39</w:t>
              </w:r>
            </w:hyperlink>
          </w:p>
        </w:tc>
      </w:tr>
      <w:tr>
        <w:trPr/>
        <w:tc>
          <w:tcPr>
            <w:tcW w:w="6895" w:type="dxa"/>
            <w:tcBorders/>
            <w:vAlign w:val="center"/>
          </w:tcPr>
          <w:p>
            <w:pPr>
              <w:pStyle w:val="TableContents"/>
              <w:bidi w:val="0"/>
              <w:spacing w:before="0" w:after="0"/>
              <w:ind w:left="0" w:right="0" w:firstLine="20"/>
              <w:jc w:val="left"/>
              <w:rPr/>
            </w:pPr>
            <w:hyperlink w:anchor="P1I4C">
              <w:r>
                <w:rPr>
                  <w:rStyle w:val="InternetLink"/>
                  <w:rFonts w:ascii="Times New Roman" w:hAnsi="Times New Roman"/>
                  <w:caps w:val="false"/>
                  <w:smallCaps w:val="false"/>
                  <w:sz w:val="20"/>
                  <w:u w:val="single"/>
                </w:rPr>
                <w:t>C. Organizational Structure Organizational Structure</w:t>
              </w:r>
            </w:hyperlink>
          </w:p>
        </w:tc>
        <w:tc>
          <w:tcPr>
            <w:tcW w:w="250" w:type="dxa"/>
            <w:tcBorders/>
            <w:vAlign w:val="center"/>
          </w:tcPr>
          <w:p>
            <w:pPr>
              <w:pStyle w:val="TableContents"/>
              <w:bidi w:val="0"/>
              <w:spacing w:before="0" w:after="0"/>
              <w:ind w:left="160" w:right="0" w:firstLine="20"/>
              <w:jc w:val="right"/>
              <w:rPr/>
            </w:pPr>
            <w:hyperlink w:anchor="P1I4C">
              <w:r>
                <w:rPr>
                  <w:rStyle w:val="InternetLink"/>
                  <w:rFonts w:ascii="Times New Roman" w:hAnsi="Times New Roman"/>
                  <w:caps w:val="false"/>
                  <w:smallCaps w:val="false"/>
                  <w:sz w:val="20"/>
                </w:rPr>
                <w:t>53</w:t>
              </w:r>
            </w:hyperlink>
          </w:p>
        </w:tc>
      </w:tr>
      <w:tr>
        <w:trPr/>
        <w:tc>
          <w:tcPr>
            <w:tcW w:w="6895" w:type="dxa"/>
            <w:tcBorders/>
            <w:vAlign w:val="center"/>
          </w:tcPr>
          <w:p>
            <w:pPr>
              <w:pStyle w:val="TableContents"/>
              <w:bidi w:val="0"/>
              <w:spacing w:before="0" w:after="0"/>
              <w:ind w:left="0" w:right="0" w:firstLine="20"/>
              <w:jc w:val="left"/>
              <w:rPr/>
            </w:pPr>
            <w:hyperlink w:anchor="P1I4D">
              <w:r>
                <w:rPr>
                  <w:rStyle w:val="InternetLink"/>
                  <w:rFonts w:ascii="Times New Roman" w:hAnsi="Times New Roman"/>
                  <w:caps w:val="false"/>
                  <w:smallCaps w:val="false"/>
                  <w:sz w:val="20"/>
                  <w:u w:val="single"/>
                </w:rPr>
                <w:t>D. Property, Plant and Equipment</w:t>
              </w:r>
            </w:hyperlink>
          </w:p>
        </w:tc>
        <w:tc>
          <w:tcPr>
            <w:tcW w:w="250" w:type="dxa"/>
            <w:tcBorders/>
            <w:vAlign w:val="center"/>
          </w:tcPr>
          <w:p>
            <w:pPr>
              <w:pStyle w:val="TableContents"/>
              <w:bidi w:val="0"/>
              <w:spacing w:before="0" w:after="0"/>
              <w:ind w:left="160" w:right="0" w:firstLine="20"/>
              <w:jc w:val="right"/>
              <w:rPr/>
            </w:pPr>
            <w:hyperlink w:anchor="P1I4D">
              <w:r>
                <w:rPr>
                  <w:rStyle w:val="InternetLink"/>
                  <w:rFonts w:ascii="Times New Roman" w:hAnsi="Times New Roman"/>
                  <w:caps w:val="false"/>
                  <w:smallCaps w:val="false"/>
                  <w:sz w:val="20"/>
                </w:rPr>
                <w:t>53</w:t>
              </w:r>
            </w:hyperlink>
          </w:p>
        </w:tc>
      </w:tr>
      <w:tr>
        <w:trPr/>
        <w:tc>
          <w:tcPr>
            <w:tcW w:w="6895" w:type="dxa"/>
            <w:tcBorders/>
            <w:vAlign w:val="center"/>
          </w:tcPr>
          <w:p>
            <w:pPr>
              <w:pStyle w:val="TableContents"/>
              <w:bidi w:val="0"/>
              <w:spacing w:before="0" w:after="0"/>
              <w:ind w:left="0" w:right="0" w:firstLine="20"/>
              <w:jc w:val="left"/>
              <w:rPr/>
            </w:pPr>
            <w:hyperlink w:anchor="Item_4A">
              <w:r>
                <w:rPr>
                  <w:rStyle w:val="InternetLink"/>
                  <w:rFonts w:ascii="Times New Roman" w:hAnsi="Times New Roman"/>
                  <w:caps w:val="false"/>
                  <w:smallCaps w:val="false"/>
                  <w:sz w:val="20"/>
                  <w:u w:val="single"/>
                </w:rPr>
                <w:t>ITEM 4A. UNRESOLVED STAFF COMMENTS</w:t>
              </w:r>
            </w:hyperlink>
          </w:p>
        </w:tc>
        <w:tc>
          <w:tcPr>
            <w:tcW w:w="250" w:type="dxa"/>
            <w:tcBorders/>
            <w:vAlign w:val="center"/>
          </w:tcPr>
          <w:p>
            <w:pPr>
              <w:pStyle w:val="TableContents"/>
              <w:bidi w:val="0"/>
              <w:spacing w:before="0" w:after="0"/>
              <w:ind w:left="160" w:right="0" w:firstLine="20"/>
              <w:jc w:val="right"/>
              <w:rPr/>
            </w:pPr>
            <w:hyperlink w:anchor="Item_4A">
              <w:r>
                <w:rPr>
                  <w:rStyle w:val="InternetLink"/>
                  <w:rFonts w:ascii="Times New Roman" w:hAnsi="Times New Roman"/>
                  <w:caps w:val="false"/>
                  <w:smallCaps w:val="false"/>
                  <w:sz w:val="20"/>
                </w:rPr>
                <w:t>54</w:t>
              </w:r>
            </w:hyperlink>
          </w:p>
        </w:tc>
      </w:tr>
      <w:tr>
        <w:trPr/>
        <w:tc>
          <w:tcPr>
            <w:tcW w:w="6895" w:type="dxa"/>
            <w:tcBorders/>
            <w:vAlign w:val="center"/>
          </w:tcPr>
          <w:p>
            <w:pPr>
              <w:pStyle w:val="TableContents"/>
              <w:bidi w:val="0"/>
              <w:spacing w:before="0" w:after="0"/>
              <w:ind w:left="0" w:right="0" w:firstLine="20"/>
              <w:jc w:val="left"/>
              <w:rPr/>
            </w:pPr>
            <w:hyperlink w:anchor="P1I5">
              <w:r>
                <w:rPr>
                  <w:rStyle w:val="InternetLink"/>
                  <w:rFonts w:ascii="Times New Roman" w:hAnsi="Times New Roman"/>
                  <w:caps w:val="false"/>
                  <w:smallCaps w:val="false"/>
                  <w:sz w:val="20"/>
                  <w:u w:val="single"/>
                </w:rPr>
                <w:t>ITEM 5. OPERATING AND FINANCIAL REVIEW AND PROSPECTS</w:t>
              </w:r>
            </w:hyperlink>
          </w:p>
        </w:tc>
        <w:tc>
          <w:tcPr>
            <w:tcW w:w="250" w:type="dxa"/>
            <w:tcBorders/>
            <w:vAlign w:val="center"/>
          </w:tcPr>
          <w:p>
            <w:pPr>
              <w:pStyle w:val="TableContents"/>
              <w:bidi w:val="0"/>
              <w:spacing w:before="0" w:after="0"/>
              <w:ind w:left="160" w:right="0" w:firstLine="20"/>
              <w:jc w:val="right"/>
              <w:rPr/>
            </w:pPr>
            <w:hyperlink w:anchor="P1I5">
              <w:r>
                <w:rPr>
                  <w:rStyle w:val="InternetLink"/>
                  <w:rFonts w:ascii="Times New Roman" w:hAnsi="Times New Roman"/>
                  <w:caps w:val="false"/>
                  <w:smallCaps w:val="false"/>
                  <w:sz w:val="20"/>
                </w:rPr>
                <w:t>54</w:t>
              </w:r>
            </w:hyperlink>
          </w:p>
        </w:tc>
      </w:tr>
      <w:tr>
        <w:trPr/>
        <w:tc>
          <w:tcPr>
            <w:tcW w:w="6895" w:type="dxa"/>
            <w:tcBorders/>
            <w:vAlign w:val="center"/>
          </w:tcPr>
          <w:p>
            <w:pPr>
              <w:pStyle w:val="TableContents"/>
              <w:bidi w:val="0"/>
              <w:spacing w:before="0" w:after="0"/>
              <w:ind w:left="0" w:right="0" w:firstLine="20"/>
              <w:jc w:val="left"/>
              <w:rPr/>
            </w:pPr>
            <w:hyperlink w:anchor="P1I5A">
              <w:r>
                <w:rPr>
                  <w:rStyle w:val="InternetLink"/>
                  <w:rFonts w:ascii="Times New Roman" w:hAnsi="Times New Roman"/>
                  <w:caps w:val="false"/>
                  <w:smallCaps w:val="false"/>
                  <w:sz w:val="20"/>
                  <w:u w:val="single"/>
                </w:rPr>
                <w:t>A. Operating Results</w:t>
              </w:r>
            </w:hyperlink>
          </w:p>
        </w:tc>
        <w:tc>
          <w:tcPr>
            <w:tcW w:w="250" w:type="dxa"/>
            <w:tcBorders/>
            <w:vAlign w:val="center"/>
          </w:tcPr>
          <w:p>
            <w:pPr>
              <w:pStyle w:val="TableContents"/>
              <w:bidi w:val="0"/>
              <w:spacing w:before="0" w:after="0"/>
              <w:ind w:left="160" w:right="0" w:firstLine="20"/>
              <w:jc w:val="right"/>
              <w:rPr/>
            </w:pPr>
            <w:hyperlink w:anchor="P1I5A">
              <w:r>
                <w:rPr>
                  <w:rStyle w:val="InternetLink"/>
                  <w:rFonts w:ascii="Times New Roman" w:hAnsi="Times New Roman"/>
                  <w:caps w:val="false"/>
                  <w:smallCaps w:val="false"/>
                  <w:sz w:val="20"/>
                </w:rPr>
                <w:t>59</w:t>
              </w:r>
            </w:hyperlink>
          </w:p>
        </w:tc>
      </w:tr>
      <w:tr>
        <w:trPr/>
        <w:tc>
          <w:tcPr>
            <w:tcW w:w="6895" w:type="dxa"/>
            <w:tcBorders/>
            <w:vAlign w:val="center"/>
          </w:tcPr>
          <w:p>
            <w:pPr>
              <w:pStyle w:val="TableContents"/>
              <w:bidi w:val="0"/>
              <w:spacing w:before="0" w:after="0"/>
              <w:ind w:left="0" w:right="0" w:firstLine="20"/>
              <w:jc w:val="left"/>
              <w:rPr/>
            </w:pPr>
            <w:hyperlink w:anchor="P1I5B">
              <w:r>
                <w:rPr>
                  <w:rStyle w:val="InternetLink"/>
                  <w:rFonts w:ascii="Times New Roman" w:hAnsi="Times New Roman"/>
                  <w:caps w:val="false"/>
                  <w:smallCaps w:val="false"/>
                  <w:sz w:val="20"/>
                  <w:u w:val="single"/>
                </w:rPr>
                <w:t>B. Liquidity and Capital Resources</w:t>
              </w:r>
            </w:hyperlink>
          </w:p>
        </w:tc>
        <w:tc>
          <w:tcPr>
            <w:tcW w:w="250" w:type="dxa"/>
            <w:tcBorders/>
            <w:vAlign w:val="center"/>
          </w:tcPr>
          <w:p>
            <w:pPr>
              <w:pStyle w:val="TableContents"/>
              <w:bidi w:val="0"/>
              <w:spacing w:before="0" w:after="0"/>
              <w:ind w:left="160" w:right="0" w:firstLine="20"/>
              <w:jc w:val="right"/>
              <w:rPr/>
            </w:pPr>
            <w:hyperlink w:anchor="P1I5B">
              <w:r>
                <w:rPr>
                  <w:rStyle w:val="InternetLink"/>
                  <w:rFonts w:ascii="Times New Roman" w:hAnsi="Times New Roman"/>
                  <w:caps w:val="false"/>
                  <w:smallCaps w:val="false"/>
                  <w:sz w:val="20"/>
                </w:rPr>
                <w:t>61</w:t>
              </w:r>
            </w:hyperlink>
          </w:p>
        </w:tc>
      </w:tr>
      <w:tr>
        <w:trPr/>
        <w:tc>
          <w:tcPr>
            <w:tcW w:w="6895" w:type="dxa"/>
            <w:tcBorders/>
            <w:vAlign w:val="center"/>
          </w:tcPr>
          <w:p>
            <w:pPr>
              <w:pStyle w:val="TableContents"/>
              <w:bidi w:val="0"/>
              <w:spacing w:before="0" w:after="0"/>
              <w:ind w:left="0" w:right="0" w:firstLine="20"/>
              <w:jc w:val="left"/>
              <w:rPr/>
            </w:pPr>
            <w:hyperlink w:anchor="P1I5C">
              <w:r>
                <w:rPr>
                  <w:rStyle w:val="InternetLink"/>
                  <w:rFonts w:ascii="Times New Roman" w:hAnsi="Times New Roman"/>
                  <w:caps w:val="false"/>
                  <w:smallCaps w:val="false"/>
                  <w:sz w:val="20"/>
                  <w:u w:val="single"/>
                </w:rPr>
                <w:t>C. Research and Development, Patents and Licenses</w:t>
              </w:r>
            </w:hyperlink>
          </w:p>
        </w:tc>
        <w:tc>
          <w:tcPr>
            <w:tcW w:w="250" w:type="dxa"/>
            <w:tcBorders/>
            <w:vAlign w:val="center"/>
          </w:tcPr>
          <w:p>
            <w:pPr>
              <w:pStyle w:val="TableContents"/>
              <w:bidi w:val="0"/>
              <w:spacing w:before="0" w:after="0"/>
              <w:ind w:left="160" w:right="0" w:firstLine="20"/>
              <w:jc w:val="right"/>
              <w:rPr/>
            </w:pPr>
            <w:hyperlink w:anchor="P1I5C">
              <w:r>
                <w:rPr>
                  <w:rStyle w:val="InternetLink"/>
                  <w:rFonts w:ascii="Times New Roman" w:hAnsi="Times New Roman"/>
                  <w:caps w:val="false"/>
                  <w:smallCaps w:val="false"/>
                  <w:sz w:val="20"/>
                </w:rPr>
                <w:t>63</w:t>
              </w:r>
            </w:hyperlink>
          </w:p>
        </w:tc>
      </w:tr>
      <w:tr>
        <w:trPr/>
        <w:tc>
          <w:tcPr>
            <w:tcW w:w="6895" w:type="dxa"/>
            <w:tcBorders/>
            <w:vAlign w:val="center"/>
          </w:tcPr>
          <w:p>
            <w:pPr>
              <w:pStyle w:val="TableContents"/>
              <w:bidi w:val="0"/>
              <w:spacing w:before="0" w:after="0"/>
              <w:ind w:left="0" w:right="0" w:firstLine="20"/>
              <w:jc w:val="left"/>
              <w:rPr/>
            </w:pPr>
            <w:hyperlink w:anchor="P1I5D">
              <w:r>
                <w:rPr>
                  <w:rStyle w:val="InternetLink"/>
                  <w:rFonts w:ascii="Times New Roman" w:hAnsi="Times New Roman"/>
                  <w:caps w:val="false"/>
                  <w:smallCaps w:val="false"/>
                  <w:sz w:val="20"/>
                  <w:u w:val="single"/>
                </w:rPr>
                <w:t>D. Trend Information</w:t>
              </w:r>
            </w:hyperlink>
          </w:p>
        </w:tc>
        <w:tc>
          <w:tcPr>
            <w:tcW w:w="250" w:type="dxa"/>
            <w:tcBorders/>
            <w:vAlign w:val="center"/>
          </w:tcPr>
          <w:p>
            <w:pPr>
              <w:pStyle w:val="TableContents"/>
              <w:bidi w:val="0"/>
              <w:spacing w:before="0" w:after="0"/>
              <w:ind w:left="160" w:right="0" w:firstLine="20"/>
              <w:jc w:val="right"/>
              <w:rPr/>
            </w:pPr>
            <w:hyperlink w:anchor="P1I5D">
              <w:r>
                <w:rPr>
                  <w:rStyle w:val="InternetLink"/>
                  <w:rFonts w:ascii="Times New Roman" w:hAnsi="Times New Roman"/>
                  <w:caps w:val="false"/>
                  <w:smallCaps w:val="false"/>
                  <w:sz w:val="20"/>
                </w:rPr>
                <w:t>63</w:t>
              </w:r>
            </w:hyperlink>
          </w:p>
        </w:tc>
      </w:tr>
      <w:tr>
        <w:trPr/>
        <w:tc>
          <w:tcPr>
            <w:tcW w:w="6895" w:type="dxa"/>
            <w:tcBorders/>
            <w:vAlign w:val="center"/>
          </w:tcPr>
          <w:p>
            <w:pPr>
              <w:pStyle w:val="TableContents"/>
              <w:bidi w:val="0"/>
              <w:spacing w:before="0" w:after="0"/>
              <w:ind w:left="0" w:right="0" w:firstLine="20"/>
              <w:jc w:val="left"/>
              <w:rPr/>
            </w:pPr>
            <w:hyperlink w:anchor="P1I5E">
              <w:r>
                <w:rPr>
                  <w:rStyle w:val="InternetLink"/>
                  <w:rFonts w:ascii="Times New Roman" w:hAnsi="Times New Roman"/>
                  <w:caps w:val="false"/>
                  <w:smallCaps w:val="false"/>
                  <w:sz w:val="20"/>
                  <w:u w:val="single"/>
                </w:rPr>
                <w:t>E. Critical Accounting Estimates</w:t>
              </w:r>
            </w:hyperlink>
          </w:p>
        </w:tc>
        <w:tc>
          <w:tcPr>
            <w:tcW w:w="250" w:type="dxa"/>
            <w:tcBorders/>
            <w:vAlign w:val="center"/>
          </w:tcPr>
          <w:p>
            <w:pPr>
              <w:pStyle w:val="TableContents"/>
              <w:bidi w:val="0"/>
              <w:spacing w:before="0" w:after="0"/>
              <w:ind w:left="160" w:right="0" w:firstLine="20"/>
              <w:jc w:val="right"/>
              <w:rPr/>
            </w:pPr>
            <w:hyperlink w:anchor="P1I5E">
              <w:r>
                <w:rPr>
                  <w:rStyle w:val="InternetLink"/>
                  <w:rFonts w:ascii="Times New Roman" w:hAnsi="Times New Roman"/>
                  <w:caps w:val="false"/>
                  <w:smallCaps w:val="false"/>
                  <w:sz w:val="20"/>
                </w:rPr>
                <w:t>63</w:t>
              </w:r>
            </w:hyperlink>
          </w:p>
        </w:tc>
      </w:tr>
      <w:tr>
        <w:trPr/>
        <w:tc>
          <w:tcPr>
            <w:tcW w:w="6895" w:type="dxa"/>
            <w:tcBorders/>
            <w:vAlign w:val="center"/>
          </w:tcPr>
          <w:p>
            <w:pPr>
              <w:pStyle w:val="TableContents"/>
              <w:bidi w:val="0"/>
              <w:spacing w:before="0" w:after="0"/>
              <w:ind w:left="0" w:right="0" w:firstLine="20"/>
              <w:jc w:val="left"/>
              <w:rPr/>
            </w:pPr>
            <w:hyperlink w:anchor="P1I6">
              <w:r>
                <w:rPr>
                  <w:rStyle w:val="InternetLink"/>
                  <w:rFonts w:ascii="Times New Roman" w:hAnsi="Times New Roman"/>
                  <w:caps w:val="false"/>
                  <w:smallCaps w:val="false"/>
                  <w:sz w:val="20"/>
                  <w:u w:val="single"/>
                </w:rPr>
                <w:t>ITEM 6. DIRECTORS, SENIOR MANAGEMENT AND EMPLOYEES</w:t>
              </w:r>
            </w:hyperlink>
          </w:p>
        </w:tc>
        <w:tc>
          <w:tcPr>
            <w:tcW w:w="250" w:type="dxa"/>
            <w:tcBorders/>
            <w:vAlign w:val="center"/>
          </w:tcPr>
          <w:p>
            <w:pPr>
              <w:pStyle w:val="TableContents"/>
              <w:bidi w:val="0"/>
              <w:spacing w:before="0" w:after="0"/>
              <w:ind w:left="160" w:right="0" w:firstLine="20"/>
              <w:jc w:val="right"/>
              <w:rPr/>
            </w:pPr>
            <w:hyperlink w:anchor="P1I6">
              <w:r>
                <w:rPr>
                  <w:rStyle w:val="InternetLink"/>
                  <w:rFonts w:ascii="Times New Roman" w:hAnsi="Times New Roman"/>
                  <w:caps w:val="false"/>
                  <w:smallCaps w:val="false"/>
                  <w:sz w:val="20"/>
                </w:rPr>
                <w:t>63</w:t>
              </w:r>
            </w:hyperlink>
          </w:p>
        </w:tc>
      </w:tr>
      <w:tr>
        <w:trPr/>
        <w:tc>
          <w:tcPr>
            <w:tcW w:w="6895" w:type="dxa"/>
            <w:tcBorders/>
            <w:vAlign w:val="center"/>
          </w:tcPr>
          <w:p>
            <w:pPr>
              <w:pStyle w:val="TableContents"/>
              <w:bidi w:val="0"/>
              <w:spacing w:before="0" w:after="0"/>
              <w:ind w:left="0" w:right="0" w:firstLine="20"/>
              <w:jc w:val="left"/>
              <w:rPr/>
            </w:pPr>
            <w:hyperlink w:anchor="P1I6A">
              <w:r>
                <w:rPr>
                  <w:rStyle w:val="InternetLink"/>
                  <w:rFonts w:ascii="Times New Roman" w:hAnsi="Times New Roman"/>
                  <w:caps w:val="false"/>
                  <w:smallCaps w:val="false"/>
                  <w:sz w:val="20"/>
                  <w:u w:val="single"/>
                </w:rPr>
                <w:t>A. Directors and Senior Management</w:t>
              </w:r>
            </w:hyperlink>
          </w:p>
        </w:tc>
        <w:tc>
          <w:tcPr>
            <w:tcW w:w="250" w:type="dxa"/>
            <w:tcBorders/>
            <w:vAlign w:val="center"/>
          </w:tcPr>
          <w:p>
            <w:pPr>
              <w:pStyle w:val="TableContents"/>
              <w:bidi w:val="0"/>
              <w:spacing w:before="0" w:after="0"/>
              <w:ind w:left="160" w:right="0" w:firstLine="20"/>
              <w:jc w:val="right"/>
              <w:rPr/>
            </w:pPr>
            <w:hyperlink w:anchor="P1I6A">
              <w:r>
                <w:rPr>
                  <w:rStyle w:val="InternetLink"/>
                  <w:rFonts w:ascii="Times New Roman" w:hAnsi="Times New Roman"/>
                  <w:caps w:val="false"/>
                  <w:smallCaps w:val="false"/>
                  <w:sz w:val="20"/>
                </w:rPr>
                <w:t>63</w:t>
              </w:r>
            </w:hyperlink>
          </w:p>
        </w:tc>
      </w:tr>
      <w:tr>
        <w:trPr/>
        <w:tc>
          <w:tcPr>
            <w:tcW w:w="6895" w:type="dxa"/>
            <w:tcBorders/>
            <w:vAlign w:val="center"/>
          </w:tcPr>
          <w:p>
            <w:pPr>
              <w:pStyle w:val="TableContents"/>
              <w:bidi w:val="0"/>
              <w:spacing w:before="0" w:after="0"/>
              <w:ind w:left="0" w:right="0" w:firstLine="20"/>
              <w:jc w:val="left"/>
              <w:rPr/>
            </w:pPr>
            <w:hyperlink w:anchor="P1I6B">
              <w:r>
                <w:rPr>
                  <w:rStyle w:val="InternetLink"/>
                  <w:rFonts w:ascii="Times New Roman" w:hAnsi="Times New Roman"/>
                  <w:caps w:val="false"/>
                  <w:smallCaps w:val="false"/>
                  <w:sz w:val="20"/>
                  <w:u w:val="single"/>
                </w:rPr>
                <w:t>B. Compensation</w:t>
              </w:r>
            </w:hyperlink>
          </w:p>
        </w:tc>
        <w:tc>
          <w:tcPr>
            <w:tcW w:w="250" w:type="dxa"/>
            <w:tcBorders/>
            <w:vAlign w:val="center"/>
          </w:tcPr>
          <w:p>
            <w:pPr>
              <w:pStyle w:val="TableContents"/>
              <w:bidi w:val="0"/>
              <w:spacing w:before="0" w:after="0"/>
              <w:ind w:left="160" w:right="0" w:firstLine="20"/>
              <w:jc w:val="right"/>
              <w:rPr/>
            </w:pPr>
            <w:hyperlink w:anchor="P1I6B">
              <w:r>
                <w:rPr>
                  <w:rStyle w:val="InternetLink"/>
                  <w:rFonts w:ascii="Times New Roman" w:hAnsi="Times New Roman"/>
                  <w:caps w:val="false"/>
                  <w:smallCaps w:val="false"/>
                  <w:sz w:val="20"/>
                </w:rPr>
                <w:t>67</w:t>
              </w:r>
            </w:hyperlink>
          </w:p>
        </w:tc>
      </w:tr>
      <w:tr>
        <w:trPr/>
        <w:tc>
          <w:tcPr>
            <w:tcW w:w="6895" w:type="dxa"/>
            <w:tcBorders/>
            <w:vAlign w:val="center"/>
          </w:tcPr>
          <w:p>
            <w:pPr>
              <w:pStyle w:val="TableContents"/>
              <w:bidi w:val="0"/>
              <w:spacing w:before="0" w:after="0"/>
              <w:ind w:left="0" w:right="0" w:firstLine="20"/>
              <w:jc w:val="left"/>
              <w:rPr/>
            </w:pPr>
            <w:hyperlink w:anchor="P1I6C">
              <w:r>
                <w:rPr>
                  <w:rStyle w:val="InternetLink"/>
                  <w:rFonts w:ascii="Times New Roman" w:hAnsi="Times New Roman"/>
                  <w:caps w:val="false"/>
                  <w:smallCaps w:val="false"/>
                  <w:sz w:val="20"/>
                  <w:u w:val="single"/>
                </w:rPr>
                <w:t>C. Board Practices</w:t>
              </w:r>
            </w:hyperlink>
          </w:p>
        </w:tc>
        <w:tc>
          <w:tcPr>
            <w:tcW w:w="250" w:type="dxa"/>
            <w:tcBorders/>
            <w:vAlign w:val="center"/>
          </w:tcPr>
          <w:p>
            <w:pPr>
              <w:pStyle w:val="TableContents"/>
              <w:bidi w:val="0"/>
              <w:spacing w:before="0" w:after="0"/>
              <w:ind w:left="160" w:right="0" w:firstLine="20"/>
              <w:jc w:val="right"/>
              <w:rPr/>
            </w:pPr>
            <w:hyperlink w:anchor="P1I6C">
              <w:r>
                <w:rPr>
                  <w:rStyle w:val="InternetLink"/>
                  <w:rFonts w:ascii="Times New Roman" w:hAnsi="Times New Roman"/>
                  <w:caps w:val="false"/>
                  <w:smallCaps w:val="false"/>
                  <w:sz w:val="20"/>
                </w:rPr>
                <w:t>72</w:t>
              </w:r>
            </w:hyperlink>
          </w:p>
        </w:tc>
      </w:tr>
      <w:tr>
        <w:trPr/>
        <w:tc>
          <w:tcPr>
            <w:tcW w:w="6895" w:type="dxa"/>
            <w:tcBorders/>
            <w:vAlign w:val="center"/>
          </w:tcPr>
          <w:p>
            <w:pPr>
              <w:pStyle w:val="TableContents"/>
              <w:bidi w:val="0"/>
              <w:spacing w:before="0" w:after="0"/>
              <w:ind w:left="0" w:right="0" w:firstLine="20"/>
              <w:jc w:val="left"/>
              <w:rPr/>
            </w:pPr>
            <w:hyperlink w:anchor="P1I6D">
              <w:r>
                <w:rPr>
                  <w:rStyle w:val="InternetLink"/>
                  <w:rFonts w:ascii="Times New Roman" w:hAnsi="Times New Roman"/>
                  <w:caps w:val="false"/>
                  <w:smallCaps w:val="false"/>
                  <w:sz w:val="20"/>
                  <w:u w:val="single"/>
                </w:rPr>
                <w:t>D. Employees</w:t>
              </w:r>
            </w:hyperlink>
          </w:p>
        </w:tc>
        <w:tc>
          <w:tcPr>
            <w:tcW w:w="250" w:type="dxa"/>
            <w:tcBorders/>
            <w:vAlign w:val="center"/>
          </w:tcPr>
          <w:p>
            <w:pPr>
              <w:pStyle w:val="TableContents"/>
              <w:bidi w:val="0"/>
              <w:spacing w:before="0" w:after="0"/>
              <w:ind w:left="160" w:right="0" w:firstLine="20"/>
              <w:jc w:val="right"/>
              <w:rPr/>
            </w:pPr>
            <w:hyperlink w:anchor="P1I6D">
              <w:r>
                <w:rPr>
                  <w:rStyle w:val="InternetLink"/>
                  <w:rFonts w:ascii="Times New Roman" w:hAnsi="Times New Roman"/>
                  <w:caps w:val="false"/>
                  <w:smallCaps w:val="false"/>
                  <w:sz w:val="20"/>
                </w:rPr>
                <w:t>73</w:t>
              </w:r>
            </w:hyperlink>
          </w:p>
        </w:tc>
      </w:tr>
      <w:tr>
        <w:trPr/>
        <w:tc>
          <w:tcPr>
            <w:tcW w:w="6895" w:type="dxa"/>
            <w:tcBorders/>
            <w:vAlign w:val="center"/>
          </w:tcPr>
          <w:p>
            <w:pPr>
              <w:pStyle w:val="TableContents"/>
              <w:bidi w:val="0"/>
              <w:spacing w:before="0" w:after="0"/>
              <w:ind w:left="0" w:right="0" w:firstLine="20"/>
              <w:jc w:val="left"/>
              <w:rPr/>
            </w:pPr>
            <w:hyperlink w:anchor="P1I6E">
              <w:r>
                <w:rPr>
                  <w:rStyle w:val="InternetLink"/>
                  <w:rFonts w:ascii="Times New Roman" w:hAnsi="Times New Roman"/>
                  <w:caps w:val="false"/>
                  <w:smallCaps w:val="false"/>
                  <w:sz w:val="20"/>
                  <w:u w:val="single"/>
                </w:rPr>
                <w:t>E. Share Ownership</w:t>
              </w:r>
            </w:hyperlink>
          </w:p>
        </w:tc>
        <w:tc>
          <w:tcPr>
            <w:tcW w:w="250" w:type="dxa"/>
            <w:tcBorders/>
            <w:vAlign w:val="center"/>
          </w:tcPr>
          <w:p>
            <w:pPr>
              <w:pStyle w:val="TableContents"/>
              <w:bidi w:val="0"/>
              <w:spacing w:before="0" w:after="0"/>
              <w:ind w:left="160" w:right="0" w:firstLine="20"/>
              <w:jc w:val="right"/>
              <w:rPr/>
            </w:pPr>
            <w:hyperlink w:anchor="P1I6E">
              <w:r>
                <w:rPr>
                  <w:rStyle w:val="InternetLink"/>
                  <w:rFonts w:ascii="Times New Roman" w:hAnsi="Times New Roman"/>
                  <w:caps w:val="false"/>
                  <w:smallCaps w:val="false"/>
                  <w:sz w:val="20"/>
                </w:rPr>
                <w:t>73</w:t>
              </w:r>
            </w:hyperlink>
          </w:p>
        </w:tc>
      </w:tr>
      <w:tr>
        <w:trPr/>
        <w:tc>
          <w:tcPr>
            <w:tcW w:w="6895" w:type="dxa"/>
            <w:tcBorders/>
            <w:vAlign w:val="center"/>
          </w:tcPr>
          <w:p>
            <w:pPr>
              <w:pStyle w:val="TableContents"/>
              <w:bidi w:val="0"/>
              <w:spacing w:before="0" w:after="0"/>
              <w:ind w:left="0" w:right="0" w:firstLine="20"/>
              <w:jc w:val="left"/>
              <w:rPr/>
            </w:pPr>
            <w:hyperlink w:anchor="P1I7">
              <w:r>
                <w:rPr>
                  <w:rStyle w:val="InternetLink"/>
                  <w:rFonts w:ascii="Times New Roman" w:hAnsi="Times New Roman"/>
                  <w:caps w:val="false"/>
                  <w:smallCaps w:val="false"/>
                  <w:sz w:val="20"/>
                  <w:u w:val="single"/>
                </w:rPr>
                <w:t>ITEM 7. MAJOR SHAREHOLDERS AND RELATED PARTY TRANSACTIONS</w:t>
              </w:r>
            </w:hyperlink>
          </w:p>
        </w:tc>
        <w:tc>
          <w:tcPr>
            <w:tcW w:w="250" w:type="dxa"/>
            <w:tcBorders/>
            <w:vAlign w:val="center"/>
          </w:tcPr>
          <w:p>
            <w:pPr>
              <w:pStyle w:val="TableContents"/>
              <w:bidi w:val="0"/>
              <w:spacing w:before="0" w:after="0"/>
              <w:ind w:left="160" w:right="0" w:firstLine="20"/>
              <w:jc w:val="right"/>
              <w:rPr/>
            </w:pPr>
            <w:hyperlink w:anchor="P1I7">
              <w:r>
                <w:rPr>
                  <w:rStyle w:val="InternetLink"/>
                  <w:rFonts w:ascii="Times New Roman" w:hAnsi="Times New Roman"/>
                  <w:caps w:val="false"/>
                  <w:smallCaps w:val="false"/>
                  <w:sz w:val="20"/>
                </w:rPr>
                <w:t>73</w:t>
              </w:r>
            </w:hyperlink>
          </w:p>
        </w:tc>
      </w:tr>
      <w:tr>
        <w:trPr/>
        <w:tc>
          <w:tcPr>
            <w:tcW w:w="6895" w:type="dxa"/>
            <w:tcBorders/>
            <w:vAlign w:val="center"/>
          </w:tcPr>
          <w:p>
            <w:pPr>
              <w:pStyle w:val="TableContents"/>
              <w:bidi w:val="0"/>
              <w:spacing w:before="0" w:after="0"/>
              <w:ind w:left="0" w:right="0" w:firstLine="20"/>
              <w:jc w:val="left"/>
              <w:rPr/>
            </w:pPr>
            <w:hyperlink w:anchor="P1I7A">
              <w:r>
                <w:rPr>
                  <w:rStyle w:val="InternetLink"/>
                  <w:rFonts w:ascii="Times New Roman" w:hAnsi="Times New Roman"/>
                  <w:caps w:val="false"/>
                  <w:smallCaps w:val="false"/>
                  <w:sz w:val="20"/>
                  <w:u w:val="single"/>
                </w:rPr>
                <w:t>A. Major Shareholders</w:t>
              </w:r>
            </w:hyperlink>
          </w:p>
        </w:tc>
        <w:tc>
          <w:tcPr>
            <w:tcW w:w="250" w:type="dxa"/>
            <w:tcBorders/>
            <w:vAlign w:val="center"/>
          </w:tcPr>
          <w:p>
            <w:pPr>
              <w:pStyle w:val="TableContents"/>
              <w:bidi w:val="0"/>
              <w:spacing w:before="0" w:after="0"/>
              <w:ind w:left="160" w:right="0" w:firstLine="20"/>
              <w:jc w:val="right"/>
              <w:rPr/>
            </w:pPr>
            <w:hyperlink w:anchor="P1I7A">
              <w:r>
                <w:rPr>
                  <w:rStyle w:val="InternetLink"/>
                  <w:rFonts w:ascii="Times New Roman" w:hAnsi="Times New Roman"/>
                  <w:caps w:val="false"/>
                  <w:smallCaps w:val="false"/>
                  <w:sz w:val="20"/>
                </w:rPr>
                <w:t>73</w:t>
              </w:r>
            </w:hyperlink>
          </w:p>
        </w:tc>
      </w:tr>
      <w:tr>
        <w:trPr/>
        <w:tc>
          <w:tcPr>
            <w:tcW w:w="6895" w:type="dxa"/>
            <w:tcBorders/>
            <w:vAlign w:val="center"/>
          </w:tcPr>
          <w:p>
            <w:pPr>
              <w:pStyle w:val="TableContents"/>
              <w:bidi w:val="0"/>
              <w:spacing w:before="0" w:after="0"/>
              <w:ind w:left="0" w:right="0" w:firstLine="20"/>
              <w:jc w:val="left"/>
              <w:rPr/>
            </w:pPr>
            <w:hyperlink w:anchor="P1I7B">
              <w:r>
                <w:rPr>
                  <w:rStyle w:val="InternetLink"/>
                  <w:rFonts w:ascii="Times New Roman" w:hAnsi="Times New Roman"/>
                  <w:caps w:val="false"/>
                  <w:smallCaps w:val="false"/>
                  <w:sz w:val="20"/>
                  <w:u w:val="single"/>
                </w:rPr>
                <w:t>B. Related Party Transactions</w:t>
              </w:r>
            </w:hyperlink>
          </w:p>
        </w:tc>
        <w:tc>
          <w:tcPr>
            <w:tcW w:w="250" w:type="dxa"/>
            <w:tcBorders/>
            <w:vAlign w:val="center"/>
          </w:tcPr>
          <w:p>
            <w:pPr>
              <w:pStyle w:val="TableContents"/>
              <w:bidi w:val="0"/>
              <w:spacing w:before="0" w:after="0"/>
              <w:ind w:left="160" w:right="0" w:firstLine="20"/>
              <w:jc w:val="right"/>
              <w:rPr/>
            </w:pPr>
            <w:hyperlink w:anchor="P1I7B">
              <w:r>
                <w:rPr>
                  <w:rStyle w:val="InternetLink"/>
                  <w:rFonts w:ascii="Times New Roman" w:hAnsi="Times New Roman"/>
                  <w:caps w:val="false"/>
                  <w:smallCaps w:val="false"/>
                  <w:sz w:val="20"/>
                </w:rPr>
                <w:t>75</w:t>
              </w:r>
            </w:hyperlink>
          </w:p>
        </w:tc>
      </w:tr>
      <w:tr>
        <w:trPr/>
        <w:tc>
          <w:tcPr>
            <w:tcW w:w="6895" w:type="dxa"/>
            <w:tcBorders/>
            <w:vAlign w:val="center"/>
          </w:tcPr>
          <w:p>
            <w:pPr>
              <w:pStyle w:val="TableContents"/>
              <w:bidi w:val="0"/>
              <w:spacing w:before="0" w:after="0"/>
              <w:ind w:left="0" w:right="0" w:firstLine="20"/>
              <w:jc w:val="left"/>
              <w:rPr/>
            </w:pPr>
            <w:hyperlink w:anchor="P1I7C">
              <w:r>
                <w:rPr>
                  <w:rStyle w:val="InternetLink"/>
                  <w:rFonts w:ascii="Times New Roman" w:hAnsi="Times New Roman"/>
                  <w:caps w:val="false"/>
                  <w:smallCaps w:val="false"/>
                  <w:sz w:val="20"/>
                  <w:u w:val="single"/>
                </w:rPr>
                <w:t>C. Interests of Experts and Counsel</w:t>
              </w:r>
            </w:hyperlink>
          </w:p>
        </w:tc>
        <w:tc>
          <w:tcPr>
            <w:tcW w:w="250" w:type="dxa"/>
            <w:tcBorders/>
            <w:vAlign w:val="center"/>
          </w:tcPr>
          <w:p>
            <w:pPr>
              <w:pStyle w:val="TableContents"/>
              <w:bidi w:val="0"/>
              <w:spacing w:before="0" w:after="0"/>
              <w:ind w:left="160" w:right="0" w:firstLine="20"/>
              <w:jc w:val="right"/>
              <w:rPr/>
            </w:pPr>
            <w:hyperlink w:anchor="P1I7C">
              <w:r>
                <w:rPr>
                  <w:rStyle w:val="InternetLink"/>
                  <w:rFonts w:ascii="Times New Roman" w:hAnsi="Times New Roman"/>
                  <w:caps w:val="false"/>
                  <w:smallCaps w:val="false"/>
                  <w:sz w:val="20"/>
                </w:rPr>
                <w:t>76</w:t>
              </w:r>
            </w:hyperlink>
          </w:p>
        </w:tc>
      </w:tr>
      <w:tr>
        <w:trPr/>
        <w:tc>
          <w:tcPr>
            <w:tcW w:w="6895" w:type="dxa"/>
            <w:tcBorders/>
            <w:vAlign w:val="center"/>
          </w:tcPr>
          <w:p>
            <w:pPr>
              <w:pStyle w:val="TableContents"/>
              <w:bidi w:val="0"/>
              <w:spacing w:before="0" w:after="0"/>
              <w:ind w:left="0" w:right="0" w:firstLine="20"/>
              <w:jc w:val="left"/>
              <w:rPr/>
            </w:pPr>
            <w:hyperlink w:anchor="P1I8">
              <w:r>
                <w:rPr>
                  <w:rStyle w:val="InternetLink"/>
                  <w:rFonts w:ascii="Times New Roman" w:hAnsi="Times New Roman"/>
                  <w:caps w:val="false"/>
                  <w:smallCaps w:val="false"/>
                  <w:sz w:val="20"/>
                  <w:u w:val="single"/>
                </w:rPr>
                <w:t>ITEM 8. FINANCIAL INFORMATION.</w:t>
              </w:r>
            </w:hyperlink>
          </w:p>
        </w:tc>
        <w:tc>
          <w:tcPr>
            <w:tcW w:w="250" w:type="dxa"/>
            <w:tcBorders/>
            <w:vAlign w:val="center"/>
          </w:tcPr>
          <w:p>
            <w:pPr>
              <w:pStyle w:val="TableContents"/>
              <w:bidi w:val="0"/>
              <w:spacing w:before="0" w:after="0"/>
              <w:ind w:left="160" w:right="0" w:firstLine="20"/>
              <w:jc w:val="right"/>
              <w:rPr/>
            </w:pPr>
            <w:hyperlink w:anchor="P1I8">
              <w:r>
                <w:rPr>
                  <w:rStyle w:val="InternetLink"/>
                  <w:rFonts w:ascii="Times New Roman" w:hAnsi="Times New Roman"/>
                  <w:caps w:val="false"/>
                  <w:smallCaps w:val="false"/>
                  <w:sz w:val="20"/>
                </w:rPr>
                <w:t>76</w:t>
              </w:r>
            </w:hyperlink>
          </w:p>
        </w:tc>
      </w:tr>
      <w:tr>
        <w:trPr/>
        <w:tc>
          <w:tcPr>
            <w:tcW w:w="6895" w:type="dxa"/>
            <w:tcBorders/>
            <w:vAlign w:val="center"/>
          </w:tcPr>
          <w:p>
            <w:pPr>
              <w:pStyle w:val="TableContents"/>
              <w:bidi w:val="0"/>
              <w:spacing w:before="0" w:after="0"/>
              <w:ind w:left="0" w:right="0" w:firstLine="20"/>
              <w:jc w:val="left"/>
              <w:rPr/>
            </w:pPr>
            <w:hyperlink w:anchor="P1I8A">
              <w:r>
                <w:rPr>
                  <w:rStyle w:val="InternetLink"/>
                  <w:rFonts w:ascii="Times New Roman" w:hAnsi="Times New Roman"/>
                  <w:caps w:val="false"/>
                  <w:smallCaps w:val="false"/>
                  <w:sz w:val="20"/>
                  <w:u w:val="single"/>
                </w:rPr>
                <w:t>A. Consolidated Statements and Other Financial Information.</w:t>
              </w:r>
            </w:hyperlink>
          </w:p>
        </w:tc>
        <w:tc>
          <w:tcPr>
            <w:tcW w:w="250" w:type="dxa"/>
            <w:tcBorders/>
            <w:vAlign w:val="center"/>
          </w:tcPr>
          <w:p>
            <w:pPr>
              <w:pStyle w:val="TableContents"/>
              <w:bidi w:val="0"/>
              <w:spacing w:before="0" w:after="0"/>
              <w:ind w:left="160" w:right="0" w:firstLine="20"/>
              <w:jc w:val="right"/>
              <w:rPr/>
            </w:pPr>
            <w:hyperlink w:anchor="P1I8A">
              <w:r>
                <w:rPr>
                  <w:rStyle w:val="InternetLink"/>
                  <w:rFonts w:ascii="Times New Roman" w:hAnsi="Times New Roman"/>
                  <w:caps w:val="false"/>
                  <w:smallCaps w:val="false"/>
                  <w:sz w:val="20"/>
                </w:rPr>
                <w:t>76</w:t>
              </w:r>
            </w:hyperlink>
          </w:p>
        </w:tc>
      </w:tr>
      <w:tr>
        <w:trPr/>
        <w:tc>
          <w:tcPr>
            <w:tcW w:w="6895" w:type="dxa"/>
            <w:tcBorders/>
            <w:vAlign w:val="center"/>
          </w:tcPr>
          <w:p>
            <w:pPr>
              <w:pStyle w:val="TableContents"/>
              <w:bidi w:val="0"/>
              <w:spacing w:before="0" w:after="0"/>
              <w:ind w:left="0" w:right="0" w:firstLine="20"/>
              <w:jc w:val="left"/>
              <w:rPr/>
            </w:pPr>
            <w:hyperlink w:anchor="P1I8B">
              <w:r>
                <w:rPr>
                  <w:rStyle w:val="InternetLink"/>
                  <w:rFonts w:ascii="Times New Roman" w:hAnsi="Times New Roman"/>
                  <w:caps w:val="false"/>
                  <w:smallCaps w:val="false"/>
                  <w:sz w:val="20"/>
                  <w:u w:val="single"/>
                </w:rPr>
                <w:t>B. Significant Changes</w:t>
              </w:r>
            </w:hyperlink>
          </w:p>
        </w:tc>
        <w:tc>
          <w:tcPr>
            <w:tcW w:w="250" w:type="dxa"/>
            <w:tcBorders/>
            <w:vAlign w:val="center"/>
          </w:tcPr>
          <w:p>
            <w:pPr>
              <w:pStyle w:val="TableContents"/>
              <w:bidi w:val="0"/>
              <w:spacing w:before="0" w:after="0"/>
              <w:ind w:left="160" w:right="0" w:firstLine="20"/>
              <w:jc w:val="right"/>
              <w:rPr/>
            </w:pPr>
            <w:hyperlink w:anchor="P1I8B">
              <w:r>
                <w:rPr>
                  <w:rStyle w:val="InternetLink"/>
                  <w:rFonts w:ascii="Times New Roman" w:hAnsi="Times New Roman"/>
                  <w:caps w:val="false"/>
                  <w:smallCaps w:val="false"/>
                  <w:sz w:val="20"/>
                </w:rPr>
                <w:t>78</w:t>
              </w:r>
            </w:hyperlink>
          </w:p>
        </w:tc>
      </w:tr>
      <w:tr>
        <w:trPr/>
        <w:tc>
          <w:tcPr>
            <w:tcW w:w="6895" w:type="dxa"/>
            <w:tcBorders/>
            <w:vAlign w:val="center"/>
          </w:tcPr>
          <w:p>
            <w:pPr>
              <w:pStyle w:val="TableContents"/>
              <w:bidi w:val="0"/>
              <w:spacing w:before="0" w:after="0"/>
              <w:ind w:left="0" w:right="0" w:firstLine="20"/>
              <w:jc w:val="left"/>
              <w:rPr/>
            </w:pPr>
            <w:hyperlink w:anchor="P1I9">
              <w:r>
                <w:rPr>
                  <w:rStyle w:val="InternetLink"/>
                  <w:rFonts w:ascii="Times New Roman" w:hAnsi="Times New Roman"/>
                  <w:caps w:val="false"/>
                  <w:smallCaps w:val="false"/>
                  <w:sz w:val="20"/>
                  <w:u w:val="single"/>
                </w:rPr>
                <w:t>ITEM 9. THE OFFER AND LISTING</w:t>
              </w:r>
            </w:hyperlink>
          </w:p>
        </w:tc>
        <w:tc>
          <w:tcPr>
            <w:tcW w:w="250" w:type="dxa"/>
            <w:tcBorders/>
            <w:vAlign w:val="center"/>
          </w:tcPr>
          <w:p>
            <w:pPr>
              <w:pStyle w:val="TableContents"/>
              <w:bidi w:val="0"/>
              <w:spacing w:before="0" w:after="0"/>
              <w:ind w:left="160" w:right="0" w:firstLine="20"/>
              <w:jc w:val="right"/>
              <w:rPr/>
            </w:pPr>
            <w:hyperlink w:anchor="P1I9">
              <w:r>
                <w:rPr>
                  <w:rStyle w:val="InternetLink"/>
                  <w:rFonts w:ascii="Times New Roman" w:hAnsi="Times New Roman"/>
                  <w:caps w:val="false"/>
                  <w:smallCaps w:val="false"/>
                  <w:sz w:val="20"/>
                </w:rPr>
                <w:t>78</w:t>
              </w:r>
            </w:hyperlink>
          </w:p>
        </w:tc>
      </w:tr>
      <w:tr>
        <w:trPr/>
        <w:tc>
          <w:tcPr>
            <w:tcW w:w="6895" w:type="dxa"/>
            <w:tcBorders/>
            <w:vAlign w:val="center"/>
          </w:tcPr>
          <w:p>
            <w:pPr>
              <w:pStyle w:val="TableContents"/>
              <w:bidi w:val="0"/>
              <w:spacing w:before="0" w:after="0"/>
              <w:ind w:left="0" w:right="0" w:firstLine="20"/>
              <w:jc w:val="left"/>
              <w:rPr/>
            </w:pPr>
            <w:hyperlink w:anchor="P1I9A">
              <w:r>
                <w:rPr>
                  <w:rStyle w:val="InternetLink"/>
                  <w:rFonts w:ascii="Times New Roman" w:hAnsi="Times New Roman"/>
                  <w:caps w:val="false"/>
                  <w:smallCaps w:val="false"/>
                  <w:sz w:val="20"/>
                  <w:u w:val="single"/>
                </w:rPr>
                <w:t>A. Offer and Listing Details</w:t>
              </w:r>
            </w:hyperlink>
          </w:p>
        </w:tc>
        <w:tc>
          <w:tcPr>
            <w:tcW w:w="250" w:type="dxa"/>
            <w:tcBorders/>
            <w:vAlign w:val="center"/>
          </w:tcPr>
          <w:p>
            <w:pPr>
              <w:pStyle w:val="TableContents"/>
              <w:bidi w:val="0"/>
              <w:spacing w:before="0" w:after="0"/>
              <w:ind w:left="160" w:right="0" w:firstLine="20"/>
              <w:jc w:val="right"/>
              <w:rPr/>
            </w:pPr>
            <w:hyperlink w:anchor="P1I9A">
              <w:r>
                <w:rPr>
                  <w:rStyle w:val="InternetLink"/>
                  <w:rFonts w:ascii="Times New Roman" w:hAnsi="Times New Roman"/>
                  <w:caps w:val="false"/>
                  <w:smallCaps w:val="false"/>
                  <w:sz w:val="20"/>
                </w:rPr>
                <w:t>78</w:t>
              </w:r>
            </w:hyperlink>
          </w:p>
        </w:tc>
      </w:tr>
      <w:tr>
        <w:trPr/>
        <w:tc>
          <w:tcPr>
            <w:tcW w:w="6895" w:type="dxa"/>
            <w:tcBorders/>
            <w:vAlign w:val="center"/>
          </w:tcPr>
          <w:p>
            <w:pPr>
              <w:pStyle w:val="TableContents"/>
              <w:bidi w:val="0"/>
              <w:spacing w:before="0" w:after="0"/>
              <w:ind w:left="0" w:right="0" w:firstLine="20"/>
              <w:jc w:val="left"/>
              <w:rPr/>
            </w:pPr>
            <w:hyperlink w:anchor="P1I9B">
              <w:r>
                <w:rPr>
                  <w:rStyle w:val="InternetLink"/>
                  <w:rFonts w:ascii="Times New Roman" w:hAnsi="Times New Roman"/>
                  <w:caps w:val="false"/>
                  <w:smallCaps w:val="false"/>
                  <w:sz w:val="20"/>
                  <w:u w:val="single"/>
                </w:rPr>
                <w:t>B. Plan of Distribution</w:t>
              </w:r>
            </w:hyperlink>
          </w:p>
        </w:tc>
        <w:tc>
          <w:tcPr>
            <w:tcW w:w="250" w:type="dxa"/>
            <w:tcBorders/>
            <w:vAlign w:val="center"/>
          </w:tcPr>
          <w:p>
            <w:pPr>
              <w:pStyle w:val="TableContents"/>
              <w:bidi w:val="0"/>
              <w:spacing w:before="0" w:after="0"/>
              <w:ind w:left="160" w:right="0" w:firstLine="20"/>
              <w:jc w:val="right"/>
              <w:rPr/>
            </w:pPr>
            <w:hyperlink w:anchor="P1I9B">
              <w:r>
                <w:rPr>
                  <w:rStyle w:val="InternetLink"/>
                  <w:rFonts w:ascii="Times New Roman" w:hAnsi="Times New Roman"/>
                  <w:caps w:val="false"/>
                  <w:smallCaps w:val="false"/>
                  <w:sz w:val="20"/>
                </w:rPr>
                <w:t>78</w:t>
              </w:r>
            </w:hyperlink>
          </w:p>
        </w:tc>
      </w:tr>
      <w:tr>
        <w:trPr/>
        <w:tc>
          <w:tcPr>
            <w:tcW w:w="6895" w:type="dxa"/>
            <w:tcBorders/>
            <w:vAlign w:val="center"/>
          </w:tcPr>
          <w:p>
            <w:pPr>
              <w:pStyle w:val="TableContents"/>
              <w:bidi w:val="0"/>
              <w:spacing w:before="0" w:after="0"/>
              <w:ind w:left="0" w:right="0" w:firstLine="20"/>
              <w:jc w:val="left"/>
              <w:rPr/>
            </w:pPr>
            <w:hyperlink w:anchor="P1I9C">
              <w:r>
                <w:rPr>
                  <w:rStyle w:val="InternetLink"/>
                  <w:rFonts w:ascii="Times New Roman" w:hAnsi="Times New Roman"/>
                  <w:caps w:val="false"/>
                  <w:smallCaps w:val="false"/>
                  <w:sz w:val="20"/>
                  <w:u w:val="single"/>
                </w:rPr>
                <w:t>C. Markets</w:t>
              </w:r>
            </w:hyperlink>
          </w:p>
        </w:tc>
        <w:tc>
          <w:tcPr>
            <w:tcW w:w="250" w:type="dxa"/>
            <w:tcBorders/>
            <w:vAlign w:val="center"/>
          </w:tcPr>
          <w:p>
            <w:pPr>
              <w:pStyle w:val="TableContents"/>
              <w:bidi w:val="0"/>
              <w:spacing w:before="0" w:after="0"/>
              <w:ind w:left="160" w:right="0" w:firstLine="20"/>
              <w:jc w:val="right"/>
              <w:rPr/>
            </w:pPr>
            <w:hyperlink w:anchor="P1I9C">
              <w:r>
                <w:rPr>
                  <w:rStyle w:val="InternetLink"/>
                  <w:rFonts w:ascii="Times New Roman" w:hAnsi="Times New Roman"/>
                  <w:caps w:val="false"/>
                  <w:smallCaps w:val="false"/>
                  <w:sz w:val="20"/>
                </w:rPr>
                <w:t>78</w:t>
              </w:r>
            </w:hyperlink>
          </w:p>
        </w:tc>
      </w:tr>
      <w:tr>
        <w:trPr/>
        <w:tc>
          <w:tcPr>
            <w:tcW w:w="6895" w:type="dxa"/>
            <w:tcBorders/>
            <w:vAlign w:val="center"/>
          </w:tcPr>
          <w:p>
            <w:pPr>
              <w:pStyle w:val="TableContents"/>
              <w:bidi w:val="0"/>
              <w:spacing w:before="0" w:after="0"/>
              <w:ind w:left="0" w:right="0" w:firstLine="20"/>
              <w:jc w:val="left"/>
              <w:rPr/>
            </w:pPr>
            <w:hyperlink w:anchor="P1I9D">
              <w:r>
                <w:rPr>
                  <w:rStyle w:val="InternetLink"/>
                  <w:rFonts w:ascii="Times New Roman" w:hAnsi="Times New Roman"/>
                  <w:caps w:val="false"/>
                  <w:smallCaps w:val="false"/>
                  <w:sz w:val="20"/>
                  <w:u w:val="single"/>
                </w:rPr>
                <w:t>D. Selling Shareholders</w:t>
              </w:r>
            </w:hyperlink>
          </w:p>
        </w:tc>
        <w:tc>
          <w:tcPr>
            <w:tcW w:w="250" w:type="dxa"/>
            <w:tcBorders/>
            <w:vAlign w:val="center"/>
          </w:tcPr>
          <w:p>
            <w:pPr>
              <w:pStyle w:val="TableContents"/>
              <w:bidi w:val="0"/>
              <w:spacing w:before="0" w:after="0"/>
              <w:ind w:left="160" w:right="0" w:firstLine="20"/>
              <w:jc w:val="right"/>
              <w:rPr/>
            </w:pPr>
            <w:hyperlink w:anchor="P1I9D">
              <w:r>
                <w:rPr>
                  <w:rStyle w:val="InternetLink"/>
                  <w:rFonts w:ascii="Times New Roman" w:hAnsi="Times New Roman"/>
                  <w:caps w:val="false"/>
                  <w:smallCaps w:val="false"/>
                  <w:sz w:val="20"/>
                </w:rPr>
                <w:t>78</w:t>
              </w:r>
            </w:hyperlink>
          </w:p>
        </w:tc>
      </w:tr>
      <w:tr>
        <w:trPr/>
        <w:tc>
          <w:tcPr>
            <w:tcW w:w="6895" w:type="dxa"/>
            <w:tcBorders/>
            <w:vAlign w:val="center"/>
          </w:tcPr>
          <w:p>
            <w:pPr>
              <w:pStyle w:val="TableContents"/>
              <w:bidi w:val="0"/>
              <w:spacing w:before="0" w:after="0"/>
              <w:ind w:left="0" w:right="0" w:firstLine="20"/>
              <w:jc w:val="left"/>
              <w:rPr/>
            </w:pPr>
            <w:hyperlink w:anchor="P1I9E">
              <w:r>
                <w:rPr>
                  <w:rStyle w:val="InternetLink"/>
                  <w:rFonts w:ascii="Times New Roman" w:hAnsi="Times New Roman"/>
                  <w:caps w:val="false"/>
                  <w:smallCaps w:val="false"/>
                  <w:sz w:val="20"/>
                  <w:u w:val="single"/>
                </w:rPr>
                <w:t>E. Dilution</w:t>
              </w:r>
            </w:hyperlink>
          </w:p>
        </w:tc>
        <w:tc>
          <w:tcPr>
            <w:tcW w:w="250" w:type="dxa"/>
            <w:tcBorders/>
            <w:vAlign w:val="center"/>
          </w:tcPr>
          <w:p>
            <w:pPr>
              <w:pStyle w:val="TableContents"/>
              <w:bidi w:val="0"/>
              <w:spacing w:before="0" w:after="0"/>
              <w:ind w:left="160" w:right="0" w:firstLine="20"/>
              <w:jc w:val="right"/>
              <w:rPr/>
            </w:pPr>
            <w:hyperlink w:anchor="P1I9E">
              <w:r>
                <w:rPr>
                  <w:rStyle w:val="InternetLink"/>
                  <w:rFonts w:ascii="Times New Roman" w:hAnsi="Times New Roman"/>
                  <w:caps w:val="false"/>
                  <w:smallCaps w:val="false"/>
                  <w:sz w:val="20"/>
                </w:rPr>
                <w:t>78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9605" w:type="dxa"/>
        <w:jc w:val="left"/>
        <w:tblInd w:w="0" w:type="dxa"/>
        <w:tblLayout w:type="fixed"/>
        <w:tblCellMar>
          <w:top w:w="0" w:type="dxa"/>
          <w:left w:w="0" w:type="dxa"/>
          <w:bottom w:w="0" w:type="dxa"/>
          <w:right w:w="0" w:type="dxa"/>
        </w:tblCellMar>
      </w:tblPr>
      <w:tblGrid>
        <w:gridCol w:w="9250"/>
        <w:gridCol w:w="355"/>
      </w:tblGrid>
      <w:tr>
        <w:trPr/>
        <w:tc>
          <w:tcPr>
            <w:tcW w:w="9250" w:type="dxa"/>
            <w:tcBorders/>
            <w:vAlign w:val="center"/>
          </w:tcPr>
          <w:p>
            <w:pPr>
              <w:pStyle w:val="TableContents"/>
              <w:bidi w:val="0"/>
              <w:spacing w:before="0" w:after="0"/>
              <w:ind w:left="0" w:right="0" w:firstLine="20"/>
              <w:jc w:val="left"/>
              <w:rPr/>
            </w:pPr>
            <w:hyperlink w:anchor="P1I9F">
              <w:r>
                <w:rPr>
                  <w:rStyle w:val="InternetLink"/>
                  <w:rFonts w:ascii="Times New Roman" w:hAnsi="Times New Roman"/>
                  <w:caps w:val="false"/>
                  <w:smallCaps w:val="false"/>
                  <w:sz w:val="20"/>
                  <w:u w:val="single"/>
                </w:rPr>
                <w:t>F. Expenses of the Issue</w:t>
              </w:r>
            </w:hyperlink>
          </w:p>
        </w:tc>
        <w:tc>
          <w:tcPr>
            <w:tcW w:w="355" w:type="dxa"/>
            <w:tcBorders/>
            <w:vAlign w:val="center"/>
          </w:tcPr>
          <w:p>
            <w:pPr>
              <w:pStyle w:val="TableContents"/>
              <w:bidi w:val="0"/>
              <w:spacing w:before="0" w:after="0"/>
              <w:ind w:left="160" w:right="0" w:firstLine="20"/>
              <w:jc w:val="right"/>
              <w:rPr/>
            </w:pPr>
            <w:hyperlink w:anchor="P1I9F">
              <w:r>
                <w:rPr>
                  <w:rStyle w:val="InternetLink"/>
                  <w:rFonts w:ascii="Times New Roman" w:hAnsi="Times New Roman"/>
                  <w:caps w:val="false"/>
                  <w:smallCaps w:val="false"/>
                  <w:sz w:val="20"/>
                </w:rPr>
                <w:t>78</w:t>
              </w:r>
            </w:hyperlink>
          </w:p>
        </w:tc>
      </w:tr>
      <w:tr>
        <w:trPr/>
        <w:tc>
          <w:tcPr>
            <w:tcW w:w="9250" w:type="dxa"/>
            <w:tcBorders/>
            <w:vAlign w:val="center"/>
          </w:tcPr>
          <w:p>
            <w:pPr>
              <w:pStyle w:val="TableContents"/>
              <w:bidi w:val="0"/>
              <w:spacing w:before="0" w:after="0"/>
              <w:ind w:left="0" w:right="0" w:firstLine="20"/>
              <w:jc w:val="left"/>
              <w:rPr/>
            </w:pPr>
            <w:hyperlink w:anchor="P1I10">
              <w:r>
                <w:rPr>
                  <w:rStyle w:val="InternetLink"/>
                  <w:rFonts w:ascii="Times New Roman" w:hAnsi="Times New Roman"/>
                  <w:caps w:val="false"/>
                  <w:smallCaps w:val="false"/>
                  <w:sz w:val="20"/>
                  <w:u w:val="single"/>
                </w:rPr>
                <w:t>ITEM 10. ADDITIONAL INFORMATION</w:t>
              </w:r>
            </w:hyperlink>
          </w:p>
        </w:tc>
        <w:tc>
          <w:tcPr>
            <w:tcW w:w="355" w:type="dxa"/>
            <w:tcBorders/>
            <w:vAlign w:val="center"/>
          </w:tcPr>
          <w:p>
            <w:pPr>
              <w:pStyle w:val="TableContents"/>
              <w:bidi w:val="0"/>
              <w:spacing w:before="0" w:after="0"/>
              <w:ind w:left="160" w:right="0" w:firstLine="20"/>
              <w:jc w:val="right"/>
              <w:rPr/>
            </w:pPr>
            <w:hyperlink w:anchor="P1I10">
              <w:r>
                <w:rPr>
                  <w:rStyle w:val="InternetLink"/>
                  <w:rFonts w:ascii="Times New Roman" w:hAnsi="Times New Roman"/>
                  <w:caps w:val="false"/>
                  <w:smallCaps w:val="false"/>
                  <w:sz w:val="20"/>
                </w:rPr>
                <w:t>79</w:t>
              </w:r>
            </w:hyperlink>
          </w:p>
        </w:tc>
      </w:tr>
      <w:tr>
        <w:trPr/>
        <w:tc>
          <w:tcPr>
            <w:tcW w:w="9250" w:type="dxa"/>
            <w:tcBorders/>
            <w:vAlign w:val="center"/>
          </w:tcPr>
          <w:p>
            <w:pPr>
              <w:pStyle w:val="TableContents"/>
              <w:bidi w:val="0"/>
              <w:spacing w:before="0" w:after="0"/>
              <w:ind w:left="0" w:right="0" w:firstLine="20"/>
              <w:jc w:val="left"/>
              <w:rPr/>
            </w:pPr>
            <w:hyperlink w:anchor="P1I10A">
              <w:r>
                <w:rPr>
                  <w:rStyle w:val="InternetLink"/>
                  <w:rFonts w:ascii="Times New Roman" w:hAnsi="Times New Roman"/>
                  <w:caps w:val="false"/>
                  <w:smallCaps w:val="false"/>
                  <w:sz w:val="20"/>
                  <w:u w:val="single"/>
                </w:rPr>
                <w:t>A. Share Capital</w:t>
              </w:r>
            </w:hyperlink>
          </w:p>
        </w:tc>
        <w:tc>
          <w:tcPr>
            <w:tcW w:w="355" w:type="dxa"/>
            <w:tcBorders/>
            <w:vAlign w:val="center"/>
          </w:tcPr>
          <w:p>
            <w:pPr>
              <w:pStyle w:val="TableContents"/>
              <w:bidi w:val="0"/>
              <w:spacing w:before="0" w:after="0"/>
              <w:ind w:left="160" w:right="0" w:firstLine="20"/>
              <w:jc w:val="right"/>
              <w:rPr/>
            </w:pPr>
            <w:hyperlink w:anchor="P1I10A">
              <w:r>
                <w:rPr>
                  <w:rStyle w:val="InternetLink"/>
                  <w:rFonts w:ascii="Times New Roman" w:hAnsi="Times New Roman"/>
                  <w:caps w:val="false"/>
                  <w:smallCaps w:val="false"/>
                  <w:sz w:val="20"/>
                </w:rPr>
                <w:t>79</w:t>
              </w:r>
            </w:hyperlink>
          </w:p>
        </w:tc>
      </w:tr>
      <w:tr>
        <w:trPr/>
        <w:tc>
          <w:tcPr>
            <w:tcW w:w="9250" w:type="dxa"/>
            <w:tcBorders/>
            <w:vAlign w:val="center"/>
          </w:tcPr>
          <w:p>
            <w:pPr>
              <w:pStyle w:val="TableContents"/>
              <w:bidi w:val="0"/>
              <w:spacing w:before="0" w:after="0"/>
              <w:ind w:left="0" w:right="0" w:firstLine="20"/>
              <w:jc w:val="left"/>
              <w:rPr/>
            </w:pPr>
            <w:hyperlink w:anchor="P1I10B">
              <w:r>
                <w:rPr>
                  <w:rStyle w:val="InternetLink"/>
                  <w:rFonts w:ascii="Times New Roman" w:hAnsi="Times New Roman"/>
                  <w:caps w:val="false"/>
                  <w:smallCaps w:val="false"/>
                  <w:sz w:val="20"/>
                  <w:u w:val="single"/>
                </w:rPr>
                <w:t>B. Memorandum and Articles of Association</w:t>
              </w:r>
            </w:hyperlink>
          </w:p>
        </w:tc>
        <w:tc>
          <w:tcPr>
            <w:tcW w:w="355" w:type="dxa"/>
            <w:tcBorders/>
            <w:vAlign w:val="center"/>
          </w:tcPr>
          <w:p>
            <w:pPr>
              <w:pStyle w:val="TableContents"/>
              <w:bidi w:val="0"/>
              <w:spacing w:before="0" w:after="0"/>
              <w:ind w:left="160" w:right="0" w:firstLine="20"/>
              <w:jc w:val="right"/>
              <w:rPr/>
            </w:pPr>
            <w:hyperlink w:anchor="P1I10B">
              <w:r>
                <w:rPr>
                  <w:rStyle w:val="InternetLink"/>
                  <w:rFonts w:ascii="Times New Roman" w:hAnsi="Times New Roman"/>
                  <w:caps w:val="false"/>
                  <w:smallCaps w:val="false"/>
                  <w:sz w:val="20"/>
                </w:rPr>
                <w:t>79</w:t>
              </w:r>
            </w:hyperlink>
          </w:p>
        </w:tc>
      </w:tr>
      <w:tr>
        <w:trPr/>
        <w:tc>
          <w:tcPr>
            <w:tcW w:w="9250" w:type="dxa"/>
            <w:tcBorders/>
            <w:vAlign w:val="center"/>
          </w:tcPr>
          <w:p>
            <w:pPr>
              <w:pStyle w:val="TableContents"/>
              <w:bidi w:val="0"/>
              <w:spacing w:before="0" w:after="0"/>
              <w:ind w:left="0" w:right="0" w:firstLine="20"/>
              <w:jc w:val="left"/>
              <w:rPr/>
            </w:pPr>
            <w:hyperlink w:anchor="P1I10C">
              <w:r>
                <w:rPr>
                  <w:rStyle w:val="InternetLink"/>
                  <w:rFonts w:ascii="Times New Roman" w:hAnsi="Times New Roman"/>
                  <w:caps w:val="false"/>
                  <w:smallCaps w:val="false"/>
                  <w:sz w:val="20"/>
                  <w:u w:val="single"/>
                </w:rPr>
                <w:t>C. Material Contracts</w:t>
              </w:r>
            </w:hyperlink>
          </w:p>
        </w:tc>
        <w:tc>
          <w:tcPr>
            <w:tcW w:w="355" w:type="dxa"/>
            <w:tcBorders/>
            <w:vAlign w:val="center"/>
          </w:tcPr>
          <w:p>
            <w:pPr>
              <w:pStyle w:val="TableContents"/>
              <w:bidi w:val="0"/>
              <w:spacing w:before="0" w:after="0"/>
              <w:ind w:left="160" w:right="0" w:firstLine="20"/>
              <w:jc w:val="right"/>
              <w:rPr/>
            </w:pPr>
            <w:hyperlink w:anchor="P1I10C">
              <w:r>
                <w:rPr>
                  <w:rStyle w:val="InternetLink"/>
                  <w:rFonts w:ascii="Times New Roman" w:hAnsi="Times New Roman"/>
                  <w:caps w:val="false"/>
                  <w:smallCaps w:val="false"/>
                  <w:sz w:val="20"/>
                </w:rPr>
                <w:t>79</w:t>
              </w:r>
            </w:hyperlink>
          </w:p>
        </w:tc>
      </w:tr>
      <w:tr>
        <w:trPr/>
        <w:tc>
          <w:tcPr>
            <w:tcW w:w="9250" w:type="dxa"/>
            <w:tcBorders/>
            <w:vAlign w:val="center"/>
          </w:tcPr>
          <w:p>
            <w:pPr>
              <w:pStyle w:val="TableContents"/>
              <w:bidi w:val="0"/>
              <w:spacing w:before="0" w:after="0"/>
              <w:ind w:left="0" w:right="0" w:firstLine="20"/>
              <w:jc w:val="left"/>
              <w:rPr/>
            </w:pPr>
            <w:hyperlink w:anchor="P1I10D">
              <w:r>
                <w:rPr>
                  <w:rStyle w:val="InternetLink"/>
                  <w:rFonts w:ascii="Times New Roman" w:hAnsi="Times New Roman"/>
                  <w:caps w:val="false"/>
                  <w:smallCaps w:val="false"/>
                  <w:sz w:val="20"/>
                  <w:u w:val="single"/>
                </w:rPr>
                <w:t>D. Exchange Controls</w:t>
              </w:r>
            </w:hyperlink>
          </w:p>
        </w:tc>
        <w:tc>
          <w:tcPr>
            <w:tcW w:w="355" w:type="dxa"/>
            <w:tcBorders/>
            <w:vAlign w:val="center"/>
          </w:tcPr>
          <w:p>
            <w:pPr>
              <w:pStyle w:val="TableContents"/>
              <w:bidi w:val="0"/>
              <w:spacing w:before="0" w:after="0"/>
              <w:ind w:left="160" w:right="0" w:firstLine="20"/>
              <w:jc w:val="right"/>
              <w:rPr/>
            </w:pPr>
            <w:hyperlink w:anchor="P1I10D">
              <w:r>
                <w:rPr>
                  <w:rStyle w:val="InternetLink"/>
                  <w:rFonts w:ascii="Times New Roman" w:hAnsi="Times New Roman"/>
                  <w:caps w:val="false"/>
                  <w:smallCaps w:val="false"/>
                  <w:sz w:val="20"/>
                </w:rPr>
                <w:t>81</w:t>
              </w:r>
            </w:hyperlink>
          </w:p>
        </w:tc>
      </w:tr>
      <w:tr>
        <w:trPr/>
        <w:tc>
          <w:tcPr>
            <w:tcW w:w="9250" w:type="dxa"/>
            <w:tcBorders/>
            <w:vAlign w:val="center"/>
          </w:tcPr>
          <w:p>
            <w:pPr>
              <w:pStyle w:val="TableContents"/>
              <w:bidi w:val="0"/>
              <w:spacing w:before="0" w:after="0"/>
              <w:ind w:left="0" w:right="0" w:firstLine="20"/>
              <w:jc w:val="left"/>
              <w:rPr/>
            </w:pPr>
            <w:hyperlink w:anchor="P1I10E">
              <w:r>
                <w:rPr>
                  <w:rStyle w:val="InternetLink"/>
                  <w:rFonts w:ascii="Times New Roman" w:hAnsi="Times New Roman"/>
                  <w:caps w:val="false"/>
                  <w:smallCaps w:val="false"/>
                  <w:sz w:val="20"/>
                  <w:u w:val="single"/>
                </w:rPr>
                <w:t>E. Taxation</w:t>
              </w:r>
            </w:hyperlink>
          </w:p>
        </w:tc>
        <w:tc>
          <w:tcPr>
            <w:tcW w:w="355" w:type="dxa"/>
            <w:tcBorders/>
            <w:vAlign w:val="center"/>
          </w:tcPr>
          <w:p>
            <w:pPr>
              <w:pStyle w:val="TableContents"/>
              <w:bidi w:val="0"/>
              <w:spacing w:before="0" w:after="0"/>
              <w:ind w:left="160" w:right="0" w:firstLine="20"/>
              <w:jc w:val="right"/>
              <w:rPr/>
            </w:pPr>
            <w:hyperlink w:anchor="P1I10E">
              <w:r>
                <w:rPr>
                  <w:rStyle w:val="InternetLink"/>
                  <w:rFonts w:ascii="Times New Roman" w:hAnsi="Times New Roman"/>
                  <w:caps w:val="false"/>
                  <w:smallCaps w:val="false"/>
                  <w:sz w:val="20"/>
                </w:rPr>
                <w:t>81</w:t>
              </w:r>
            </w:hyperlink>
          </w:p>
        </w:tc>
      </w:tr>
      <w:tr>
        <w:trPr/>
        <w:tc>
          <w:tcPr>
            <w:tcW w:w="9250" w:type="dxa"/>
            <w:tcBorders/>
            <w:vAlign w:val="center"/>
          </w:tcPr>
          <w:p>
            <w:pPr>
              <w:pStyle w:val="TableContents"/>
              <w:bidi w:val="0"/>
              <w:spacing w:before="0" w:after="0"/>
              <w:ind w:left="0" w:right="0" w:firstLine="20"/>
              <w:jc w:val="left"/>
              <w:rPr/>
            </w:pPr>
            <w:hyperlink w:anchor="P1I10F">
              <w:r>
                <w:rPr>
                  <w:rStyle w:val="InternetLink"/>
                  <w:rFonts w:ascii="Times New Roman" w:hAnsi="Times New Roman"/>
                  <w:caps w:val="false"/>
                  <w:smallCaps w:val="false"/>
                  <w:sz w:val="20"/>
                  <w:u w:val="single"/>
                </w:rPr>
                <w:t>F. Dividends and Paying Agents</w:t>
              </w:r>
            </w:hyperlink>
          </w:p>
        </w:tc>
        <w:tc>
          <w:tcPr>
            <w:tcW w:w="355" w:type="dxa"/>
            <w:tcBorders/>
            <w:vAlign w:val="center"/>
          </w:tcPr>
          <w:p>
            <w:pPr>
              <w:pStyle w:val="TableContents"/>
              <w:bidi w:val="0"/>
              <w:spacing w:before="0" w:after="0"/>
              <w:ind w:left="160" w:right="0" w:firstLine="20"/>
              <w:jc w:val="right"/>
              <w:rPr/>
            </w:pPr>
            <w:hyperlink w:anchor="P1I10F">
              <w:r>
                <w:rPr>
                  <w:rStyle w:val="InternetLink"/>
                  <w:rFonts w:ascii="Times New Roman" w:hAnsi="Times New Roman"/>
                  <w:caps w:val="false"/>
                  <w:smallCaps w:val="false"/>
                  <w:sz w:val="20"/>
                </w:rPr>
                <w:t>99</w:t>
              </w:r>
            </w:hyperlink>
          </w:p>
        </w:tc>
      </w:tr>
      <w:tr>
        <w:trPr/>
        <w:tc>
          <w:tcPr>
            <w:tcW w:w="9250" w:type="dxa"/>
            <w:tcBorders/>
            <w:vAlign w:val="center"/>
          </w:tcPr>
          <w:p>
            <w:pPr>
              <w:pStyle w:val="TableContents"/>
              <w:bidi w:val="0"/>
              <w:spacing w:before="0" w:after="0"/>
              <w:ind w:left="0" w:right="0" w:firstLine="20"/>
              <w:jc w:val="left"/>
              <w:rPr/>
            </w:pPr>
            <w:hyperlink w:anchor="P1I10G">
              <w:r>
                <w:rPr>
                  <w:rStyle w:val="InternetLink"/>
                  <w:rFonts w:ascii="Times New Roman" w:hAnsi="Times New Roman"/>
                  <w:caps w:val="false"/>
                  <w:smallCaps w:val="false"/>
                  <w:sz w:val="20"/>
                  <w:u w:val="single"/>
                </w:rPr>
                <w:t>G. Statement by Experts</w:t>
              </w:r>
            </w:hyperlink>
          </w:p>
        </w:tc>
        <w:tc>
          <w:tcPr>
            <w:tcW w:w="355" w:type="dxa"/>
            <w:tcBorders/>
            <w:vAlign w:val="center"/>
          </w:tcPr>
          <w:p>
            <w:pPr>
              <w:pStyle w:val="TableContents"/>
              <w:bidi w:val="0"/>
              <w:spacing w:before="0" w:after="0"/>
              <w:ind w:left="160" w:right="0" w:firstLine="20"/>
              <w:jc w:val="right"/>
              <w:rPr/>
            </w:pPr>
            <w:hyperlink w:anchor="P1I10G">
              <w:r>
                <w:rPr>
                  <w:rStyle w:val="InternetLink"/>
                  <w:rFonts w:ascii="Times New Roman" w:hAnsi="Times New Roman"/>
                  <w:caps w:val="false"/>
                  <w:smallCaps w:val="false"/>
                  <w:sz w:val="20"/>
                </w:rPr>
                <w:t>99</w:t>
              </w:r>
            </w:hyperlink>
          </w:p>
        </w:tc>
      </w:tr>
      <w:tr>
        <w:trPr/>
        <w:tc>
          <w:tcPr>
            <w:tcW w:w="9250" w:type="dxa"/>
            <w:tcBorders/>
            <w:vAlign w:val="center"/>
          </w:tcPr>
          <w:p>
            <w:pPr>
              <w:pStyle w:val="TableContents"/>
              <w:bidi w:val="0"/>
              <w:spacing w:before="0" w:after="0"/>
              <w:ind w:left="0" w:right="0" w:firstLine="20"/>
              <w:jc w:val="left"/>
              <w:rPr/>
            </w:pPr>
            <w:hyperlink w:anchor="P1I10H">
              <w:r>
                <w:rPr>
                  <w:rStyle w:val="InternetLink"/>
                  <w:rFonts w:ascii="Times New Roman" w:hAnsi="Times New Roman"/>
                  <w:caps w:val="false"/>
                  <w:smallCaps w:val="false"/>
                  <w:sz w:val="20"/>
                  <w:u w:val="single"/>
                </w:rPr>
                <w:t>H. Documents on Display</w:t>
              </w:r>
            </w:hyperlink>
          </w:p>
        </w:tc>
        <w:tc>
          <w:tcPr>
            <w:tcW w:w="355" w:type="dxa"/>
            <w:tcBorders/>
            <w:vAlign w:val="center"/>
          </w:tcPr>
          <w:p>
            <w:pPr>
              <w:pStyle w:val="TableContents"/>
              <w:bidi w:val="0"/>
              <w:spacing w:before="0" w:after="0"/>
              <w:ind w:left="160" w:right="0" w:firstLine="20"/>
              <w:jc w:val="right"/>
              <w:rPr/>
            </w:pPr>
            <w:hyperlink w:anchor="P1I10H">
              <w:r>
                <w:rPr>
                  <w:rStyle w:val="InternetLink"/>
                  <w:rFonts w:ascii="Times New Roman" w:hAnsi="Times New Roman"/>
                  <w:caps w:val="false"/>
                  <w:smallCaps w:val="false"/>
                  <w:sz w:val="20"/>
                </w:rPr>
                <w:t>99</w:t>
              </w:r>
            </w:hyperlink>
          </w:p>
        </w:tc>
      </w:tr>
      <w:tr>
        <w:trPr/>
        <w:tc>
          <w:tcPr>
            <w:tcW w:w="9250" w:type="dxa"/>
            <w:tcBorders/>
            <w:vAlign w:val="center"/>
          </w:tcPr>
          <w:p>
            <w:pPr>
              <w:pStyle w:val="TableContents"/>
              <w:bidi w:val="0"/>
              <w:spacing w:before="0" w:after="0"/>
              <w:ind w:left="0" w:right="0" w:firstLine="20"/>
              <w:jc w:val="left"/>
              <w:rPr/>
            </w:pPr>
            <w:hyperlink w:anchor="P1I10I">
              <w:r>
                <w:rPr>
                  <w:rStyle w:val="InternetLink"/>
                  <w:rFonts w:ascii="Times New Roman" w:hAnsi="Times New Roman"/>
                  <w:caps w:val="false"/>
                  <w:smallCaps w:val="false"/>
                  <w:sz w:val="20"/>
                  <w:u w:val="single"/>
                </w:rPr>
                <w:t>I. Subsidiary Information.</w:t>
              </w:r>
            </w:hyperlink>
          </w:p>
        </w:tc>
        <w:tc>
          <w:tcPr>
            <w:tcW w:w="355" w:type="dxa"/>
            <w:tcBorders/>
            <w:vAlign w:val="center"/>
          </w:tcPr>
          <w:p>
            <w:pPr>
              <w:pStyle w:val="TableContents"/>
              <w:bidi w:val="0"/>
              <w:spacing w:before="0" w:after="0"/>
              <w:ind w:left="160" w:right="0" w:firstLine="20"/>
              <w:jc w:val="right"/>
              <w:rPr/>
            </w:pPr>
            <w:hyperlink w:anchor="P1I10I">
              <w:r>
                <w:rPr>
                  <w:rStyle w:val="InternetLink"/>
                  <w:rFonts w:ascii="Times New Roman" w:hAnsi="Times New Roman"/>
                  <w:caps w:val="false"/>
                  <w:smallCaps w:val="false"/>
                  <w:sz w:val="20"/>
                </w:rPr>
                <w:t>100</w:t>
              </w:r>
            </w:hyperlink>
          </w:p>
        </w:tc>
      </w:tr>
      <w:tr>
        <w:trPr/>
        <w:tc>
          <w:tcPr>
            <w:tcW w:w="9250" w:type="dxa"/>
            <w:tcBorders/>
            <w:vAlign w:val="center"/>
          </w:tcPr>
          <w:p>
            <w:pPr>
              <w:pStyle w:val="TableContents"/>
              <w:bidi w:val="0"/>
              <w:spacing w:before="0" w:after="0"/>
              <w:ind w:left="0" w:right="0" w:firstLine="20"/>
              <w:jc w:val="left"/>
              <w:rPr/>
            </w:pPr>
            <w:hyperlink w:anchor="P1I11">
              <w:r>
                <w:rPr>
                  <w:rStyle w:val="InternetLink"/>
                  <w:rFonts w:ascii="Times New Roman" w:hAnsi="Times New Roman"/>
                  <w:caps w:val="false"/>
                  <w:smallCaps w:val="false"/>
                  <w:sz w:val="20"/>
                  <w:u w:val="single"/>
                </w:rPr>
                <w:t>ITEM 11. QUANTITATIVE AND QUALITATIVE DISCLOSURES ABOUT MARKET RISK</w:t>
              </w:r>
            </w:hyperlink>
          </w:p>
        </w:tc>
        <w:tc>
          <w:tcPr>
            <w:tcW w:w="355" w:type="dxa"/>
            <w:tcBorders/>
            <w:vAlign w:val="center"/>
          </w:tcPr>
          <w:p>
            <w:pPr>
              <w:pStyle w:val="TableContents"/>
              <w:bidi w:val="0"/>
              <w:spacing w:before="0" w:after="0"/>
              <w:ind w:left="160" w:right="0" w:firstLine="20"/>
              <w:jc w:val="right"/>
              <w:rPr/>
            </w:pPr>
            <w:hyperlink w:anchor="P1I11">
              <w:r>
                <w:rPr>
                  <w:rStyle w:val="InternetLink"/>
                  <w:rFonts w:ascii="Times New Roman" w:hAnsi="Times New Roman"/>
                  <w:caps w:val="false"/>
                  <w:smallCaps w:val="false"/>
                  <w:sz w:val="20"/>
                </w:rPr>
                <w:t>100</w:t>
              </w:r>
            </w:hyperlink>
          </w:p>
        </w:tc>
      </w:tr>
      <w:tr>
        <w:trPr/>
        <w:tc>
          <w:tcPr>
            <w:tcW w:w="9250" w:type="dxa"/>
            <w:tcBorders/>
            <w:vAlign w:val="center"/>
          </w:tcPr>
          <w:p>
            <w:pPr>
              <w:pStyle w:val="TableContents"/>
              <w:bidi w:val="0"/>
              <w:spacing w:before="0" w:after="0"/>
              <w:ind w:left="0" w:right="0" w:firstLine="20"/>
              <w:jc w:val="left"/>
              <w:rPr/>
            </w:pPr>
            <w:hyperlink w:anchor="P1I12">
              <w:r>
                <w:rPr>
                  <w:rStyle w:val="InternetLink"/>
                  <w:rFonts w:ascii="Times New Roman" w:hAnsi="Times New Roman"/>
                  <w:caps w:val="false"/>
                  <w:smallCaps w:val="false"/>
                  <w:sz w:val="20"/>
                  <w:u w:val="single"/>
                </w:rPr>
                <w:t>ITEM 12. DESCRIPTION OF SECURITIES OTHER THAN EQUITY SECURITIES</w:t>
              </w:r>
            </w:hyperlink>
          </w:p>
        </w:tc>
        <w:tc>
          <w:tcPr>
            <w:tcW w:w="355" w:type="dxa"/>
            <w:tcBorders/>
            <w:vAlign w:val="center"/>
          </w:tcPr>
          <w:p>
            <w:pPr>
              <w:pStyle w:val="TableContents"/>
              <w:bidi w:val="0"/>
              <w:spacing w:before="0" w:after="0"/>
              <w:ind w:left="160" w:right="0" w:firstLine="20"/>
              <w:jc w:val="right"/>
              <w:rPr/>
            </w:pPr>
            <w:hyperlink w:anchor="P1I12">
              <w:r>
                <w:rPr>
                  <w:rStyle w:val="InternetLink"/>
                  <w:rFonts w:ascii="Times New Roman" w:hAnsi="Times New Roman"/>
                  <w:caps w:val="false"/>
                  <w:smallCaps w:val="false"/>
                  <w:sz w:val="20"/>
                </w:rPr>
                <w:t>100</w:t>
              </w:r>
            </w:hyperlink>
          </w:p>
        </w:tc>
      </w:tr>
      <w:tr>
        <w:trPr/>
        <w:tc>
          <w:tcPr>
            <w:tcW w:w="9250" w:type="dxa"/>
            <w:tcBorders/>
            <w:vAlign w:val="center"/>
          </w:tcPr>
          <w:p>
            <w:pPr>
              <w:pStyle w:val="TableContents"/>
              <w:bidi w:val="0"/>
              <w:spacing w:before="0" w:after="0"/>
              <w:ind w:left="0" w:right="0" w:firstLine="20"/>
              <w:jc w:val="left"/>
              <w:rPr/>
            </w:pPr>
            <w:hyperlink w:anchor="P1I12A">
              <w:r>
                <w:rPr>
                  <w:rStyle w:val="InternetLink"/>
                  <w:rFonts w:ascii="Times New Roman" w:hAnsi="Times New Roman"/>
                  <w:caps w:val="false"/>
                  <w:smallCaps w:val="false"/>
                  <w:sz w:val="20"/>
                  <w:u w:val="single"/>
                </w:rPr>
                <w:t>A. Debt Securities.</w:t>
              </w:r>
            </w:hyperlink>
          </w:p>
        </w:tc>
        <w:tc>
          <w:tcPr>
            <w:tcW w:w="355" w:type="dxa"/>
            <w:tcBorders/>
            <w:vAlign w:val="center"/>
          </w:tcPr>
          <w:p>
            <w:pPr>
              <w:pStyle w:val="TableContents"/>
              <w:bidi w:val="0"/>
              <w:spacing w:before="0" w:after="0"/>
              <w:ind w:left="160" w:right="0" w:firstLine="20"/>
              <w:jc w:val="right"/>
              <w:rPr/>
            </w:pPr>
            <w:hyperlink w:anchor="P1I12A">
              <w:r>
                <w:rPr>
                  <w:rStyle w:val="InternetLink"/>
                  <w:rFonts w:ascii="Times New Roman" w:hAnsi="Times New Roman"/>
                  <w:caps w:val="false"/>
                  <w:smallCaps w:val="false"/>
                  <w:sz w:val="20"/>
                </w:rPr>
                <w:t>100</w:t>
              </w:r>
            </w:hyperlink>
          </w:p>
        </w:tc>
      </w:tr>
      <w:tr>
        <w:trPr/>
        <w:tc>
          <w:tcPr>
            <w:tcW w:w="9250" w:type="dxa"/>
            <w:tcBorders/>
            <w:vAlign w:val="center"/>
          </w:tcPr>
          <w:p>
            <w:pPr>
              <w:pStyle w:val="TableContents"/>
              <w:bidi w:val="0"/>
              <w:spacing w:before="0" w:after="0"/>
              <w:ind w:left="0" w:right="0" w:firstLine="20"/>
              <w:jc w:val="left"/>
              <w:rPr/>
            </w:pPr>
            <w:hyperlink w:anchor="P1I12B">
              <w:r>
                <w:rPr>
                  <w:rStyle w:val="InternetLink"/>
                  <w:rFonts w:ascii="Times New Roman" w:hAnsi="Times New Roman"/>
                  <w:caps w:val="false"/>
                  <w:smallCaps w:val="false"/>
                  <w:sz w:val="20"/>
                  <w:u w:val="single"/>
                </w:rPr>
                <w:t>B. Warrants and rights.</w:t>
              </w:r>
            </w:hyperlink>
          </w:p>
        </w:tc>
        <w:tc>
          <w:tcPr>
            <w:tcW w:w="355" w:type="dxa"/>
            <w:tcBorders/>
            <w:vAlign w:val="center"/>
          </w:tcPr>
          <w:p>
            <w:pPr>
              <w:pStyle w:val="TableContents"/>
              <w:bidi w:val="0"/>
              <w:spacing w:before="0" w:after="0"/>
              <w:ind w:left="160" w:right="0" w:firstLine="20"/>
              <w:jc w:val="right"/>
              <w:rPr/>
            </w:pPr>
            <w:hyperlink w:anchor="P1I12B">
              <w:r>
                <w:rPr>
                  <w:rStyle w:val="InternetLink"/>
                  <w:rFonts w:ascii="Times New Roman" w:hAnsi="Times New Roman"/>
                  <w:caps w:val="false"/>
                  <w:smallCaps w:val="false"/>
                  <w:sz w:val="20"/>
                </w:rPr>
                <w:t>100</w:t>
              </w:r>
            </w:hyperlink>
          </w:p>
        </w:tc>
      </w:tr>
      <w:tr>
        <w:trPr/>
        <w:tc>
          <w:tcPr>
            <w:tcW w:w="9250" w:type="dxa"/>
            <w:tcBorders/>
            <w:vAlign w:val="center"/>
          </w:tcPr>
          <w:p>
            <w:pPr>
              <w:pStyle w:val="TableContents"/>
              <w:bidi w:val="0"/>
              <w:spacing w:before="0" w:after="0"/>
              <w:ind w:left="0" w:right="0" w:firstLine="20"/>
              <w:jc w:val="left"/>
              <w:rPr/>
            </w:pPr>
            <w:hyperlink w:anchor="P1I12C">
              <w:r>
                <w:rPr>
                  <w:rStyle w:val="InternetLink"/>
                  <w:rFonts w:ascii="Times New Roman" w:hAnsi="Times New Roman"/>
                  <w:caps w:val="false"/>
                  <w:smallCaps w:val="false"/>
                  <w:sz w:val="20"/>
                  <w:u w:val="single"/>
                </w:rPr>
                <w:t>C. Other Securities.</w:t>
              </w:r>
            </w:hyperlink>
          </w:p>
        </w:tc>
        <w:tc>
          <w:tcPr>
            <w:tcW w:w="355" w:type="dxa"/>
            <w:tcBorders/>
            <w:vAlign w:val="center"/>
          </w:tcPr>
          <w:p>
            <w:pPr>
              <w:pStyle w:val="TableContents"/>
              <w:bidi w:val="0"/>
              <w:spacing w:before="0" w:after="0"/>
              <w:ind w:left="160" w:right="0" w:firstLine="20"/>
              <w:jc w:val="right"/>
              <w:rPr/>
            </w:pPr>
            <w:hyperlink w:anchor="P1I12C">
              <w:r>
                <w:rPr>
                  <w:rStyle w:val="InternetLink"/>
                  <w:rFonts w:ascii="Times New Roman" w:hAnsi="Times New Roman"/>
                  <w:caps w:val="false"/>
                  <w:smallCaps w:val="false"/>
                  <w:sz w:val="20"/>
                </w:rPr>
                <w:t>100</w:t>
              </w:r>
            </w:hyperlink>
          </w:p>
        </w:tc>
      </w:tr>
      <w:tr>
        <w:trPr/>
        <w:tc>
          <w:tcPr>
            <w:tcW w:w="9250" w:type="dxa"/>
            <w:tcBorders/>
            <w:vAlign w:val="center"/>
          </w:tcPr>
          <w:p>
            <w:pPr>
              <w:pStyle w:val="TableContents"/>
              <w:bidi w:val="0"/>
              <w:spacing w:before="0" w:after="0"/>
              <w:ind w:left="0" w:right="0" w:firstLine="20"/>
              <w:jc w:val="left"/>
              <w:rPr/>
            </w:pPr>
            <w:hyperlink w:anchor="P1I12D">
              <w:r>
                <w:rPr>
                  <w:rStyle w:val="InternetLink"/>
                  <w:rFonts w:ascii="Times New Roman" w:hAnsi="Times New Roman"/>
                  <w:caps w:val="false"/>
                  <w:smallCaps w:val="false"/>
                  <w:sz w:val="20"/>
                  <w:u w:val="single"/>
                </w:rPr>
                <w:t>D. American Depositary Shares</w:t>
              </w:r>
            </w:hyperlink>
          </w:p>
        </w:tc>
        <w:tc>
          <w:tcPr>
            <w:tcW w:w="355" w:type="dxa"/>
            <w:tcBorders/>
            <w:vAlign w:val="center"/>
          </w:tcPr>
          <w:p>
            <w:pPr>
              <w:pStyle w:val="TableContents"/>
              <w:bidi w:val="0"/>
              <w:spacing w:before="0" w:after="0"/>
              <w:ind w:left="160" w:right="0" w:firstLine="20"/>
              <w:jc w:val="right"/>
              <w:rPr/>
            </w:pPr>
            <w:hyperlink w:anchor="P1I12D">
              <w:r>
                <w:rPr>
                  <w:rStyle w:val="InternetLink"/>
                  <w:rFonts w:ascii="Times New Roman" w:hAnsi="Times New Roman"/>
                  <w:caps w:val="false"/>
                  <w:smallCaps w:val="false"/>
                  <w:sz w:val="20"/>
                </w:rPr>
                <w:t>100</w:t>
              </w:r>
            </w:hyperlink>
          </w:p>
        </w:tc>
      </w:tr>
      <w:tr>
        <w:trPr/>
        <w:tc>
          <w:tcPr>
            <w:tcW w:w="9250" w:type="dxa"/>
            <w:tcBorders/>
            <w:vAlign w:val="center"/>
          </w:tcPr>
          <w:p>
            <w:pPr>
              <w:pStyle w:val="TableContents"/>
              <w:bidi w:val="0"/>
              <w:spacing w:before="0" w:after="0"/>
              <w:ind w:left="0" w:right="0" w:firstLine="20"/>
              <w:jc w:val="left"/>
              <w:rPr/>
            </w:pPr>
            <w:hyperlink w:anchor="P2">
              <w:r>
                <w:rPr>
                  <w:rStyle w:val="InternetLink"/>
                  <w:rFonts w:ascii="Times New Roman" w:hAnsi="Times New Roman"/>
                  <w:caps w:val="false"/>
                  <w:smallCaps w:val="false"/>
                  <w:sz w:val="20"/>
                  <w:u w:val="single"/>
                </w:rPr>
                <w:t>PART II.</w:t>
              </w:r>
            </w:hyperlink>
          </w:p>
        </w:tc>
        <w:tc>
          <w:tcPr>
            <w:tcW w:w="355" w:type="dxa"/>
            <w:tcBorders/>
            <w:vAlign w:val="center"/>
          </w:tcPr>
          <w:p>
            <w:pPr>
              <w:pStyle w:val="TableContents"/>
              <w:bidi w:val="0"/>
              <w:spacing w:before="0" w:after="0"/>
              <w:ind w:left="160" w:right="0" w:firstLine="20"/>
              <w:jc w:val="right"/>
              <w:rPr/>
            </w:pPr>
            <w:hyperlink w:anchor="P2">
              <w:r>
                <w:rPr>
                  <w:rStyle w:val="InternetLink"/>
                  <w:rFonts w:ascii="Times New Roman" w:hAnsi="Times New Roman"/>
                  <w:caps w:val="false"/>
                  <w:smallCaps w:val="false"/>
                  <w:sz w:val="20"/>
                </w:rPr>
                <w:t>101</w:t>
              </w:r>
            </w:hyperlink>
          </w:p>
        </w:tc>
      </w:tr>
      <w:tr>
        <w:trPr/>
        <w:tc>
          <w:tcPr>
            <w:tcW w:w="9250" w:type="dxa"/>
            <w:tcBorders/>
            <w:vAlign w:val="center"/>
          </w:tcPr>
          <w:p>
            <w:pPr>
              <w:pStyle w:val="TableContents"/>
              <w:bidi w:val="0"/>
              <w:spacing w:before="0" w:after="0"/>
              <w:ind w:left="0" w:right="0" w:firstLine="20"/>
              <w:jc w:val="left"/>
              <w:rPr/>
            </w:pPr>
            <w:hyperlink w:anchor="P2I13">
              <w:r>
                <w:rPr>
                  <w:rStyle w:val="InternetLink"/>
                  <w:rFonts w:ascii="Times New Roman" w:hAnsi="Times New Roman"/>
                  <w:caps w:val="false"/>
                  <w:smallCaps w:val="false"/>
                  <w:sz w:val="20"/>
                  <w:u w:val="single"/>
                </w:rPr>
                <w:t>ITEM 13. DEFAULTS, DIVIDEND ARREARAGES AND DELINQUENCIES</w:t>
              </w:r>
            </w:hyperlink>
          </w:p>
        </w:tc>
        <w:tc>
          <w:tcPr>
            <w:tcW w:w="355" w:type="dxa"/>
            <w:tcBorders/>
            <w:vAlign w:val="center"/>
          </w:tcPr>
          <w:p>
            <w:pPr>
              <w:pStyle w:val="TableContents"/>
              <w:bidi w:val="0"/>
              <w:spacing w:before="0" w:after="0"/>
              <w:ind w:left="160" w:right="0" w:firstLine="20"/>
              <w:jc w:val="right"/>
              <w:rPr/>
            </w:pPr>
            <w:hyperlink w:anchor="P2I13">
              <w:r>
                <w:rPr>
                  <w:rStyle w:val="InternetLink"/>
                  <w:rFonts w:ascii="Times New Roman" w:hAnsi="Times New Roman"/>
                  <w:caps w:val="false"/>
                  <w:smallCaps w:val="false"/>
                  <w:sz w:val="20"/>
                </w:rPr>
                <w:t>101</w:t>
              </w:r>
            </w:hyperlink>
          </w:p>
        </w:tc>
      </w:tr>
      <w:tr>
        <w:trPr/>
        <w:tc>
          <w:tcPr>
            <w:tcW w:w="9250" w:type="dxa"/>
            <w:tcBorders/>
            <w:vAlign w:val="center"/>
          </w:tcPr>
          <w:p>
            <w:pPr>
              <w:pStyle w:val="TableContents"/>
              <w:bidi w:val="0"/>
              <w:spacing w:before="0" w:after="0"/>
              <w:ind w:left="0" w:right="0" w:firstLine="20"/>
              <w:jc w:val="left"/>
              <w:rPr/>
            </w:pPr>
            <w:hyperlink w:anchor="P2I14">
              <w:r>
                <w:rPr>
                  <w:rStyle w:val="InternetLink"/>
                  <w:rFonts w:ascii="Times New Roman" w:hAnsi="Times New Roman"/>
                  <w:caps w:val="false"/>
                  <w:smallCaps w:val="false"/>
                  <w:sz w:val="20"/>
                  <w:u w:val="single"/>
                </w:rPr>
                <w:t>ITEM 14. MATERIAL MODIFICATIONS TO THE RIGHTS OF SECURITY HOLDERS AND USE OF PROCEEDS</w:t>
              </w:r>
            </w:hyperlink>
          </w:p>
        </w:tc>
        <w:tc>
          <w:tcPr>
            <w:tcW w:w="355" w:type="dxa"/>
            <w:tcBorders/>
            <w:vAlign w:val="center"/>
          </w:tcPr>
          <w:p>
            <w:pPr>
              <w:pStyle w:val="TableContents"/>
              <w:bidi w:val="0"/>
              <w:spacing w:before="0" w:after="0"/>
              <w:ind w:left="160" w:right="0" w:firstLine="20"/>
              <w:jc w:val="right"/>
              <w:rPr/>
            </w:pPr>
            <w:hyperlink w:anchor="P2I14">
              <w:r>
                <w:rPr>
                  <w:rStyle w:val="InternetLink"/>
                  <w:rFonts w:ascii="Times New Roman" w:hAnsi="Times New Roman"/>
                  <w:caps w:val="false"/>
                  <w:smallCaps w:val="false"/>
                  <w:sz w:val="20"/>
                </w:rPr>
                <w:t>101</w:t>
              </w:r>
            </w:hyperlink>
          </w:p>
        </w:tc>
      </w:tr>
      <w:tr>
        <w:trPr/>
        <w:tc>
          <w:tcPr>
            <w:tcW w:w="9250" w:type="dxa"/>
            <w:tcBorders/>
            <w:vAlign w:val="center"/>
          </w:tcPr>
          <w:p>
            <w:pPr>
              <w:pStyle w:val="TableContents"/>
              <w:bidi w:val="0"/>
              <w:spacing w:before="0" w:after="0"/>
              <w:ind w:left="0" w:right="0" w:firstLine="20"/>
              <w:jc w:val="left"/>
              <w:rPr/>
            </w:pPr>
            <w:hyperlink w:anchor="P2I15">
              <w:r>
                <w:rPr>
                  <w:rStyle w:val="InternetLink"/>
                  <w:rFonts w:ascii="Times New Roman" w:hAnsi="Times New Roman"/>
                  <w:caps w:val="false"/>
                  <w:smallCaps w:val="false"/>
                  <w:sz w:val="20"/>
                  <w:u w:val="single"/>
                </w:rPr>
                <w:t>ITEM 15. CONTROLS AND PROCEDURES</w:t>
              </w:r>
            </w:hyperlink>
          </w:p>
        </w:tc>
        <w:tc>
          <w:tcPr>
            <w:tcW w:w="355" w:type="dxa"/>
            <w:tcBorders/>
            <w:vAlign w:val="center"/>
          </w:tcPr>
          <w:p>
            <w:pPr>
              <w:pStyle w:val="TableContents"/>
              <w:bidi w:val="0"/>
              <w:spacing w:before="0" w:after="0"/>
              <w:ind w:left="160" w:right="0" w:firstLine="20"/>
              <w:jc w:val="right"/>
              <w:rPr/>
            </w:pPr>
            <w:hyperlink w:anchor="P2I15">
              <w:r>
                <w:rPr>
                  <w:rStyle w:val="InternetLink"/>
                  <w:rFonts w:ascii="Times New Roman" w:hAnsi="Times New Roman"/>
                  <w:caps w:val="false"/>
                  <w:smallCaps w:val="false"/>
                  <w:sz w:val="20"/>
                </w:rPr>
                <w:t>101</w:t>
              </w:r>
            </w:hyperlink>
          </w:p>
        </w:tc>
      </w:tr>
      <w:tr>
        <w:trPr/>
        <w:tc>
          <w:tcPr>
            <w:tcW w:w="9250" w:type="dxa"/>
            <w:tcBorders/>
            <w:vAlign w:val="center"/>
          </w:tcPr>
          <w:p>
            <w:pPr>
              <w:pStyle w:val="TableContents"/>
              <w:bidi w:val="0"/>
              <w:spacing w:before="0" w:after="0"/>
              <w:ind w:left="0" w:right="0" w:firstLine="20"/>
              <w:jc w:val="left"/>
              <w:rPr/>
            </w:pPr>
            <w:hyperlink w:anchor="P2I15A">
              <w:r>
                <w:rPr>
                  <w:rStyle w:val="InternetLink"/>
                  <w:rFonts w:ascii="Times New Roman" w:hAnsi="Times New Roman"/>
                  <w:caps w:val="false"/>
                  <w:smallCaps w:val="false"/>
                  <w:sz w:val="20"/>
                  <w:u w:val="single"/>
                </w:rPr>
                <w:t>A. Disclosure Controls and Procedures</w:t>
              </w:r>
            </w:hyperlink>
          </w:p>
        </w:tc>
        <w:tc>
          <w:tcPr>
            <w:tcW w:w="355" w:type="dxa"/>
            <w:tcBorders/>
            <w:vAlign w:val="center"/>
          </w:tcPr>
          <w:p>
            <w:pPr>
              <w:pStyle w:val="TableContents"/>
              <w:bidi w:val="0"/>
              <w:spacing w:before="0" w:after="0"/>
              <w:ind w:left="160" w:right="0" w:firstLine="20"/>
              <w:jc w:val="right"/>
              <w:rPr/>
            </w:pPr>
            <w:hyperlink w:anchor="P2I15A">
              <w:r>
                <w:rPr>
                  <w:rStyle w:val="InternetLink"/>
                  <w:rFonts w:ascii="Times New Roman" w:hAnsi="Times New Roman"/>
                  <w:caps w:val="false"/>
                  <w:smallCaps w:val="false"/>
                  <w:sz w:val="20"/>
                </w:rPr>
                <w:t>101</w:t>
              </w:r>
            </w:hyperlink>
          </w:p>
        </w:tc>
      </w:tr>
      <w:tr>
        <w:trPr/>
        <w:tc>
          <w:tcPr>
            <w:tcW w:w="9250" w:type="dxa"/>
            <w:tcBorders/>
            <w:vAlign w:val="center"/>
          </w:tcPr>
          <w:p>
            <w:pPr>
              <w:pStyle w:val="TableContents"/>
              <w:bidi w:val="0"/>
              <w:spacing w:before="0" w:after="0"/>
              <w:ind w:left="0" w:right="0" w:firstLine="20"/>
              <w:jc w:val="left"/>
              <w:rPr/>
            </w:pPr>
            <w:hyperlink w:anchor="P2I15B">
              <w:r>
                <w:rPr>
                  <w:rStyle w:val="InternetLink"/>
                  <w:rFonts w:ascii="Times New Roman" w:hAnsi="Times New Roman"/>
                  <w:caps w:val="false"/>
                  <w:smallCaps w:val="false"/>
                  <w:sz w:val="20"/>
                  <w:u w:val="single"/>
                </w:rPr>
                <w:t>B. Management's Annual Report on Internal Control over Financial Reporting</w:t>
              </w:r>
            </w:hyperlink>
          </w:p>
        </w:tc>
        <w:tc>
          <w:tcPr>
            <w:tcW w:w="355" w:type="dxa"/>
            <w:tcBorders/>
            <w:vAlign w:val="center"/>
          </w:tcPr>
          <w:p>
            <w:pPr>
              <w:pStyle w:val="TableContents"/>
              <w:bidi w:val="0"/>
              <w:spacing w:before="0" w:after="0"/>
              <w:ind w:left="160" w:right="0" w:firstLine="20"/>
              <w:jc w:val="right"/>
              <w:rPr/>
            </w:pPr>
            <w:hyperlink w:anchor="P2I15B">
              <w:r>
                <w:rPr>
                  <w:rStyle w:val="InternetLink"/>
                  <w:rFonts w:ascii="Times New Roman" w:hAnsi="Times New Roman"/>
                  <w:caps w:val="false"/>
                  <w:smallCaps w:val="false"/>
                  <w:sz w:val="20"/>
                </w:rPr>
                <w:t>101</w:t>
              </w:r>
            </w:hyperlink>
          </w:p>
        </w:tc>
      </w:tr>
      <w:tr>
        <w:trPr/>
        <w:tc>
          <w:tcPr>
            <w:tcW w:w="9250" w:type="dxa"/>
            <w:tcBorders/>
            <w:vAlign w:val="center"/>
          </w:tcPr>
          <w:p>
            <w:pPr>
              <w:pStyle w:val="TableContents"/>
              <w:bidi w:val="0"/>
              <w:spacing w:before="0" w:after="0"/>
              <w:ind w:left="0" w:right="0" w:firstLine="20"/>
              <w:jc w:val="left"/>
              <w:rPr/>
            </w:pPr>
            <w:hyperlink w:anchor="P2I15C">
              <w:r>
                <w:rPr>
                  <w:rStyle w:val="InternetLink"/>
                  <w:rFonts w:ascii="Times New Roman" w:hAnsi="Times New Roman"/>
                  <w:caps w:val="false"/>
                  <w:smallCaps w:val="false"/>
                  <w:sz w:val="20"/>
                  <w:u w:val="single"/>
                </w:rPr>
                <w:t>C. Attestation Report of the Registered Public Accounting Firm</w:t>
              </w:r>
            </w:hyperlink>
          </w:p>
        </w:tc>
        <w:tc>
          <w:tcPr>
            <w:tcW w:w="355" w:type="dxa"/>
            <w:tcBorders/>
            <w:vAlign w:val="center"/>
          </w:tcPr>
          <w:p>
            <w:pPr>
              <w:pStyle w:val="TableContents"/>
              <w:bidi w:val="0"/>
              <w:spacing w:before="0" w:after="0"/>
              <w:ind w:left="160" w:right="0" w:firstLine="20"/>
              <w:jc w:val="right"/>
              <w:rPr/>
            </w:pPr>
            <w:hyperlink w:anchor="P2I15C">
              <w:r>
                <w:rPr>
                  <w:rStyle w:val="InternetLink"/>
                  <w:rFonts w:ascii="Times New Roman" w:hAnsi="Times New Roman"/>
                  <w:caps w:val="false"/>
                  <w:smallCaps w:val="false"/>
                  <w:sz w:val="20"/>
                </w:rPr>
                <w:t>102</w:t>
              </w:r>
            </w:hyperlink>
          </w:p>
        </w:tc>
      </w:tr>
      <w:tr>
        <w:trPr/>
        <w:tc>
          <w:tcPr>
            <w:tcW w:w="9250" w:type="dxa"/>
            <w:tcBorders/>
            <w:vAlign w:val="center"/>
          </w:tcPr>
          <w:p>
            <w:pPr>
              <w:pStyle w:val="TableContents"/>
              <w:bidi w:val="0"/>
              <w:spacing w:before="0" w:after="0"/>
              <w:ind w:left="0" w:right="0" w:firstLine="20"/>
              <w:jc w:val="left"/>
              <w:rPr/>
            </w:pPr>
            <w:hyperlink w:anchor="P2I15D">
              <w:r>
                <w:rPr>
                  <w:rStyle w:val="InternetLink"/>
                  <w:rFonts w:ascii="Times New Roman" w:hAnsi="Times New Roman"/>
                  <w:caps w:val="false"/>
                  <w:smallCaps w:val="false"/>
                  <w:sz w:val="20"/>
                  <w:u w:val="single"/>
                </w:rPr>
                <w:t>D. Changes in Internal Control over Financial Reporting</w:t>
              </w:r>
            </w:hyperlink>
          </w:p>
        </w:tc>
        <w:tc>
          <w:tcPr>
            <w:tcW w:w="355" w:type="dxa"/>
            <w:tcBorders/>
            <w:vAlign w:val="center"/>
          </w:tcPr>
          <w:p>
            <w:pPr>
              <w:pStyle w:val="TableContents"/>
              <w:bidi w:val="0"/>
              <w:spacing w:before="0" w:after="0"/>
              <w:ind w:left="160" w:right="0" w:firstLine="20"/>
              <w:jc w:val="right"/>
              <w:rPr/>
            </w:pPr>
            <w:hyperlink w:anchor="P2I15D">
              <w:r>
                <w:rPr>
                  <w:rStyle w:val="InternetLink"/>
                  <w:rFonts w:ascii="Times New Roman" w:hAnsi="Times New Roman"/>
                  <w:caps w:val="false"/>
                  <w:smallCaps w:val="false"/>
                  <w:sz w:val="20"/>
                </w:rPr>
                <w:t>102</w:t>
              </w:r>
            </w:hyperlink>
          </w:p>
        </w:tc>
      </w:tr>
      <w:tr>
        <w:trPr/>
        <w:tc>
          <w:tcPr>
            <w:tcW w:w="9250" w:type="dxa"/>
            <w:tcBorders/>
            <w:vAlign w:val="center"/>
          </w:tcPr>
          <w:p>
            <w:pPr>
              <w:pStyle w:val="TableContents"/>
              <w:bidi w:val="0"/>
              <w:spacing w:before="0" w:after="0"/>
              <w:ind w:left="0" w:right="0" w:firstLine="20"/>
              <w:jc w:val="left"/>
              <w:rPr/>
            </w:pPr>
            <w:hyperlink w:anchor="Item16A">
              <w:r>
                <w:rPr>
                  <w:rStyle w:val="InternetLink"/>
                  <w:rFonts w:ascii="Times New Roman" w:hAnsi="Times New Roman"/>
                  <w:caps w:val="false"/>
                  <w:smallCaps w:val="false"/>
                  <w:sz w:val="20"/>
                  <w:u w:val="single"/>
                </w:rPr>
                <w:t>ITEM 16A. AUDIT COMMITTEE FINANCIAL EXPERT</w:t>
              </w:r>
            </w:hyperlink>
          </w:p>
        </w:tc>
        <w:tc>
          <w:tcPr>
            <w:tcW w:w="355" w:type="dxa"/>
            <w:tcBorders/>
            <w:vAlign w:val="center"/>
          </w:tcPr>
          <w:p>
            <w:pPr>
              <w:pStyle w:val="TableContents"/>
              <w:bidi w:val="0"/>
              <w:spacing w:before="0" w:after="0"/>
              <w:ind w:left="160" w:right="0" w:firstLine="20"/>
              <w:jc w:val="right"/>
              <w:rPr/>
            </w:pPr>
            <w:hyperlink w:anchor="Item16A">
              <w:r>
                <w:rPr>
                  <w:rStyle w:val="InternetLink"/>
                  <w:rFonts w:ascii="Times New Roman" w:hAnsi="Times New Roman"/>
                  <w:caps w:val="false"/>
                  <w:smallCaps w:val="false"/>
                  <w:sz w:val="20"/>
                </w:rPr>
                <w:t>102</w:t>
              </w:r>
            </w:hyperlink>
          </w:p>
        </w:tc>
      </w:tr>
      <w:tr>
        <w:trPr/>
        <w:tc>
          <w:tcPr>
            <w:tcW w:w="9250" w:type="dxa"/>
            <w:tcBorders/>
            <w:vAlign w:val="center"/>
          </w:tcPr>
          <w:p>
            <w:pPr>
              <w:pStyle w:val="TableContents"/>
              <w:bidi w:val="0"/>
              <w:spacing w:before="0" w:after="0"/>
              <w:ind w:left="0" w:right="0" w:firstLine="20"/>
              <w:jc w:val="left"/>
              <w:rPr/>
            </w:pPr>
            <w:hyperlink w:anchor="Item16B">
              <w:r>
                <w:rPr>
                  <w:rStyle w:val="InternetLink"/>
                  <w:rFonts w:ascii="Times New Roman" w:hAnsi="Times New Roman"/>
                  <w:caps w:val="false"/>
                  <w:smallCaps w:val="false"/>
                  <w:sz w:val="20"/>
                  <w:u w:val="single"/>
                </w:rPr>
                <w:t>ITEM 16B. CODE OF ETHICS</w:t>
              </w:r>
            </w:hyperlink>
          </w:p>
        </w:tc>
        <w:tc>
          <w:tcPr>
            <w:tcW w:w="355" w:type="dxa"/>
            <w:tcBorders/>
            <w:vAlign w:val="center"/>
          </w:tcPr>
          <w:p>
            <w:pPr>
              <w:pStyle w:val="TableContents"/>
              <w:bidi w:val="0"/>
              <w:spacing w:before="0" w:after="0"/>
              <w:ind w:left="160" w:right="0" w:firstLine="20"/>
              <w:jc w:val="right"/>
              <w:rPr/>
            </w:pPr>
            <w:hyperlink w:anchor="Item16B">
              <w:r>
                <w:rPr>
                  <w:rStyle w:val="InternetLink"/>
                  <w:rFonts w:ascii="Times New Roman" w:hAnsi="Times New Roman"/>
                  <w:caps w:val="false"/>
                  <w:smallCaps w:val="false"/>
                  <w:sz w:val="20"/>
                </w:rPr>
                <w:t>102</w:t>
              </w:r>
            </w:hyperlink>
          </w:p>
        </w:tc>
      </w:tr>
      <w:tr>
        <w:trPr/>
        <w:tc>
          <w:tcPr>
            <w:tcW w:w="9250" w:type="dxa"/>
            <w:tcBorders/>
            <w:vAlign w:val="center"/>
          </w:tcPr>
          <w:p>
            <w:pPr>
              <w:pStyle w:val="TableContents"/>
              <w:bidi w:val="0"/>
              <w:spacing w:before="0" w:after="0"/>
              <w:ind w:left="0" w:right="0" w:firstLine="20"/>
              <w:jc w:val="left"/>
              <w:rPr/>
            </w:pPr>
            <w:hyperlink w:anchor="Item16C">
              <w:r>
                <w:rPr>
                  <w:rStyle w:val="InternetLink"/>
                  <w:rFonts w:ascii="Times New Roman" w:hAnsi="Times New Roman"/>
                  <w:caps w:val="false"/>
                  <w:smallCaps w:val="false"/>
                  <w:sz w:val="20"/>
                  <w:u w:val="single"/>
                </w:rPr>
                <w:t>ITEM 16C. PRINCIPAL ACCOUNTANT FEES AND SERVICES</w:t>
              </w:r>
            </w:hyperlink>
          </w:p>
        </w:tc>
        <w:tc>
          <w:tcPr>
            <w:tcW w:w="355" w:type="dxa"/>
            <w:tcBorders/>
            <w:vAlign w:val="center"/>
          </w:tcPr>
          <w:p>
            <w:pPr>
              <w:pStyle w:val="TableContents"/>
              <w:bidi w:val="0"/>
              <w:spacing w:before="0" w:after="0"/>
              <w:ind w:left="160" w:right="0" w:firstLine="20"/>
              <w:jc w:val="right"/>
              <w:rPr/>
            </w:pPr>
            <w:hyperlink w:anchor="Item16C">
              <w:r>
                <w:rPr>
                  <w:rStyle w:val="InternetLink"/>
                  <w:rFonts w:ascii="Times New Roman" w:hAnsi="Times New Roman"/>
                  <w:caps w:val="false"/>
                  <w:smallCaps w:val="false"/>
                  <w:sz w:val="20"/>
                </w:rPr>
                <w:t>103</w:t>
              </w:r>
            </w:hyperlink>
          </w:p>
        </w:tc>
      </w:tr>
      <w:tr>
        <w:trPr/>
        <w:tc>
          <w:tcPr>
            <w:tcW w:w="9250" w:type="dxa"/>
            <w:tcBorders/>
            <w:vAlign w:val="center"/>
          </w:tcPr>
          <w:p>
            <w:pPr>
              <w:pStyle w:val="TableContents"/>
              <w:bidi w:val="0"/>
              <w:spacing w:before="0" w:after="0"/>
              <w:ind w:left="0" w:right="0" w:firstLine="20"/>
              <w:jc w:val="left"/>
              <w:rPr/>
            </w:pPr>
            <w:hyperlink w:anchor="Item_16D">
              <w:r>
                <w:rPr>
                  <w:rStyle w:val="InternetLink"/>
                  <w:rFonts w:ascii="Times New Roman" w:hAnsi="Times New Roman"/>
                  <w:caps w:val="false"/>
                  <w:smallCaps w:val="false"/>
                  <w:sz w:val="20"/>
                  <w:u w:val="single"/>
                </w:rPr>
                <w:t>ITEM 16D. EXEMPTIONS FROM THE LISTING STANDARDS FOR AUDIT COMMITTEES</w:t>
              </w:r>
            </w:hyperlink>
          </w:p>
        </w:tc>
        <w:tc>
          <w:tcPr>
            <w:tcW w:w="355" w:type="dxa"/>
            <w:tcBorders/>
            <w:vAlign w:val="center"/>
          </w:tcPr>
          <w:p>
            <w:pPr>
              <w:pStyle w:val="TableContents"/>
              <w:bidi w:val="0"/>
              <w:spacing w:before="0" w:after="0"/>
              <w:ind w:left="160" w:right="0" w:firstLine="20"/>
              <w:jc w:val="right"/>
              <w:rPr/>
            </w:pPr>
            <w:hyperlink w:anchor="Item_16D">
              <w:r>
                <w:rPr>
                  <w:rStyle w:val="InternetLink"/>
                  <w:rFonts w:ascii="Times New Roman" w:hAnsi="Times New Roman"/>
                  <w:caps w:val="false"/>
                  <w:smallCaps w:val="false"/>
                  <w:sz w:val="20"/>
                </w:rPr>
                <w:t>104</w:t>
              </w:r>
            </w:hyperlink>
          </w:p>
        </w:tc>
      </w:tr>
      <w:tr>
        <w:trPr/>
        <w:tc>
          <w:tcPr>
            <w:tcW w:w="9250" w:type="dxa"/>
            <w:tcBorders/>
            <w:vAlign w:val="center"/>
          </w:tcPr>
          <w:p>
            <w:pPr>
              <w:pStyle w:val="TableContents"/>
              <w:bidi w:val="0"/>
              <w:spacing w:before="0" w:after="0"/>
              <w:ind w:left="0" w:right="0" w:firstLine="20"/>
              <w:jc w:val="left"/>
              <w:rPr/>
            </w:pPr>
            <w:hyperlink w:anchor="Item_16E">
              <w:r>
                <w:rPr>
                  <w:rStyle w:val="InternetLink"/>
                  <w:rFonts w:ascii="Times New Roman" w:hAnsi="Times New Roman"/>
                  <w:caps w:val="false"/>
                  <w:smallCaps w:val="false"/>
                  <w:sz w:val="20"/>
                  <w:u w:val="single"/>
                </w:rPr>
                <w:t>ITEM 16E. PURCHASES OF EQUITY SECURITIES BY THE ISSUER AND AFFILIATED PURCHASERS</w:t>
              </w:r>
            </w:hyperlink>
          </w:p>
        </w:tc>
        <w:tc>
          <w:tcPr>
            <w:tcW w:w="355" w:type="dxa"/>
            <w:tcBorders/>
            <w:vAlign w:val="center"/>
          </w:tcPr>
          <w:p>
            <w:pPr>
              <w:pStyle w:val="TableContents"/>
              <w:bidi w:val="0"/>
              <w:spacing w:before="0" w:after="0"/>
              <w:ind w:left="160" w:right="0" w:firstLine="20"/>
              <w:jc w:val="right"/>
              <w:rPr/>
            </w:pPr>
            <w:hyperlink w:anchor="Item_16E">
              <w:r>
                <w:rPr>
                  <w:rStyle w:val="InternetLink"/>
                  <w:rFonts w:ascii="Times New Roman" w:hAnsi="Times New Roman"/>
                  <w:caps w:val="false"/>
                  <w:smallCaps w:val="false"/>
                  <w:sz w:val="20"/>
                </w:rPr>
                <w:t>104</w:t>
              </w:r>
            </w:hyperlink>
          </w:p>
        </w:tc>
      </w:tr>
      <w:tr>
        <w:trPr/>
        <w:tc>
          <w:tcPr>
            <w:tcW w:w="9250" w:type="dxa"/>
            <w:tcBorders/>
            <w:vAlign w:val="center"/>
          </w:tcPr>
          <w:p>
            <w:pPr>
              <w:pStyle w:val="TableContents"/>
              <w:bidi w:val="0"/>
              <w:spacing w:before="0" w:after="0"/>
              <w:ind w:left="0" w:right="0" w:firstLine="20"/>
              <w:jc w:val="left"/>
              <w:rPr/>
            </w:pPr>
            <w:hyperlink w:anchor="Item_16F">
              <w:r>
                <w:rPr>
                  <w:rStyle w:val="InternetLink"/>
                  <w:rFonts w:ascii="Times New Roman" w:hAnsi="Times New Roman"/>
                  <w:caps w:val="false"/>
                  <w:smallCaps w:val="false"/>
                  <w:sz w:val="20"/>
                  <w:u w:val="single"/>
                </w:rPr>
                <w:t>ITEM 16F. CHANGE IN REGISTRANT’S CERTIFYING ACCOUNTANT</w:t>
              </w:r>
            </w:hyperlink>
          </w:p>
        </w:tc>
        <w:tc>
          <w:tcPr>
            <w:tcW w:w="355" w:type="dxa"/>
            <w:tcBorders/>
            <w:vAlign w:val="center"/>
          </w:tcPr>
          <w:p>
            <w:pPr>
              <w:pStyle w:val="TableContents"/>
              <w:bidi w:val="0"/>
              <w:spacing w:before="0" w:after="0"/>
              <w:ind w:left="160" w:right="0" w:firstLine="20"/>
              <w:jc w:val="right"/>
              <w:rPr/>
            </w:pPr>
            <w:hyperlink w:anchor="Item_16F">
              <w:r>
                <w:rPr>
                  <w:rStyle w:val="InternetLink"/>
                  <w:rFonts w:ascii="Times New Roman" w:hAnsi="Times New Roman"/>
                  <w:caps w:val="false"/>
                  <w:smallCaps w:val="false"/>
                  <w:sz w:val="20"/>
                </w:rPr>
                <w:t>104</w:t>
              </w:r>
            </w:hyperlink>
          </w:p>
        </w:tc>
      </w:tr>
      <w:tr>
        <w:trPr/>
        <w:tc>
          <w:tcPr>
            <w:tcW w:w="9250" w:type="dxa"/>
            <w:tcBorders/>
            <w:vAlign w:val="center"/>
          </w:tcPr>
          <w:p>
            <w:pPr>
              <w:pStyle w:val="TableContents"/>
              <w:bidi w:val="0"/>
              <w:spacing w:before="0" w:after="0"/>
              <w:ind w:left="0" w:right="0" w:firstLine="20"/>
              <w:jc w:val="left"/>
              <w:rPr/>
            </w:pPr>
            <w:hyperlink w:anchor="Item_16G">
              <w:r>
                <w:rPr>
                  <w:rStyle w:val="InternetLink"/>
                  <w:rFonts w:ascii="Times New Roman" w:hAnsi="Times New Roman"/>
                  <w:caps w:val="false"/>
                  <w:smallCaps w:val="false"/>
                  <w:sz w:val="20"/>
                  <w:u w:val="single"/>
                </w:rPr>
                <w:t>ITEM 16G. CORPORATE GOVERNANCE</w:t>
              </w:r>
            </w:hyperlink>
          </w:p>
        </w:tc>
        <w:tc>
          <w:tcPr>
            <w:tcW w:w="355" w:type="dxa"/>
            <w:tcBorders/>
            <w:vAlign w:val="center"/>
          </w:tcPr>
          <w:p>
            <w:pPr>
              <w:pStyle w:val="TableContents"/>
              <w:bidi w:val="0"/>
              <w:spacing w:before="0" w:after="0"/>
              <w:ind w:left="160" w:right="0" w:firstLine="20"/>
              <w:jc w:val="right"/>
              <w:rPr/>
            </w:pPr>
            <w:hyperlink w:anchor="Item_16G">
              <w:r>
                <w:rPr>
                  <w:rStyle w:val="InternetLink"/>
                  <w:rFonts w:ascii="Times New Roman" w:hAnsi="Times New Roman"/>
                  <w:caps w:val="false"/>
                  <w:smallCaps w:val="false"/>
                  <w:sz w:val="20"/>
                </w:rPr>
                <w:t>104</w:t>
              </w:r>
            </w:hyperlink>
          </w:p>
        </w:tc>
      </w:tr>
      <w:tr>
        <w:trPr/>
        <w:tc>
          <w:tcPr>
            <w:tcW w:w="9250" w:type="dxa"/>
            <w:tcBorders/>
            <w:vAlign w:val="center"/>
          </w:tcPr>
          <w:p>
            <w:pPr>
              <w:pStyle w:val="TableContents"/>
              <w:bidi w:val="0"/>
              <w:spacing w:before="0" w:after="0"/>
              <w:ind w:left="0" w:right="0" w:firstLine="20"/>
              <w:jc w:val="left"/>
              <w:rPr/>
            </w:pPr>
            <w:hyperlink w:anchor="Item_16H">
              <w:r>
                <w:rPr>
                  <w:rStyle w:val="InternetLink"/>
                  <w:rFonts w:ascii="Times New Roman" w:hAnsi="Times New Roman"/>
                  <w:caps w:val="false"/>
                  <w:smallCaps w:val="false"/>
                  <w:sz w:val="20"/>
                  <w:u w:val="single"/>
                </w:rPr>
                <w:t>ITEM 16H. MINE SAFETY DISCLOSURE</w:t>
              </w:r>
            </w:hyperlink>
          </w:p>
        </w:tc>
        <w:tc>
          <w:tcPr>
            <w:tcW w:w="355" w:type="dxa"/>
            <w:tcBorders/>
            <w:vAlign w:val="center"/>
          </w:tcPr>
          <w:p>
            <w:pPr>
              <w:pStyle w:val="TableContents"/>
              <w:bidi w:val="0"/>
              <w:spacing w:before="0" w:after="0"/>
              <w:ind w:left="160" w:right="0" w:firstLine="20"/>
              <w:jc w:val="right"/>
              <w:rPr/>
            </w:pPr>
            <w:hyperlink w:anchor="Item_16H">
              <w:r>
                <w:rPr>
                  <w:rStyle w:val="InternetLink"/>
                  <w:rFonts w:ascii="Times New Roman" w:hAnsi="Times New Roman"/>
                  <w:caps w:val="false"/>
                  <w:smallCaps w:val="false"/>
                  <w:sz w:val="20"/>
                </w:rPr>
                <w:t>105</w:t>
              </w:r>
            </w:hyperlink>
          </w:p>
        </w:tc>
      </w:tr>
      <w:tr>
        <w:trPr/>
        <w:tc>
          <w:tcPr>
            <w:tcW w:w="9250" w:type="dxa"/>
            <w:tcBorders/>
            <w:vAlign w:val="center"/>
          </w:tcPr>
          <w:p>
            <w:pPr>
              <w:pStyle w:val="TableContents"/>
              <w:bidi w:val="0"/>
              <w:spacing w:before="0" w:after="0"/>
              <w:ind w:left="0" w:right="0" w:firstLine="20"/>
              <w:jc w:val="left"/>
              <w:rPr/>
            </w:pPr>
            <w:hyperlink w:anchor="Item_16I">
              <w:r>
                <w:rPr>
                  <w:rStyle w:val="InternetLink"/>
                  <w:rFonts w:ascii="Times New Roman" w:hAnsi="Times New Roman"/>
                  <w:caps w:val="false"/>
                  <w:smallCaps w:val="false"/>
                  <w:sz w:val="20"/>
                  <w:u w:val="single"/>
                </w:rPr>
                <w:t>ITEM 16I. DISCLOSURE REGARDING FOREIGN JURISDICTIONS THAT PREVENT INSPECTIONS</w:t>
              </w:r>
            </w:hyperlink>
          </w:p>
        </w:tc>
        <w:tc>
          <w:tcPr>
            <w:tcW w:w="355" w:type="dxa"/>
            <w:tcBorders/>
            <w:vAlign w:val="center"/>
          </w:tcPr>
          <w:p>
            <w:pPr>
              <w:pStyle w:val="TableContents"/>
              <w:bidi w:val="0"/>
              <w:spacing w:before="0" w:after="0"/>
              <w:ind w:left="160" w:right="0" w:firstLine="20"/>
              <w:jc w:val="right"/>
              <w:rPr/>
            </w:pPr>
            <w:hyperlink w:anchor="Item_16I">
              <w:r>
                <w:rPr>
                  <w:rStyle w:val="InternetLink"/>
                  <w:rFonts w:ascii="Times New Roman" w:hAnsi="Times New Roman"/>
                  <w:caps w:val="false"/>
                  <w:smallCaps w:val="false"/>
                  <w:sz w:val="20"/>
                </w:rPr>
                <w:t>105</w:t>
              </w:r>
            </w:hyperlink>
          </w:p>
        </w:tc>
      </w:tr>
      <w:tr>
        <w:trPr/>
        <w:tc>
          <w:tcPr>
            <w:tcW w:w="9250" w:type="dxa"/>
            <w:tcBorders/>
            <w:vAlign w:val="center"/>
          </w:tcPr>
          <w:p>
            <w:pPr>
              <w:pStyle w:val="TableContents"/>
              <w:bidi w:val="0"/>
              <w:spacing w:before="0" w:after="0"/>
              <w:ind w:left="0" w:right="0" w:firstLine="20"/>
              <w:jc w:val="left"/>
              <w:rPr/>
            </w:pPr>
            <w:hyperlink w:anchor="P3">
              <w:r>
                <w:rPr>
                  <w:rStyle w:val="InternetLink"/>
                  <w:rFonts w:ascii="Times New Roman" w:hAnsi="Times New Roman"/>
                  <w:caps w:val="false"/>
                  <w:smallCaps w:val="false"/>
                  <w:sz w:val="20"/>
                  <w:u w:val="single"/>
                </w:rPr>
                <w:t>PART III.</w:t>
              </w:r>
            </w:hyperlink>
          </w:p>
        </w:tc>
        <w:tc>
          <w:tcPr>
            <w:tcW w:w="355" w:type="dxa"/>
            <w:tcBorders/>
            <w:vAlign w:val="center"/>
          </w:tcPr>
          <w:p>
            <w:pPr>
              <w:pStyle w:val="TableContents"/>
              <w:bidi w:val="0"/>
              <w:spacing w:before="0" w:after="0"/>
              <w:ind w:left="160" w:right="0" w:firstLine="20"/>
              <w:jc w:val="right"/>
              <w:rPr/>
            </w:pPr>
            <w:hyperlink w:anchor="P3">
              <w:r>
                <w:rPr>
                  <w:rStyle w:val="InternetLink"/>
                  <w:rFonts w:ascii="Times New Roman" w:hAnsi="Times New Roman"/>
                  <w:caps w:val="false"/>
                  <w:smallCaps w:val="false"/>
                  <w:sz w:val="20"/>
                </w:rPr>
                <w:t>105</w:t>
              </w:r>
            </w:hyperlink>
          </w:p>
        </w:tc>
      </w:tr>
      <w:tr>
        <w:trPr/>
        <w:tc>
          <w:tcPr>
            <w:tcW w:w="9250" w:type="dxa"/>
            <w:tcBorders/>
            <w:vAlign w:val="center"/>
          </w:tcPr>
          <w:p>
            <w:pPr>
              <w:pStyle w:val="TableContents"/>
              <w:bidi w:val="0"/>
              <w:spacing w:before="0" w:after="0"/>
              <w:ind w:left="0" w:right="0" w:firstLine="20"/>
              <w:jc w:val="left"/>
              <w:rPr/>
            </w:pPr>
            <w:hyperlink w:anchor="P3I17">
              <w:r>
                <w:rPr>
                  <w:rStyle w:val="InternetLink"/>
                  <w:rFonts w:ascii="Times New Roman" w:hAnsi="Times New Roman"/>
                  <w:caps w:val="false"/>
                  <w:smallCaps w:val="false"/>
                  <w:sz w:val="20"/>
                  <w:u w:val="single"/>
                </w:rPr>
                <w:t>ITEM 17. FINANCIAL STATEMENTS</w:t>
              </w:r>
            </w:hyperlink>
          </w:p>
        </w:tc>
        <w:tc>
          <w:tcPr>
            <w:tcW w:w="355" w:type="dxa"/>
            <w:tcBorders/>
            <w:vAlign w:val="center"/>
          </w:tcPr>
          <w:p>
            <w:pPr>
              <w:pStyle w:val="TableContents"/>
              <w:bidi w:val="0"/>
              <w:spacing w:before="0" w:after="0"/>
              <w:ind w:left="160" w:right="0" w:firstLine="20"/>
              <w:jc w:val="right"/>
              <w:rPr/>
            </w:pPr>
            <w:hyperlink w:anchor="P3I17">
              <w:r>
                <w:rPr>
                  <w:rStyle w:val="InternetLink"/>
                  <w:rFonts w:ascii="Times New Roman" w:hAnsi="Times New Roman"/>
                  <w:caps w:val="false"/>
                  <w:smallCaps w:val="false"/>
                  <w:sz w:val="20"/>
                </w:rPr>
                <w:t>105</w:t>
              </w:r>
            </w:hyperlink>
          </w:p>
        </w:tc>
      </w:tr>
      <w:tr>
        <w:trPr/>
        <w:tc>
          <w:tcPr>
            <w:tcW w:w="9250" w:type="dxa"/>
            <w:tcBorders/>
            <w:vAlign w:val="center"/>
          </w:tcPr>
          <w:p>
            <w:pPr>
              <w:pStyle w:val="TableContents"/>
              <w:bidi w:val="0"/>
              <w:spacing w:before="0" w:after="0"/>
              <w:ind w:left="0" w:right="0" w:firstLine="20"/>
              <w:jc w:val="left"/>
              <w:rPr/>
            </w:pPr>
            <w:hyperlink w:anchor="P3I18">
              <w:r>
                <w:rPr>
                  <w:rStyle w:val="InternetLink"/>
                  <w:rFonts w:ascii="Times New Roman" w:hAnsi="Times New Roman"/>
                  <w:caps w:val="false"/>
                  <w:smallCaps w:val="false"/>
                  <w:sz w:val="20"/>
                  <w:u w:val="single"/>
                </w:rPr>
                <w:t>ITEM 18. FINANCIAL STATEMENTS</w:t>
              </w:r>
            </w:hyperlink>
          </w:p>
        </w:tc>
        <w:tc>
          <w:tcPr>
            <w:tcW w:w="355" w:type="dxa"/>
            <w:tcBorders/>
            <w:vAlign w:val="center"/>
          </w:tcPr>
          <w:p>
            <w:pPr>
              <w:pStyle w:val="TableContents"/>
              <w:bidi w:val="0"/>
              <w:spacing w:before="0" w:after="0"/>
              <w:ind w:left="160" w:right="0" w:firstLine="20"/>
              <w:jc w:val="right"/>
              <w:rPr/>
            </w:pPr>
            <w:hyperlink w:anchor="P3I18">
              <w:r>
                <w:rPr>
                  <w:rStyle w:val="InternetLink"/>
                  <w:rFonts w:ascii="Times New Roman" w:hAnsi="Times New Roman"/>
                  <w:caps w:val="false"/>
                  <w:smallCaps w:val="false"/>
                  <w:sz w:val="20"/>
                </w:rPr>
                <w:t>105</w:t>
              </w:r>
            </w:hyperlink>
          </w:p>
        </w:tc>
      </w:tr>
      <w:tr>
        <w:trPr/>
        <w:tc>
          <w:tcPr>
            <w:tcW w:w="9250" w:type="dxa"/>
            <w:tcBorders/>
            <w:vAlign w:val="center"/>
          </w:tcPr>
          <w:p>
            <w:pPr>
              <w:pStyle w:val="TableContents"/>
              <w:bidi w:val="0"/>
              <w:spacing w:before="0" w:after="0"/>
              <w:ind w:left="0" w:right="0" w:firstLine="20"/>
              <w:jc w:val="left"/>
              <w:rPr/>
            </w:pPr>
            <w:hyperlink w:anchor="P3I19">
              <w:r>
                <w:rPr>
                  <w:rStyle w:val="InternetLink"/>
                  <w:rFonts w:ascii="Times New Roman" w:hAnsi="Times New Roman"/>
                  <w:caps w:val="false"/>
                  <w:smallCaps w:val="false"/>
                  <w:sz w:val="20"/>
                  <w:u w:val="single"/>
                </w:rPr>
                <w:t>ITEM 19. EXHIBITS.</w:t>
              </w:r>
            </w:hyperlink>
          </w:p>
        </w:tc>
        <w:tc>
          <w:tcPr>
            <w:tcW w:w="355" w:type="dxa"/>
            <w:tcBorders/>
            <w:vAlign w:val="center"/>
          </w:tcPr>
          <w:p>
            <w:pPr>
              <w:pStyle w:val="TableContents"/>
              <w:bidi w:val="0"/>
              <w:spacing w:before="0" w:after="0"/>
              <w:ind w:left="160" w:right="0" w:firstLine="20"/>
              <w:jc w:val="right"/>
              <w:rPr/>
            </w:pPr>
            <w:hyperlink w:anchor="P3I19">
              <w:r>
                <w:rPr>
                  <w:rStyle w:val="InternetLink"/>
                  <w:rFonts w:ascii="Times New Roman" w:hAnsi="Times New Roman"/>
                  <w:caps w:val="false"/>
                  <w:smallCaps w:val="false"/>
                  <w:sz w:val="20"/>
                </w:rPr>
                <w:t>106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20"/>
        <w:jc w:val="both"/>
        <w:rPr>
          <w:rFonts w:ascii="Times New Roman" w:hAnsi="Times New Roman"/>
          <w:b/>
          <w:caps w:val="false"/>
          <w:smallCaps w:val="false"/>
          <w:sz w:val="20"/>
        </w:rPr>
      </w:pPr>
      <w:bookmarkStart w:id="2" w:name="Intro"/>
      <w:bookmarkEnd w:id="2"/>
      <w:r>
        <w:rPr>
          <w:rFonts w:ascii="Times New Roman" w:hAnsi="Times New Roman"/>
          <w:b/>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conduct our business through our subsidiary Sono Motors GmbH, a German limited liability company (</w:t>
      </w:r>
      <w:r>
        <w:rPr>
          <w:rFonts w:ascii="Times New Roman" w:hAnsi="Times New Roman"/>
          <w:i/>
          <w:caps w:val="false"/>
          <w:smallCaps w:val="false"/>
          <w:sz w:val="20"/>
        </w:rPr>
        <w:t>Gesellschaft mit beschr</w:t>
      </w:r>
      <w:r>
        <w:rPr>
          <w:rFonts w:ascii="Times New Roman" w:hAnsi="Times New Roman"/>
          <w:caps w:val="false"/>
          <w:smallCaps w:val="false"/>
          <w:sz w:val="20"/>
        </w:rPr>
        <w:t>ä</w:t>
      </w:r>
      <w:r>
        <w:rPr>
          <w:rFonts w:ascii="Times New Roman" w:hAnsi="Times New Roman"/>
          <w:i/>
          <w:caps w:val="false"/>
          <w:smallCaps w:val="false"/>
          <w:sz w:val="20"/>
        </w:rPr>
        <w:t>nkter Haftung</w:t>
      </w:r>
      <w:r>
        <w:rPr>
          <w:rFonts w:ascii="Times New Roman" w:hAnsi="Times New Roman"/>
          <w:caps w:val="false"/>
          <w:smallCaps w:val="false"/>
          <w:sz w:val="20"/>
        </w:rPr>
        <w:t>) (the “Subsidiary”). Unless otherwise indicated or the context otherwise requires, the terms “Sono Motors,” “the Companies,” “we,” “our,” “ours,” “ourselves,” “us” or similar terms refer to Sono Group N.V. together with its subsidiary. The “Company” refers to Sono Group N.V. and the “Subsidiary” refers to Sono Motors GmbH.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The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Through February 2023, the Subsidiary had primarily focused on, and incurred significant expenses for, the development of its Sion passenger car, which it had envisaged to become an affordable solar electric vehicle (the “Sion”). Due to a lack of available funding as a result of adverse market conditions and other factors, at the end of February 2023, the Companies decided to restructure the Subsidiary’s business model to focus exclusively on retrofitting and integrating solar technology into third-party vehicles going forward. At the same time, we decided to discontinue the Sion passenger car program with immediate effect and notified approximately 250 employees about the termination of their employment. A repayment plan was developed to handle customer claims arising from prior advance payments for Sion reservations.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Following the decision to change the Subsidiary’s business model, we continued to face challenges to obtain financing and, after other financing options failed to materialize, the Company’s management ultimately concluded that the Subsidiary was over-indebted and faced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with the Company, in turn, becoming over-indebted and also facing impending illiquidity. As a consequence, management decided to apply for the opening of the self-administration proceedings with respect to the Company and the Subsidiary (the “Self-Administration Proceedings”) with the goal of sustainably restructuring the Company and the Subsidiary in order to preserve Sono Motors’ business and the legal entities. Accordingly, on May 15, 2023, the Company applied to the insolvency court of the local court of Munich, Germany (the “Court”) to permit the opening of a self-administration proceeding (</w:t>
      </w:r>
      <w:r>
        <w:rPr>
          <w:rFonts w:ascii="Times New Roman" w:hAnsi="Times New Roman"/>
          <w:i/>
          <w:caps w:val="false"/>
          <w:smallCaps w:val="false"/>
          <w:sz w:val="20"/>
        </w:rPr>
        <w:t>Eigenverwaltung</w:t>
      </w:r>
      <w:r>
        <w:rPr>
          <w:rFonts w:ascii="Times New Roman" w:hAnsi="Times New Roman"/>
          <w:caps w:val="false"/>
          <w:smallCaps w:val="false"/>
          <w:sz w:val="20"/>
        </w:rPr>
        <w:t>) pursuant to Section 270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the Subsidiary applied to the same Court to permit the opening of a self-administration proceeding in the form of a protective shield proceeding (</w:t>
      </w:r>
      <w:r>
        <w:rPr>
          <w:rFonts w:ascii="Times New Roman" w:hAnsi="Times New Roman"/>
          <w:i/>
          <w:caps w:val="false"/>
          <w:smallCaps w:val="false"/>
          <w:sz w:val="20"/>
        </w:rPr>
        <w:t>Schutzschirmverfahren</w:t>
      </w:r>
      <w:r>
        <w:rPr>
          <w:rFonts w:ascii="Times New Roman" w:hAnsi="Times New Roman"/>
          <w:caps w:val="false"/>
          <w:smallCaps w:val="false"/>
          <w:sz w:val="20"/>
        </w:rPr>
        <w:t>) pursuant Section 270 (d) of the German Insolvency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Self-Administration Proceedings applied for by the Company and the Subsidiary are debtor-in-possession type proceedings under German insolvency law, which are available to businesses in financial distress and typically aim to preserve the business and the entity that are the subject of the proceedings. In these proceedings, management retains control of the operation of the subject company’s business under the supervision of a custodian, who is initially appointed on a preliminary basis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ufiger Sachwalter</w:t>
      </w:r>
      <w:r>
        <w:rPr>
          <w:rFonts w:ascii="Times New Roman" w:hAnsi="Times New Roman"/>
          <w:caps w:val="false"/>
          <w:smallCaps w:val="false"/>
          <w:sz w:val="20"/>
        </w:rPr>
        <w:t>) and is primarily responsible for monitoring the subject company’s compliance with German insolvency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17 and May 19, 2023, respectively, the Court admitted the opening of Self-Administration Proceedings with respect to the Company and the Subsidiary on a preliminary basis (the “Preliminary Self-Administration Proceedings”). The Court also appointed preliminary custodians for each of the Company and the Subsidiary in their respective Preliminary Self-Administration Proceedings. On September 1, 2023, the Court opened the Self-Administration Proceedings with respect to the Subsidiary (the “Subsidiary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retained SGP Schneider Geiwitz GmbH Wirtschaftsprüfungsgesellschaft Steuerberatungsgesellschaft and Schneider Geiwitz Management GmbH Wirtschaftsprüfungsgesellschaft (collectively, “SGP”) to act as advisors in connection with its Preliminary Self-Administration Proceedings, and the Subsidiary has retained Dentons GmbH Wirtschaftsprüfungsgesellschaft Steuerberatungsgesellschaft and Dentons Europe (Germany) GmbH &amp; Co. KG (collectively, “Dentons”), to act as advisors in connection with the Subsidiary’s Preliminary Self-Administration Proceedings and the Subsidiary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business operations of the Company are being continued on a provisional basis under the supervision of its preliminary custodian in the context of its Preliminary Self-Administration Proceedings, and the business operations of the Subsidiary are being continued on a provisional basis under the supervision of its custodian in the context of the Subsidiary Self-Administration Proceedings. Furthermore, a mergers and acquisitions process was initiated to find one or more potential investors to fund and/or acquire all or parts of the Subsidiary’s business and/or the Company’s business in one or more potential M&amp;A transactions (the “M&amp;A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Parallel to the M&amp;A Process, the Company began discussions with YA II PN, Ltd. (“Yorkville”), the Company’s main creditor apart from the Subsidiary, regarding a new investment. In connection with those discussions, the Company and Yorkville entered into certain investment-related agreements that became effective on November 20, 2023, including a restructuring agreement (the “Restructuring Agreement”) and a funding commitment letter (the “Funding Commitment Letter” and together with the Restructuring Agreement and the ancillary agreements entered into in connection therewith, (the “Yorkville Agreements”), pursuant to which Yorkville has committed to provide financing to the Company subject to the satisfaction of certain conditions precedent (the “Yorkville Investment”). The aim of the Yorkville Agreements and the transactions contemplated therein (the “Transactions”)  is the planned restructuring of the Company and the Subsidiary, which is intended to enable the Company to withdraw its application for its Preliminary Self-Administration Proceedings and to enable the Subsidiary to exit the Subsidiary Self-Administration Proceedings via an insolvency plan, which was filed with the Court on December 7, 2023 for approval by the Subsidiary’s creditors and subsequent confirmation by the Court. The plan sets out how the Subsidiary intends to restructure its debt and procure the inflow of new money, including in connection with the Yorkville Investment, and subsequently exit the Subsidiary Self-Administration Proceedings. Approval by the creditors and confirmation by the Court was obtained in the creditors meeting on December 21, 2023. The 14-day appeal period started on December 21, 2023. Only one creditor with a claim of €500 declared an appeal during the creditors meeting. No successful appeal actions in regard to the Court’s confirmation are expected by the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i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Companies expect the Yorkville Investment to position them to obtain sufficient funding for their business operations, with an initial focus on the Solar Bus Kit, through the end of 2024. Under the terms of the Yorkville Agreements, the financing will be provided by Yorkville at the closing of the Transactions (the “Closing”) by way of one or more new interest-bearing convertible debenture(s) that will be convertible into ordinary shares of the Company and will mature on July 1, 2025. The Closing is currently expected in late January 2024 and is subject to the satisfaction of certain conditions precedent, including the Company’s filing of this Annual Report on Form 20-F for the year ended December 31, 2022, the Company’s submission of its interim balance sheet and income statement as of June 30, 2023 on Form 6-K to the SEC (the "Interim Report"), the Subsidiary’s insolvency plan becoming legally binding, and the withdrawal of the Company’s application for its Preliminary Self-Administration Proceedings. On December 22, 2023, Yorkville waived the Company's submission of the Interim Report as a condition precedent to the Closing. Apart from the Subsidiary, Yorkville is the Company’s main creditor under convertible debentures that were issued by the Company to Yorkville in an aggregate principal amount of  $31.1 million in December 2022 (the “Existing Convertible Debentures”), see “</w:t>
      </w:r>
      <w:r>
        <w:rPr>
          <w:rFonts w:ascii="Times New Roman" w:hAnsi="Times New Roman"/>
          <w:i/>
          <w:caps w:val="false"/>
          <w:smallCaps w:val="false"/>
          <w:sz w:val="20"/>
        </w:rPr>
        <w:t>Item 10. Additional Information</w:t>
      </w:r>
      <w:r>
        <w:rPr>
          <w:rFonts w:ascii="Times New Roman" w:hAnsi="Times New Roman"/>
          <w:caps w:val="false"/>
          <w:smallCaps w:val="false"/>
          <w:sz w:val="20"/>
        </w:rPr>
        <w:t>—</w:t>
      </w:r>
      <w:r>
        <w:rPr>
          <w:rFonts w:ascii="Times New Roman" w:hAnsi="Times New Roman"/>
          <w:i/>
          <w:caps w:val="false"/>
          <w:smallCaps w:val="false"/>
          <w:sz w:val="20"/>
        </w:rPr>
        <w:t>C. Material Contracts</w:t>
      </w:r>
      <w:r>
        <w:rPr>
          <w:rFonts w:ascii="Times New Roman" w:hAnsi="Times New Roman"/>
          <w:caps w:val="false"/>
          <w:smallCaps w:val="false"/>
          <w:sz w:val="20"/>
        </w:rPr>
        <w:t>—</w:t>
      </w:r>
      <w:r>
        <w:rPr>
          <w:rFonts w:ascii="Times New Roman" w:hAnsi="Times New Roman"/>
          <w:i/>
          <w:caps w:val="false"/>
          <w:smallCaps w:val="false"/>
          <w:sz w:val="20"/>
        </w:rPr>
        <w:t>Convertible Debentures</w:t>
      </w:r>
      <w:r>
        <w:rPr>
          <w:rFonts w:ascii="Times New Roman" w:hAnsi="Times New Roman"/>
          <w:caps w:val="false"/>
          <w:smallCaps w:val="false"/>
          <w:sz w:val="20"/>
        </w:rPr>
        <w:t>”. For more information on the Transactions and the Yorkville Investment,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The Planned Yorkville Investment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Company believes that, subject to the satisfactions of the conditions precedent under the Yorkville Agreements, (other than the withdrawal of the Company’s Preliminary Self-Administration Proceedings), a successful implementation of the Yorkville Investment would (i) enable it to withdraw its application for Self-Administration Proceedings at the Court and (ii) enable the Subsidiary to exit the Subsidiary Self-Administration Proceedings via its plan under the German Insolvency Code, which was approved by its creditors and confirmed by the Court on December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Companies’ successful emergence from their respective Self-Administration Proceedings remains subject to a number of contingencies and risks, including, among others, (i) whether the Companies are able to successfully fulfill the conditions precedent to the Closing so as to gain access to the funding offered by Yorkville under the Yorkville Investment (ii) whether the Court’s confirmation of the plan under the German Insolvency Code remains unaffected by any appeals or other challenges that may be raised during the 14-day appeals period that began on December 21, 2023, and (iii) if the Court’s confirmation of the Subsidiary's plan under the German Insolvency Code remains unaffected, whether the plan can be successfully implemented. For more information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 and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forward-looking information in this Annual Report is subject to, and qualified in its entirety by, the risk factors discussed herein. For more information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bookmarkStart w:id="3" w:name="Presentation"/>
      <w:bookmarkEnd w:id="3"/>
      <w:r>
        <w:rPr>
          <w:rFonts w:ascii="Times New Roman" w:hAnsi="Times New Roman"/>
          <w:b/>
          <w:caps w:val="false"/>
          <w:smallCaps w:val="false"/>
          <w:sz w:val="20"/>
        </w:rPr>
        <w:t>PRESENTATION OF FINANCIAL AND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report under International Financial Reporting Standards (“IFRS”) as issued by the International Accounting Standards Board (“IASB”).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consolidated financial statements are reported in euros, which are denoted “euros,” “EUR” or “€” throughout this Annual Report and refer to the currency introduced at the start of the third stage of European economic and monetary union pursuant to the treaty establishing the European Community, as amended. Also, throughout this Annual Report, the terms “dollar,” “USD” or “$” refer to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Financial information is presented in thousands or millions, and percentage figures have been rounded. Rounded total and subtotal figures in tables in this Annual Report may differ marginally from unrounded figures indicated elsewhere in this Annual Report or in the financial statements. Moreover, rounded individual figures and percentages may not produce the exact arithmetic totals and subtotals indicated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bookmarkStart w:id="4" w:name="Market_and_Industry_data"/>
      <w:bookmarkEnd w:id="4"/>
      <w:r>
        <w:rPr>
          <w:rFonts w:ascii="Times New Roman" w:hAnsi="Times New Roman"/>
          <w:b/>
          <w:caps w:val="false"/>
          <w:smallCaps w:val="false"/>
          <w:sz w:val="20"/>
        </w:rPr>
        <w:t>MARKET AND INDUSTRY DATA</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obtained the industry, market and competitive position data in this Annual Report from our own internal estimates, surveys, and research as well as from publicly available information, industry and general publications and research, surveys and studies conducted by third parties, including, but not limited to, Bloomberg New Energy Finance (“BloombergNEF”), the International Energy Agency (IEA) and the German Federal Ministry for Economic Affairs and Climate Action (</w:t>
      </w:r>
      <w:r>
        <w:rPr>
          <w:rFonts w:ascii="Times New Roman" w:hAnsi="Times New Roman"/>
          <w:i/>
          <w:caps w:val="false"/>
          <w:smallCaps w:val="false"/>
          <w:sz w:val="20"/>
        </w:rPr>
        <w:t>Bundesministerium f</w:t>
      </w:r>
      <w:r>
        <w:rPr>
          <w:rFonts w:ascii="Times New Roman" w:hAnsi="Times New Roman"/>
          <w:caps w:val="false"/>
          <w:smallCaps w:val="false"/>
          <w:sz w:val="20"/>
        </w:rPr>
        <w:t>ü</w:t>
      </w:r>
      <w:r>
        <w:rPr>
          <w:rFonts w:ascii="Times New Roman" w:hAnsi="Times New Roman"/>
          <w:i/>
          <w:caps w:val="false"/>
          <w:smallCaps w:val="false"/>
          <w:sz w:val="20"/>
        </w:rPr>
        <w:t>r Wirtschaft und Klimaschutz</w:t>
      </w:r>
      <w:r>
        <w:rPr>
          <w:rFonts w:ascii="Times New Roman" w:hAnsi="Times New Roman"/>
          <w:caps w:val="false"/>
          <w:smallCaps w:val="false"/>
          <w:sz w:val="20"/>
        </w:rPr>
        <w: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ii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Annual Report. These forecasts and forward-looking information are subject to uncertainty and risk due to a variety of factors, including those described under “</w:t>
      </w:r>
      <w:r>
        <w:rPr>
          <w:rFonts w:ascii="Times New Roman" w:hAnsi="Times New Roman"/>
          <w:i/>
          <w:caps w:val="false"/>
          <w:smallCaps w:val="false"/>
          <w:sz w:val="20"/>
        </w:rPr>
        <w:t>Item 3. Key Information.</w:t>
      </w:r>
      <w:r>
        <w:rPr>
          <w:rFonts w:ascii="Times New Roman" w:hAnsi="Times New Roman"/>
          <w:caps w:val="false"/>
          <w:smallCaps w:val="false"/>
          <w:sz w:val="20"/>
        </w:rPr>
        <w:t>” These and other factors could cause results to differ materially from those expressed in our forecasts or estimates or those of independent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bookmarkStart w:id="5" w:name="Trademarks"/>
      <w:bookmarkEnd w:id="5"/>
      <w:r>
        <w:rPr>
          <w:rFonts w:ascii="Times New Roman" w:hAnsi="Times New Roman"/>
          <w:b/>
          <w:caps w:val="false"/>
          <w:smallCaps w:val="false"/>
          <w:sz w:val="20"/>
        </w:rPr>
        <w:t>TRADEMARKS, SERVICE 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have proprietary rights to trademarks used in this Annual Report that are important to our business, many of which are registered under applicable intellectual property laws. Solely for convenience, the trademarks, service marks, logos and trade names referred to in this Annual Report are without the ® and ™ symbols, but such references are not intended to indicate, in any way, that we will not assert, to the fullest extent under applicable law, our rights or the rights of the applicable licensors to these trademarks, service 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bookmarkStart w:id="6" w:name="Cautionary_statement"/>
      <w:bookmarkEnd w:id="6"/>
      <w:r>
        <w:rPr>
          <w:rFonts w:ascii="Times New Roman" w:hAnsi="Times New Roman"/>
          <w:b/>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This Annual Report contains forward-looking statements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some cases, these forward-looking statements can be identified by words or phrases such as “believe,” “may,” “will,” “expect,” “estimate,” “could,” “should,” “anticipate,” “aim,” “estimate,” “intend,” “plan,” “believe,” “potential,” “continue,” “is/are likely to” or other similar or comparable expressions. These forward-looking statements include all matters that are not historical facts. Forward-looking statements contained in this Annual Report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expectations regarding the Self-Administration Proceedings, the outcomes of which are uncertain;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expectations regarding the Closing of the Yorkville Investment, including our ability to successfully fulfill the conditions precedent to the Closing of the Yorkville Investment and the absence of any Termination Events (as defined herein), and its consequences for the Company’s and the Subsidiary’s Self-Administration Proceedings;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Yorkville Investment closes, Yorkville might decide to completely change the business setup, including abandoning our technology, turning the Company into a shell company and looking for a business combination candidate that is yet unknown, all of which may create substantial uncertainty;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relationships with lenders, suppliers, customers, employees and other third parties in light of the performance and credit risks associated with our constrained liquidity position and capital structure;</w:t>
            </w:r>
          </w:p>
        </w:tc>
      </w:tr>
    </w:tbl>
    <w:p>
      <w:pPr>
        <w:pStyle w:val="TextBody"/>
        <w:bidi w:val="0"/>
        <w:spacing w:before="0" w:after="0"/>
        <w:ind w:left="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60"/>
        <w:gridCol w:w="170"/>
        <w:gridCol w:w="78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8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length of time that we may be required to operate under the Self-Administration Proceedings;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t>if the Court’s confirmation of the Subsidiary’s plan under the German Insolvency Code remains unaffected, the Subsidiary’s ability to implement such plan and our ability to successfully preserve and continue our business and operations;</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anticipated delisting of our shares from The Nasdaq Global Market (“Nasdaq”), as determined by the Nasdaq Hearings Panel  (the “Panel”) in its delist decision from December 11, 2023 and our ability to have our shares admitted to trading on a stock exchange in the future, including our ability to meet the relevant initial listing requirements and to pay for all costs associated with an initial listing;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strategies, plan, objectives and goals, if we are able to successfully emerge from the Self-Administration Proceedings, including, for example: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iii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successful implementation and management of the pivot of our business to exclusively retrofitting and integrating our solar technology onto third party vehicles, with an initial focus in the short- to medium-term on our Solar Bus Kit;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successful development, launch of sales and delivery of our Solar Bus Kit, as well as the continuous advancement of our current technologies and development of new technologies;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raise the additional funding required, beyond the Yorkville Investment, if implemented, to further develop and refine our solar technology and business and reach market readiness as well as to continue as a going concern, including as a result of the Self-Administration Proceedings;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business and financial performance, including our ability to turn profitable, scale our operations and build a well-recognized and respected brand cost-effectively, if we are able to successfully emerge from the Self-Administration Proceedings;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achieve customer acceptance of and demand for our products, if we are able to successfully emerge from the Self-Administration Proceedings, including by developing and maintaining relationships with key business partners who are crucial for our operations or who directly deal with end users in our target market;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expectations regarding the development of our industry, market size and the regulatory and competitive environment in which we operate.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Annual Report. In addition, even if our results of operations, financial condition and liquidity, and the development of the industries in which we operate are consistent with the forward-looking statements contained in this Annual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w:t>
      </w:r>
      <w:r>
        <w:rPr>
          <w:rFonts w:ascii="Times New Roman" w:hAnsi="Times New Roman"/>
          <w:i/>
          <w:caps w:val="false"/>
          <w:smallCaps w:val="false"/>
          <w:sz w:val="20"/>
        </w:rPr>
        <w:t>Item 3. Key Information</w:t>
      </w:r>
      <w:r>
        <w:rPr>
          <w:rFonts w:ascii="Times New Roman" w:hAnsi="Times New Roman"/>
          <w:caps w:val="false"/>
          <w:smallCaps w:val="false"/>
          <w:sz w:val="20"/>
        </w:rPr>
        <w: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iv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bookmarkStart w:id="7" w:name="Risk_factors"/>
      <w:bookmarkEnd w:id="7"/>
      <w:r>
        <w:rPr>
          <w:rFonts w:ascii="Times New Roman" w:hAnsi="Times New Roman"/>
          <w:b/>
          <w:caps w:val="false"/>
          <w:smallCaps w:val="false"/>
          <w:sz w:val="20"/>
        </w:rPr>
        <w:t>RISK FACTOR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Self-Administration Proceedings we have applied for and our business are subject to numerous risks, as more fully described in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principal risks associated with the Self-Administration Proceedings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close and implement the Yorkville Investment, including our ability to successfully fulfill the conditions precedent to the Closing so as to gain access to the funding, or to otherwise obtain sufficient financing to allow us to emerge from the Self-Administration Proceedings and execute our business plan post-emergence;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risk that the new management board to be appointed for the Company in connection with the Yorkville Investment might decide to completely change the business setup, including abandoning our technology, turning the Company into a shell company and looking for a business combination candidate that is yet unknown;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t>if the Court’s confirmation of the Subsidiary’s plan under the German Insolvency Code remains unaffected, the Subsidiary’s ability to implement such plan;</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t>our ability to identify and successfully access and maintain sufficient sources of liquidity throughout the Self-Administration Proceedings and to enable a restructuring and our continuation as going concerns;</w:t>
            </w:r>
          </w:p>
        </w:tc>
      </w:tr>
    </w:tbl>
    <w:p>
      <w:pPr>
        <w:pStyle w:val="TextBody"/>
        <w:bidi w:val="0"/>
        <w:spacing w:before="0" w:after="0"/>
        <w:ind w:left="16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170"/>
        <w:gridCol w:w="632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length of time we may operate under the Self-Administration Proceedings;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accuracy of the assumptions and analyses upon which the Subsidiary’s plan under the German Insolvency Code that was submitted to the Court is based;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possibility that regular insolvency proceedings may be opened, which could entail the liquidation of the Company and/or the Subsidiary;</w:t>
            </w:r>
          </w:p>
        </w:tc>
      </w:tr>
    </w:tbl>
    <w:p>
      <w:pPr>
        <w:pStyle w:val="TextBody"/>
        <w:bidi w:val="0"/>
        <w:spacing w:before="0" w:after="0"/>
        <w:ind w:left="0" w:right="0" w:hanging="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increased costs related to conducting the Self-Administration Proceedings;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significant amount of time and attention from our management team that the Self-Administration Proceedings will consume;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our relationships with our suppliers, service providers, creditors, customers, officers, supervisory board members, employees, counterparties and other third parties, to pursue new customer arrangements and projects, and to attract, retain and motivate key employees while the Self-Administration Proceedings are pending;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contracts that are critical to our operations on reasonably acceptable terms and conditions while the Self-Administration Proceedings are pending;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achieve our stated goals and continue as a going concern even if the Self-Administration Proceedings were to be successfully completed;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anticipated delisting of our shares from Nasdaq, as determined by the Panel in its delist decision from December 11, 2023;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difficulties that we may have in finding an independent registered public accounting firm to audit our financial statements for the year ended December 31, 2023 as a result of the Self-Administration Proceedings;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actions and decisions of our creditors and other third parties who have interests in our Self-Administration Proceedings that may be inconsistent with our plans;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third party motions, proceedings or litigation that may be filed in connection with the Self-Administration Proceedings.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emerge from the Self-Administration Proceedings and are able to preserve our business, our business continues to be subject to numerous other risks, and we may be unable, for many reasons, including those that are beyond our control, to implement our business strategy. Such risks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60"/>
        <w:gridCol w:w="170"/>
        <w:gridCol w:w="99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dependence of our success and future growth upon the market’s willingness to adopt solar-powered mobility solutions;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competitiveness of the mobility market and the risk to fail to successfully commercialize our proprietary solar technology in time or at 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v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prevent liquidation and continue as a going concern, including our ability to imminently raise the significant external financing upon which our ability to accomplish any of our business plans is dependent;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remediate material weaknesses in our internal control over financial reporting and to report our financial results accurately, prevent fraud or file our periodic reports as a public company in a timely manner;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unproven ability to develop solar technology and the risk of failing to further develop and realize the commercialization of our solar technology within the intended timeframe, budget or at all;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our solar technology may not be fully functional or available on our anticipated schedule or at all, and may remain unproven and pose additional risks;</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60"/>
        <w:gridCol w:w="170"/>
        <w:gridCol w:w="85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the adequate protection of our intellectual property, which can be difficult and costly;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our patent applications may not lead to the granting of patents or desired protection in time or at all, which may have a material adverse effect on our ability to prevent others from commercially exploiting products similar to ours;</w:t>
            </w:r>
          </w:p>
        </w:tc>
      </w:tr>
    </w:tbl>
    <w:p>
      <w:pPr>
        <w:pStyle w:val="TextBody"/>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60"/>
        <w:gridCol w:w="170"/>
        <w:gridCol w:w="93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3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possible inability to develop manufacturing processes and capabilities within our projected costs and timelines;</w:t>
            </w:r>
          </w:p>
        </w:tc>
      </w:tr>
    </w:tbl>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170"/>
        <w:gridCol w:w="60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some of our manufacturing equipment is customized and sole sourced;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a limited number of suppliers for the sourcing of raw materials and components required for our solar technology and other innovations;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suppliers for production of a central component of our solar modules and potential delays in our expected start of the industrial production and large-scale commercialization of our solar technology that could result from quality concerns;</w:t>
            </w:r>
          </w:p>
        </w:tc>
      </w:tr>
    </w:tbl>
    <w:p>
      <w:pPr>
        <w:pStyle w:val="TextBody"/>
        <w:bidi w:val="0"/>
        <w:spacing w:before="0" w:after="0"/>
        <w:ind w:left="0" w:right="0" w:hanging="0"/>
        <w:jc w:val="both"/>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170"/>
        <w:gridCol w:w="94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increases in costs, disruption of supply or shortage of raw materials or certain products that could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ongoing negotiations of contractual agreements with many of our prospective suppliers and business partners and potential renegotiations of these agreements as we scale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obtain or agree on acceptable terms and conditions all or a significant portion of the government grants, loans and other incentives for which we may apply, which may negatively affect our ability to reach funding goals;</w:t>
            </w:r>
          </w:p>
        </w:tc>
      </w:tr>
    </w:tbl>
    <w:p>
      <w:pPr>
        <w:pStyle w:val="TextBody"/>
        <w:bidi w:val="0"/>
        <w:spacing w:before="0" w:after="0"/>
        <w:ind w:left="0" w:right="0" w:hanging="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60"/>
        <w:gridCol w:w="170"/>
        <w:gridCol w:w="75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5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involvement of numerous third parties in our process, which adds significant complexity;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the acceptance of our brand and any negative publicity relating to any of our business partners and their products or services, which could have a significant negative impact on our business and reputation;</w:t>
            </w:r>
          </w:p>
        </w:tc>
      </w:tr>
    </w:tbl>
    <w:p>
      <w:pPr>
        <w:pStyle w:val="TextBody"/>
        <w:bidi w:val="0"/>
        <w:spacing w:before="0" w:after="0"/>
        <w:ind w:left="0" w:right="0" w:hanging="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60"/>
        <w:gridCol w:w="170"/>
        <w:gridCol w:w="74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risk that our solar modules or any other of our solutions may fail to perform as expected;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damage to our reputation due to the perception that our advertisements were overly positive or that we do not live up to our promises;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noncompliance of our advertisements with all relevant legal requirements in the past or in the future and any misperception of our advertisements;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associated with our intention to market and sell our products via direct business-to-business channels without a network of physical presences;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establish a network for aftersales customer service or otherwise successfully address the service and maintenance requirements of our customers;</w:t>
            </w:r>
          </w:p>
        </w:tc>
      </w:tr>
    </w:tbl>
    <w:p>
      <w:pPr>
        <w:pStyle w:val="TextBody"/>
        <w:bidi w:val="0"/>
        <w:spacing w:before="0" w:after="0"/>
        <w:ind w:left="0" w:right="0" w:hanging="0"/>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170"/>
        <w:gridCol w:w="96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recalls that could materially adversely affect our business, prospects, operating results and financial condition;</w:t>
            </w:r>
          </w:p>
        </w:tc>
      </w:tr>
    </w:tbl>
    <w:p>
      <w:pPr>
        <w:pStyle w:val="TextBody"/>
        <w:bidi w:val="0"/>
        <w:spacing w:before="0" w:after="0"/>
        <w:ind w:left="0" w:right="0" w:hanging="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60"/>
        <w:gridCol w:w="170"/>
        <w:gridCol w:w="41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1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 and safety risks posed by our solar modules;</w:t>
            </w:r>
          </w:p>
        </w:tc>
      </w:tr>
    </w:tbl>
    <w:p>
      <w:pPr>
        <w:pStyle w:val="TextBody"/>
        <w:bidi w:val="0"/>
        <w:spacing w:before="0" w:after="0"/>
        <w:ind w:left="0" w:right="0" w:hanging="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170"/>
        <w:gridCol w:w="77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7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posed by interruptions or failures of information technology and communications systems;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associated with international operations, including unfavorable regulatory, political, tax and labor conditions, which could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inability to attract and retain key employees and hire qualified management, technical and engineering personnel, which could harm our ability to compete;</w:t>
            </w:r>
          </w:p>
        </w:tc>
      </w:tr>
    </w:tbl>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60"/>
        <w:gridCol w:w="170"/>
        <w:gridCol w:w="93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exposure to various liability risks resulting from past or existing employment relationships and labor laws; and</w:t>
            </w:r>
          </w:p>
        </w:tc>
      </w:tr>
    </w:tbl>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adverse effects that disasters or unpredictable events could have on our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vi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60" w:right="0" w:firstLine="20"/>
        <w:jc w:val="center"/>
        <w:rPr>
          <w:caps w:val="false"/>
          <w:smallCaps w:val="false"/>
        </w:rPr>
      </w:pPr>
      <w:r>
        <w:rPr>
          <w:caps w:val="false"/>
          <w:smallCaps w:val="false"/>
        </w:rPr>
        <w:t> </w:t>
      </w:r>
    </w:p>
    <w:p>
      <w:pPr>
        <w:pStyle w:val="TextBody"/>
        <w:bidi w:val="0"/>
        <w:spacing w:before="0" w:after="0"/>
        <w:ind w:left="160" w:right="0" w:firstLine="20"/>
        <w:jc w:val="center"/>
        <w:rPr>
          <w:rFonts w:ascii="Times New Roman" w:hAnsi="Times New Roman"/>
          <w:b/>
          <w:caps w:val="false"/>
          <w:smallCaps w:val="false"/>
          <w:sz w:val="20"/>
        </w:rPr>
      </w:pPr>
      <w:bookmarkStart w:id="8" w:name="P1"/>
      <w:bookmarkEnd w:id="8"/>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805"/>
        <w:gridCol w:w="6280"/>
      </w:tblGrid>
      <w:tr>
        <w:trPr/>
        <w:tc>
          <w:tcPr>
            <w:tcW w:w="80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bookmarkStart w:id="9" w:name="P1I1"/>
            <w:bookmarkEnd w:id="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 </w:t>
            </w:r>
          </w:p>
        </w:tc>
        <w:tc>
          <w:tcPr>
            <w:tcW w:w="6280"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IDENTITY OF DIRECTORS, SENIOR MANAGEMENT AND ADVISERS</w:t>
            </w:r>
          </w:p>
        </w:tc>
      </w:tr>
    </w:tbl>
    <w:p>
      <w:pPr>
        <w:pStyle w:val="TextBody"/>
        <w:bidi w:val="0"/>
        <w:spacing w:before="0" w:after="0"/>
        <w:ind w:left="0" w:right="0" w:hanging="0"/>
        <w:jc w:val="both"/>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265"/>
        <w:gridCol w:w="2950"/>
      </w:tblGrid>
      <w:tr>
        <w:trPr/>
        <w:tc>
          <w:tcPr>
            <w:tcW w:w="265"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bookmarkStart w:id="10" w:name="P1I1A"/>
            <w:bookmarkEnd w:id="10"/>
            <w:r>
              <w:rPr>
                <w:rFonts w:ascii="Times New Roman" w:hAnsi="Times New Roman"/>
                <w:b/>
                <w:caps w:val="false"/>
                <w:smallCaps w:val="false"/>
                <w:sz w:val="20"/>
              </w:rPr>
              <w:t xml:space="preserve">A. </w:t>
            </w:r>
          </w:p>
        </w:tc>
        <w:tc>
          <w:tcPr>
            <w:tcW w:w="2950"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Directors and Senior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5450" w:type="dxa"/>
        <w:jc w:val="left"/>
        <w:tblInd w:w="0" w:type="dxa"/>
        <w:tblLayout w:type="fixed"/>
        <w:tblCellMar>
          <w:top w:w="0" w:type="dxa"/>
          <w:left w:w="0" w:type="dxa"/>
          <w:bottom w:w="0" w:type="dxa"/>
          <w:right w:w="0" w:type="dxa"/>
        </w:tblCellMar>
      </w:tblPr>
      <w:tblGrid>
        <w:gridCol w:w="760"/>
        <w:gridCol w:w="4690"/>
      </w:tblGrid>
      <w:tr>
        <w:trPr/>
        <w:tc>
          <w:tcPr>
            <w:tcW w:w="760"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bookmarkStart w:id="11" w:name="P1I2"/>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w:t>
            </w:r>
          </w:p>
        </w:tc>
        <w:tc>
          <w:tcPr>
            <w:tcW w:w="4690"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OFFER STATISTICS AND EXPECTED TIMETABLE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735" w:type="dxa"/>
        <w:jc w:val="left"/>
        <w:tblInd w:w="0" w:type="dxa"/>
        <w:tblLayout w:type="fixed"/>
        <w:tblCellMar>
          <w:top w:w="0" w:type="dxa"/>
          <w:left w:w="0" w:type="dxa"/>
          <w:bottom w:w="0" w:type="dxa"/>
          <w:right w:w="0" w:type="dxa"/>
        </w:tblCellMar>
      </w:tblPr>
      <w:tblGrid>
        <w:gridCol w:w="805"/>
        <w:gridCol w:w="1930"/>
      </w:tblGrid>
      <w:tr>
        <w:trPr/>
        <w:tc>
          <w:tcPr>
            <w:tcW w:w="80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bookmarkStart w:id="12" w:name="P1I3"/>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w:t>
            </w:r>
          </w:p>
        </w:tc>
        <w:tc>
          <w:tcPr>
            <w:tcW w:w="1930"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KEY INFORMATION</w:t>
            </w:r>
          </w:p>
        </w:tc>
      </w:tr>
    </w:tbl>
    <w:p>
      <w:pPr>
        <w:pStyle w:val="TextBody"/>
        <w:bidi w:val="0"/>
        <w:spacing w:before="0" w:after="0"/>
        <w:ind w:left="0" w:right="0" w:hanging="0"/>
        <w:jc w:val="both"/>
        <w:rPr>
          <w:caps w:val="false"/>
          <w:smallCaps w:val="false"/>
        </w:rPr>
      </w:pPr>
      <w:r>
        <w:rPr>
          <w:caps w:val="false"/>
          <w:smallCaps w:val="false"/>
        </w:rPr>
        <w:t> </w:t>
      </w:r>
    </w:p>
    <w:tbl>
      <w:tblPr>
        <w:tblW w:w="1205" w:type="dxa"/>
        <w:jc w:val="left"/>
        <w:tblInd w:w="0" w:type="dxa"/>
        <w:tblLayout w:type="fixed"/>
        <w:tblCellMar>
          <w:top w:w="0" w:type="dxa"/>
          <w:left w:w="0" w:type="dxa"/>
          <w:bottom w:w="0" w:type="dxa"/>
          <w:right w:w="0" w:type="dxa"/>
        </w:tblCellMar>
      </w:tblPr>
      <w:tblGrid>
        <w:gridCol w:w="265"/>
        <w:gridCol w:w="940"/>
      </w:tblGrid>
      <w:tr>
        <w:trPr/>
        <w:tc>
          <w:tcPr>
            <w:tcW w:w="265"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bookmarkStart w:id="13" w:name="P1I3A"/>
            <w:bookmarkEnd w:id="13"/>
            <w:r>
              <w:rPr>
                <w:rFonts w:ascii="Times New Roman" w:hAnsi="Times New Roman"/>
                <w:b/>
                <w:caps w:val="false"/>
                <w:smallCaps w:val="false"/>
                <w:sz w:val="20"/>
              </w:rPr>
              <w:t xml:space="preserve">A. </w:t>
            </w:r>
          </w:p>
        </w:tc>
        <w:tc>
          <w:tcPr>
            <w:tcW w:w="940"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[Reserved]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3005" w:type="dxa"/>
        <w:jc w:val="left"/>
        <w:tblInd w:w="0" w:type="dxa"/>
        <w:tblLayout w:type="fixed"/>
        <w:tblCellMar>
          <w:top w:w="0" w:type="dxa"/>
          <w:left w:w="0" w:type="dxa"/>
          <w:bottom w:w="0" w:type="dxa"/>
          <w:right w:w="0" w:type="dxa"/>
        </w:tblCellMar>
      </w:tblPr>
      <w:tblGrid>
        <w:gridCol w:w="265"/>
        <w:gridCol w:w="2740"/>
      </w:tblGrid>
      <w:tr>
        <w:trPr/>
        <w:tc>
          <w:tcPr>
            <w:tcW w:w="265"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bookmarkStart w:id="14" w:name="P1I3B"/>
            <w:bookmarkEnd w:id="14"/>
            <w:r>
              <w:rPr>
                <w:rFonts w:ascii="Times New Roman" w:hAnsi="Times New Roman"/>
                <w:b/>
                <w:caps w:val="false"/>
                <w:smallCaps w:val="false"/>
                <w:sz w:val="20"/>
              </w:rPr>
              <w:t xml:space="preserve">B. </w:t>
            </w:r>
          </w:p>
        </w:tc>
        <w:tc>
          <w:tcPr>
            <w:tcW w:w="2740"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Capitalization and Indebtedness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265"/>
        <w:gridCol w:w="3550"/>
      </w:tblGrid>
      <w:tr>
        <w:trPr/>
        <w:tc>
          <w:tcPr>
            <w:tcW w:w="265"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bookmarkStart w:id="15" w:name="P1I3C"/>
            <w:bookmarkEnd w:id="15"/>
            <w:r>
              <w:rPr>
                <w:rFonts w:ascii="Times New Roman" w:hAnsi="Times New Roman"/>
                <w:b/>
                <w:caps w:val="false"/>
                <w:smallCaps w:val="false"/>
                <w:sz w:val="20"/>
              </w:rPr>
              <w:t xml:space="preserve">C. </w:t>
            </w:r>
          </w:p>
        </w:tc>
        <w:tc>
          <w:tcPr>
            <w:tcW w:w="3550"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Reasons for the Offer and Use of Proceeds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265"/>
        <w:gridCol w:w="1105"/>
      </w:tblGrid>
      <w:tr>
        <w:trPr/>
        <w:tc>
          <w:tcPr>
            <w:tcW w:w="265"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bookmarkStart w:id="16" w:name="P1I3D"/>
            <w:bookmarkEnd w:id="16"/>
            <w:r>
              <w:rPr>
                <w:rFonts w:ascii="Times New Roman" w:hAnsi="Times New Roman"/>
                <w:b/>
                <w:caps w:val="false"/>
                <w:smallCaps w:val="false"/>
                <w:sz w:val="20"/>
              </w:rPr>
              <w:t xml:space="preserve">D. </w:t>
            </w:r>
          </w:p>
        </w:tc>
        <w:tc>
          <w:tcPr>
            <w:tcW w:w="1105" w:type="dxa"/>
            <w:tcBorders/>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Risk Factors</w:t>
            </w:r>
          </w:p>
        </w:tc>
      </w:tr>
    </w:tbl>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The following risks may have material adverse effects on our business, financial condition and results of operations. Additional risks and uncertainties of which we are not presently aware or that we currently deem immaterial could also materially affect our business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Risks Related to the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are subject to risks and uncertainties associated with the Self-Administration Proceedings we have applied 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May 15, 2023, based on management’s conclusion that the Company is over-indebted and faces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the Company applied to the Court, to permit the opening of a self-administration proceeding (</w:t>
      </w:r>
      <w:r>
        <w:rPr>
          <w:rFonts w:ascii="Times New Roman" w:hAnsi="Times New Roman"/>
          <w:i/>
          <w:caps w:val="false"/>
          <w:smallCaps w:val="false"/>
          <w:sz w:val="20"/>
        </w:rPr>
        <w:t>Eigenverwaltung</w:t>
      </w:r>
      <w:r>
        <w:rPr>
          <w:rFonts w:ascii="Times New Roman" w:hAnsi="Times New Roman"/>
          <w:caps w:val="false"/>
          <w:smallCaps w:val="false"/>
          <w:sz w:val="20"/>
        </w:rPr>
        <w:t>) with respect to the Company pursuant to Section 270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and for the same reason, the Subsidiary applied to the Court to permit the opening of a self-administration proceeding in the form of a protective shield proceeding (</w:t>
      </w:r>
      <w:r>
        <w:rPr>
          <w:rFonts w:ascii="Times New Roman" w:hAnsi="Times New Roman"/>
          <w:i/>
          <w:caps w:val="false"/>
          <w:smallCaps w:val="false"/>
          <w:sz w:val="20"/>
        </w:rPr>
        <w:t>Schutzschirmverfahren</w:t>
      </w:r>
      <w:r>
        <w:rPr>
          <w:rFonts w:ascii="Times New Roman" w:hAnsi="Times New Roman"/>
          <w:caps w:val="false"/>
          <w:smallCaps w:val="false"/>
          <w:sz w:val="20"/>
        </w:rPr>
        <w:t>) with respect to the Subsidiary pursuant Section 270 (d) of the German Insolvency Code. The applications, in each case, were made with the goal of sustainably restructuring the business of both Companies. On May 17, 2023 and May 19, 2023, the Court admitted the opening of the Preliminary Self-Administration Proceedings with respect to the Company and the Subsidiary, respectively. On September 1, 2023, the Court opened the Subsidiary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Self-administration proceedings under German insolvency law are debtor-in-possession type proceedings that are available to businesses in financial distress and typically aim to preserve the business and the entity that are the subject of the proceedings. In such proceedings, management retains control and operation of the company’s business. Following the filing of their respective applications, the Company and the Subsidiary have generally been prohibited from repaying any pre-application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mid-November 2023, the Company entered into the Yorkville Agreements in connection with the Yorkville Investment. Subject to the satisfaction of certain conditions precedent, Yorkville will provide financing to the Company at the Closing, which is currently expected in late January 2024. The Companies expect the Yorkville Investment to position them to obtain sufficient funding for their business operations, with an initial focus on the Solar Bus Kit, through the end of 2024. For more information on the Transactions and planned structure of the Yorkville Investment,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The Planned Yorkville Investment</w:t>
      </w:r>
      <w:r>
        <w:rPr>
          <w:rFonts w:ascii="Times New Roman" w:hAnsi="Times New Roman"/>
          <w:caps w:val="false"/>
          <w:smallCaps w:val="false"/>
          <w:sz w:val="20"/>
        </w:rPr>
        <w: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December 7, 2023, the Subsidiary submitted a plan under the German Insolvency Code to the Court for approval by the Subsidiary’s creditors and for subsequent confirmation by the Court as required under applicable German insolvency law in the context of the Subsidiary Self-Administration Proceeding. The plan sets out how the Subsidiary intends to restructure its debt and procure the inflow of new money, including in connection with the Yorkville Investment, and subsequently exit the Subsidiary Self-Administration Proceedings.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Company believes that, subject to the satisfactions of the conditions precedent under the Yorkville Agreements (other than the withdrawal of the Company’s Preliminary Self-Administration Proceedings), a successful implementation of the Yorkville Investment would (i) enable it to withdraw its application for Self-Administration Proceedings at the Court and (ii) enable the Subsidiary to exit the Subsidiary Self-Administration Proceedings via its plan under the German Insolvency Code, which was approved by its creditors and confirmed by the Court on December 21, 2023.</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However, the Companies’ successful emergence from their respective Self-Administration Proceedings remains subject to a number of contingencies and risks, including, among others.</w:t>
      </w:r>
    </w:p>
    <w:p>
      <w:pPr>
        <w:pStyle w:val="TextBody"/>
        <w:bidi w:val="0"/>
        <w:spacing w:before="0" w:after="0"/>
        <w:ind w:left="160" w:right="0" w:firstLine="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close and implement the Yorkville Investment, including our ability to successfully fulfill the conditions precedent to the Closing so as to gain access to the funding, or to otherwise obtain sufficient financing to allow us to emerge from the Self-Administration Proceedings and execute our business plan post-emergence;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risk that the new management board to be appointed for the Company in connection with the Yorkville Investment might decide to completely change the business setup, including abandoning our technology, turning the Company into a shell company and looking for a business combination candidate that is yet unknown (subject to obtaining approval from the Company's general meeting to the extent required by applicable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t>if the Court’s confirmation of the Subsidiary’s plan under the German Insolvency Code remains unaffected, the Subsidiary’s ability to implement such plan;</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t>our ability to identify and successfully access and maintain sufficient sources of liquidity throughout the Self-Administration Proceedings to enable a restructuring and our continuation as going concerns;</w:t>
            </w:r>
          </w:p>
        </w:tc>
      </w:tr>
    </w:tbl>
    <w:p>
      <w:pPr>
        <w:pStyle w:val="TextBody"/>
        <w:bidi w:val="0"/>
        <w:spacing w:before="0" w:after="0"/>
        <w:ind w:left="16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170"/>
        <w:gridCol w:w="632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length of time we may operate under the Self-Administration Proceedings;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accuracy of the assumptions and analyses upon which the Subsidiary’s plan under the German Insolvency Code that was submitted to the Court is based;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possibility that regular insolvency proceedings may be opened, which could entail the liquidation of the Company and/or the Subsidiary;</w:t>
            </w:r>
          </w:p>
        </w:tc>
      </w:tr>
    </w:tbl>
    <w:p>
      <w:pPr>
        <w:pStyle w:val="TextBody"/>
        <w:bidi w:val="0"/>
        <w:spacing w:before="0" w:after="0"/>
        <w:ind w:left="0" w:right="0" w:hanging="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increased costs related to conducting the Self-Administration Proceedings;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significant amount of time and attention from our management team that the Self-Administration Proceedings will consume;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our relationships with our suppliers, service providers, creditors, customers, officers, supervisory board members, employees, counterparties and other third parties, to pursue new customer arrangements and projects, and to attract, retain and motivate key employees while the Self-Administration Proceedings are pending;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contracts that are critical to our operations on reasonably acceptable terms and conditions while the Self-Administration Proceedings are pending.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achieve our stated goals and continue as a going concern even if the Self-Administration Proceedings were to be successfully completed;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anticipated delisting of our shares from Nasdaq, as determined by the Panel in its delist decision from December 11, 2023;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difficulties that we may have in finding an independent registered public accounting firm to audit our financial statements for the year ended December 31, 2023 as a result of the Self-Administration Proceedings;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actions and decisions of our creditors and other third parties who have interests in our Self-Administration Proceedings that may be inconsistent with our plans;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third party motions, proceedings or litigation that may be filed in connection with the Self-Administration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Because of the risks and uncertainties associated with the Yorkville Investment and the Self-Administration Proceedings we have applied for, we cannot accurately predict or quantify the ultimate impact that events related to these proceedings may have on us and there is no certainty as to our ability to continue as a going concern. Any delays in the Self-Administration Proceedings are likely to increase the risk that we are unable to sustainably restructure our business and emerge from the proceedings and may increase our costs associated with the proceedings. Furthermore, we cannot at present predict the ultimate amount of payments that will have to be made to settle the liabilities resulting from the Self-Administration Proceedings. Even if we are able to successfully emerge from the Self-Administration Proceedings, we may be adversely affected by the possible reluctance of prospective lenders and other counterparties to do business with a company that has recently emerged from such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The Company may not be able to successfully close and</w:t>
      </w:r>
      <w:r>
        <w:rPr>
          <w:rFonts w:ascii="Times New Roman" w:hAnsi="Times New Roman"/>
          <w:caps w:val="false"/>
          <w:smallCaps w:val="false"/>
          <w:sz w:val="20"/>
        </w:rPr>
        <w:t xml:space="preserve"> </w:t>
      </w:r>
      <w:r>
        <w:rPr>
          <w:rFonts w:ascii="Times New Roman" w:hAnsi="Times New Roman"/>
          <w:b/>
          <w:i/>
          <w:caps w:val="false"/>
          <w:smallCaps w:val="false"/>
          <w:sz w:val="20"/>
        </w:rPr>
        <w:t>implement the Yorkville Investment, which would delay or prevent our emergence from</w:t>
      </w:r>
      <w:r>
        <w:rPr>
          <w:rFonts w:ascii="Times New Roman" w:hAnsi="Times New Roman"/>
          <w:caps w:val="false"/>
          <w:smallCaps w:val="false"/>
          <w:sz w:val="20"/>
        </w:rPr>
        <w:t xml:space="preserve"> </w:t>
      </w:r>
      <w:r>
        <w:rPr>
          <w:rFonts w:ascii="Times New Roman" w:hAnsi="Times New Roman"/>
          <w:b/>
          <w:i/>
          <w:caps w:val="false"/>
          <w:smallCaps w:val="false"/>
          <w:sz w:val="20"/>
        </w:rPr>
        <w:t>the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mid-November 2023, the Companies entered into the Yorkville Agreements in connection with the Yorkville Investment. Subject to the satisfaction of certain conditions precedent, Yorkville will provide financing to the Company at the Closing, which is currently expected in late January 2024. The Companies expect the Yorkville Investment to position them to obtain sufficient funding for their business operations, with an initial focus on the Solar Bus Kit, through the end of 2024. In addition to the Restructuring Agreement between the Company and Yorkville, there is (i) an agreement between the Company and the Subsidiary pursuant to which  a settlement amount was agreed for intercompany claims (the “Settlement Agreement”), (ii) an agreement between the Company and the Subsidiary relating to the satisfaction of intercompany claims, the further financing of the Subsidiary by the Company and key aspects of the Subsidiary Self-Administration Proceedings and the plan submitted by the Subsidiary to the Court under the German Insolvency Code (the “Continuation Agreement”), (iii) an agreement between the Company and Yorkville to provide the Company with sufficient financial resources to fund the business operations of the Companies pursuant to a budget agreed with Yorkville (the “Funding Commitment Letter”), (iv) an agreement between the Company and Yorkville to postpone the repayment date of the Existing Convertible Debentures to July 1, 2025, with the possibility of further extensions at Yorkville’s discretion (the “Prolongation Agreement”), and (v) an agreement between our founders, Laurin Hahn and Jona Christians (collectively, “the Founders”), the Company and the Subsidiary pursuant to which the Companies are entitled to request that each of the Founders enters into a sale and transfer agreement (each such sale and transfer agreement, a “Sale and Transfer Agreement” and, collectively, the “Sale and Transfer Agreements”) under the terms of which the respective Founder would sell and transfer, if so requested, a portion of their ordinary shares of the Company to a trustee to be appointed for the benefit of the Subsidiary’s creditors and a portion of their ordinary shares of the Company and all of their high voting shares in the Company to the new members of the management board to be appointed for the Company (the “Shareholders Commitment Letter”). In addition, the Yorkville Agreements envision the issuance of a hard back-to-back letter of comfort from the Company to the Subsidiary, to provide funding for the Subsidiary’s business operations, with an initial focus on the Solar Bus Kit, which the Companies currently expect to be sufficient  at least until, and including, December 31, 2024 (the “Back-to-Back Letter of Comfort”). The funds to be provided under the Back-to-Back Letter of Comfort will be provided by way of one or more intercompany loan(s) that will mature on July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Under the Funding Commitment Letter, Yorkville would offer to secure the financing of the Companies’ expected operational costs, with an initial focus on the Solar Bus Kit during the period from December 1, 2023 until the end of the year 2024 (the “Funding Period”) up to a maximum amount of €9.0 million minus €2.048 million of cash left-over at the Company as of December 1, 2023 (the “Commitment Amount”). Cash available at the Company in excess of €2.048 million cash left-over as of December 1, 2023 will be needed and will be used by the Company to satisfy claims of creditors, with the exception of the amounts payable to Yorkville under the Existing Convertible Debentures and expected payments that relate to the preliminary insolvency. The financing would be provided by Yorkville by way of one or more new interest-bearing convertible debenture(s) that would mature on July 1, 2025. Such funds would be paid by the Company to the Subsidiary under the terms of the Continuation Agreement and the Back-to-Back Letter of Comfort by way of one or more intercompany loan(s) that will mature on July 1, 2025. In the event of a shortfall during the Funding Period, Yorkville would provide additional funds to the Company, provided that agreements are reached in good faith on an adjusted budget for the Funding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Closing of the Yorkville Investment, and Yorkville’s obligation to provide funding pursuant to the terms of the Funding Commitment Letter, are subject to the satisfaction of certain conditions precedent in, as well as our compliance with certain covenants and other obligations set forth in, the Yorkville Agreements, including the terms of the new convertible debenture(s) to be issued to Yorkville in connection with the Yorkville Investment. In addition, Yorkville’s funding commitment is subject to the absence of the following events (each a “Termination Event”):</w:t>
      </w:r>
    </w:p>
    <w:p>
      <w:pPr>
        <w:pStyle w:val="TextBody"/>
        <w:bidi w:val="0"/>
        <w:spacing w:before="0" w:after="0"/>
        <w:ind w:left="0" w:right="0" w:hanging="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0"/>
        <w:gridCol w:w="170"/>
        <w:gridCol w:w="69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Budget (as defined below) is exceeded as a result of incorrect or misleading work.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Budget is exceeded and Yorkville and the Company cannot agree on an adjustment, or Yorkville requests information regarding the Budget and the Company fails to provide it within ten business days.</w:t>
            </w:r>
          </w:p>
        </w:tc>
      </w:tr>
    </w:tbl>
    <w:p>
      <w:pPr>
        <w:pStyle w:val="TextBody"/>
        <w:bidi w:val="0"/>
        <w:spacing w:before="0" w:after="0"/>
        <w:ind w:left="0" w:right="0" w:hanging="0"/>
        <w:jc w:val="both"/>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60"/>
        <w:gridCol w:w="170"/>
        <w:gridCol w:w="55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5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event of default occurs with regard to the convertible debentures.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Companies fail to materially comply with the Yorkville Agreements and fail to rectify their noncompliance within ten business days following a request from Yorkville to such effect.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than with regard to the Self-Administration Proceedings, the Companies are unable or admit inability to pay their debts as they fall due, suspend making payments on any of their debts, or, by reason of actual or anticipated financial difficulties, commence negotiations with one or more of their creditors (excluding any finance party in its capacity as such) with a view to rescheduling any of their indebtedness.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entity incorporated in Germany is unable to pay its debts as they fall due (zahlungsunfähig) within the meaning of section 17 of the German Insolvency Code (Insolvenzordnung) or is over indebted within the meaning of section 19 of the Germany Insolvency Code (Insolvenzordnung).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in relation to the Self-Administration Proceedings, any corporate action, legal proceedings or other procedure or step is taken in relation to, amongst others, the suspension of payments, an arrangement with a creditor of the Company, the appointment of a liquidator or administrative receiver or the enforcement of a security over any asset of the Company or the Subsidiary.</w:t>
            </w:r>
          </w:p>
        </w:tc>
      </w:tr>
    </w:tbl>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60"/>
        <w:gridCol w:w="170"/>
        <w:gridCol w:w="87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or becomes unlawful for the Company to perform any of its obligations under the Yorkville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conditions precedent to the Closing include the Company’s regaining compliance with its periodic reporting requirements by filing this Annual Report on Form 20-F for the year ended December 31, 2022, the Company’s submission of the Interim Report to the SEC, the Subsidiary’s plan under the German Insolvency Code becoming legally binding, and the withdrawal of the Company’s application for its Preliminary Self-Administration Proceedings. On December 22, 2023, Yorkville waived the Company's submission of the Interim Report as a condition precedent to the Closing. The Yorkville Agreements also provide that, in order for the Company to withdraw its application for its Preliminary Self-Administration Proceedings, the Company’s management must update the assessment, at the date of the withdrawal, regarding whether the Yorkville Investment will cure its mandatory insolvency filing obligations (i.e. illiquidity and over-indebtedness). In addition, the Yorkville Agreements require the Company to convene an annual general meeting of shareholders by December 31, 2023 and to submit certain agenda items for shareholder vote. The Company’s annual general meeting of shareholders for 2023 (the “AGM”) has been convened for December 29, 2023. A subsequent general meeting of shareholders is currently anticipated in the first quarter of 2024 in order to propose certain required agenda items in connection with the Yorkville Investment. Under the terms of the Shareholders Commitment Letter, each Founder in his respective capacity as a shareholder of the Company agreed (i) to attend the AGM, either in person or represented by proxy, (ii) not to transfer any shares and/or voting rights such Founder holds in the capital of the Company prior to the AGM and (iii) to exercise the voting rights on all the shares in the capital of the Company held by such Founder in favor of all proposed resolutions. In addition, in the event that one or more subsequent general meetings are convened or deemed necessary to give full effect to the Yorkville Agreements and/or certain required agenda items, each Founder further agreed to comply with the requirements of (i) - (iii) above with respect to such subsequent general meeting(s) and to exercise his voting rights at such subsequent general meeting(s) so as to give effect to the Yorkville Agreements and/or certain required agenda items in the fullest possible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event of a Termination Event, Yorkville would have the right, at its sole discretion, to cancel any funding commitments still available, meaning that the Company would no longer be able to draw down on unused portions of the Commitment Amount, and to exercise all of its rights under any of the new convertible debentures as if an event of default had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Company believes that, subject to the satisfactions of the conditions precedent under the Yorkville Agreements, a successful implementation of the Yorkville Investment would (i) enable it to withdraw its application for Self-Administration Proceedings at the Court and (ii) enable the Subsidiary to exit the Subsidiary Self-Administration Proceedings via its plan under the German Insolvency Code, which was approved by its creditors and confirmed by the Court on December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successful conclusion and implementation of the Yorkville Investment is subject to certain risks, including, among others, (i) whether the Companies are able to successfully fulfill the conditions precedent to the Closing so as to gain access to the funding offered by Yorkville under the Yorkville Investment, (ii) whether the Court’s confirmation of the plan under the German Insolvency Code remains unaffected by any appeals or other challenges that may be raised during the 14-day appeals period that began on December 21, 2023, and (iii) if the Court’s confirmation of the Subsidiary's plan under the German Insolvency Code remains unaffected, whether the plan can be successfully implemented.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the Yorkville Investment is not concluded and implemented as planned, it is unlikely that the Company will be able to withdraw its application for Self-Administration Proceedings and that the Subsidiary will exit from the Subsidiary Self-Administration Proceedings. Accordingly, there is a risk that the Companies will not be able to restructure and emerge successfully from the Self-Administration Proceedings, but rather will be liquidated.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the Yorkville Investment closes, the new members of the management board to be appointed for the Company might decide to completely change the business setup, including abandoning our technology, turning the Company into a shell company and looking for a business combination candidate that is yet unknown, all of which may create substantial uncertainty.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the Yorkville Investment closes, the new members of the management board to be appointed for the Company may be in a position to change our business setup, including abandoning our technology (subject to obtaining approval from the Company's general meeting to the extent required by applicable law). As a result, the Company may become a shell company. Yorkville may then look for a suitable business combination candidate. All of these potential developments and changes may lead to substantial uncertainty and may negatively impact our brand and reputation. There can be no assurance that any of the changes currently envisaged in connection with the Yorkville Investment will actually be implemented in the envisaged form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The Court</w:t>
      </w:r>
      <w:r>
        <w:rPr>
          <w:rFonts w:ascii="Times New Roman" w:hAnsi="Times New Roman"/>
          <w:caps w:val="false"/>
          <w:smallCaps w:val="false"/>
          <w:sz w:val="20"/>
        </w:rPr>
        <w:t>’</w:t>
      </w:r>
      <w:r>
        <w:rPr>
          <w:rFonts w:ascii="Times New Roman" w:hAnsi="Times New Roman"/>
          <w:b/>
          <w:i/>
          <w:caps w:val="false"/>
          <w:smallCaps w:val="false"/>
          <w:sz w:val="20"/>
        </w:rPr>
        <w:t>s confirmation of the Subsidiary</w:t>
      </w:r>
      <w:r>
        <w:rPr>
          <w:rFonts w:ascii="Times New Roman" w:hAnsi="Times New Roman"/>
          <w:caps w:val="false"/>
          <w:smallCaps w:val="false"/>
          <w:sz w:val="20"/>
        </w:rPr>
        <w:t>’</w:t>
      </w:r>
      <w:r>
        <w:rPr>
          <w:rFonts w:ascii="Times New Roman" w:hAnsi="Times New Roman"/>
          <w:b/>
          <w:i/>
          <w:caps w:val="false"/>
          <w:smallCaps w:val="false"/>
          <w:sz w:val="20"/>
        </w:rPr>
        <w:t>s plan under the German Insolvency Code is subject to any appeals or challenges that may be raised during the subsequent 14-day appeal period. If any appeal of the Court</w:t>
      </w:r>
      <w:r>
        <w:rPr>
          <w:rFonts w:ascii="Times New Roman" w:hAnsi="Times New Roman"/>
          <w:caps w:val="false"/>
          <w:smallCaps w:val="false"/>
          <w:sz w:val="20"/>
        </w:rPr>
        <w:t>’</w:t>
      </w:r>
      <w:r>
        <w:rPr>
          <w:rFonts w:ascii="Times New Roman" w:hAnsi="Times New Roman"/>
          <w:b/>
          <w:i/>
          <w:caps w:val="false"/>
          <w:smallCaps w:val="false"/>
          <w:sz w:val="20"/>
        </w:rPr>
        <w:t xml:space="preserve">s confirmation is successful, </w:t>
      </w:r>
      <w:r>
        <w:rPr>
          <w:rFonts w:ascii="Times New Roman" w:hAnsi="Times New Roman"/>
          <w:caps w:val="false"/>
          <w:smallCaps w:val="false"/>
          <w:sz w:val="20"/>
        </w:rPr>
        <w:t> </w:t>
      </w:r>
      <w:r>
        <w:rPr>
          <w:rFonts w:ascii="Times New Roman" w:hAnsi="Times New Roman"/>
          <w:b/>
          <w:i/>
          <w:caps w:val="false"/>
          <w:smallCaps w:val="false"/>
          <w:sz w:val="20"/>
        </w:rPr>
        <w:t>there can be no assurance as to whether or when we will successfully restructure and emerge from the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To emerge successfully from the Subsidiary Self-Administration Proceedings, which were opened on September 1, 2023, the Subsidiary must (i) comply with statutory requirements regarding the disclosure in the plan it submitted to the Court under the German Insolvency Code, (ii) solicit and obtain the requisite acceptances of the plan under the German Insolvency Code, (iii) sufficiently demonstrate the feasibility of the plan under the German Insolvency Code to the Court and (iv) fulfill other statutory conditions under the German Insolvency Code, most of which have not yet occurred. Furthermore, the process of emerging from the Subsidiary Self-Administration Proceedings can be subject to numerous unanticipated potential delays. We cannot assure you that the plan submitted by the Subsidiary to the Court under the German Insolvency Code will become legally binding and there can be no assurance as to whether or when the Subsidiary will successfully restructure and emerge from the Subsidiary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success of any restructuring will depend on approval by the Court of the Subsidiary’s plan under the German Insolvency Code. On December 21, 2023, the Subsidiary's plan was approved by the creditors and confirmed by the Court, at which time a 14-day appeal period started. Although only one creditor with a claim of €500 declared an appeal during the creditors meeting, we may receive objections to confirmation of the plan under the German Insolvency Code from various stakeholders in the Self-Administration Proceedings. We cannot predict the impact that any objection to, or third party motion during, the Subsidiary Self-Administration Proceedings may have on the Court’s decision to confirm the plan under the German Insolvency Code or our ability to implement such plan under the German Insolvency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any appeal of the Court’s confirmation of the plan under the German Insolvency Code is successful, the Court may convert the proceedings into regular (preliminary) insolvency proceedings under the administration of a (preliminary) insolvency administrator (</w:t>
      </w:r>
      <w:r>
        <w:rPr>
          <w:rFonts w:ascii="Times New Roman" w:hAnsi="Times New Roman"/>
          <w:i/>
          <w:caps w:val="false"/>
          <w:smallCaps w:val="false"/>
          <w:sz w:val="20"/>
        </w:rPr>
        <w:t>Insolvenzverwalter</w:t>
      </w:r>
      <w:r>
        <w:rPr>
          <w:rFonts w:ascii="Times New Roman" w:hAnsi="Times New Roman"/>
          <w:caps w:val="false"/>
          <w:smallCaps w:val="false"/>
          <w:sz w:val="20"/>
        </w:rPr>
        <w:t>) and it is unclear whether we would be able to restructure our business and what distributions, if any, the holders of claims against us, including the holders of our ordinary shares, would ultimately receive with respect to their claims. An insolvency administrator may also propose a plan with a view to restructuring the respective entities’ businesses and balance sheets. Such a plan is dealt with in the same manner as a plan proposed by a company in a self-administration proceeding. The insolvency administrator may also initiate a sale of the companies’ businesses in their entirety or sell the entities’ assets on an individual basis. If the envisaged restructuring of a company’s business by way of a plan fails, such company will eventually be liquidated in the course of the insolvency proceedings. In this scenario, the creditors will be paid from the liquidation proceeds in accordance with the rank of their respective claims in accordance with German insolvency law. Equity holders may only receive distributions from the liquidation proceeds after all prior-ranking debt has been settled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We have substantial liquidity needs and</w:t>
      </w:r>
      <w:r>
        <w:rPr>
          <w:rFonts w:ascii="Times New Roman" w:hAnsi="Times New Roman"/>
          <w:caps w:val="false"/>
          <w:smallCaps w:val="false"/>
          <w:sz w:val="20"/>
        </w:rPr>
        <w:t xml:space="preserve"> </w:t>
      </w:r>
      <w:r>
        <w:rPr>
          <w:rFonts w:ascii="Times New Roman" w:hAnsi="Times New Roman"/>
          <w:b/>
          <w:i/>
          <w:caps w:val="false"/>
          <w:smallCaps w:val="false"/>
          <w:sz w:val="20"/>
        </w:rPr>
        <w:t>we may not be able to obtain sufficient liquidity to successfully emerge from the Subsidiary Self-Administration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Although we have taken multiple measures to reduce our expenses and have significantly reduced the scale of our operations in connection with both the change of our business model announced on February 23, 2023 and the business changes and streamlined initial business focus on our Solar Bus Kit implemented in connection with the Yorkville Investment, we expect to require cash in an amount of approximately €9.0 million to fund our ongoing operations through the end of 2024. In addition, we have already incurred significant professional fees and other costs in connection with our efforts to sustainably restructure our business and expect that we will continue to incur significant professional fees and costs throughout the Self-Administration Proceedings. Although we currently believe that we will have sufficient liquidity to operate our business during the pendency of the Self-Administration Proceedings, in the event that the Yorkville Investment does not close, there can be no assurances that our liquidity will ultimately be sufficient to allow us to satisfy our obligations related the Self-Administration Proceedings and emerge successfully from the proceedings. Our liquidity, including our ability to meet our ongoing operational obligations, is dependent upon, among other things: (i) our ability to maintain adequate cash on hand, (ii) the Closing of the Yorkville Investment, (iii) our ability to raise additional external funding in the short term, (iv) our ability to consummate the Subsidiary’s plan under the German Insolvency Code and (v) the cost, duration and outcome of the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unable to meet our liquidity requirements, our businesses and assets may become subject to liquidation in a regular insolvency proceeding under the German Insolvency Code, and we may cease to continue as a going concern.</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The Subsidiary</w:t>
      </w:r>
      <w:r>
        <w:rPr>
          <w:rFonts w:ascii="Times New Roman" w:hAnsi="Times New Roman"/>
          <w:caps w:val="false"/>
          <w:smallCaps w:val="false"/>
          <w:sz w:val="20"/>
        </w:rPr>
        <w:t>’</w:t>
      </w:r>
      <w:r>
        <w:rPr>
          <w:rFonts w:ascii="Times New Roman" w:hAnsi="Times New Roman"/>
          <w:b/>
          <w:i/>
          <w:caps w:val="false"/>
          <w:smallCaps w:val="false"/>
          <w:sz w:val="20"/>
        </w:rPr>
        <w:t>s</w:t>
      </w:r>
      <w:r>
        <w:rPr>
          <w:rFonts w:ascii="Times New Roman" w:hAnsi="Times New Roman"/>
          <w:caps w:val="false"/>
          <w:smallCaps w:val="false"/>
          <w:sz w:val="20"/>
        </w:rPr>
        <w:t xml:space="preserve"> </w:t>
      </w:r>
      <w:r>
        <w:rPr>
          <w:rFonts w:ascii="Times New Roman" w:hAnsi="Times New Roman"/>
          <w:b/>
          <w:i/>
          <w:caps w:val="false"/>
          <w:smallCaps w:val="false"/>
          <w:sz w:val="20"/>
        </w:rPr>
        <w:t>plan under the German Insolvency Code that was submitted to the Court in connection with the Subsidiary Self-Administration</w:t>
      </w:r>
      <w:r>
        <w:rPr>
          <w:rFonts w:ascii="Times New Roman" w:hAnsi="Times New Roman"/>
          <w:caps w:val="false"/>
          <w:smallCaps w:val="false"/>
          <w:sz w:val="20"/>
        </w:rPr>
        <w:t xml:space="preserve"> </w:t>
      </w:r>
      <w:r>
        <w:rPr>
          <w:rFonts w:ascii="Times New Roman" w:hAnsi="Times New Roman"/>
          <w:b/>
          <w:i/>
          <w:caps w:val="false"/>
          <w:smallCaps w:val="false"/>
          <w:sz w:val="20"/>
        </w:rPr>
        <w:t>Proceedings is based in large part upon assumptions and analyses developed by us. If these assumptions and analyses prove to be incorrect, such plan may not be successful in its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plan submitted to the Court under the German Insolvency Code in connection with the Subsidiary Self-Administration Proceedings addresses the structure and operation of our business going forward and reflects assumptions and analyses based on our experience and perception of historical trends, current conditions and expected future developments, as well as other factors that we consider appropriate under the circumstances. Whether actual future results and developments will be consistent with our expectations and assumptions depends on a number of factors, which are highly uncertain, including but not limited to: (i) our ability to obtain adequate liquidity and access financing sources, including our ability to successfully fulfill the conditions precedent to the Closing so as to gain access to the funding to be provided by Yorkville under the Yorkville Investment, including the absence of any Termination Events, (ii) our ability to maintain customers’ confidence in our viability as a going concern and to attract sufficient business from them, (iii) our ability to retain key employees and (iv) the overall strength and stability of general macroeconomic conditions. Should actual future results and developments not be consistent with our expectations and assumptions, this could materially adversely affect the sustainable restructuring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the Subsidiary’s plan under the German Insolvency Code relies upon financial projections that are necessarily speculative, and it is likely that one or more of the assumptions and estimates that are the basis of these financial forecasts are not accurate. In our case, the forecasts will be even more speculative than normal because of the many uncertainties we face relating to the successful implementation and management of the pivot of our business to exclusively retrofitting and integrating our solar technology onto third party vehicles, with an initial focus in the short- to medium-term on our Solar Bus Kit, and our ability to raise the funding required to further develop and refine our solar technology and business and reach market readiness. Accordingly, we expect that our actual financial condition and results of operations will differ, perhaps materially, from what we have anticipated. Consequently, there can be no assurance that the results or developments contemplated by the Subsidiary’s plan under the German Insolvency Code will occur or, even if they do occur, that they will have the anticipated effects on us or our business or operations. The failure of any such results or developments to materialize as anticipated could materially and adversely affect the successful execution of such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In connection with the Self-Administration Proceedings, regular insolvency proceedings may be opened, which may eventually lead to the liquidation of the Company and/or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event that an appeal of the Court’s confirmation of the Subsidiary's plan under the German Insolvency Code is successful or the Subsidiary is unable to meet its liquidity requirements, the Court may appoint a preliminary insolvency administrator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ufiger Insolvenzverwalter</w:t>
      </w:r>
      <w:r>
        <w:rPr>
          <w:rFonts w:ascii="Times New Roman" w:hAnsi="Times New Roman"/>
          <w:caps w:val="false"/>
          <w:smallCaps w:val="false"/>
          <w:sz w:val="20"/>
        </w:rPr>
        <w:t>) and order the opening of a regular insolvency proceeding (</w:t>
      </w:r>
      <w:r>
        <w:rPr>
          <w:rFonts w:ascii="Times New Roman" w:hAnsi="Times New Roman"/>
          <w:i/>
          <w:caps w:val="false"/>
          <w:smallCaps w:val="false"/>
          <w:sz w:val="20"/>
        </w:rPr>
        <w:t>Insolvenzverfahren</w:t>
      </w:r>
      <w:r>
        <w:rPr>
          <w:rFonts w:ascii="Times New Roman" w:hAnsi="Times New Roman"/>
          <w:caps w:val="false"/>
          <w:smallCaps w:val="false"/>
          <w:sz w:val="20"/>
        </w:rPr>
        <w:t>) under administration by an insolvency administrator (</w:t>
      </w:r>
      <w:r>
        <w:rPr>
          <w:rFonts w:ascii="Times New Roman" w:hAnsi="Times New Roman"/>
          <w:i/>
          <w:caps w:val="false"/>
          <w:smallCaps w:val="false"/>
          <w:sz w:val="20"/>
        </w:rPr>
        <w:t>Insolvenzverwalter</w:t>
      </w:r>
      <w:r>
        <w:rPr>
          <w:rFonts w:ascii="Times New Roman" w:hAnsi="Times New Roman"/>
          <w:caps w:val="false"/>
          <w:smallCaps w:val="false"/>
          <w:sz w:val="20"/>
        </w:rPr>
        <w:t>) with respect to the relevant entity. An insolvency administrator may also propose a plan with a view to restructuring the relevant entity’s businesses and balance sheets. Any such plan is dealt with in the same manner as a plan proposed by a company in a self-administration proceeding. The insolvency administrator may also initiate a sale of the Companies’ businesses in their entirety or sell the entities’ assets on an individual basis. If the envisaged restructuring of the relevant entity’s business by way of a plan fails, such Company will eventually be liquidated in the course of the insolvency proceedings. In the liquidation scenario, creditors will be paid from the liquidation proceeds in accordance with the rank of their respective claims in accordance with German insolvency law. Equity holders, including holders of our ordinary shares, may only receive distributions from the liquidation proceeds after all prior-ranking debt has been settled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Operating under the Self-Administration Proceedings for a long period may disrupt our business and may materially and adversely affect our operations, including by consuming a substantial portion of the time and attention of our management team, adversely affecting our ability to maintain important relationships with creditors, customers, suppliers, service providers, employees and counterparties, and impacting our ability to pursue new customer arrangements and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It is difficult to predict with certainty the amount of time that we may spend on the Self-Administration Proceedings or to give assurances to interested parties that any challenges to the Court’s confirmation of the Subsidiary’s plan under the German Insolvency Code will be unsuccessful. We will attempt to minimize the potential adverse effect of the Self-Administration Proceedings on our relationships with creditors, customers, suppliers, service providers, employees and counterparties. Nonetheless, these relationships may be adversely impacted and our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instance, negative publicity associated with the proceedings may adversely affect our commercial relationships and our ability to negotiate favorable terms with important stakeholders and counterparties. Furthermore, our creditors will not receive complete recovery for their claims in the context of the proceedings. Public perception of our continued viability may also adversely affect our relationships with customers and their loyalty to us, as well as our ability to pursue new customer arrangements and projects. Strains in any of these relationships could materially and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management will be required to spend a significant amount of time and effort focusing on these proceedings instead of focusing exclusively on our business operations. This diversion of attention may have a material adverse effect on the conduct of our business, and, as a result, our financial condition and results of operations, particularly if the proceedings are protracted.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our employees will face considerable distraction and uncertainty during the pendency of the proceedings, and we may experience increased levels of employee attrition. Apart from negatively affecting our ability to retain existing high performing employees, executives and supervisory board members, the proceedings may also prevent us from attracting new employees, executives and supervisory board members. A loss of, or failure to attract, key personnel or a material erosion of employee morale could impair our ability to execute our strategy and implement operational initiatives, thereby adversely affecting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Even if the Self-Administration Proceedings were to be successfully completed, we may not be able to achieve our stated goals and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Even if the Subsidiary is able to consummate its plan under the German Insolvency Code, we will continue to face a number of risks in connection with our business and operations, financial condition and the industry we operate in or otherwise. Accordingly, we cannot guarantee that the Subsidiary’s plan under the German Insolvency Code will achieve our stated goals and permit us to effectively implement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Furthermore, even if our debts are reduced or discharged through such plan, we will need to raise additional funds through public or private debt or equity financing or other means to fund our business beyond the Funding Period provided under the terms of the Yorkville Agreements, should the Yorkville Investment be concluded and implemented as planned. Our access to additional financing is, and for the foreseeable future will likely continue to be, limited, if it is available at all. Therefore, adequate funds may not be available when needed or may not be available on favorable terms and we may not be able to continue as a going concern.</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Any trading in our ordinary share during the term of the Self-Administration Proceedings is highly speculative and poses substantial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Trading in securities of an issuer in insolvency proceedings is extremely speculative, and there is a very significant risk that investors will lose all or a substantial portion of their investment. We can provide no assurances regarding recovery for holders of equity, the consummation of the Subsidiary’s plan under the German Insolvency Code or the amount of any recoveries. Therefore it is impossible to predict at this time whether holders of our ordinary shares will receive any distribution with respect to, or be able to recover any portion of, their investments. Trading prices for our ordinary shares may bear little or no relationship to actual recovery, if any, by holders thereof during the term of the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caution and urge existing and future investors to carefully consider the significant risks with respect to investments in our ordinary shares.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The Company</w:t>
      </w:r>
      <w:r>
        <w:rPr>
          <w:rFonts w:ascii="Times New Roman" w:hAnsi="Times New Roman"/>
          <w:caps w:val="false"/>
          <w:smallCaps w:val="false"/>
          <w:sz w:val="20"/>
        </w:rPr>
        <w:t>’</w:t>
      </w:r>
      <w:r>
        <w:rPr>
          <w:rFonts w:ascii="Times New Roman" w:hAnsi="Times New Roman"/>
          <w:b/>
          <w:i/>
          <w:caps w:val="false"/>
          <w:smallCaps w:val="false"/>
          <w:sz w:val="20"/>
        </w:rPr>
        <w:t>s visibility, credibility, stock price, and trading volume, as well as investor confidence, may further decrease as a result of the Nasdaq Hearings Panel</w:t>
      </w:r>
      <w:r>
        <w:rPr>
          <w:rFonts w:ascii="Times New Roman" w:hAnsi="Times New Roman"/>
          <w:caps w:val="false"/>
          <w:smallCaps w:val="false"/>
          <w:sz w:val="20"/>
        </w:rPr>
        <w:t>’</w:t>
      </w:r>
      <w:r>
        <w:rPr>
          <w:rFonts w:ascii="Times New Roman" w:hAnsi="Times New Roman"/>
          <w:b/>
          <w:i/>
          <w:caps w:val="false"/>
          <w:smallCaps w:val="false"/>
          <w:sz w:val="20"/>
        </w:rPr>
        <w:t>s decision to delist the Company</w:t>
      </w:r>
      <w:r>
        <w:rPr>
          <w:rFonts w:ascii="Times New Roman" w:hAnsi="Times New Roman"/>
          <w:caps w:val="false"/>
          <w:smallCaps w:val="false"/>
          <w:sz w:val="20"/>
        </w:rPr>
        <w:t>’</w:t>
      </w:r>
      <w:r>
        <w:rPr>
          <w:rFonts w:ascii="Times New Roman" w:hAnsi="Times New Roman"/>
          <w:b/>
          <w:i/>
          <w:caps w:val="false"/>
          <w:smallCaps w:val="false"/>
          <w:sz w:val="20"/>
        </w:rPr>
        <w:t>s securities from Nasdaq</w:t>
      </w:r>
      <w:r>
        <w:rPr>
          <w:rFonts w:ascii="Times New Roman" w:hAnsi="Times New Roman"/>
          <w:caps w:val="false"/>
          <w:smallCaps w:val="false"/>
          <w:sz w:val="20"/>
        </w:rPr>
        <w:t xml:space="preserve"> </w:t>
      </w:r>
      <w:r>
        <w:rPr>
          <w:rFonts w:ascii="Times New Roman" w:hAnsi="Times New Roman"/>
          <w:b/>
          <w:i/>
          <w:caps w:val="false"/>
          <w:smallCaps w:val="false"/>
          <w:sz w:val="20"/>
        </w:rPr>
        <w:t>and the anticipated completion of such delisting</w:t>
      </w:r>
      <w:r>
        <w:rPr>
          <w:rFonts w:ascii="Times New Roman" w:hAnsi="Times New Roman"/>
          <w:caps w:val="false"/>
          <w:smallCaps w:val="false"/>
          <w:sz w:val="20"/>
        </w:rPr>
        <w: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December 11, 2023, the Company received a decision of the Panel advising the Company that the Panel has determined to delist the Company’s ordinary shares from Nasdaq.</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Company received a first delist determination letter on July 12, 2023 from the staff of the Listing Qualifications Department (the “Staff”) following the Company’s application for its Preliminary Self-Administration Proceedings pursuant to Section 270 (b) of the German Insolvency Code. The Staff’s delist letter additionally found that the Company failed to meet the filing requirement in Listing Rule 5250(c)(1), as it had failed to file its Annual Report on Form 20-F for the year ended December 31, 2022. On August 28, 2023, the Staff issued an additional delist determination letter for the Company’s failure to meet the minimum bid price requirement in Listing Rule 5450(a)(1) and the audit committee requirement in Listing Rule 5605(c)(2). The Company appealed the Staff’s determination and appeared before the Panel on September 14, 2023.</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Trading of our ordinary shares has been suspended since July 21, 2023. Since then, our ordinary shares have been trading in over-the-counter markets, which are less visible, less accessible and less liquid markets. Although the delisting process has not been completed as of the date of this Annual Report, Nasdaq informed the Company that Nasdaq will complete the delisting by filing a Form 25 Notification of Delisting with the U.S. Securities Exchange Commission (the “SEC”) following the lapse of applicable appeal periods. We do not intend to appeal the Panel’s decision. The Panel’s final delist determination as well as the anticipated completion of the delisting of the Company’s securities from Nasdaq may result in a loss of investor confidence and further decrease our visibility, credibility and trading volume, all of which could adversely impact the market price of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have difficulty finding an independent registered public accounting firm to audit our financial statements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a public company, we are required to have our financial statements audited by a public accounting firm that is registered with the Public Company Accounting Oversight Board (“PCAOB”) under standards promulgated by the PCAOB and that meets SEC and PCAOB standards for independence. There are very few accounting firms active in our jurisdiction that meet these standards. Because of high demand for the services of such accounting firms, the accounting firms that meet the standards have limited capacity for taking on additional clients and, as a result of the Self-Administration Proceedings and/or our status as an early stage company, may find us to be too risky to take on as a client.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have not yet mandated a public accounting firm for the audit of our financial statements for the year ended December 31, 2023, and any delays that result from our inability to find an independent registered public accounting firm for such audit could result in our failure to comply with SEC filing obligations, in particular our obligation to timely file our annual report on Form 20-F for the year ended December 31, 2023. In addition, our continuous operation and our ability to continue as a going concern will depend on our ability to obtain sufficient external financing. Any failure to stay current with financial reporting obligations will negatively affect our ability to raise capital and require us to curtail our operations, which could adversely affect our business, results of operations, financial position and cash flows and may ultimately lead to insolvency and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Risks Related to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If we are able to successfully emerge from the Self-Administration Proceedings and avoid insolvency, our success and future growth will be dependent upon the market</w:t>
      </w:r>
      <w:r>
        <w:rPr>
          <w:rFonts w:ascii="Times New Roman" w:hAnsi="Times New Roman"/>
          <w:caps w:val="false"/>
          <w:smallCaps w:val="false"/>
          <w:sz w:val="20"/>
        </w:rPr>
        <w:t>’</w:t>
      </w:r>
      <w:r>
        <w:rPr>
          <w:rFonts w:ascii="Times New Roman" w:hAnsi="Times New Roman"/>
          <w:b/>
          <w:i/>
          <w:caps w:val="false"/>
          <w:smallCaps w:val="false"/>
          <w:sz w:val="20"/>
        </w:rPr>
        <w:t>s willingness to adopt solar-powered mobility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close and implement the Yorkville Investment, emerge from the Self-Administration Proceedings and avoid insolvency, we currently intend to focus in the short- to medium-term on our Solar Bus Kit. While we expect the Yorkville Investment to position us to obtain sufficient funding for our business operations, with the initial focus on our Solar Bus Kit, through the end of 2024, our pursuit of other solar integration projects will be dependent on the success of future capital raising efforts. The market for mobility-related solar solutions is still evolving, characterized by rapidly changing technologies, price and other competition, evolving government regulation and industry standards, as well as changing or uncertain consumer demands and behaviors. Factors that may influence the adoption of our solar technology solutions include:</w:t>
      </w:r>
    </w:p>
    <w:p>
      <w:pPr>
        <w:pStyle w:val="TextBody"/>
        <w:bidi w:val="0"/>
        <w:spacing w:before="0" w:after="0"/>
        <w:ind w:left="0" w:right="0" w:hanging="0"/>
        <w:jc w:val="both"/>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60"/>
        <w:gridCol w:w="170"/>
        <w:gridCol w:w="79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30"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perceptions about the effectiveness of mobility-related solar technology solutions;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93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30"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perceptions about the quality, safety, design, performance and cost of solar technology solutions;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93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30"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significant developments in new alternative technologies, such as hydrogen fuel cell technology;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93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30"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improvements in the fuel economy of internal combustion engines;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93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30"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degree of environmental consciousness of consumers;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changes in the relative cost of electricity, oil, gasoline and hydrogen;</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government regulations and economic incentives promoting fuel efficiency and alternate forms of energy;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availability of tax and other governmental incentives promoting e-mobility or future regulation requiring increased use of nonpolluting mobility solutions;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macroeconomic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Solar-powered e-mobility solutions largely remain commercially unproven. Our solar-powered mobility solutions may therefore not be as well accepted by the market as expected, or may not be accepted at all, and may not be able to claim the market position we hope 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The mobility market is highly competitive and</w:t>
      </w:r>
      <w:r>
        <w:rPr>
          <w:rFonts w:ascii="Times New Roman" w:hAnsi="Times New Roman"/>
          <w:caps w:val="false"/>
          <w:smallCaps w:val="false"/>
          <w:sz w:val="20"/>
        </w:rPr>
        <w:t xml:space="preserve"> </w:t>
      </w:r>
      <w:r>
        <w:rPr>
          <w:rFonts w:ascii="Times New Roman" w:hAnsi="Times New Roman"/>
          <w:b/>
          <w:i/>
          <w:caps w:val="false"/>
          <w:smallCaps w:val="false"/>
          <w:sz w:val="20"/>
        </w:rPr>
        <w:t>even</w:t>
      </w:r>
      <w:r>
        <w:rPr>
          <w:rFonts w:ascii="Times New Roman" w:hAnsi="Times New Roman"/>
          <w:caps w:val="false"/>
          <w:smallCaps w:val="false"/>
          <w:sz w:val="20"/>
        </w:rPr>
        <w:t xml:space="preserve"> </w:t>
      </w:r>
      <w:r>
        <w:rPr>
          <w:rFonts w:ascii="Times New Roman" w:hAnsi="Times New Roman"/>
          <w:b/>
          <w:i/>
          <w:caps w:val="false"/>
          <w:smallCaps w:val="false"/>
          <w:sz w:val="20"/>
        </w:rPr>
        <w:t>if we are able to successfully emerge from the Self-Administration Proceedings and avoid insolvency, we may not be able to successfully commercialize our proprietary solar technology in time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market for alternative mobility solutions is highly competitive and continuously evolving. We are not the only company seeking to develop and offer solar-powered mobility solutions. Numerous competitors strive to offer mobility and e-mobility solutions to the mass market and several other market players are currently experimenting with or intend to commercialize solar charging technology, including manufacturers with established brands and significantly greater financial resources than us. Some of our competitors benefit from greater financial resources, more extensive development, manufacturing, marketing and service capabilities, owned manufacturing assets, greater brand recognition and a larger number of managerial and technical personnel. Smaller existing or future competitors may be acquired by larger companies with significant capital or other resources, thereby further intensifying competition with us. Competitors’ technologies may provide customers with material competitive (technological) advantages compared to our own offering, such as more attractive prices or better performance. As a result, even if we are able to successfully emerge from the Self-Administration Proceedings and avoid insolvency, we may experience a significant reduction in potential market share and expected revenue streams, which could impact our ability to successfully market our solar technology and adversely affect our business, results of operations, financial position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expect competition in our industry to intensify in the future, particularly in light of increased demand for alternative fuel and a regulatory push for e-mobility (e.g., CO2 target emission regulations and tax or other monetary incentives), as well as declining battery prices. Continuing globalization may lead to additional potential competitors in emerging economies. Factors affecting competition include manufacturing efficiency, product prices and quality, performance and features, innovation and development time, reliability, safety, energy economy, charging options, customer service and financing terms. Increased competition may lead to lower product sales and increased inventory, which may result in price pressure. Even if we are able to emerge from the Self-Administration Proceedings and avoid insolvency, we may not be able to successfully compete in our markets. In addition, there can be no assurance that our intention to initially focus in the short- to medium-term on our Solar Bus Kits is a viable business setup.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Risks Related to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We are an early-stage company with a history of significant losses that recently adapted its business model and expects continuing losses for the foreseeable future, which means that our ability to prevent insolvency and continue as a going concern</w:t>
      </w:r>
      <w:r>
        <w:rPr>
          <w:rFonts w:ascii="Times New Roman" w:hAnsi="Times New Roman"/>
          <w:caps w:val="false"/>
          <w:smallCaps w:val="false"/>
          <w:sz w:val="20"/>
        </w:rPr>
        <w:t xml:space="preserve"> </w:t>
      </w:r>
      <w:r>
        <w:rPr>
          <w:rFonts w:ascii="Times New Roman" w:hAnsi="Times New Roman"/>
          <w:b/>
          <w:i/>
          <w:caps w:val="false"/>
          <w:smallCaps w:val="false"/>
          <w:sz w:val="20"/>
        </w:rPr>
        <w:t>and, if we are successful in doing so, to accomplish any of our business plans depends on our ability to imminently raise</w:t>
      </w:r>
      <w:r>
        <w:rPr>
          <w:rFonts w:ascii="Times New Roman" w:hAnsi="Times New Roman"/>
          <w:caps w:val="false"/>
          <w:smallCaps w:val="false"/>
          <w:sz w:val="20"/>
        </w:rPr>
        <w:t xml:space="preserve"> </w:t>
      </w:r>
      <w:r>
        <w:rPr>
          <w:rFonts w:ascii="Times New Roman" w:hAnsi="Times New Roman"/>
          <w:b/>
          <w:i/>
          <w:caps w:val="false"/>
          <w:smallCaps w:val="false"/>
          <w:sz w:val="20"/>
        </w:rPr>
        <w:t>significant external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result for the year ended December 31, 2022 was a loss for the period of €183.7 million. We have incurred net losses since our inception in March 2016, resulting in an accumulated deficit of €330.8 million as of December 31, 2022 compared to an accumulated deficit of €147.1 million as of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Even if we are able to prevent liquidation and successfully emerge from the Self-Administration Proceedings, we expect to continue to generate operating losses for the foreseeable future until we complete the development of our solar technology and significantly scale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already realized first revenues from certain of our solar technology products. However, such sales were, and at least in the short term are expected to remain, only marginal and will not be sufficient to support our operations and cash requirements until we will have significantly scaled our operations, currently expected in the second half of 2024. We are in the final development phase with respect to our Solar Bus Kit and aim to start commercial production in 2024. Although we are in discussions with several potential customers and have been building up a customer base by signing letters of intent and contracts for pilot fleets and prototypes, so far we have not concluded binding series sales contracts for our Solar Bus Kit. We seek to incrementally increase monetization of our technology, starting with our Solar Bus Kits in 2024. Although we have elaborated a new business plan in the context of the Self-Administration Proceedings, such business plan is subject to developments in the Self-Administration Proceedings and we therefore cannot provide any assurances that we will be successful in accomplishing such business plan. The current business plan foresees a clear focus on the bus industry and our Solar Bus Kit product in 2024, and additionally considers the refrigerated vehicle industry and the e-transporter industry as long-term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emerge from the Self-Administration Proceedings and continue as a going concern, we would expect to continue to incur significant expenses as we seek to further develop, expand and refine our solar technology. We would also expect to incur expenses related to preparations for the commercialization of our technology, starting with our Solar Bus Kits, increasing our sales and marketing activities with the goal of building our brand, and adding infrastructure and personnel to support our growth. In addition, we currently continue to incur various expenses from, for example, general administrative functions, our headquarters and costs relating to being a public company. We would not be able to cover our expenses with revenues at least until we complete the development and start the commercialization of our solar technology, starting with our Solar Bus Kits, and significantly increase the scale of our operations. We would expect to incur additional substantial expenses in the foreseeable future. The activities related to our solar technology and the development of our business may result in prolonged losses. There is no guarantee that we would ever reach meaningful revenue levels or profitability or even that we will be able to continue as a going concern, as discussed above. Our ability to reach profitability in the future will not only depend on our ability to successfully implement the change in our business to exclusively retrofitting and integrating our solar technology onto third party vehicles, with an initial focus on our Solar Bus Kits, and to successfully complete the development of and commercialize our solar technology but also on our ability to control our expenses and capital expenditures and manage our costs efficiently. If we are unable to achieve profitability, we may have to reduce the planned scale of our operations, which may impact our business growth and adversely affect our financial condition, results of operations, financial position and cash flows. In addition, our continuous operation and our ability to continue as a going concern will depend on our ability to obtain sufficient external equity or debt financing. If we do not succeed in doing so, we may need to curtail our operations, which could adversely affect our business, results of operations, financial position and cash flows and may ultimately lead to insolvency and liquidation.</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There is no historical basis for reliably assessing the market potential and demand for our products, our ability to develop, manufacture, and deliver our products at commercial scales, or our future profitability. There can be no assurance that any of our products, including our Solar Bus Kits, will be commercially successful or that we will be able to scale our operations. We currently rely on a single product, our Solar Bus Kits, and if the market does not accept our Solar Bus Kits or does not develop as expected, we will have no other product to compensate for the shortfall. We have no reliable basis for the prediction of our future revenues and expenses, and we may have limited insight into future trends that may emerge and affect our business. We need substantial funding for capital expenditure and additional development activities until the start of commercial production. The estimated costs and timelines that we have developed to reach commercial production of our products are subject to inherent risks and uncertainties involved in the transition from a start-up company focused on development activities to the commercial-scale manufacture and sale of our products. If we are able to successfully emerge from the Self-Administration Proceedings and continue as a going concern, we intend to initially focus in the short- to medium-term on our Solar Bus Kits. You should therefore consider our business and prospects in light of the risks and challenges we face as a new market entrant,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successfully implement and manage the change of our business to exclusively retrofitting and integrating our solar technology onto third party vehicles;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successfully develop and launch commercial production and sales of our solar technology and other innovations and to continuously advance our current technologies and develop new technologies;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obtain, maintain and protect patents and other intellectual property rights that are crucial to our solar technology and commercialization efforts in our target markets;</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raise the funding required to further develop and refine our solar technology and business and reach market readiness;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customer acceptance of and demand for our products;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turn profitable, scale our operations and build a well-recognized and respected brand cost-effectively;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develop and maintain relationships with key business partners who are crucial for our operations or who directly deal with end users in our target market;</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navigate the evolving regulatory environment and potentially expand our product line-up;</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improve and maintain our operational efficiency, set up and manage our supply chain efficiently and adapt to changing market conditions, including technological developments and changes in our competitive landscape;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find the necessary qualified personnel and to build up and scale functioning structures within Sono Motors.</w:t>
            </w:r>
          </w:p>
        </w:tc>
      </w:tr>
    </w:tbl>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emerge from the Self-Administration Proceedings, our business will be restructured, which would include the release of significant liabilities, and will likely entail significant changes to our consolidated balance sheet and consolidated statement of operations. In addition, due to the opening of the Self-Administration Proceedings, the Company lost control of the Subsidiary on May 19, 2023. The effect of this loss of control is that in 2023, the results of the Subsidiary will be consolidated up until the loss of control and the assets and liabilities of the Subsidiary will be derecognized from the consolidated statement of financial position. It is expected that there will also be an impact recognized in the profit or loss attributable to the Company. It is expected that this loss of control will be temporary, with control being regained when the Subsidiary exits the Subsidiary Self-Administration Proceedings and is once again consolidated with the Company. As a result, our financial information going forward may in many respects not be comparable to our historical financial information. In addition, the financial information for the periods under review mainly include expenses related to the Sion project, which was terminated in February 2023. Accordingly, the financial information contained in this Annual Report is likely not indicative of any future financial information and has only limited value for purposes of assessing our solar-only business.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emerge from the Self-Administration Proceedings, we intend to use the financing that we obtain mainly to finance the operations of the Subsidiary. Accordingly, the Yorkville Agreements envision the issuance of a hard Back-to-Back Letter of Comfort from the Company to the Subsidiary to provide funding for the Subsidiary’s business operations, with an initial focus on the Solar Bus Kit. These arrangements mean that the Company may only hold a small fraction of our total liquidity, which means that creditors at the Company level are structurally subordinated to creditors at the Subsidiary level.</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Management has concluded that there is substantial doubt about our ability to continue as a going concern in our financial reporting for past periods and if we are unable to successfully emerge from the pending Self-Administration Proceedings there is a material risk that we may be liquidated.</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Management has concluded that there is substantial doubt about our ability to continue as a going concern in our financial reporting for past periods. As a result of our recurring losses from operations and the need for additional financing to fund our operating and capital requirements despite the change in our business model, we decided to apply for the Self-Administration Proceedings in May 2023, which are currently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the risks and uncertainties associated with the Yorkville Investment and the Self-Administration Proceedings, management cannot accurately predict or quantify the ultimate impact that events related to these proceedings may have on the Sono Group and thus there is no certainty as to the ability to continue as a going concern. Even if Sono Group N.V. and Sono Motors GmbH are able to successfully emerge from the Self-Administration Proceedings, the Company’s business plan is reliant on income from customers. As of the date of this Annual Report on Form 20-F, whilst there are several letters of intent, no contracts with regards to the Solar Bus Kit have been signed, and hence there is a risk that revenue will be less than expected in 2024. Similarly, there is a risk that the solar technology is not fully functional or available on the anticipated schedule or at all, which would result in a delay in realizing potential revenue. Finally, the Yorkville Agreements provide funding until December 2024. Sono will therefore have to either secure a sufficient number of future customer contracts or other additional financing in order to fund the business from January 2025 onwards. All the above can affect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uncertain if Sono Group N.V. and its subsidiary Sono Motors GmbH will successfully resolve Self-Administration Proceedings and regular insolvency proceedings may be opened, which may eventually lead to the liquidation of the Company and/or the Subsidiary. Moreover, even if the closing of the Yorkville Agreements will be successful (and conditions precedent are fulfilled) Sono Group’s access to required additional financing is, and for the foreseeable future will likely continue to be, limited, if it is available at all as of January 1, 2025 and beyond. Therefore, adequate funds may not be available when needed or may not be available on favorable terms and thus the Company might not be able to continue as a going concern.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Based on the above, Sono Group will need to raise substantial additional capital to finance its planned future operations, which is not assured, and has consequently concluded that there is substantial doubt about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identified multiple material weaknesses in our internal control over financial reporting and, as a result, management has concluded that our internal control over financial reporting and our disclosure controls and procedures were not effective as of December 31, 2022. If we are unable to remediate these material weaknesses, or if other control deficiencies are identified as a result of ongoing or future processes, we may not be able to report our financial results accurately, prevent fraud or file our periodic reports as a public company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Prior to our IPO on November 17, 2021, we operated as a private company that was not required to comply with the obligations of a public company with respect to internal controls over financial reporting under the Sarbanes-Oxley Act. Since our initial public offering in 2021, we have been a public company in the United States subject to the Sarbanes-Oxley Act. Section 404 of the Sarbanes-Oxley Act requires that we include a report from management on the effectiveness of our internal control over financial reporting in our annual report on Form 20-F, starting with this annual report on Form 20-F for the year ended December 31, 2022. As a result, we are required to disclose changes made in our internal controls and procedures and our management is required to assess the effectiveness of these controls annually.</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audits of our consolidated financial statements for the years ended December 31, 2019, 2020 and 2021 and management’s assessment of the effectiveness of our internal controls and procedures for the year ended December 31, 2022, we identified multiple material weaknesses in our internal control over financial reporting. A “material weakness” is a deficiency, or a combination of deficiencies, in internal control over financial reporting such that there is a reasonable possibility that a material misstatement of our annual or condensed consolidated interim financial statements will not be prevented or detected on a timely basis. Due to the multiple material weaknesses identified, which had not been remediated as of December 31, 2022, our management concluded that our internal control over financial reporting and our disclosure controls and procedures were not effective as of December 31, 2022. While we are continuing to work on remediating the weaknesses identified, based on our limited financial and operational resources we cannot at this time predict when we will have remediated these material weaknesses. The remediation measures are time-consuming and costly and place significant demands on our financial and operational resources. For more information on the nature of the material weaknesses and the related ongoing remediation measures, see “</w:t>
      </w:r>
      <w:r>
        <w:rPr>
          <w:rFonts w:ascii="Times New Roman" w:hAnsi="Times New Roman"/>
          <w:i/>
          <w:caps w:val="false"/>
          <w:smallCaps w:val="false"/>
          <w:sz w:val="20"/>
        </w:rPr>
        <w:t>Item 15. Controls and Procedures</w:t>
      </w:r>
      <w:r>
        <w:rPr>
          <w:rFonts w:ascii="Times New Roman" w:hAnsi="Times New Roman"/>
          <w:caps w:val="false"/>
          <w:smallCaps w:val="false"/>
          <w:sz w:val="20"/>
        </w:rPr>
        <w:t>—</w:t>
      </w:r>
      <w:r>
        <w:rPr>
          <w:rFonts w:ascii="Times New Roman" w:hAnsi="Times New Roman"/>
          <w:i/>
          <w:caps w:val="false"/>
          <w:smallCaps w:val="false"/>
          <w:sz w:val="20"/>
        </w:rPr>
        <w:t>B. Management's Annual Report on Internal Control over Financial Reporting.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course of documenting and testing our internal control procedures in the future, we, or an outside advisor,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non-compliant with the Dutch financial reporting requirements with regard to the timely filing of our audited 2020, 2021 and 2022 Dutch statutory financial statements with the Dutch trade register. Dutch financial reporting rules require the timely filing of our audited Dutch statutory financial statements with the Dutch trade register. Non-compliance with these filing requirements exposes us to penalties and fines. Non-compliance with the requirements under Dutch law with respect to the preparation, audit and publication of our Dutch statutory financial statements could also lead to increased exposure for our management board and supervisory board members to direct liability under the standards of Dutch corporate law, which may negatively affect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Subsidiary is also non-compliant with the German financial reporting requirements with regard to the timely filing of its audited 2022 statutory financial statements with the German trade register and the German Federal Gazette, which has in the past led, and - until compliance is established - may in the future lead, to the imposition of penalties and fines. German financial reporting rules under the Securities Trading Act (“</w:t>
      </w:r>
      <w:r>
        <w:rPr>
          <w:rFonts w:ascii="Times New Roman" w:hAnsi="Times New Roman"/>
          <w:i/>
          <w:caps w:val="false"/>
          <w:smallCaps w:val="false"/>
          <w:sz w:val="20"/>
        </w:rPr>
        <w:t>Verm</w:t>
      </w:r>
      <w:r>
        <w:rPr>
          <w:rFonts w:ascii="Times New Roman" w:hAnsi="Times New Roman"/>
          <w:caps w:val="false"/>
          <w:smallCaps w:val="false"/>
          <w:sz w:val="20"/>
        </w:rPr>
        <w:t>ö</w:t>
      </w:r>
      <w:r>
        <w:rPr>
          <w:rFonts w:ascii="Times New Roman" w:hAnsi="Times New Roman"/>
          <w:i/>
          <w:caps w:val="false"/>
          <w:smallCaps w:val="false"/>
          <w:sz w:val="20"/>
        </w:rPr>
        <w:t>gensanlagegesetz</w:t>
      </w:r>
      <w:r>
        <w:rPr>
          <w:rFonts w:ascii="Times New Roman" w:hAnsi="Times New Roman"/>
          <w:caps w:val="false"/>
          <w:smallCaps w:val="false"/>
          <w:sz w:val="20"/>
        </w:rPr>
        <w:t>”) require the timely filing of the Subsidiary’s audited German statutory financial statements by June 30 of the year following the applicable financial period. Non-compliance with these filing requirements exposes us to penalties and fines.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failure on our part to discover and/or remediate existing material weaknesses, to discover and address any other control deficiencies and to achieve and maintain an effective internal control environment, could result in inaccuracies in our consolidated financial statements and could also impair our ability to comply with applicable financial reporting requirements and make related regulatory filings on a timely basis, could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regulatory investigations and civil or criminal sanctions. We may also be required to restate our financial statements for prior periods. We cannot assure you that all of our existing material weaknesses have been identified, that we will not in the future identify additional material weaknesses and that we will be able to achieve and maintain an effective internal control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ability to develop solar technology is unproven and we may fail to further develop and realize the commercialization of our solar technology within the intended timeframe, budget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future success will depend in large part on our ability to execute our plans to develop and commercialize our proprietary solar technology, starting with our Solar Bus Kits, at large scale. Our industry is characterized by rapid technological evolution and continuing technological changes, which could adversely affect demand for our products. Our development efforts may not be successful and we may not be able to realize all advertised specifications of our technology such as, for example, the effectiveness of our solar modules. We further have to secure the supply of necessary components and raw materials on acceptable terms. For example, lock-downs in China resulted in the limited availability of semiconductor chips, which could also impact our ability to meet any planned timelines. In addition, our maximum power point tracker central unit (“MCU”) is a key component of our solar kits and is still subject to ongoing development. Due to the early stage of the MCU development and our ongoing Self-Administration Proceedings, we are not yet in a position to order relevant components for the further development of the MCU from suppliers in advance, which may further delay the development of our solar technology. We may also have to change specifications of relevant components on short notice, which may make it impossible for suppliers to deliver required parts in time, at all or at pre-agreed costs, which may, in turn, put potential timelines or projects at risk. We would also need to engage in substantive field testing and safety activities, which is still in early stages. Our products also have to meet stringent and constantly evolving safety and certification requirements, potentially in various jurisdictions, and there is no guarantee that our products or vehicles equipped with our solar kits will receive the required certification from relevant authorities. For example, we plan to have our MCU certified according to automotive standards; there can be no assurance that we actually achieve this certification. There can be no assurance that our solar technology and specifications can be applied to production at commercial scale. Given the complexities involved in developing and preparing our solar technology for the mass market, there is no guarantee that we will be able to finalize its development within the intended timeframe or budget. Any delay in committed or planned timelines due to, for example, a delay in the financing, development or regulatory approval of our solar technology could materially damage our brand, business, prospects, financial condition, results of operations, and cash flows, and could lead to material liquidity constraints. Furthermore, any plans to develop and prepare our solar technology for the mass market are subject to developments with respect to the Self-Administration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early 2023, we decided that it is not feasible for us to further pursue the development and commercialization of our electric vehicle Sion. There is no guarantee that this change and emphasis of our business activities proves successful. We may conclude that the further development and commercialization of our solar technology is not feasible. We may decide to abandon this project, due to, for example, a change in the regulatory framework, lack of feasibility, engineering issues, lack of skilled research and development or other personnel, lack of supplier capacity or availability, lack of customer demand or our inability to secure sufficient capital. In such a case, we may not be able to amortize any investments made. We may have entered into contractual arrangements with suppliers or other partners, which may subject us to continuous payment or other obligations irrespective of a decision to abandon the relevant underlying project. Any such decision to discontinue the development or commercialization of our technology or any of our solutions would likely lead to significant losses. Furthermore, our plans regarding the future development and commercialization of our solar technology are subject to developments with respect to the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may find engineering errors, defects or areas that need improvement in our products. Technological changes or changes in supplier components may require us to change our technology. There can be no assurance that we will be able to implement any such changes in a timely manner or that these changes will not trigger any follow-on issues. Our solar technology may not be as well received, functional or efficient as expected and we may face significant competition with respect to our solar technology. To the extent we may want to monetize our technology based on licensing arrangements with third parties and royalty payments, which requires patent-based or similar legal protection, there is no guarantee that we will obtain such protection in a timely manner, in the relevant jurisdictions or at all. Employees who we have terminated may challenge our ownership in relevant patents or other intellectual property; there is no guarantee that any such challenges will not be successful. We may fail to identify technical innovations that could be patentable and, accordingly, may fail to protect them via patents. Furthermore, any plans to monetize our technology based on license arrangements with third parties and royalty payments are subject to developments with respect to the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solar technology may not be fully functional or available on our anticipated schedule or at all, and may remain unproven and pose additional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functionality, usability and availability of our solar technology and other solutions in day-to-day use and at scale is largely unproven. Our technology has not yet been tested in industrial production. The relevant production machines that turn our solar technology into actual products at industrial scale have not yet been fully developed and will be custom made based on specifications that we define in order to meet the requirements of our complex solar module technology. There is no guarantee that our products will initially perform as expected under real conditions or that we will be able to detect and fix any potential weaknesses in our technology and solutions prior to commencing commercial production. For example, our solar module technology may not provide the expected efficiency advantage compared to traditional BEVs or may be less reliable or more expensive to produce than expected. In addition, our solar modules may be subject to accelerated corrosion due to the impact of thermal expansion. An early prototype version of our integrated solar modules rippled and showed optical deviations when intensely exposed to the sun for an extended period of time. While we believe that we have found the reason for these issues, we cannot guarantee that they will not recur. In addition, partial exposure of our solar modules to sun may cause sections not exposed to sun to become very hot, which may lead to bodily harm should persons touch these sections. Defects in our integrated solar modules may cause fires and injuries. Any of our hardware or software solutions may contain errors, bugs, vulnerabilities or design defects or may be subject to technical limitations that may compromise the functionality of our offering. Some errors, bugs, vulnerabilities, or design defects inherently may be difficult to detect and may only be discovered after industrial commercialization of our technology has begun. Additional risks may result from the use of any of our solutions in jurisdictions where such use is not lawful. For example, our solar module technology may be used or commercialized by any of our licensees in jurisdictions where the use of such a solution may not be lawful or subject to additional regulatory requirements, which may potentially expose us or individuals to significant liability risks or negatively affect our brand. Furthermore, any plans to prove the functionality, usability and availability of our solar technology and other solutions are subject to developments with respect to the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depend on the adequate protection of our intellectual property, which can be difficult and costly.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seek to sell and license our proprietary solar technology and other solutions to business customers and invest significant resources in their development. The protection of our proprietary solar technologies and other innovations is therefore critical to our business and the commercial success of our products. We hold several patents relating to our technological innovations, such as our solar module technology and our energy management system for vehicles. To establish and protect our rights in our technology, we rely on a combination of patents, trade secrets (including know-how), copyrights, trademarks, intellectual property licenses, employee and third-party nondisclosure agreements and other contractual rights. Any failure to obtain, maintain, protect, and monitor the use of our existing intellectual property rights could result in the loss of valuable technologies or material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measures we take to protect our intellectual property from unauthorized use by others, including current or former suppliers, partners or employees, may not be effective for various reasons. Any patent applications we submit may not result in the issuance of patents, the scope of our issued patents may not be broad enough to protect our proprietary rights or our issued patents may be challenged and/or invalidated by our competitors. Any successful challenge to any of our intellectual property rights, including by competitors or current or former employees, could deprive us of rights necessary for the successful commercialization of our solar technology and innovations. Challenges to our patents could impair or eliminate our ability to collect future revenues and royalties. The patent prosecution process is expensive, time consuming and complicated, and we and our future licensors may not be able to file, prosecute or maintain all necessary or desirable patent applications at a reasonable cost or in a timely manner or in all jurisdictions where protection may be commercially advantageous. It is also possible that we and our future licensors may fail to identify patentable aspects of our research and development output before it is too late to obtain patent protection. We filed and intend to continue to file trademark applications in relevant jurisdictions but may be unable to register our trademarks or otherwise protect them. For example, we have failed in some jurisdictions to obtain protection for our circle with a dot in the middle, if it is not combined with other distinctive elements. In China, our trademark application for our circle with a dot in the middle, the Sono name, and the combination of the Sono name and our circle with a dot in the middle has been objected to. In the United States, our application to register “Driven by the Sun” as a trademark has been denied. In addition, we are in ongoing discussions with an American developer and manufacturer of audio products, who filed oppositions against various trademarks that were filed by us after a rebranding process, and a producer of telescopic sights has also filed oppositions against the same trademarks that were filed by us after the rebranding process. With both opponents, we are in negotiation to find an amicable solution. Therefore, for the oppositions that have been filed by these opponents, an extension of the cooling-off period has been filed. Our efforts to register a trademark may be subject to opposition and if a third-party were to register our trademarks, or similar trademarks, in a jurisdiction where we have not successfully registered such a trademark, it could create a barrier to the successful commercialization of our products. For example, in Europe, there are on-going attempts to register our slogan or other marks in relation to transport vehicles by land, air, or water. Failure to adequately protect our intellectual property rights could result in our competitors offering similar products, potentially resulting in the loss of some of our competitive advantage as well as a decrease in our revenue, which would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Even if we hold valid and enforceable patents or other intellectual property rights, the legal systems of certain countries, including certain developing countries, may not favor the enforcement of these rights or otherwise offer the same degree of protection as do the laws in the EU or United States, which could make it difficult for us to stop the infringement, misappropriation, or other violation of our patents or other intellectual property rights. Further, policing the unauthorized use of our intellectual property in various jurisdictions around the world may be difficult and require significant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have applied for patent protection relating to our technological innovations in certain jurisdictions. While we generally consider applying for patents in those countries where we intend to make, have made, use, sell or license patented products, we may not accurately assess all the countries where patent protection will ultimately be desirable. If we fail to timely file a patent application in any such country, we may be precluded from doing so at a later date. Furthermore, our pending patent applications may be challenged by third parties or such applications may not eventually be issued by the applicable patent offices as patents. The denial of our key patent applications or of a substantial portion of our patent applications could have a substantial negative impact on the value and strength of our intellectual property rights, our ability to execute our business plans and compete with others in our industry. In addition, the patents issued as a result of our foreign patent applications may not have the same scope of coverage as our patents in the EU or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Changes in the patent laws or their interpretation in the relevant jurisdictions may reduce our ability to protect or commercialize our inventions and enforce our intellectual property rights. More generally, these changes could affect the value of our patents and other intellectual property. Our efforts in seeking patent protection for our solar technology and other innovations could be negatively impacted by any such changes, which could have a material adverse effect on our existing patent rights and our ability to protect, enforce or commercialize our intellectual property rights in the future. In particular, our ability to stop third parties from making, using, selling, offering to sell or importing products that infringe our intellectual property rights will depend in part on our success in obtaining and enforcing patent claims that cover our technology, inventions and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against improper use of our trade secrets or other proprietary information. There can be no assurance that third parties will not seek to gain access to our trade secrets or other proprietary information. In addition, adequate remedies may not be available in the event of unauthorized use or disclosure of our trade secrets or other proprietary information. Violations by others of our confidentiality agreements and the loss of employees who have specialized knowledge and expertise could harm our competitive position and cause our sales and operating results to decline as a result of increased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patent applications may not lead to the granting of patents or desired protection in time or at all, which may have a material adverse effect on our ability to prevent others from commercially exploiting products similar to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cannot be certain that we are the first inventor of the subject matter to which a particular patent application pertains. If another party has filed a patent application pertaining to the same subject matter as we have, we may not be entitled to the protection sought by our patent application. Patent applications in many jurisdictions are typically not published until several months after filing and we cannot be certain that we were the first to make the inventions claimed in any of our issued patents or pending patent applications, or that we were the first to file for protection of the inventions set forth in our patents or patent applications. As a result, we may not be able to obtain or maintain protection for certain inventions and may face similar risks in other jurisdictions should we expand our operations, including in significant markets such as the United States 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 the scope of protection of issued patent claims is often difficult to determine. As a result, we cannot be certain that the patent applications that we file will issue, or that our issued patents will afford protection against competitors with similar technology. In addition, our competitors may seek to bypass our issued patents, which may adversely affect our business, prospects, financial condition or operating results. We cannot offer any assurances about which, if any, patents will issue, the breadth of any such patents or whether any issued patents will be found invalid or unenforceable or will be threatened by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not be able to develop manufacturing processes and capabilities within our projected costs and timelines.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asset-light business model provides for the outsourcing of the production of our solar modules and the sourcing of off-the-shelf components from suppliers, as well as outsourced logistics and delivery management based on low inventories. We have no experience to date in manufacturing processes, including through our production partner, or in supply chain management. We do not know whether we will be able to secure efficient, low-cost manufacturing capabilities and implement automated manufacturing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depend on our business partners, such as suppliers and logistics services providers, providing their products and services according to our needs and specifications. Many of our components are still at a prototype stage and have not undergone series production feasibility checks. Any failure to meet the required quality, price, engineering, design and production standards, as well as the production volumes, may negatively impact our ability to successfully mass market our products. The injection-molding based production process of our solar module technology or other relevant production technologies may not be as efficiently scalable as expected or, if scaled, may lead to a higher number of product defects than anticipated (due to, for example, increased breakage of solar cells during the injection molding process). Any negative perception of the long- and short-term durability of our proprietary solar module technology based on polymer technology, and other related components in the day-to-day wear and tear of the vehicles, may negatively affect our production and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Even if we are successful in developing our high volume manufacturing capability and processes and reliably source our component supply, we do not know whether we will be able to do so in a manner that avoids significant delays and cost overruns, including as a result of factors beyond our control such as problems with suppliers or logistics, or in time to meet our commercialization schedules or to satisfy the requirements of customers. Impacts of inflation, including an increase in energy costs, may negatively affect our cost base. Any failure to develop reliable manufacturing processes and capabilities within our projected costs and timelines could have a material adverse effect on our business, prospects,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Furthermore, our relationships with business partners such as suppliers and logistics services providers may be negatively impacted by our applications to open Self-Administration Proceedings and our plans to pursue relationships with such business partners are subject to developments with respect to these proceedings. See also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r>
        <w:rPr>
          <w:rFonts w:ascii="Times New Roman" w:hAnsi="Times New Roman"/>
          <w:i/>
          <w:caps w:val="false"/>
          <w:smallCaps w:val="false"/>
          <w:sz w:val="20"/>
        </w:rPr>
        <w:t>Operating under the Self-Administration Proceedings for a long period may disrupt our business and may materially and adversely affect our operations, including by consuming a substantial portion of the time and attention of our management team, and adversely affecting our ability to maintain important relationships with creditors, customers, suppliers, service providers, employees and counterparties, and impacting our ability to pursue new customer arrangements and projects</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r>
        <w:rPr>
          <w:rFonts w:ascii="Times New Roman" w:hAnsi="Times New Roman"/>
          <w:i/>
          <w:caps w:val="false"/>
          <w:smallCaps w:val="false"/>
          <w:sz w:val="20"/>
        </w:rPr>
        <w:t>We are subject to risks and uncertainties associated with the Self-Administration Proceedings we have applied for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Some of our manufacturing equipment is customized and sole sourced.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tooling equipment for our solar modules will be custom-made by one of our manufacturing partners according to our individual needs and production lines based on designs or specifications that we provide. As a result, our tooling equipment is not readily available from multiple vendors and would be difficult to repair or replace if it were to become delayed, damaged, or stop working. If any piece of such production equipment fails, production along the entire production line could be interrupted. In addition, the failure of the relevant manufacturing partner to supply equipment in a timely manner or on commercially reasonable terms could delay our commercialization plans, otherwise disrupt our production schedule, and/or increase our manufacturing costs, all of which would adversely impact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Furthermore, our relationships with manufacturing partners may be negatively impacted by the Self-Administration Proceedings and our plans to pursue relationships with manufacturing partners are subject to developments with respect to these proceedings. See also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r>
        <w:rPr>
          <w:rFonts w:ascii="Times New Roman" w:hAnsi="Times New Roman"/>
          <w:i/>
          <w:caps w:val="false"/>
          <w:smallCaps w:val="false"/>
          <w:sz w:val="20"/>
        </w:rPr>
        <w:t>Operating under the Self-Administration Proceedings for a long period may disrupt our business and may materially and adversely affect our operations, including by consuming a substantial portion of the time and attention of our management team, and adversely affecting our ability to maintain important relationships with creditors, customers, suppliers, service providers, employees and counterparties, and impacting our ability to pursue new customer arrangements and projects</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r>
        <w:rPr>
          <w:rFonts w:ascii="Times New Roman" w:hAnsi="Times New Roman"/>
          <w:i/>
          <w:caps w:val="false"/>
          <w:smallCaps w:val="false"/>
          <w:sz w:val="20"/>
        </w:rPr>
        <w:t>We are subject to risks and uncertainties associated with the Self-Administration Proceedings we have applied for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depend on a limited number of suppliers for the sourcing of raw materials and components required for our solar technology and other innovations.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There are only a limited number of suppliers of solar technology components or raw materials. We currently depend on a single supplier for various raw materials or components required for the manufacturing of our solar technology products. This makes our supply chain and the production of our offering dependent on the performance of such suppliers and increases the risks of interruption. Our operations will be negatively affected if one of our suppliers experiences capacity constraints and is not in a position to deliver the required quantities of a certain raw material, component or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solar industry is frequently subject to significant disruptions and resulting shortages of components or raw materials may impair our ability to commercialize our products at attractive margins or at all. Suppliers may decide to allocate relevant components or raw materials, particularly the ones with high demand or insufficient production capacity, to more profitable or established customers and our supply may be reduced as a result. Our dependency on a limited number of suppliers also increases the bargaining power of the relevant suppliers with respect to certain materials or components, which may expose us to abusive conduct, may prevent us from entering into long-term supply agreements with guaranteed pricing or may require us to accept disadvantageous economic or legal conditions. The acquisition of any supplier could limit our access to relevant raw materials or components and require material redesigns of our solar technology and impair our business prospects. We may also be forced to stop production should a supplier fail to provide required certifications for its products or should the supplier be accused of infringing or misappropriating third-party intellectual property rights. If we need to replace a supplier or if a supplier terminates its relationship with us, there is no guarantee that we will be able to find adequate substitute products or suppliers in time or at all. In addition, global events such as pandemics, war or crude oil shortages may negatively affect the availability, price levels, delivery times or minimum order quantities of products, components and materials, such as polymers for solar cells or microelectronic chips for MCUs. The vast majority of supplies of raw materials for the solar industry come from China, which makes our supply chains particularly vulnerable to intensifying political tensions with or trade sanctions or comparable limitations concerning China. As a result, we may be required to find replacement suppliers, which may prove difficult, increase our production cost and could lead to a delay in the envisaged start of commercial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Furthermore, we may ask for product changes or amendments of certain specifications of components or raw materials to be delivered by suppliers, sometimes on short notice, due to new development results or the insufficiency of previous specifications, which may increase the costs for relevant components or raw materials or may render the relevant supplier unable to accommodate relevant requests. It is also possible that the supplier does not have the right to sell the relevant product to us, for example, because the supplier lacks the intellectual property rights to the design or because the supplier has an exclusivity agreement with another manufacturer, which we could force us to discontinue production or sales of our products, to replace the part or to change the design of our technology, which could result in significant delays and costs or make the production of our products impossible altogether. Suppliers may change their products or may go out of business, resulting in limited or no availability of relevant parts and materials for the production and maintenance of our products. All of our sourced components and raw materials are subject to typical transportation risks, such as delivery delays, damage or theft in the course of transportation or fines resulting from the violation of customs or other transportation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Furthermore, our relationships with our suppliers may be negatively impacted by the Self-Administration Proceedings and our plans to intensify or modify relationships with suppliers or expand the number of our suppliers are subject to developments with respect to these proceedings. See also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r>
        <w:rPr>
          <w:rFonts w:ascii="Times New Roman" w:hAnsi="Times New Roman"/>
          <w:i/>
          <w:caps w:val="false"/>
          <w:smallCaps w:val="false"/>
          <w:sz w:val="20"/>
        </w:rPr>
        <w:t>Operating under the Self-Administration Proceedings for a long period may disrupt our business and may materially and adversely affect our operations, including by consuming a substantial portion of the time and attention of our management team, and adversely affecting our ability to maintain important relationships with creditors, customers, suppliers, service providers, employees and counterparties, and impacting our ability to pursue new customer arrangements and projects</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r>
        <w:rPr>
          <w:rFonts w:ascii="Times New Roman" w:hAnsi="Times New Roman"/>
          <w:i/>
          <w:caps w:val="false"/>
          <w:smallCaps w:val="false"/>
          <w:sz w:val="20"/>
        </w:rPr>
        <w:t>We are subject to risks and uncertainties associated with the Self-Administration Proceedings we have applied for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expect to depend on suppliers for production of a central component of our solar modules; quality concerns could delay our expected start of the industrial production and large-scale commercialization of our solar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currently have engaged a single supplier for engineering services for the manufacturing process and production of a central component of our solar modules, the photovoltaic labels. This supplier was also supposed to play a key role in our former passenger car program and adapted its own business model to our plans and expected needs. This supplier will have to adapt its operations to our revised business model and there is no guarantee that this supplier will be able to adapt its business model accordingly in time or at all. Therefore, we are in the process of identifying a second supplier of photovoltaic labels to mitigate our dependency on this single supplier but there is no guarantee that we will be successful in onboarding a second supplier in time or at all. Even if we are successful in onboarding a second supplier, we still face certain risks with respect to dependency and the sourcing of photovoltaic labels as a key component of our solar modules. Any delay or disruption in the engineering work or production of photovoltaic labels by our suppliers could significantly delay or disrupt our envisaged timelines or the production of our solar modules. We are in an ongoing dialogue with these suppliers concerning product quality. For example, the latest samples for our prototyping received from our first supplier did not conform to our technical requirements or quality expectations for the state of the current development. The suppliers may not be in a position to improve the quality so that it meets our expectations within the required timeframe or at all. Quality issues, including issues with performance and durability, may delay or reduce the chances of selling or licensing the technology following the termination of the Sion passenger car program. In addition, our dependence on these supplier means that any disruption in the suppliers’ ability to continue their business operations, or any change in the suppliers’ willingness to continue as our suppliers, may also delay or reduce the chances of selling or licensing the technology and require us to invest substantial time and resources to find replacement suppliers. Given the technology and hardware needed to produce photovoltaic labels, we may not be able to replace any of our suppliers in the short term if we decide to do so. There is no assurance that our suppliers or any replacement supplier have secured or will be able to secure access to sufficient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Furthermore, our relationships with our suppliers may be negatively impacted by the Self-Administration Proceedings and our plans to pursue relationships with suppliers are subject to developments with respect to these proceedings. See also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r>
        <w:rPr>
          <w:rFonts w:ascii="Times New Roman" w:hAnsi="Times New Roman"/>
          <w:i/>
          <w:caps w:val="false"/>
          <w:smallCaps w:val="false"/>
          <w:sz w:val="20"/>
        </w:rPr>
        <w:t>Operating under the Self-Administration Proceedings for a long period may disrupt our business and may materially and adversely affect our operations, including by consuming a substantial portion of the time and attention of our management team, and adversely affecting our ability to maintain important relationships with creditors, customers, suppliers, service providers, employees and counterparties, and impacting our ability to pursue new customer arrangements and projects</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r>
        <w:rPr>
          <w:rFonts w:ascii="Times New Roman" w:hAnsi="Times New Roman"/>
          <w:i/>
          <w:caps w:val="false"/>
          <w:smallCaps w:val="false"/>
          <w:sz w:val="20"/>
        </w:rPr>
        <w:t>We are subject to risks and uncertainties associated with the Self-Administration Proceedings we have applied for</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Increases in costs, disruption of supply or shortage of raw materials or certain products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Once commercial production of our solar technology begins, our manufacturing partners who are expected to produce our solar modules, or any of our other suppliers, may experience increases in the cost or a sustained interruption in the supply or shortage of raw materials required for the manufacturing of our products or certain parts or components used in them. Our solar technology depends on various raw materials and products. The prices for these materials and products may fluctuate depending on market conditions, inflation levels, energy prices, macroeconomic factors, and political developments. Some products may not be available at all in the short term. In addition, the imposition of new government regulations, duties or taxes, such as taxes on imported materials and components that are used in our solar modules or are otherwise necessary for production of our solar technology, could also affect the prices for these materials and products. Substantial increases in the prices for raw materials and/or increases in freight charges would increase our operating costs and could reduce our margins if the increased costs cannot be recouped through increased product prices. There can be no assurance that we will be able to recoup increasing costs of raw materials by increasing product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have yet to enter into contractual agreements with many of our prospective suppliers and business partners and may have to renegotiate these agreements as we scale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need to finalize our contractual arrangement with many of our prospective suppliers and business partners. Negotiations with our prospective suppliers and business partners may consume significant resources and time and there is no guarantee that such negotiations will be concluded successfully. In the negotiations, we may agree to terms and conditions that are less favorable to us than expected. We may be subject to unfavorable rules on the transfer of risk with respect to our solar modules or supplied components or disadvantageous payment terms. Any failure to finalize our arrangement with our manufacturing partners in a timely manner may lead to a delay in the production and delivery of our offering. Terms and conditions (including production cost) of any contractual arrangement, including any preliminary contractual arrangement, may have to be renegotiated due to a lapse of time or a change in material circumstances should we not be able to realize the anticipated timelines.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Prospective suppliers and business partners may end their relationship or negotiations with us for various reasons. Many of the suppliers we involve, or intend to involve, are well-known market players with significant bargaining power and whose position towards us is bolstered due to our dependency on such suppliers as there are only a limited number of suppliers for solar technology components and raw materials. We, on the other hand, are not an established business and have limited market power. Therefore, we may not be able to successfully assert our own interests and may have to enter into contracts with significantly disadvantageous terms and conditions, such as unfavorable prices, limitations on remedies in cases of breach of contract, unfair liquidated damages provisions or broad termination rights allowing our business partners to end their relationship with us at will. If we successfully produce and market our solar technology on an industrial scale, we will seek to further scale our operations. We may have to renegotiate, amend or extend our relationships with our business partners and there is no guarantee that we will be successful in doing so. We may incur substantial additional costs and expenses should we have to amend our business model to scaled operations and we may even fail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Furthermore, our relationships with prospective suppliers and business partners may be negatively impacted by the Self-Administration Proceedings and our plans to pursue relationships with prospective suppliers and business partners are subject to developments with respect to these proceedings. See also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r>
        <w:rPr>
          <w:rFonts w:ascii="Times New Roman" w:hAnsi="Times New Roman"/>
          <w:i/>
          <w:caps w:val="false"/>
          <w:smallCaps w:val="false"/>
          <w:sz w:val="20"/>
        </w:rPr>
        <w:t>Operating under the Self-Administration Proceedings for a long period may disrupt our business and may materially and adversely affect our operations, including by consuming a substantial portion of the time and attention of our management team, and adversely affecting our ability to maintain important relationships with creditors, customers, suppliers, service providers, employees and counterparties, and impacting our ability to pursue new customer arrangements and projects</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r>
        <w:rPr>
          <w:rFonts w:ascii="Times New Roman" w:hAnsi="Times New Roman"/>
          <w:i/>
          <w:caps w:val="false"/>
          <w:smallCaps w:val="false"/>
          <w:sz w:val="20"/>
        </w:rPr>
        <w:t>We are subject to risks and uncertainties associated with the Self-Administration Proceedings we have applied for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not be able to obtain or agree on acceptable terms and conditions all or a significant portion of the government grants, loans and other incentives for which we may apply, which may negatively affect our ability to reach funding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may apply for federal and state grants, loans and tax incentives under various government programs designed to stimulate the economy or to support the development or production of electric vehicles and related technologies.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grants, loans and other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as a result of our termination of the Sion passenger car program in February 2023 and the recent employee terminations in light of our intention to focus in the short- to medium-term on our Solar Bus Kits, we are in the process of withdrawing from and terminating certain grants and other incentives that we were previously awarded but no longer align with our current business model and staffing. For example, we exited the SCALE project, which related to the mass deployment of electric vehicles and the accompanying smart charging infrastructure/V2G (vehicle-to-grid) to demonstrate how AC bi-directional charging can support the electric grid (e.g. by reducing peak loads) using open standards, and will have to repay some of the funds received under the SCALE project if we emerge from the Self-Administration Proceedings. Furthermore, while the Subsidiary Self-Administration Proceedings are ongoing, the Subsidiary is prohibited from obtaining grants, loans or other incentives and our plans to obtain grants, loans and other incentives going forward are subject to developments with respect to the Self-Administration Proceedings. If we are not successful in obtaining any of these additional incentives and unable to find alternative sources of funding to meet our planned capital needs, our business and prospects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depend on the acceptance of our brand and any negative publicity relating to any of our business partners and their products or services could have a significant negative impact on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business and prospects heavily depend on our ability to develop, maintain, and strengthen our Sono brand. Our current and potential competitors often have greater name recognition, broader customer relationships and substantially greater marketing resources than we do. Establishing our brand and offering requires substantial resources and we may not succeed in establishing, maintaining and strengthening our brand. Our brand and reputation could be severely harmed by negative publicity with respect to us, our directors, officers, employees, shareholders, peers, business partners, customers or our industry in general. For example, the German prosecutor has opened an investigation against our CEOs Laurin Hahn and Jona Christians alleging that we misled the German state about the extent of a working hour reduction in 2020 and, accordingly, the extent of public subsidies our employees were entitled to. While most of the allegations have been clarified, we cannot rule out that a conviction of Laurin Hahn and/or Jona Christians may damage our reputation. Any actual or alleged misconduct by, or negative publicity relating to, any of our business partners and their products or services could have a significant negative impact on our business and reputation whether or not such publicity is directly related to their collaboration with us. Our ability to successfully build our brand could also be adversely affected by any negative perception about the quality of our business partners’ products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our solar modules or any other of our solutions fail to perform as expected, our ability to market our products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solar modules or any other of our solutions, including our Solar Bus Kits, may not perform as expected or may require repair. Our solar modules will consist of, and their performance depends on, various complex components supplied by various suppliers and assembled by a third-party manufacturer. There is no guarantee that all product specifications of our solar modules, which partly reflect our current expectations and development targets, will actually be realized if and when the commercial production and delivery of our solar modules begins or at all. Our asset-light business model and the intended production of our solar modules by an external manufacturing partner pose particular challenges to our quality management processes. Our quality management system may not be effective or sufficient and the number of defective products may be substantially higher than anticipated. The risk that we do not detect defects before the commencement of large-scale sales of our products and that our products will not comport with previously defined product specifications is heightened by our limited experience in designing, developing and manufacturing solar modules. We may experience product recalls in the future, which could result in the incurrence of substantial costs relating to, for example, return shipping for defective products and costs associated with the repair of the underlying product defect. Any product recall may consume a significant amount of our resources. Any product defects or any other failure of our products to perform as expected could harm our reputation and result in adverse publicity, lost revenue, delivery delays, product recalls, product liability claims and significant warranty and other expenses, and could have a material adverse impact on our business, financial condition, operating results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advertisements may not have complied in the past and may not comply in the future with all relevant legal requirements and may be subject to misperception.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cannot guarantee that all of our public statements that qualify as advertisements, or whole advertising campaigns, comply with legal requirements under competition law or other laws, rules or regulations. Any non-compliance could lead to administrative fines and may result in us being required to discontinue a campaign. We may also be forced to publicly correct incorrect statements. In addition, our public communications also may have contained, or may contain in the future, incorrect information or statements or may be subject to misperception. We often advertise our products with rather general characteristics and specifications that are subject to interpretation, such as “green,” or “environmentally friendly” and any statement relating thereto may spark discussions, challenges or legal claims should any of our customers or other third party have an understanding of these characteristics and specifications that differs from ours. Any of the foregoing could adversely affect our reputation and brand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intend to market and sell our products via direct business-to-business channels and will not maintain a network of physical presences.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and when our products reach commercial production, we intend to sell them to our customers via customary business-to-business channels rather than through physical sales offices, company-owned retail stores or another form of physical presences. This distribution model subjects us to various risks as it requires, in the aggregate, significant expenditures and provides for slower expansion of our distribution and sales systems than may be possible by utilizing a network of physical presences. Moreover, we will be competing with other market players who may have well established distribution channels. Our success will depend in large part on our ability to effectively develop our own sales channels and marketing strategies and our inability to successfully implement such a distribution model could adversely affect our business, reputation,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we are unable to establish a network for aftersales customer service or otherwise successfully address the service and maintenance requirements of our customers, our business, reputation, results of operations, financial condition and prospects will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and when our products reach commercial production, we intend to offer our own aftersales service and also maintain our own network of cooperating service partners for the provision of aftersales customer service. We still have to identify and enter into negotiations with one or several potential business partners maintaining a suitable network of physical workshops to implement our concept of aftersales customer service for some industries and there can be no assurance that we will be able to achieve our goal of establishing a service network that offers repair, servicing, maintenance and warranty service to our customers in time or at all. Even if we successfully manage to partner with relevant service partners, they will initially only have limited experience in servicing our solar modules and solutions for our customers. If our cooperation partners do not render the desired results, we may need to find further suitable external partners and enter into service arrangements with them on terms and conditions acceptable to us in order to offer our customers adequate service and maintenance offerings. If we are unable to successfully address the service and maintenance requirements of our customers, our business, reputation, results of operations, financial condition and prospects will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Product recalls could materially adversely affect our business, prospects,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solar module technology and other solutions are complex products whose reliability and durability in the day-to-day wear and tear remains untested. In the future, we may, voluntarily or involuntarily, initiate a recall if any of our products prove to be defective or noncompliant with applicable relevant regulatory or safety standards. Relevant defects may include, for example, a lack of durability of our solar modules, intense heat development as well as thermal expansion of our modules. Any product recall in the future may result in adverse publicity and damage our brand. Such recalls could involve significant expense and diversion of management attention and other resources and could adversely affect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solar modules pose certain health and safety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solar modules, including our Solar Bus Kits, may pose various risks to the environment. Solar modules include components and complex systems that can fail, such as switches, fuses and wiring feeding the solar modules’ power into a vehicle’s systems. In addition, chemical and potentially toxic materials are used in the production of solar cells, in a process that generates many toxic byproducts such as hexafluoride. These products are dangerous for the environment as well as for humans. Even if our production partner has implemented safety procedures related to the handling of such toxic materials, a safety issue, contamination or fire related to the solar modules could disrupt operations. Furthermore, solar modules may catch fire due to, for example, spontaneous combustion, either from the parts within the modules or in the surrounding environment, due to the high levels of heat produced by the device. Solar modules that catch fire may produce heat, smoke and toxic byproducts, may lead to the destruction of the vehicle or may cause bodily harm. In addition, excessive heat may significantly reduce the power output of our solar modules and negatively affect the additional solar range or targeted reduction in fuel consumption. Excessive heat may also lead to thermal expansion and deformation of solar modules, which can negatively affect their functionality or damage the exterior of vehicles. Any of the foregoing could adversely affect our business, harm our brand,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Interruption or failure of information technology and communications systems could disrupt our business and affect our ability to effectively provide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utilize information technology systems and networks as well as cloud computing services to process, transmit and store electronic information in connection with our business activities. We manage and maintain our applications and data utilizing a combination of on-site systems as well as externally managed data centers and cloud-based data centers. We utilize third-party security and infrastructure service providers to manage our information technology systems and data centers. These applications and data encompass a wide variety of business-critical information, including research and development information, commercial information, and business and financial information as well as personal data of customers, community members or employees. In addition, we also rely on independent third-party service providers, such as Google, which play an important role for our offering, marketing channels and overall presence. Our data of any kind stored on the cloud services and on individual devices could be lost due to improper handling, insufficient commissioning of third parties to create backup copies, or due to damage or accidental or intentional deletion by our employees. Our data could also fall into the hands of third parties, whether through espionage, hacking or due to incorrect operation of the systems. Any unauthorized access to our data or any asset could result in its leakage, loss, manipulation or fraud or materially impair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Despite the implementation of security measures by us or our service partners, our or our service partners’ systems as well as any relevant third-party service provider will be vulnerable to damage or interruption from, among others, fire, terrorist attacks, natural disasters, power loss, telecommunications failures, computer viruses, computer denial of service attacks or other attempts to harm our systems. The relevant data centers could also be subject to break-ins, sabotage and intentional acts of vandalism causing potential disruptions. Some of our or our service providers’ systems will not be fully redundant, and our disaster recovery planning cannot account for all eventualities.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Any problems with or insufficiencies of our or our service providers’ data centers or services could result in lengthy interruptions of our or our service providers’ information technology systems. Cyber threats are persistent and constantly evolving. Such threats have increased in frequency, scope and potential impact in recent years. Information technology evolves rapidly and we or our service providers may not be able to address or anticipate all types of security threats, and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There can be no assurance that we or our service providers, contractors or consultants will be successful in preventing cyberattacks or successfully mitigating their effects. Similarly, there can be no assurance that any third-party service provider will be successful in protecting our confidential and other data that is stored on their systems. In addition, we may suffer reputational harm or face litigation or adverse regulatory action as a result of cyberattacks or other data security breaches and may incur significant additional expense to implement further data protection measures. Any disruption of the networks and services of independent third-party service providers could also negatively affect our operations, accessibility or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If we are able to successfully emerge from the Self-Administration Proceedings, we may face risks associated with</w:t>
      </w:r>
      <w:r>
        <w:rPr>
          <w:rFonts w:ascii="Times New Roman" w:hAnsi="Times New Roman"/>
          <w:caps w:val="false"/>
          <w:smallCaps w:val="false"/>
          <w:sz w:val="20"/>
        </w:rPr>
        <w:t xml:space="preserve"> </w:t>
      </w:r>
      <w:r>
        <w:rPr>
          <w:rFonts w:ascii="Times New Roman" w:hAnsi="Times New Roman"/>
          <w:b/>
          <w:i/>
          <w:caps w:val="false"/>
          <w:smallCaps w:val="false"/>
          <w:sz w:val="20"/>
        </w:rPr>
        <w:t>international operations, including unfavorable regulatory, political, tax and labor conditions,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emerge from the Self-Administration Proceedings, we expect that our initial market will be central Europe, but our geographic coverage could exceed these markets. As a result, we would face risks associated with such growth, including possible unfavorable regulatory, political, tax and labor conditions, which could harm our business, as well as incurring significant expenditures necessary for satisfying relevant regulatory requirements or obtaining product certification in such new markets. Our operations will be subject to the local legal, political, regulatory and social requirements and economic conditions in the relevant jurisdictions. There is no guarantee that we will obtain relevant certifications for our products in the relevant markets or at all. We have not yet checked the feasibility of a rollout of our products in all the markets we may tap in the future and may identify political, regulatory, operational or practical hurdles, which may render an expansion into such a market unfeasible.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have no experience to date selling our products. Any international sales would require us to make significant expenditures, including the potential hiring of local employees and potential establishment of local offices or facilities, in advance of generating any revenues. We may become subject to a number of risks associated with international business activities that may increase our costs, impact our ability to sell our products as planned and require significant management attention. If we fail to successfully address such risks, our business, prospects, operating results and financial condition could be materially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we are unable to attract and retain key employees and hire qualified management, technical and engineering personnel, our ability to compete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success and financial performance depend on technological innovation and resources. Our success in such an environment depends, to a large extent, on our management and the ability to retain our key personnel. We benefit from the expertise and knowledge of our research and development team and our competitiveness could be significantly impaired should we be unable to retain the key employees in our research and development team or any other team member. Any temporary or permanent unavailability or any unexpected loss of one or more of our management members or key employees could adversely affect our business and competitiveness. In connection with the Yorkville Investment, our founders, Laurin Hahn and Jona Christians, may resign from our management board. Any such change may have a significant impact on our operations and the loyalty and motivation of our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success also depends, in part, on our continuing ability to identify, hire, attract, train and develop highly qualified personnel. In light of our decision to terminate the Sion program in February 2023, as of the end of March 2023, we had notified 254 employees about the termination of their employment with us and, in this context, additional employees decided to leave us. Thereafter, in connection with the corporate structure and future business model currently envisioned in the planned Yorkville Investment, including the streamlined initial business focus on the Solar Bus Kit, in September 2023, we terminated the contracts of 40 employees, including the contracts of the four managing directors of the Subsidiary. In addition, in late October 2023, we gave notice to all of our remaining employees. In November 2023, we agreed on the Yorkville Investment and offered to reinstate these employees. While more than 80% of these employees accepted our offer to stay, these events may have damaged our reputation as an employer and may significantly negatively affect our ability to hire and retain employees. Further, the significant reduction in headcount in 2023, as well as the planned change in management at both the Company and Subsidiary levels in connection with the Yorkville Investment, which in both cases will result in smaller management teams, expose us to the risk that employees with relevant knowledge and know-how may have left us and that the remaining employees may not be able, or may not have the adequate skills or time, to successfully perform all of the functions that are necessary for us to manage, develop or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may have to hire additional employees in order to maintain our daily operations, corporate functions and be able to complete the development of our solar technology in order to start its commercial production according to our currently envisioned timelines. We may not succeed in hiring employees in sufficient numbers or at all, as our technological solutions are complex and innovative and individuals with sufficient experience with solar technology, particularly solar technology used in vehicles, are scarce, and as a result, we will need to expend significant time and money to train available employees. Competition for qualified employees is intense, and our ability to hire, attract and retain them depends, among others, on our ability to provide competitive compensation. Even if we are able to successfully emerge from the Self-Administration Proceedings, these proceedings and the events leading up to them are likely to have damaged our reputation as an employer. Furthermore, we have a limited operating history and our brand and reputation as an employer are not as developed as that of established market players. We have not yet generated any material revenues, significantly depend on external financing and may not be able to offer potential employees attractive or competitive remuneration.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may therefore not be able to attract, integrate, develop or retain qualified personnel in sufficient quantities or at all. Any failure to do so could adversely affect our business, including the execution of our global business strategy. Unqualified or unreliable personnel may also expose us to various risks not directly related to our operations, such as violations against insider trading laws, the misappropriation of trade and business secrets or personal data from our technology infrastructure, material incorrect entries in our accounting systems, weak management of our customer or supplier relationships or logistics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are exposed to various liability risks resulting from past or existing employment relationships and labor laws.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light of our decision to terminate the Sion program in February 2023 and our financial situation, we terminated the vast majority of our employees. Thereafter, in connection with the corporate structure and future business model envisioned in the Yorkville Investment, including the streamlined initial business focus on the Solar Bus Kit, in September 2023, we terminated the contracts of 40 employees, including the contracts of the four managing directors of the Subsidiary. We may also decide to terminate further employment relationships in the foreseeable future. We are exposed to substantial liability and other risks related to former employees, who may initiate legal proceedings and assert that the termination of their employment relationship by us was not justified under applicable law and may seek re-employment, monetary compensation or damages. Therefore, we may be exposed to substantial financial and other liabilities should employees be successful in challenging terminations. As of December 1, 2023, 13 employees had initiated legal proceedings against us in connection with their termination due to our changes in business model, 11 of which have already been resolved as of the date of this Annual Report. In addition, despite their termination, former employees may still claim to be, fully or partially, entitled to certain benefits granted to them while they were still employed with us, such as, for example, certain incentives, bonuses or pension entitlements. We may also be liable for substantial social security contributions with respect to terminated employees for a prolonged time. We also continue to face the risk of additional employees, including key personnel, deciding to leave and pursue new employment opportunities in light of the uncertainty created by the pendency of the Self Administration Proceedings.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Workforce management poses various risks and challenges, particularly in the EU and Germany, where the vast majority of our workforce is located. The labor laws in Germany are complex and rather employee-friendly. For example, the German Working Time Act (</w:t>
      </w:r>
      <w:r>
        <w:rPr>
          <w:rFonts w:ascii="Times New Roman" w:hAnsi="Times New Roman"/>
          <w:i/>
          <w:caps w:val="false"/>
          <w:smallCaps w:val="false"/>
          <w:sz w:val="20"/>
        </w:rPr>
        <w:t>Arbeitszeitgesetz</w:t>
      </w:r>
      <w:r>
        <w:rPr>
          <w:rFonts w:ascii="Times New Roman" w:hAnsi="Times New Roman"/>
          <w:caps w:val="false"/>
          <w:smallCaps w:val="false"/>
          <w:sz w:val="20"/>
        </w:rPr>
        <w:t>) sets out a strict framework for, among others, the length of working shifts and resting breaks, the definition of working days and holidays, work on holidays, compensation and the obligation of employers to record working times of employees. There can be no assurance that we have complied or will comply in all material aspects with applicable labor laws, which may lead to the imposition of material fines or even criminal liability and may significantly negatively affect our reputation.</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operations could be adversely affected as a result of disasters or unpredictable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operations could be disrupted, among others, by natural disasters such as earthquakes, fires or explosions, pandemics and epidemics, power outages, terrorist attacks, cyberattacks, war or other critical events. This also applies to the operations of our suppliers and other business partners. Disruptions may also result from possible regulatory or legislative changes in the relevant jurisdictions of our, our suppliers’ or our business partners’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February 2022, Russia invaded Ukraine across a broad front. In response to this aggression, governments around the world have imposed severe sanctions against Russia. These sanctions disrupted manufacturing, delivery and supply chains at a global scale. In addition, the recent war between Israel and Hamas may also disrupt or otherwise negatively impact manufacturing, delivery and supply chains at a global scale and may also have a material impact on business relationships with customers in the region. We cannot yet foresee the full extent of the impact that these wars and the sanctions imposed as a result thereof, as well as any future sanctions that may be imposed in connection with these wars, will have on our business and operations. Such impact will depend on future developments of the wars, which are highly uncertain and unpredictable. The wars could have a material impact on our results of operations, liquidity, and capital management. We will continue to monitor the situation and the effect of these developments on our liquidity and capital management. At the same time, we have taken actions to maintain operations and to secure our supply chain.</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Regulatory, Legal and Tax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are subject to substantial regulation and unfavorable changes to, or failure by us to comply with, these regulations could substantially harm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are subject to substantial regulation under international, national, regional, and local laws. We expect to incur significant costs in complying with these regulations. In addition, additional regulatory costs or hurdles may materialize in the future as we expand our operations, as we have not yet assessed all relevant legal aspects of our operations and current business model with respect to the relevant legal framework of all jurisdictions we may conduct business in. Regulations related to the mobility and e-mobility industry and alternative energy are evolving and we face risks associated with changes to these regulations. We are unable to predict future legislative or regulatory changes, initiatives or interpretations and any such changes, initiatives or interpretations may increase costs and competitive pressure on us. The adoption of new or amendment of existing regulations or frameworks regarding the promotion of alternative fuel concepts could negatively affect demand for e-mobility solutions in general and, in turn, our products in particular. To the extent laws change, our products may not comply with applicable international, national, regional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are subject to various environmental laws and regulations that could impose substantial costs upon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operations, are or will be subject to international, national, regional and/or local environmental laws and regulations, including, in the jurisdictions in which we intend to sell our products, laws relating to the use, handling, storage, disposal and human exposure to hazardous materials (including the German Federal Soil Protection Act (</w:t>
      </w:r>
      <w:r>
        <w:rPr>
          <w:rFonts w:ascii="Times New Roman" w:hAnsi="Times New Roman"/>
          <w:i/>
          <w:caps w:val="false"/>
          <w:smallCaps w:val="false"/>
          <w:sz w:val="20"/>
        </w:rPr>
        <w:t>Bundes-Bodenschutzgesetz</w:t>
      </w:r>
      <w:r>
        <w:rPr>
          <w:rFonts w:ascii="Times New Roman" w:hAnsi="Times New Roman"/>
          <w:caps w:val="false"/>
          <w:smallCaps w:val="false"/>
          <w:sz w:val="20"/>
        </w:rPr>
        <w:t>), and Regulation (EC) no. 1907/2006 (REACH)). Furthermore we will be affected by the Extended Producer Responsibility, an EU policy approach under which producers are given a significant responsibility  -  financial and/or physical  -  for the treatment or disposal of post-consumer products. We may be or become subject to various environmental, social and governance-related regulations in the future, such as the EU Corporate Sustainability Reporting Directive, EU Taxonomy for sustainable activities or the Act on Corporate Due Diligence Obligations in Supply Chains (“</w:t>
      </w:r>
      <w:r>
        <w:rPr>
          <w:rFonts w:ascii="Times New Roman" w:hAnsi="Times New Roman"/>
          <w:i/>
          <w:caps w:val="false"/>
          <w:smallCaps w:val="false"/>
          <w:sz w:val="20"/>
        </w:rPr>
        <w:t>Lieferkettensorgfaltspflichtengesetz</w:t>
      </w:r>
      <w:r>
        <w:rPr>
          <w:rFonts w:ascii="Times New Roman" w:hAnsi="Times New Roman"/>
          <w:caps w:val="false"/>
          <w:smallCaps w:val="false"/>
          <w:sz w:val="20"/>
        </w:rPr>
        <w:t>”, LkSG) including as a result of recent legislative or regulatory initiatives. Environmental and health and safety laws and regulations can be complex. We expect that we will be affected by future amendments to such laws or other new environmental and health and safety laws and regulations, which may require us to change our operations, potentially resulting in a material adverse effect on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These laws can give rise to liability for administrative oversight costs, cleanup costs, property damage, bodily injury, fines and penalties. Capital and operating expenses needed to comply with environmental laws and regulations can be significant, and violations may result in substantial fines and penalties, third-party damages, suspension of production or a cessation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be involved in legal proceedings based on the alleged violation of intellectual property rights either by us or third parties, such as patent or trademark infringement claims, which may be time-consuming and cause us to incur substantial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Technological innovation will be a crucial aspect of our potential success. We have been granted several patents for our technologies and intend to continue to file additional patent applications in the future. As the number of competitors in our market increases, and as the number of patents issued in the area of mobility and e-mobility grows, the possibility of patent infringement claims against us or by us increases. While we are not aware that our technologies infringe the proprietary rights of any third party or that technologies of a third party infringe our proprietary rights, we do not regularly conduct freedom to operate searches. Policing violations of our intellectual property rights or unauthorized use of our proprietary technology can be difficult and result in substantial costs. Litigation may be necessary to enforce our intellectual property rights or determine the validity and scope of the proprietary rights of others. We cannot ensure that the outcome of such potential litigation will be in our favor, and such litigation may be costly and may divert management attention and other resources away from our business. We may not be able to manufacture or commercialize our technology as planned and our freedom to operate may be impaired, absent a license, which may not be available on reasonable terms or at all, should we fail to successfully identify or challenge any patents or patents applications that cover our technology or innovations. This risk is more pronounced against the background that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in-license patents and other intellectual property from third parties, including suppliers and service providers, and we may face claims that our use of this in-licensed technology infringes the intellectual property rights of others. In such cases, we will seek indemnification from our licensors. However, our rights to indemnification may be unavailable or insufficient to cover our costs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may be required to participate in interference, derivation or opposition proceedings that concern disputes regarding priority of inventions disclosed in our patents. Determining patent infringement by a product, as well as priority of inventions and other patent-related disputes, involves complex legal and factual issues and the outcome is often uncertain. We have not conducted any significant search of patents issued to third parties, and third-party patents containing claims covering our technology or methods that predate our patents may exist. Because of the number of patents issued and patent applications filed in our technical areas or fields (including some pertaining specifically to electric vehicles), we may identify third party technologies that infringe our patents or our competitors or other third-parties may assert that our technology and the methods we employ in the use of products incorporating our technology are covered by patents held by them. In addition, because patent applications can take many years to issue and because publication schedules for pending applications vary by jurisdiction, we may not be aware of certain patent applications that are currently pending, which applications may result in issued patents that our technology or other future products would infringe. Also, because the claims of published patent applications can change between publication and patent grant, there may be published patent applications that may ultimately issue with claims that we infringe.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successfully commercialize our solar technology, and therefore our ability to potentially generate meaningful revenue streams, may be significantly impaired should it or any of its components violate third parties’ intellectual property rights. The scope of patent claims is subject to construction based on interpretation of the law, the written disclosure in a patent and the patent’s prosecution history. Our interpretation of the relevance or the scope of a patent or a pending application may be incorrect. Established vehicle manufacturers, technology companies or other market players may invest significant resources and capital to protect their intellectual property and scan the market for potential violations. There is a heightened risk that inquiries or legal proceedings based on the alleged violation of intellectual property rights are initiated by established vehicle manufacturers or technology companies that develop and test technologies similar to ours and that have much more resources and funds than us. Other companies owning patents or other intellectual property rights relating to technologies relevant for us, such as solar modules or electronic power management systems may also allege infringement of such rights. In addition, we may also be exposed to claims from individuals who were or are engaged in the design and development of our technologies or previously developed vehicles. We initiated mass layoffs of former employees in connection with the change in our business model, which increases the risk for retaliatory actions. Former employees who left us or were terminated may seek to assert ownership in or otherwise challenge intellectual property rights that we claim or are crucial for our plans. The publicity interest we receive as a public company draws significant attention to us and likely generally increases the risks of such claims and legal proceedings, no matter whether such claims lack the required merits or not or are of merely fraudulent nature.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we may be required to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or distributors, or may be required to obtain licenses for the products or services they use. If we cannot obtain all necessary licenses on commercially reasonable terms, our distributors may be forced to stop distributing our products or services, and our customers may be forced to stop using our products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outcome of intellectual property litigation is subject to uncertainties that cannot be adequately quantified in advance. Because of the substantial amount of discovery required in certain jurisdictions in connection with intellectual property litigation, there is a risk that some of our confidential information could be compromised by disclosure during this type of litigation. If we are required to obtain a license from any third party in order to use the infringing technology and continue developing, manufacturing or marketing our products, we may not be able to obtain such required license on commercially reasonable terms or at all, including due to competitors being unwilling to provide us a license under any terms. A successful claim of infringement of intellectual property against us could therefore materially adversely affect our business, prospects, operating results and financial condition. Any litigation or claims, whether valid or invalid, could result in substantial costs and diversion of resources and we have not yet created any reserves for litigation related to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our trademarks and trade names are not adequately protected, we may not be able to build name recognition in our markets of interest, which may adversely affect our business.</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trademark registrations and applications are valuable assets and may be challenged, infringed, circumvented or declared generic or determined to infringe a third party’s trademarks. In March 2022, we filed eight new trademarks with the European Union Intellectual Property Office. Each of those new trademarks has been opposed by two separate opponents. We may not be able to protect our rights to these trademark registrations or applications, which may be necessary to build name recognition among potential collaborators or customers in our markets of interest. For example, we have failed in some jurisdictions to obtain protection for our circle with a dot in the middle, if it is not combined with other distinctive elements. Equally, there can be no assurance that we will be successful in registering additional or replacement trademarks if we were to engage in a rebranding. At times, competitors may adopt trademarks or trade names similar to ours, thereby impeding our ability to build brand identity and possibly leading to market confusion. In addition, there could be potential trademark infringement claims brought by owners of other trademarks or trademarks that incorporate variations of our trademark registrations or applications. We have not conducted any availability searches for trademarks to assess whether our trademark registrations would not infringe a third party’s trademarks, or whether our trademark applications would be successfully registered. We can provide no assurance that our pending trademark applications will be approved. Successful third-party challenges to the use of any of our trademarks may require us to rebrand our business or certain products or services associated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Over the long term, if we are unable to establish name recognition based on our trademarks, then we may not be able to compete effectively and our business may be adversely affected. We may fail to adequately maintain the quality of our products and services associated with our trademarks, and any loss to the distinctiveness of our trademarks may cause us to lose certain trademark protection, which could result in the loss of goodwill and brand recognition in relation to our name and products. In addition, we may license our trademarks to third parties, such as distributors. Though these license agreements may provide guidelines for how our trademarks may be used, a breach of these agreements or misuse of our trademarks by these licensees may jeopardize our rights in or diminish the goodwill associated with our trademarks. Our efforts in enforcing or protecting our trademarks may be ineffective and could result in substantial costs and diversion of resources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b/>
          <w:i/>
          <w:caps w:val="false"/>
          <w:smallCaps w:val="false"/>
          <w:sz w:val="20"/>
        </w:rPr>
      </w:pPr>
      <w:r>
        <w:rPr>
          <w:rFonts w:ascii="Times New Roman" w:hAnsi="Times New Roman"/>
          <w:b/>
          <w:i/>
          <w:caps w:val="false"/>
          <w:smallCaps w:val="false"/>
          <w:sz w:val="20"/>
        </w:rPr>
        <w:t>We may be subject to claims that our employees have wrongfully used or disclosed alleged trade secrets of their former employers or claims asserting ownership of what we regard as our own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Some of our employees were previously employed at other companies that may have proprietary rights related to our business. Some of these employees may have executed proprietary rights, non-disclosure and noncompetition agreements in connection with such previous employment. Although we try to ensure that such individuals do not use the proprietary information or know-how of others in their work for us, we may be subject to claims that we or these employees have used or disclosed intellectual property, including trade secrets or other proprietary information, of their former employers. We are not aware of any such disclosures, or threatened or pending claims related to these matters, but in the future, litigation may be necessary to defend against such claims. If we fail to defend any such claims, we may lose valuable intellectual property rights or personnel, and may be required to pay monetary damages and be enjoined from conducting our business as contemplated. Even if we are successful in defending against such claims, litigation can be expensive and time-consuming.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b/>
          <w:i/>
          <w:caps w:val="false"/>
          <w:smallCaps w:val="false"/>
          <w:sz w:val="20"/>
        </w:rPr>
      </w:pPr>
      <w:r>
        <w:rPr>
          <w:rFonts w:ascii="Times New Roman" w:hAnsi="Times New Roman"/>
          <w:b/>
          <w:i/>
          <w:caps w:val="false"/>
          <w:smallCaps w:val="false"/>
          <w:sz w:val="20"/>
        </w:rPr>
        <w:t>Intellectual property rights do not necessarily address all potential threats to our competitive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degree of future protection afforded by our intellectual property rights is uncertain because intellectual property rights have limitations, and may not adequately protect our business or permit us to maintain our competitive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example: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others may be able to make products or processes that are identical or similar to any product or process we may develop and commercialize or utilize similar intellectual property or technologies that we now or may in the future own or have in-licensed;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or our future licensors or collaborators might not have been the first to make the inventions covered by the patents or pending patent applications that we own or have in-licensed;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or our future licensors or collaborators might not have been the first to file patent applications covering certain of our or their inventions;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others may independently develop similar or alternative intellectual property or technologies or duplicate any of our intellectual property or technologies without infringing our owned or in-licensed intellectual property rights;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it is possible that our pending patent applications or those that we may own or in-license in the future will not lead to issuance of patents;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patents that we own or have in-licensed may be held invalid or unenforceable, including as a result of legal challenges by our or our licensors’ competitors;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competitors might conduct research and development activities in countries where we do not have patent rights and then use the information learned from such activities to develop competitive products or processes for sale in our major commercial markets;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may not develop additional trade secrets or proprietary know-how that is patentable;</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patents of others may have an adverse effect on our business and/or our technology may infringe existing third party patents, leading to either loss of freedom to operate or the need to pay license fees;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may choose not to file a patent in order to maintain certain trade secrets or proprietary know-how, and a third party may subsequently file a patent covering such trade secrets or proprietary know-how;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third party may infringe our patents resulting in the need for legal action, including potential litigation, to protect our patents, and there can be no guarantees that we would be successful in such legal actions in all jurisdictions.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Should any of these events occur, they could have a material adverse effect on our business, financial condition, results of operations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be subject to various privacy laws, the violation of which could result in substantial fines and other negative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collect, store and process substantial amounts of data in the course of our business operations, which may subject us to various data protection and privacy laws. The regulatory framework for data protection, privacy and security issues worldwide is rapidly evolving and is likely to remain uncertain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data and information we collect and manage in conducting our business may subject us to legislative and regulatory burdens and requirements in the European Economic Area (“EEA”) and the United States of America that could require notification of data breaches, restrict our use of such information and hinder our ability to acquire new customers or market to existing customers. We have not yet implemented a comprehensive set of internal- or external-facing written data protection and privacy policies, procedures and rules. Non-compliance or a major breach of our network security and systems could have serious negative consequences for our business and future prospects, including possible fines, penalties and damages, reduced customer demand for our products, and harm to our reputation and brand. For instance, Regulation (EU) 2016/679 of the European Parliament and of the Council of April 27, 2016 on the protection of natural persons with regard to the processing of personal data and on the free movement of such data (the General Data Protection Regulation, “GDPR”) imposes strict limitations on the processing of personal data.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and also requires the implementation of appropriate technical and organizational measures, depending on the nature of the processing activities, and imposes certain documentation obligations relating to data processing activities. The GDPR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data protection impact assessments where the data processing is likely to result in a high risk to the rights and freedoms of individuals. In case of a violation of the provisions of the GDPR, we could be subject to fines of up to €20,000,000 or up to 4% of our total worldwide annual turnover of the preceding financial year, whichever is higher, and other administrative penalties. We may also be liable should any individual who has suffered financial or non-financial damage arising from our infringement of the GDPR exercise their right to receive compensation against us. Furthermore, adverse publicity relating to our failure to comply with the GDPR could cause a loss of goodwill, which could have an adverse effect on our reputation, brand, business and financial condition. In addition, local authorities may construe new regulations in a way that is even more restrictive and there is no guarantee that we will be able to comply with such restrictive approaches.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There is a risk that personal data that we process could become public if there were a security breach in respect of such data and, if such security breach were to occur, we could face liability under data protection laws, including the GDPR, and lose the goodwill of our customers, which may have a material adverse effect on our reputation, brand, business and financial condition. Any risk of liability under data protection laws, including the GDPR, is more pronounced against the background of our mass terminations of employees that we implemented in connection with the change in our business model and which could subject us to retaliatory actions by former employees, including willful data leakages or the disclosure of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are exposed to the risk of litigation or other legal proceedings that could cause us to spend substantial resources and disrupt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are exposed to the risk of product liability claims, regulatory action and litigation if any defect of our solar technology solutions or other innovations is alleged to have caused loss or injury. We face the risk of significant monetary exposure to product liability claims in the event our products do not perform as expected or contain design, manufacturing, or warning defects, and to claims without merit, or in connection with malfunctions, resulting in personal injury or death. Product liability claims could arise, for example, from malfunctions, defects, quality issues, design flaws or structural weaknesses relating to, or abuse of, our solar technology solutions implemented in or offered with vehicles. Our risks in this area are particularly pronounced given the limited field experience of our products and because we are a new entrant into the market. Any product liability claims or corresponding regulatory actions against us could result in increased costs and could adversely affect our reputation and our perception by our customers. We may not be able to secure product liability insurance coverage on commercially acceptable terms, at reasonable costs when needed, or at all and insurance coverage might not be sufficient to cover all potential product liability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we face substantial litigation risks in connection with our recent decision to terminate our Sion passenger car program and to change our business model to exclusively retrofitting and integrating our solar technology onto third party vehicles. Customers who placed reservations for our vehicles or disappointed members of our community may initiate lawsuits and claim damages despite our efforts to consensually settle reservations for our vehicles and amicably manage public relations. In light of our decision to terminate the Sion passenger car program in February 2023, as of the end of March 2023, we had notified 254 employees about the termination of their employment with us. Thereafter, in connection with the corporate structure and future business model envisioned in the Yorkville Investment, including the streamlined initial business focus on the Solar Bus Kit, in September 2023, we terminated the contracts of 40 employees, including the contracts of the four managing directors of the Subsidiary. As a result, we face the risk of numerous legal proceedings in which former employees may challenge their termination, claim damages or other payments and benefits in relation to their employment relationship or seek ownership in intellectual property rights and other assets. As of December 1, 2023, 13 employees had initiated legal proceedings against us in connection with their termination due to our changes in business model, 11 of which have already been resolved as of the date of this Annual Report. We also have to terminate and settle relationships with several former business partners that became obsolete and there is no guarantee that we are able to end such relationships consensually or on favorable terms. Former business partners may assert substantial payment claims or sue us for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Furthermore, we may also face litigation and legal proceedings based on advertisements or other public statements should such statements turn out to be unrealistic, unfeasible or false or should the overall advertised performance or specifications of our products deviate from such advertisements or public statements. In connection with a crowdfunding campaign launched in December 2019 when we were still pursuing the development and commercialization of our solar electric vehicle Sion and accepting vehicle reservations and down payments to finance our operations, our three founders Laurin Hahn, Navina Persteiner and Jona Christians announced that they would contribute their profit participation rights associated with their shares in the Subsidiary (while the voting rights associated with the underlying shares would remain with the founders), equaling 64.07% of all profit participation rights at that time, into a “community pool” from which certain monetary benefits in the form of so-called Sono Points would then be awarded. The founders intended such monetary benefits in the form of Sono Points to be allocated among already existing customers and new customers of our electric vehicle who placed a reservation for a vehicle, depending, with respect to new customers, on the timing of the reservation and the amount of the advance payment of the relevant new customer. The Sono Points would have represented participating entitlements concerning dividends, liquidation proceeds and proceeds from the sales of shares attributable to the community pool. However, since the Sion passenger car program has been terminated and no purchase agreements for the Sion will be concluded, customers will no longer receive Sono Points. Nevertheless, there is a substantial risk that we may also face litigation and legal proceedings based on past advertisements of, and other public statements concerning, Sono Points.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or will be, as the case may be, subject to anti-corruption, anti-bribery, anti-money laundering, financial and economic sanctions and similar laws and our compliance systems may not be sufficient to adequately prevent or detect legal, financial and operational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business may or will be subject to various laws and regulations relating to, among other things, prevention of illegal employment, bribery and corruption, and money laundering, as well as compliance with antitrust, data protection (particularly the GDPR), consumer protection, minimum wage regulations, various criminal as well as export control regulations and trade and economic sanctions and embargoes on certain countries, persons, groups and/or entities, projects and/or activities. We are reliant on the compliance of our employees and the members of our management board, our contractors, consultants, agents, vendors and (other) collaboration partners with applicable laws and compliance policies implemented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However it cannot be excluded that our employees, the members of the management board, our contractors, consultants, agents, vendors and (other) collaboration partners have committed or will commit criminal, unlawful or unethical acts (including corruption) or that our compliance and risk management and its monitoring capabilities may prove insufficient to prevent or detect any breaches of the law. Any such acts or breaches of law could result in whistle-blower complaints, adverse media coverage, (criminal) investigations, significant civil, administrative, and criminal penalties and damage claims, disgorgement or other sanctions, (collateral) consequences, remedial measures and legal expenses, and cause considerable damage to our reputation, thereby negatively affecting our business, results of operations, financial condition and future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become subject to additional Dutch and German taxes, in particular, due to the statutory seat of the Company in the Netherlands.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There is a risk that the German tax authorities classify the Company as Dutch tax resident. If the German tax authorities conclude that the Company is not, has ceased, or ceases to be (also as a consequence of the change of facts or the law), a German tax resident, it could, inter alia, become subject to German exit taxation. This could have serious German tax consequences, including German exit taxes or the increase of German withholding taxes on dividends received by the Company. Such German exit taxes could lead to the taxation of the built-in gains in the assets (e.g., intellectual property or goodwill)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If we do pay dividends, we may need to withhold tax on such dividends payable to holders of our shares in both Germany and the Netherlands.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currently do not intend to pay any dividends to holders of our ordinary shares. However, if we do pay dividends, we may need to withhold tax on such dividends in both Germany and the Netherlands.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an entity incorporated under Dutch law, any dividends distributed by us are subject to Dutch dividend withholding tax based on Dutch domestic law. However, on the basis of the 2012 Convention between the Federal Republic of Germany and the Kingdom of the Netherlands for the avoidance of double taxation with respect to taxes on income, or the “double tax treaty between Germany and the Netherlands,” the Netherlands will be restricted in imposing these taxes if we continue to be a tax resident of Germany and our place of effective management is located in Germany. This withholding tax restriction does, however, not apply, and Dutch dividend withholding tax is still required to be withheld from dividends, if and when paid to Dutch resident holders of our ordinary shares and non-Dutch resident holders of our ordinary shares that have a permanent establishment in the Netherlands to which their shareholding is attributable. As a result, upon a payment (or deemed payment) of dividends, we will be required to identify our shareholders in order to assess whether there are Dutch residents (or non-Dutch residents with a permanent establishment in the Netherlands to which the ordinary shares are attributable) in respect of which Dutch dividend tax has to be withheld. Such identification may not always be possible in practice. If the identity of our shareholders cannot be determined, withholding of both German and Dutch dividend tax may occur upon a payment of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Furthermore, the withholding tax restriction referred to above is based on the current choices and  reservation made by Germany under the Multilateral Convention to Implement Tax Treaty Related Measures to Prevent Base Erosion and Profit Shifting (“MLI”). If Germany changes its MLI choices and reservation, we may not be entitled to any benefits of the double tax treaty between Germany and the Netherlands, including the withholding tax restriction, as long as Germany and the Netherlands do not reach an agreement on our tax residency for purposes of the double tax treaty between Germany and the Netherlands, and, as a result, any dividends distributed by us during the period no such agreement has been reached between Germany and the Netherlands may be subject to withholding tax both in Germany and the Netherlands.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become taxable in a jurisdiction other than Germany and this may increase the aggregate tax burden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Since our incorporation we have had, on a continuous basis, our place of “effective management” in Germany. We will therefore qualify as a tax resident of Germany on the basis of German domestic law. As an entity incorporated under Dutch law, however, we also qualify as a tax resident of the Netherlands on the basis of Dutch domestic law. However, based on our current management structure and the current tax laws of the United States, Germany and the Netherlands, as well as applicable income tax treaties, and current interpretations thereof, we should qualify solely as a tax resident of Germany for the purposes of the double tax treaty between Germany and the Netherlands due to the “effective management” tie-breaker included in Article 4(3) of the double tax treaty between Germany and the Netherlands and the current MLI choices and reservation. Our sole tax residency in Germany for purposes of the above-mentioned tax treaty is subject to the application of the provisions on tax residency as stipulated in such treaty as amended from time to time. The MLI, Germany and the Netherlands entered into, among other countries, should not, as of this date, affect such tax treaty’s rules regarding tax residency.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test of “effective management” is largely a question of fact and degree based on all the circumstances, rather than a question of law. Nevertheless, the relevant case law and OECD guidance suggest that our Company is likely to be regarded as having become a German tax resident from incorporation and remaining so if, as our Company intends, (i) most meetings of its management board are prepared and held in Germany (and none will be held in the Netherlands) with a majority of management board members present in Germany for those meetings; (ii) at those meetings there are full discussions of, and decisions are made regarding, the key strategic issues affecting our Company and its subsidiaries; (iii) those meetings are properly minuted; (iv) a majority of our management board members, together with supporting staff, are based in Germany; and (v) our Company has permanent staffed office premises in Germany. We may, however, become subject to limited income tax liability in other countries with regard to the income generated in the respective other country, for example, due to the existence of a permanent establishment or a permanent representative in such other country.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applicable tax laws, tax treaties or interpretations thereof may change, including the MLI choices and reservation. Furthermore, whether we have our place of effective management in Germany and are as such solely tax resident in Germany is largely a question of fact and degree based on all the circumstances, rather than a question of law, which facts and degree may also change. Changes to applicable tax laws or interpretations thereof, changes to applicable facts and circumstances (for example, a change of directors or the place where board meetings take place), or changes to applicable tax treaties, including a change to the application of the MLI, may result in us becoming (also) a tax resident of the Netherlands or another jurisdiction.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Regulatory, Legal and Tax Risks</w:t>
      </w:r>
      <w:r>
        <w:rPr>
          <w:rFonts w:ascii="Times New Roman" w:hAnsi="Times New Roman"/>
          <w:caps w:val="false"/>
          <w:smallCaps w:val="false"/>
          <w:sz w:val="20"/>
        </w:rPr>
        <w:t>—</w:t>
      </w:r>
      <w:r>
        <w:rPr>
          <w:rFonts w:ascii="Times New Roman" w:hAnsi="Times New Roman"/>
          <w:i/>
          <w:caps w:val="false"/>
          <w:smallCaps w:val="false"/>
          <w:sz w:val="20"/>
        </w:rPr>
        <w:t>If we do pay dividends, we may need to withhold tax on such dividends payable to holders of our shares in both Germany and the Netherlands.</w:t>
      </w:r>
      <w:r>
        <w:rPr>
          <w:rFonts w:ascii="Times New Roman" w:hAnsi="Times New Roman"/>
          <w:caps w:val="false"/>
          <w:smallCaps w:val="false"/>
          <w:sz w:val="20"/>
        </w:rPr>
        <w:t>” As a consequence, our overall effective income tax rate and income tax expense could materially increase, which could have a material adverse effect on our business, results of operations, financial condition and prospects, which could cause our share price and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We may be or become a passive foreign investment company (</w:t>
      </w:r>
      <w:r>
        <w:rPr>
          <w:rFonts w:ascii="Times New Roman" w:hAnsi="Times New Roman"/>
          <w:caps w:val="false"/>
          <w:smallCaps w:val="false"/>
          <w:sz w:val="20"/>
        </w:rPr>
        <w:t>“</w:t>
      </w:r>
      <w:r>
        <w:rPr>
          <w:rFonts w:ascii="Times New Roman" w:hAnsi="Times New Roman"/>
          <w:b/>
          <w:i/>
          <w:caps w:val="false"/>
          <w:smallCaps w:val="false"/>
          <w:sz w:val="20"/>
        </w:rPr>
        <w:t>PFIC</w:t>
      </w:r>
      <w:r>
        <w:rPr>
          <w:rFonts w:ascii="Times New Roman" w:hAnsi="Times New Roman"/>
          <w:caps w:val="false"/>
          <w:smallCaps w:val="false"/>
          <w:sz w:val="20"/>
        </w:rPr>
        <w:t>”</w:t>
      </w:r>
      <w:r>
        <w:rPr>
          <w:rFonts w:ascii="Times New Roman" w:hAnsi="Times New Roman"/>
          <w:b/>
          <w:i/>
          <w:caps w:val="false"/>
          <w:smallCaps w:val="false"/>
          <w:sz w:val="20"/>
        </w:rPr>
        <w:t>), which could result in adverse United States federal income tax consequences to United States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Based on the composition of our income and valuation of our assets, including goodwill, we believe that we were not a PFIC in our taxable year ended December 31, 2022.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PFIC status is a factual determination that is made annually and thus may be subject to change. It is therefore possible that we could become a PFIC in our taxable year ending December 31, 2023 or in a future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or were to become a PFIC, such characterization could result in adverse United States federal income tax consequences and burdensome reporting requirements to a holder of ordinary shares if such holder is a United States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Risks Related to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of substantial amounts of our ordinary shares in the public market, or the perception that these sales may occur, could cause the market price of our ordinary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substantial amounts of our ordinary shares in the public market, or the perception that these sales may occur, could cause the market price of our ordinary shares to decline. This could also impair our ability to raise additional capital through the sale of our equity securities. Under our articles of association, we are authorized to issue up to 320,000,000 ordinary shares. Although our articles of association provide that upon an increase of our issued share capital to at least €25,000,000 our authorized share capital will automatically increase to €102,000,000, divided into 1,500,000,000 ordinary shares and 8,000,000 high voting shares, in connection with the Yorkville Investment, we currently intend to amend our articles of association a future general meeting of shareholders to increase our authorized share capital. An issuance of new ordinary shares may also lead to substantial dilution of our then existing shareholders. We cannot predict the size of future issuances of our shares, or the effect, if any, that future issuances and sales of shares would have on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market price of our ordinary shares could fluctuate significantly, which could result in substantial losses for purchasers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stock market in general and the market for smaller technology companies in particular have experienced extreme volatility that has often been unrelated to the operating performance of particular companies. As a result of this volatility, you may lose some or all of your investment. The market price of our ordinary shares is affected by the supply and demand for our ordinary shares, which may be influenced by numerous factors, many of which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fluctuation in actual or projected results of operations; changes in projected earnings or failure to meet securities analysts’ earnings expectations; the absence of analyst coverage;</w:t>
            </w:r>
          </w:p>
        </w:tc>
      </w:tr>
    </w:tbl>
    <w:tbl>
      <w:tblPr>
        <w:tblW w:w="3130" w:type="dxa"/>
        <w:jc w:val="left"/>
        <w:tblInd w:w="0" w:type="dxa"/>
        <w:tblLayout w:type="fixed"/>
        <w:tblCellMar>
          <w:top w:w="0" w:type="dxa"/>
          <w:left w:w="0" w:type="dxa"/>
          <w:bottom w:w="0" w:type="dxa"/>
          <w:right w:w="0" w:type="dxa"/>
        </w:tblCellMar>
      </w:tblPr>
      <w:tblGrid>
        <w:gridCol w:w="60"/>
        <w:gridCol w:w="170"/>
        <w:gridCol w:w="29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negative analyst recommendations;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trading volumes in our ordinary shares (including by the sale of shares granted to our employees under employee participation programs);</w:t>
            </w:r>
          </w:p>
        </w:tc>
      </w:tr>
    </w:tbl>
    <w:tbl>
      <w:tblPr>
        <w:tblW w:w="4600" w:type="dxa"/>
        <w:jc w:val="left"/>
        <w:tblInd w:w="0" w:type="dxa"/>
        <w:tblLayout w:type="fixed"/>
        <w:tblCellMar>
          <w:top w:w="0" w:type="dxa"/>
          <w:left w:w="0" w:type="dxa"/>
          <w:bottom w:w="0" w:type="dxa"/>
          <w:right w:w="0" w:type="dxa"/>
        </w:tblCellMar>
      </w:tblPr>
      <w:tblGrid>
        <w:gridCol w:w="60"/>
        <w:gridCol w:w="170"/>
        <w:gridCol w:w="43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3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large-volume or targeted transactions by short-sellers;</w:t>
            </w:r>
          </w:p>
        </w:tc>
      </w:tr>
    </w:tbl>
    <w:tbl>
      <w:tblPr>
        <w:tblW w:w="3235" w:type="dxa"/>
        <w:jc w:val="left"/>
        <w:tblInd w:w="0" w:type="dxa"/>
        <w:tblLayout w:type="fixed"/>
        <w:tblCellMar>
          <w:top w:w="0" w:type="dxa"/>
          <w:left w:w="0" w:type="dxa"/>
          <w:bottom w:w="0" w:type="dxa"/>
          <w:right w:w="0" w:type="dxa"/>
        </w:tblCellMar>
      </w:tblPr>
      <w:tblGrid>
        <w:gridCol w:w="60"/>
        <w:gridCol w:w="170"/>
        <w:gridCol w:w="30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0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our shareholder structure;</w:t>
            </w:r>
          </w:p>
        </w:tc>
      </w:tr>
    </w:tbl>
    <w:tbl>
      <w:tblPr>
        <w:tblW w:w="3430" w:type="dxa"/>
        <w:jc w:val="left"/>
        <w:tblInd w:w="0" w:type="dxa"/>
        <w:tblLayout w:type="fixed"/>
        <w:tblCellMar>
          <w:top w:w="0" w:type="dxa"/>
          <w:left w:w="0" w:type="dxa"/>
          <w:bottom w:w="0" w:type="dxa"/>
          <w:right w:w="0" w:type="dxa"/>
        </w:tblCellMar>
      </w:tblPr>
      <w:tblGrid>
        <w:gridCol w:w="60"/>
        <w:gridCol w:w="170"/>
        <w:gridCol w:w="32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macroeconomic conditions;</w:t>
            </w:r>
          </w:p>
        </w:tc>
      </w:tr>
    </w:tbl>
    <w:tbl>
      <w:tblPr>
        <w:tblW w:w="3475" w:type="dxa"/>
        <w:jc w:val="left"/>
        <w:tblInd w:w="0" w:type="dxa"/>
        <w:tblLayout w:type="fixed"/>
        <w:tblCellMar>
          <w:top w:w="0" w:type="dxa"/>
          <w:left w:w="0" w:type="dxa"/>
          <w:bottom w:w="0" w:type="dxa"/>
          <w:right w:w="0" w:type="dxa"/>
        </w:tblCellMar>
      </w:tblPr>
      <w:tblGrid>
        <w:gridCol w:w="60"/>
        <w:gridCol w:w="170"/>
        <w:gridCol w:w="32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activities of competitors and sellers;</w:t>
            </w:r>
          </w:p>
        </w:tc>
      </w:tr>
    </w:tbl>
    <w:tbl>
      <w:tblPr>
        <w:tblW w:w="5095" w:type="dxa"/>
        <w:jc w:val="left"/>
        <w:tblInd w:w="0" w:type="dxa"/>
        <w:tblLayout w:type="fixed"/>
        <w:tblCellMar>
          <w:top w:w="0" w:type="dxa"/>
          <w:left w:w="0" w:type="dxa"/>
          <w:bottom w:w="0" w:type="dxa"/>
          <w:right w:w="0" w:type="dxa"/>
        </w:tblCellMar>
      </w:tblPr>
      <w:tblGrid>
        <w:gridCol w:w="60"/>
        <w:gridCol w:w="170"/>
        <w:gridCol w:w="48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market valuations of comparable companies;</w:t>
            </w:r>
          </w:p>
        </w:tc>
      </w:tr>
    </w:tbl>
    <w:tbl>
      <w:tblPr>
        <w:tblW w:w="8995" w:type="dxa"/>
        <w:jc w:val="left"/>
        <w:tblInd w:w="0" w:type="dxa"/>
        <w:tblLayout w:type="fixed"/>
        <w:tblCellMar>
          <w:top w:w="0" w:type="dxa"/>
          <w:left w:w="0" w:type="dxa"/>
          <w:bottom w:w="0" w:type="dxa"/>
          <w:right w:w="0" w:type="dxa"/>
        </w:tblCellMar>
      </w:tblPr>
      <w:tblGrid>
        <w:gridCol w:w="60"/>
        <w:gridCol w:w="170"/>
        <w:gridCol w:w="87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develop and refine our solar technology and business and reach market readiness;</w:t>
            </w:r>
          </w:p>
        </w:tc>
      </w:tr>
    </w:tbl>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the recruitment or departure of key management or other key employees;</w:t>
            </w:r>
          </w:p>
        </w:tc>
      </w:tr>
    </w:tbl>
    <w:tbl>
      <w:tblPr>
        <w:tblW w:w="6160" w:type="dxa"/>
        <w:jc w:val="left"/>
        <w:tblInd w:w="0" w:type="dxa"/>
        <w:tblLayout w:type="fixed"/>
        <w:tblCellMar>
          <w:top w:w="0" w:type="dxa"/>
          <w:left w:w="0" w:type="dxa"/>
          <w:bottom w:w="0" w:type="dxa"/>
          <w:right w:w="0" w:type="dxa"/>
        </w:tblCellMar>
      </w:tblPr>
      <w:tblGrid>
        <w:gridCol w:w="60"/>
        <w:gridCol w:w="170"/>
        <w:gridCol w:w="59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significant lawsuits, including patent, shareholder or customer litigation;</w:t>
            </w:r>
          </w:p>
        </w:tc>
      </w:tr>
    </w:tbl>
    <w:tbl>
      <w:tblPr>
        <w:tblW w:w="4645" w:type="dxa"/>
        <w:jc w:val="left"/>
        <w:tblInd w:w="0" w:type="dxa"/>
        <w:tblLayout w:type="fixed"/>
        <w:tblCellMar>
          <w:top w:w="0" w:type="dxa"/>
          <w:left w:w="0" w:type="dxa"/>
          <w:bottom w:w="0" w:type="dxa"/>
          <w:right w:w="0" w:type="dxa"/>
        </w:tblCellMar>
      </w:tblPr>
      <w:tblGrid>
        <w:gridCol w:w="60"/>
        <w:gridCol w:w="170"/>
        <w:gridCol w:w="44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developments in the Self-Administration Proceedings;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anticipated delisting of our shares from Nasdaq, as determined by the Panel in its delist decision from December 11, 2023;</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changes in investor and analyst perception with respect to our business or the solar technology and automotive industries in general; and</w:t>
            </w:r>
          </w:p>
        </w:tc>
      </w:tr>
    </w:tbl>
    <w:tbl>
      <w:tblPr>
        <w:tblW w:w="5290" w:type="dxa"/>
        <w:jc w:val="left"/>
        <w:tblInd w:w="0" w:type="dxa"/>
        <w:tblLayout w:type="fixed"/>
        <w:tblCellMar>
          <w:top w:w="0" w:type="dxa"/>
          <w:left w:w="0" w:type="dxa"/>
          <w:bottom w:w="0" w:type="dxa"/>
          <w:right w:w="0" w:type="dxa"/>
        </w:tblCellMar>
      </w:tblPr>
      <w:tblGrid>
        <w:gridCol w:w="60"/>
        <w:gridCol w:w="170"/>
        <w:gridCol w:w="50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6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changes in the statutory framework applicable to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our share price may be subject to substantial fluctuation.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general market conditions and fluctuation of share prices and trading volumes could lead to pressure on the market price of our ordinary shares, even if there may not be a reason for this based on our business performance or earnings outlook. Prices for companies with a limited operating history, particularly in industries with barriers such as the solar technology and automotive industries, may be more volatile compared to share prices for established companies or companies from other industries. The price of our shares has been volatile since our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market price of our ordinary shares declines as a result of the realization of any of these risks, investors could lose part or all of their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dual-class share structure with different voting rights will limit your ability as a holder of ordinary shares to influence corporate matters and could discourage others from pursuing any change of control transactions that holders of ordinary shares may view as beneficial.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dual-class share structure, which we currently intend to maintain, as our share capital consists of ordinary shares and high voting shares. In respect of matters requiring the votes of shareholders, holders of ordinary shares will be entitled to one vote per share, while holders of high voting shares will be entitled to 25 votes per share. Each high voting share is convertible into one ordinary share at any time by the holder thereof, while ordinary shares are not convertible into high voting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high voting shares are held by our Founders, Laurin Hahn and Jona Christians. As of September 30, 2023, Laurin Hahn held approximately 32.8% and Jona Christians held approximately 29.5% of our total voting rights. In connection with the Yorkville Investment, the Founders have agreed to transfer, if so requested, all of their high voting shares to the new members of the management board to be appointed for the Company. The current concentration of ownership, if so maintained, and any future concentration of ownership that may occur as a result of the Yorkville Investment, if concluded and implemented, may discourage, delay or prevent a change in control of our Company, which could deprive our other shareholders of an opportunity to receive a premium for their ordinary shares as part of a sale of our Company and might ultimately affect the market price of our ordinary shares. Such concentrated control will limit your ability to influence corporate matters that holders of ordinary shares may view as beneficial. In addition, certain index providers, such as S&amp;P Dow Jones or FTSE Russell, view multi-class shares critically and have amended their rules so that companies with multi-class shares will no longer be added to their indexes.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Future offerings of debt or equity securities by us could adversely affect the market price of our ordinary shares, and future issuances of equity securities could lead to a substantial dilution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require significant additional capital in the future to finance our business operations and growth. For example, we will require additional funding to reach commercial operation, and we may seek to offer new equity in the future for such funding. The Company may seek to raise such capital through the issuance of additional equity or debt securities with conversion rights (e.g., convertible bonds and option rights). An issuance of additional equity or debt securities with conversion rights could potentially reduce the market price of our ordinary shares and the Company currently cannot predict the amounts and terms of such future offerings. We expect such funding to be in the form of, or at least include, additional equity fundraising, which will dilute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such offerings of equity or debt securities with conversion rights are made without granting preemptive rights to our existing shareholders, these offerings would dilute the economic and voting rights of our existing shareholders. Preemptive rights may be restricted or excluded by a resolution of the general meeting or by another corporate body designated by the general meeting. Our management board has been authorized for a period of five years following the date of the Company’s annual general meeting which took place on December 21, 2022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such dilution may arise from the acquisition or investments in companies in exchange, fully or in part, for newly issued ordinary shares, convertible rights in connection with financing arrangements the Company entered into before the IPO, stock options or conversion rights granted to our business partners or our customers as well as from the exercise of stock options or conversion rights granted to our employees in the context of existing or future stock option programs or the issuance of ordinary shares to employees in the context of existing or future employee participation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future issuance of ordinary shares could reduce the market price of our ordinary shares and dilute the holdings of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Future sales by major shareholders could materially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various reasons, shareholders may sell all or some of our ordinary shares, including in order to diversify their investments. Sales of a substantial number of our ordinary shares in the public market, or the perception that such sales might occur, could depress the market price of our ordinary shares and could impair our ability to raise capital through the sale of additional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securities or industry analysts do not publish research or publish inaccurate or unfavorable research about our business, the market price for our ordinary shares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market for our ordinary shares depends in part on the research and reports that securities or industry analysts publish about us or our business. If securities or industry analyst coverage results in downgrades of our ordinary shares or publishes inaccurate or unfavorable research about our business, our share price will likely decline. If one or more of these analysts cease coverage of us or fail to publish reports on us regularly, we could lose visibility in the financial markets and demand for our ordinary shares could decrease, which, in turn, could cause the market price or trading volume for our ordinary shares to decline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Shareholders may not be able to exercise preemptive rights and, as a result, may experience substantial dilution upon future issuances of ordinary shares.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event of an issuance of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management board, subject to approval of our supervisory board, has been authorized, for a period of five years following the date of the Company's annual general meeting which took place on December 21, 2022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do not expect to pay any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currently intend to retain our future earnings, if any, for the foreseeable future, to fund the change in our business model, the further development of our solar technology and start of its commercial production, as well as the growth of our business. Furthermore, these plans are subject to developments with respect to the Self-Administration Proceedings. Accordingly, we currently do not intend to pay any dividends to holders of our ordinary shares. As a result, capital appreciation in the price of our ordinary shares, if any, will be your only source of gain on an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caps w:val="false"/>
          <w:smallCaps w:val="false"/>
          <w:sz w:val="20"/>
        </w:rPr>
        <w:t>Risks Related to Our Company</w:t>
      </w:r>
      <w:r>
        <w:rPr>
          <w:rFonts w:ascii="Times New Roman" w:hAnsi="Times New Roman"/>
          <w:caps w:val="false"/>
          <w:smallCaps w:val="false"/>
          <w:sz w:val="20"/>
        </w:rPr>
        <w:t>’</w:t>
      </w:r>
      <w:r>
        <w:rPr>
          <w:rFonts w:ascii="Times New Roman" w:hAnsi="Times New Roman"/>
          <w:b/>
          <w:caps w:val="false"/>
          <w:smallCaps w:val="false"/>
          <w:sz w:val="20"/>
        </w:rPr>
        <w:t>s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have and will continue to incur increased costs as a result of operating as a public company, and our management has and will continue to be required to devote substantial time to new compliance initiatives and corporate governance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a public company we have and will continue to incur significant legal, accounting and other expenses that we did not incur as a private company, including, but not limited to, costs and expenses for management board members’ and supervisory board members’ fees, increased directors and officers insurance, investor relations, and various other costs of a public company. The Sarbanes-Oxley Act, the Dodd-Frank Wall Street Reform and Consumer Protection Act,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have and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were already subject to Sections 302 and 906 of the Sarbanes-Oxley Act with respect to our annual report on Form 20-F for the fiscal year ended December 31, 2021. Pursuant to Section 404(a) of the Sarbanes-Oxley Act, beginning with this annual report on Form 20-F for the fiscal year ended December 31, 2022, we are required to furnish a report by our management on our internal control over financial reporting annually. Pursuant to Section 404(b) of the Sarbanes-Oxley Act, if we are no longer an emerging growth company and become an accelerated or large accelerated filer, we would be required to also include an attestation report on internal control over financial reporting issued by our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To achieve compliance with Section 404(a) of the Sarbanes-Oxley Act, we are engaged in documenting and evaluating our internal control over financial reporting, which is both costly and challenging. In this regard, we will need to continue to dedicate internal resources, have engaged outside consultants and are adopting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404(a) of the Sarbanes-Oxley Act. Such conclusion could adversely impact the market price of our shares due to a loss of investor confidence in the reliability of our reporting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Once we are required to include an attestation report on internal control over financial reporting by our independent registered public accounting firm pursuant to Section 404(b) of the Sarbanes Oxley Act, there is a risk that such independent assessment of the effectiveness of our internal controls over financial reporting could identify material weaknesses that our management’s assessment pursuant to Section 404(a) does not identify.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consequences of being a public company could have a material adverse effect on our business, financial condition, results of operations and prospects.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Following the anticipated delisting of our shares from Nasdaq, as determined by the Panel in its delist decision from December 11, 2023, we may not be able to meet the initial listing requirements for admission of our shares to trading on a stock exchange in the future and pay for the costs associated with an initial listing and therefore may not be able to have our shares admitted to trading on a stock exchange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11, 2023, the Company received a decision of the Panel advising the Company that the Panel has determined to delist the Company’s ordinary shares from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March 20, 2023, we received written notification from the Listing Qualifications Department of Nasdaq that, based on the closing bid price per share of our ordinary shares for a period of 30 consecutive business days, we no longer comply with the minimum bid price requirement for continued listing on Nasdaq. Nasdaq Listing Rule 5450(a)(1) requires listed securities to maintain a minimum bid price of $1.00 per share, and Nasdaq Listing Rule 5810(c)(3)(A) provides that a failure to meet the minimum bid price requirement exists if the deficiency continues for a period of 30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April 21, 2023, we notified Nasdaq that as a result of the resignation of four out of five members of our supervisory board, including all independent supervisory board members, we were no longer in compliance with Nasdaq Listing Rule 5605(c)(2)(A), which requires a listed company to have an audit committee composed of at least three members who each meet the criteria for independence set forth in Rule 10A-4(b)(1) under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May 3, 2023, we received written notification from the Listing Qualifications Department of Nasdaq stating that because we had not yet filed our Annual Report on Form 20-F for the fiscal year ended December 31, 2022, we were no longer in compliance with Nasdaq Listing Rule 5250(c)(1), which requires listed companies to timely file all required periodic financial reports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July 12, 2023, we received a delisting notice stating that the staff of the Listing Qualifications Department has determined that our securities will be delisted from Nasdaq in accordance with Listing Rules 5101, 5110(b) and IM-5101-1 and notifying us of the suspension in trading of our common shares as of the opening of business on July 21, 2023. The delisting notice further stated that a Form 25-NSE was to be filed with the SEC, which would remove our securities from listing and registration on Nasdaq. The Staff’s determination was based on the following factors: the associated public interest concerns raised by our announcement of the applications for the Self-Administration Proceedings; concerns regarding the residual equity interest of the existing listed securities holders; and concerns about our ability to sustain compliance with all requirements for continued listing on Nasdaq. The delisting notice further stated that our failure (up to that time) to file our Annual Report on Form 20-F for the fiscal year ended December 31, 2022  with the SEC and Nasdaq and resultant failure to comply with Nasdaq’s filing requirement as set forth under Listing Rule 5250(c)(1) served as an additional and separate basis for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August 28, 2023, we received an additional staff determination letter (the “Letter”) from the staff of the Listing Qualifications Department of Nasdaq stating that, for the 12 consecutive trading days prior to the Letter, the closing bid price of the our ordinary shares had been below $0.10, which served as an additional basis for delisting our ordinary shares from Nasdaq pursuant to Listing Rule 5810(c)(3)(A)(iii). In addition, the Letter stated that the resignation in April 2023 of four out of five members of our supervisory board, including all of our independent members, and our resultant failure to meet the audit committee requirement for continued listing on Nasdaq set forth in Listing Rule 5605(c)(2), serve as an additional basis for delisting our ordinary shares from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appealed the delisting determination, and on October 13, 2023, the Panel granted our request for continued listing of our shares on Nasdaq subject to us regaining compliance with the periodic filing requirement on or before November 30, 2023 and us providing an update to the Panel including detailed financial projections and the progress of our withdrawal from the Self-Administration Proceedings on or before November 30, 2023. To date, we have regained compliance with the deficiencies related to our supervisory board and audit committee. On September 11, 2023, three new members – Sandra Vogt-Sasse, Martin Sabbione and Thomas Wiedermann – were appointed to our supervisory board. The new supervisory board members have been appointed on a provisional basis until their formal appointment at our next annual general meeting of shareholders, which has been convened for December 29, 2023. On September 22, 2023, Ms. Vogt-Sasse, Mr. Sabbione and Mr. Wiedermann were appointed to the audit committee. The Company and the supervisory board have determined that each of the three new members meets the independence requirement of Nasdaq Listing Rule 5605(c)(2), with Ms. Vogt-Sasse acting as the audit committee’s financial expert. With our filing of this Annual Report, we have also regained compliance with the periodic filing requirement.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At our annual shareholders meeting held on December 21, 2022, our shareholders approved a proposal to authorize our management board, with the approval of our supervisory board, to effect a reverse stock split at a ratio of 5:1, such that every five ordinary shares or high-voting shares, as applicable, will be combined into one share of the same class. This reverse stock split has not been implemented, but the resolution by the Company's general meeting remains in full force and effect and can therefore be implemented by our management board, with the approval of our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Following the anticipated delisting of our shares from Nasdaq, there can be no assurance that we will be able to meet the initial listing requirements for admission of our shares to trading on a stock exchange in the future and pay for the costs associated with an initial listing on a stock exchange. As a result, there can be no assurance that we will be able to have our shares admitted to trading on a stock exchange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Investors may have difficulty enforcing civil liabilities against us or the members of our management and supervisory board or our other officers (functionarissen).</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hAnsi="Times New Roman"/>
          <w:i/>
          <w:caps w:val="false"/>
          <w:smallCaps w:val="false"/>
          <w:sz w:val="20"/>
        </w:rPr>
        <w:t>functionarissen</w:t>
      </w:r>
      <w:r>
        <w:rPr>
          <w:rFonts w:ascii="Times New Roman" w:hAnsi="Times New Roman"/>
          <w:caps w:val="false"/>
          <w:smallCaps w:val="false"/>
          <w:sz w:val="20"/>
        </w:rPr>
        <w:t>) (including our management board members, supervisory board members and executive officers are governed in certain respects by the laws of the Netherlands.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Also, service of process against non-residents of the United States can in principle (absent, for example, a valid choice of domicile) not be effected in the United States. Furthermore, substantially all of our assets are located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of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hAnsi="Times New Roman"/>
          <w:i/>
          <w:caps w:val="false"/>
          <w:smallCaps w:val="false"/>
          <w:sz w:val="20"/>
        </w:rPr>
        <w:t>behoorlijke rechtspleging</w:t>
      </w:r>
      <w:r>
        <w:rPr>
          <w:rFonts w:ascii="Times New Roman" w:hAnsi="Times New Roman"/>
          <w:caps w:val="false"/>
          <w:smallCaps w:val="false"/>
          <w:sz w:val="20"/>
        </w:rPr>
        <w:t>), (iii) binding effect of such United States judgment is not contrary to Dutch public order (</w:t>
      </w:r>
      <w:r>
        <w:rPr>
          <w:rFonts w:ascii="Times New Roman" w:hAnsi="Times New Roman"/>
          <w:i/>
          <w:caps w:val="false"/>
          <w:smallCaps w:val="false"/>
          <w:sz w:val="20"/>
        </w:rPr>
        <w:t>openbare orde</w:t>
      </w:r>
      <w:r>
        <w:rPr>
          <w:rFonts w:ascii="Times New Roman" w:hAnsi="Times New Roman"/>
          <w:caps w:val="false"/>
          <w:smallCaps w:val="false"/>
          <w:sz w:val="20"/>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foreign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Thus, United States investors may not be able, or experience difficulty, to enforce a judgment obtained in a United States court against us or our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for actual losses or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actions brought in a German court against us, our management board members, our supervisory board members,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members, our supervisory board members, our senior management and the experts named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foregoing, there can be no assurance that U.S. investors will be able to enforce against us or management board members, supervisory board members, executive officers, our other officers (</w:t>
      </w:r>
      <w:r>
        <w:rPr>
          <w:rFonts w:ascii="Times New Roman" w:hAnsi="Times New Roman"/>
          <w:i/>
          <w:caps w:val="false"/>
          <w:smallCaps w:val="false"/>
          <w:sz w:val="20"/>
        </w:rPr>
        <w:t>functionarissen</w:t>
      </w:r>
      <w:r>
        <w:rPr>
          <w:rFonts w:ascii="Times New Roman" w:hAnsi="Times New Roman"/>
          <w:caps w:val="false"/>
          <w:smallCaps w:val="false"/>
          <w:sz w:val="20"/>
        </w:rPr>
        <w:t>) or certain experts named herein who are residents of or possessing assets in the Netherlands, Germany and or other countries other than the United States any judgments obtained in U.S. courts in civil and commercial matters, including judgments under the U.S.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a Dutch public company. The rights of our shareholders may be different from the rights of shareholders in companies governed by the laws of U.S. jurisdictions and may not protect investors in a similar fashion afforded by incorporation in a U.S.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public company (</w:t>
      </w:r>
      <w:r>
        <w:rPr>
          <w:rFonts w:ascii="Times New Roman" w:hAnsi="Times New Roman"/>
          <w:i/>
          <w:caps w:val="false"/>
          <w:smallCaps w:val="false"/>
          <w:sz w:val="20"/>
        </w:rPr>
        <w:t>naamloze vennootschap</w:t>
      </w:r>
      <w:r>
        <w:rPr>
          <w:rFonts w:ascii="Times New Roman" w:hAnsi="Times New Roman"/>
          <w:caps w:val="false"/>
          <w:smallCaps w:val="false"/>
          <w:sz w:val="20"/>
        </w:rPr>
        <w:t>) organized under the laws of the Netherlands. Our corporate affairs are governed by our articles of association, the rules of our management board and those of our supervisory board and by the laws governing companies incorporated in the Netherlands. However, there can be no assurance that Dutch law will not change in the future or that it will serve to protect investors in a similar fashion afforded under corporate law principles in the United States, which could adversely affect the rights of investors.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rights of shareholders and the responsibilities of management board members and supervisory board members may be different from the rights and obligations of shareholders and directors in companies governed by the laws of U.S. jurisdictions. In the performance of their duties, our management board members and supervisory board members are required by Dutch law to consider the interests of our Company, its shareholders, its employees and other stakeholders, in all cases with due observance of the principles of reasonableness and fairness. It is possible that some of these parties will have interests that are different from, or in addition to, your interests as a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articles of association stipulate that the planet, humankind and society are important stakeholders of us and the highest principle pursued by us as part of our objects is the protection of the environment, nature and humankind. Under our articles of association, this principle shall form the foundation of our actions and the decisions of our management board and the supervisory board. On the basis of that premise, among other matters, our management board and the supervisory board may let the interests of the planet, humankind and society outweigh the interests of other stakeholders, provided that the interests of the latter stakeholders are not unnecessarily or disproportionately harmed. A resolution to amend the text or purport of these provisions of our articles of association shall require a unanimous vote in a general meeting where the entire issued share capital is represented.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Our articles of association contain exclusive forum provisions for certain claims, which could limit our shareholders</w:t>
      </w:r>
      <w:r>
        <w:rPr>
          <w:rFonts w:ascii="Times New Roman" w:hAnsi="Times New Roman"/>
          <w:caps w:val="false"/>
          <w:smallCaps w:val="false"/>
          <w:sz w:val="20"/>
        </w:rPr>
        <w:t xml:space="preserve">’ </w:t>
      </w:r>
      <w:r>
        <w:rPr>
          <w:rFonts w:ascii="Times New Roman" w:hAnsi="Times New Roman"/>
          <w:b/>
          <w:i/>
          <w:caps w:val="false"/>
          <w:smallCaps w:val="false"/>
          <w:sz w:val="20"/>
        </w:rPr>
        <w:t>ability to obtain a favorable judicial forum for disputes with us or the members of our management or supervisory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articles of association provide that unless we consent in writing to the selection of another forum, the federal district courts of the United States of America will, to the fullest extent permitted by law, be the exclusive forum for resolving any complaint asserting a cause of action arising under the Securities Act or the Exchange Act (the “Federal Forum Provision”). Moreover, Section 22 of the Securities Act creates concurrent jurisdiction for federal and state courts over all claims brought to enforce any duty or liability created by the Securities Act or the rules and regulations thereunder. Our decision to adopt the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shareholders to enforce any duty or liability created by the Securities Act must be brought in federal court and cannot be brought in state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Section 27 of the Exchange Act creates exclusive federal jurisdiction over all claims brought to enforce any duty or liability created by the Exchange Act or the rules and regulations thereunder and our articles of association confirm that the federal district courts of the United States of America will be the exclusive forum for resolving any complaint asserting a cause of action arising under the Exchange Act. Accordingly, actions by our shareholders to enforce any duty or liability created by the Exchange Act or the rules and regulations thereunder must be brought in federal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may argue that any person or entity purchasing or otherwise acquiring or holding any interest in any of our securities will have, or will be deemed to have, notice of and consented to our exclusive forum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the members of our management or supervisory board, or employees and agents, which may discourage lawsuits against us and the members of our management or supervisory board or employees and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Alternatively, if a court were to find the choice of forum provision contained in our articles of association to be inapplicable or unenforceable in an action, we may incur additional costs associated with resolving such action in other jurisdictions, which may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Provisions of our articles of association or Dutch corporate law might deter acquisition bids for us that might be considered favorable and prevent, delay or frustrate any attempt to replace or remove our management board members or supervisory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dual-class share structure which consists of ordinary shares and high voting shares, with ordinary shares carrying one vote per share and high voting shares carrying 25 votes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provision that each of our two founders, Laurin Hahn and Jona Christians, as long as the relevant founder holds at least 5% of our voting rights, each can make a binding nomination for the appointment of one supervisory board member, which can only be overruled by a two-thirds majority of votes cast representing more than 50% of our issued share capital;</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provision that our management board members and the supervisory board members, not appointed on the basis of a binding nomination by one of our founders as described above, are appointed on the basis of a binding nomination prepared by our supervisory board which can only be overruled by a two-thirds majority of votes cast representing more than half of our issued share capital;</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requirement that certain matters, including an amendment of our articles of association, may only be brought to our general meeting for a vote upon a proposal by our management board with the approval of our supervisory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Furthermore, in accordance with the Dutch Corporate Governance Code (the “DCGC”), shareholders who have the right to put an item on the agenda for our general meeting or to request the convening of a general meeting shall not exercise such rights until after they have consulted our management board. If exercising such rights may result in a change in our strategy (for example, through the dismissal of one or more of our management board members or supervisory board members), our management board must be given the opportunity to invoke a reasonable period of up to 180 days to respond to the shareholders’ intentions. If invoked, our management board must use such response period for further deliberation and constructive consultation, in any event with the shareholder(s) concerned and exploring alternatives. At the end of the response time, our management board, supervised by our supervisory board, shall report on this consultation and the exploration of alternatives to our general meeting. The response period may be invoked only once for any given general meeting and shall not apply (i) in respect of a matter for which a response period or a statutory cooling-off period (as discussed below) has been previously invoked or (ii) if a shareholder holds at least 75% of our issued share capital as a consequence of a successful public bid.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(the “Enterprise Chamber”) (</w:t>
      </w:r>
      <w:r>
        <w:rPr>
          <w:rFonts w:ascii="Times New Roman" w:hAnsi="Times New Roman"/>
          <w:i/>
          <w:caps w:val="false"/>
          <w:smallCaps w:val="false"/>
          <w:sz w:val="20"/>
        </w:rPr>
        <w:t>Ondernemingskamer</w:t>
      </w:r>
      <w:r>
        <w:rPr>
          <w:rFonts w:ascii="Times New Roman" w:hAnsi="Times New Roman"/>
          <w:caps w:val="false"/>
          <w:smallCaps w:val="false"/>
          <w:sz w:val="20"/>
        </w:rPr>
        <w:t>), for early termination of the cooling-off period. The Enterprise Chamber must rule in favor of the request if the shareholders can demonstrate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management board, in light of the circumstances at hand when the cooling-off period was invoked, could not reasonably have concluded that the relevant proposal or hostile offer constituted a material conflict with the interests of our Company and its business;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management board cannot reasonably believe that a continuation of the cooling-off period would contribute to careful policy-making; or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are not obligated to, and do not, comply with all best practice provisions of the Dutch Corporate Governance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are subject to the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See “</w:t>
      </w:r>
      <w:r>
        <w:rPr>
          <w:rFonts w:ascii="Times New Roman" w:hAnsi="Times New Roman"/>
          <w:i/>
          <w:caps w:val="false"/>
          <w:smallCaps w:val="false"/>
          <w:sz w:val="20"/>
        </w:rPr>
        <w:t>Item 16G.</w:t>
      </w:r>
      <w:r>
        <w:rPr>
          <w:rFonts w:ascii="Times New Roman" w:hAnsi="Times New Roman"/>
          <w:caps w:val="false"/>
          <w:smallCaps w:val="false"/>
          <w:sz w:val="20"/>
        </w:rPr>
        <w:t xml:space="preserve"> </w:t>
      </w:r>
      <w:r>
        <w:rPr>
          <w:rFonts w:ascii="Times New Roman" w:hAnsi="Times New Roman"/>
          <w:i/>
          <w:caps w:val="false"/>
          <w:smallCaps w:val="false"/>
          <w:sz w:val="20"/>
        </w:rPr>
        <w:t>Corporate Governance</w:t>
      </w:r>
      <w:r>
        <w:rPr>
          <w:rFonts w:ascii="Times New Roman" w:hAnsi="Times New Roman"/>
          <w:caps w:val="false"/>
          <w:smallCaps w:val="false"/>
          <w:sz w:val="20"/>
        </w:rPr>
        <w:t>”. This may affect your rights as a shareholder and you may not have the same level of protection as a shareholder in a Dutch company that fully complies with the DCGC.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are eligible to be treated as an emerging growth company, as defined in the Securities Act, and we cannot be certain whether the reduced disclosure requirements applicable to emerging growth companies will make our ordinary shares less attractive to investors, given that we may rely on these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are eligible to be treated as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not being required to comply with the independent auditor attestation requirements of Section 404(b) of the Sarbanes-Oxley Act in our annual reports filed on Form 20-F. As a result, our shareholders may not have access to certain information that they may deem important. We could be an emerging growth company for up to five years from the date of our IPO, although circumstances could cause us to lose that status earlier, including if our total annual gross revenue exceeds $1.235 billion, if we issue more than $1.00 billion in non-convertible debt securities during any three-year period, or if we are a large accelerated filer and the market value of our ordinary shares held by non-affiliates exceeds $700 million as of the end of any second quarter before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As a foreign private issuer, we are not subject to U.S. proxy rules and are only subject to Exchange Act reporting obligations that, to some extent, are more lenient and less frequent than those of a U.S. domestic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report under the Exchange Act as a non-U.S. company with foreign private issuer status. Because we qualify as a foreign private issuer under the Exchange Act and although we are subject to Dutch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our ordinary shares may not have the same protections afforded to shareholders of a company that is not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may lose our foreign private issuer status in the future, which could result in significant additional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future, we would lose our foreign private issuer status if, among others, (1) more than 50% of our outstanding voting securities, which we intend to determine based on the voting power of our ordinary shares and high voting shares on a combined basis are directly or indirectly held of record by U.S. residents and (2) a majority of our directors or executive officers are U.S. citizens or residents, more than 50% of our assets are located in the United States or our business is administered principally in the United States. If we lose our foreign private issuer status, we will be required to file with the SEC periodic reports and registration statements on U.S. domestic issuer forms including consolidated financial statements prepared under U.S. GAAP, and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Although we received a decision from the Panel advising us that the Panel has determined to delist our ordinary shares from Nasdaq, as of the date of this Annual Report our securities are still listed on Nasdaq. If we lose our foreign private issuer status,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Additionally, a loss of our foreign private issuer status would divert our management’s attention from other business concerns, which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As a foreign private issuer and as currently permitted by the listing requirements of Nasdaq, we follow certain home country governance practices rather than the corporate governance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are a foreign private issuer. As a result, in accordance with the listing requirements of Nasdaq we rely on home country governance requirements and certain exemptions thereunder rather than relying on the corporate governance requirements of Nasdaq. In accordance with Dutch law and generally accepted business practices, our articles of association currently do not provide quorum requirements generally applicable to general meetings. To this extent, our practice varies from the requirement of Nasdaq Listing Rule 5620(c), which requires an issuer to provide in its bylaws for a generally applicable quorum, and that such quorum may not be less than one-third of the outstanding voting shares. Although we must provide shareholders with an agenda and other relevant documents for the general meeting, Dutch law does not have a regulatory regime for the solicitation of proxies and the solicitation of proxies is not a generally accepted business practice in the Netherlands, thus our practice varies and will vary from the requirement of Nasdaq Listing Rule 5620(b). As permitted by the listing requirements of Nasdaq, we have also opted out of the requirements of Nasdaq Listing Rule 5605(d), which requires, among other things, an issuer to have a compensation committee that consists entirely of independent directors, Nasdaq Listing Rule 5605(e), which requires independent director oversight of director nominations, and Nasdaq Listing Rule 5605(b)(1), which requires an issuer to have a majority of independent directors on its board.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our Company and certain private placements. To this extent, our practice varies from the requirements of Nasdaq Rule 5635, which generally requires an issuer to obtain shareholder approval for the issuance of securities in connection with such events. For an overview of our corporate governance principles, see “</w:t>
      </w:r>
      <w:r>
        <w:rPr>
          <w:rFonts w:ascii="Times New Roman" w:hAnsi="Times New Roman"/>
          <w:i/>
          <w:caps w:val="false"/>
          <w:smallCaps w:val="false"/>
          <w:sz w:val="20"/>
        </w:rPr>
        <w:t>Item 16G.</w:t>
      </w:r>
      <w:r>
        <w:rPr>
          <w:rFonts w:ascii="Times New Roman" w:hAnsi="Times New Roman"/>
          <w:caps w:val="false"/>
          <w:smallCaps w:val="false"/>
          <w:sz w:val="20"/>
        </w:rPr>
        <w:t xml:space="preserve"> </w:t>
      </w:r>
      <w:r>
        <w:rPr>
          <w:rFonts w:ascii="Times New Roman" w:hAnsi="Times New Roman"/>
          <w:i/>
          <w:caps w:val="false"/>
          <w:smallCaps w:val="false"/>
          <w:sz w:val="20"/>
        </w:rPr>
        <w:t>Corporate Governance</w:t>
      </w:r>
      <w:r>
        <w:rPr>
          <w:rFonts w:ascii="Times New Roman" w:hAnsi="Times New Roman"/>
          <w:caps w:val="false"/>
          <w:smallCaps w:val="false"/>
          <w:sz w:val="20"/>
        </w:rPr>
        <w:t>”. Accordingly, you may not have the same protections afforded to shareholders of companies that are subject to these stock exchange requirements.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December 11, 2023, we received a decision from the Panel advising us that the Panel has determined to delist our ordinary shares from Nasdaq. Although the delisting process has not been completed as of the date of this Annual Report, Nasdaq informed us that Nasdaq will complete the delisting by filing a Form 25 Notification of Delisting with the SEC following the lapse of applicable appeal periods. We do not intend to appeal the Panel’s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We do not anticipate paying any cash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currently intend to retain our future earnings, if any, for the foreseeable future, to fund the development and growth of our business. We do not intend to pay any dividends to holders of our ordinary shares. As a result, capital appreciation in the price of our ordinary shares, if any, will be your only source of gain on an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ability to use our net operating loss carryforwards and other tax attributes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ability to utilize our net operating loss carryforwards is currently limited, and may be limited further, under Section 8c of the German Corporation Income Tax Act (</w:t>
      </w:r>
      <w:r>
        <w:rPr>
          <w:rFonts w:ascii="Times New Roman" w:hAnsi="Times New Roman"/>
          <w:i/>
          <w:caps w:val="false"/>
          <w:smallCaps w:val="false"/>
          <w:sz w:val="20"/>
        </w:rPr>
        <w:t>K</w:t>
      </w:r>
      <w:r>
        <w:rPr>
          <w:rFonts w:ascii="Times New Roman" w:hAnsi="Times New Roman"/>
          <w:caps w:val="false"/>
          <w:smallCaps w:val="false"/>
          <w:sz w:val="20"/>
        </w:rPr>
        <w:t>ö</w:t>
      </w:r>
      <w:r>
        <w:rPr>
          <w:rFonts w:ascii="Times New Roman" w:hAnsi="Times New Roman"/>
          <w:i/>
          <w:caps w:val="false"/>
          <w:smallCaps w:val="false"/>
          <w:sz w:val="20"/>
        </w:rPr>
        <w:t>rperschaftsteuergesetz</w:t>
      </w:r>
      <w:r>
        <w:rPr>
          <w:rFonts w:ascii="Times New Roman" w:hAnsi="Times New Roman"/>
          <w:caps w:val="false"/>
          <w:smallCaps w:val="false"/>
          <w:sz w:val="20"/>
        </w:rPr>
        <w:t>) (“KStG”) and Section 10a of the German Trade Tax Act (</w:t>
      </w:r>
      <w:r>
        <w:rPr>
          <w:rFonts w:ascii="Times New Roman" w:hAnsi="Times New Roman"/>
          <w:i/>
          <w:caps w:val="false"/>
          <w:smallCaps w:val="false"/>
          <w:sz w:val="20"/>
        </w:rPr>
        <w:t>Gewerbesteuergesetz</w:t>
      </w:r>
      <w:r>
        <w:rPr>
          <w:rFonts w:ascii="Times New Roman" w:hAnsi="Times New Roman"/>
          <w:caps w:val="false"/>
          <w:smallCaps w:val="false"/>
          <w:sz w:val="20"/>
        </w:rPr>
        <w:t>) (“GewStG”). These limitations apply if a qualified ownership change, as defined by Section 8c KStG, occurs and no exemption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Generally, a qualified ownership change occurs if more than 50% of the share capital or the voting rights are directly or indirectly transferred to a shareholder or a group of shareholders within a period of five years. A qualified ownership change may also occur in case of a transaction comparable to a transfer of shares or voting rights or in case of an increase in capital leading to a respective change in the shareholding.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case of such a qualified ownership change tax loss carryforwards expire in full. To the extent that the tax loss carryforwards do not exceed the built-in gains (</w:t>
      </w:r>
      <w:r>
        <w:rPr>
          <w:rFonts w:ascii="Times New Roman" w:hAnsi="Times New Roman"/>
          <w:i/>
          <w:caps w:val="false"/>
          <w:smallCaps w:val="false"/>
          <w:sz w:val="20"/>
        </w:rPr>
        <w:t>stille Reserven</w:t>
      </w:r>
      <w:r>
        <w:rPr>
          <w:rFonts w:ascii="Times New Roman" w:hAnsi="Times New Roman"/>
          <w:caps w:val="false"/>
          <w:smallCaps w:val="false"/>
          <w:sz w:val="20"/>
        </w:rPr>
        <w:t>) in the assets and liabilities taxable in Germany, they may be further utilized despite a qualified ownership change. In case of a qualified ownership change within a group, tax loss carryforwards will be preserved if certain conditions are satisfied. In case of a qualified ownership change, tax loss carryforwards will be preserved (in the form of a “</w:t>
      </w:r>
      <w:r>
        <w:rPr>
          <w:rFonts w:ascii="Times New Roman" w:hAnsi="Times New Roman"/>
          <w:i/>
          <w:caps w:val="false"/>
          <w:smallCaps w:val="false"/>
          <w:sz w:val="20"/>
        </w:rPr>
        <w:t>fortf</w:t>
      </w:r>
      <w:r>
        <w:rPr>
          <w:rFonts w:ascii="Times New Roman" w:hAnsi="Times New Roman"/>
          <w:caps w:val="false"/>
          <w:smallCaps w:val="false"/>
          <w:sz w:val="20"/>
        </w:rPr>
        <w:t>ü</w:t>
      </w:r>
      <w:r>
        <w:rPr>
          <w:rFonts w:ascii="Times New Roman" w:hAnsi="Times New Roman"/>
          <w:i/>
          <w:caps w:val="false"/>
          <w:smallCaps w:val="false"/>
          <w:sz w:val="20"/>
        </w:rPr>
        <w:t>hrungsgebundener Verlustvortrag</w:t>
      </w:r>
      <w:r>
        <w:rPr>
          <w:rFonts w:ascii="Times New Roman" w:hAnsi="Times New Roman"/>
          <w:caps w:val="false"/>
          <w:smallCaps w:val="false"/>
          <w:sz w:val="20"/>
        </w:rPr>
        <w:t>”) if the business operations have not been changed and will not be changed within the meaning of Section 8d KStG.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According to an appeal filed by the fiscal court of Hamburg dated August 29, 2017, Section 8c, paragraph 1, sentence 1 KStG is not in line with the German constitution. The appeal is still pending. It is unclear when the Federal Constitutional Court will decide this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of December 31, 2022, there were net operating loss carryforwards of the Subsidiary for German corporate tax purposes of € 252.1 million and for German trade tax purposes of € 251.3 million available. The contribution of 100% of the Subsidiary’s shares into Sono Group B.V. was qualified as an ownership change within the meaning of Section 8c KStG and Section 10a GewStG. Furthermore, the termination of the Sion passenger car program in February 2023 was considered a harmful event within the meaning of Section 8d para. 2 KStG. As a result, the available tax loss carryforwards of the Subsidiary would generally expire in full. However, the net operating loss carryforwards would not be forfeited to the extent that the Subsidiary has built-in gains in its assets that are fully taxable in Germany. The built-in gains are determined by comparing the Fair Market Value of the respective entity with the entity’s tax book equity. The built-in gains as of December 31, 2022 have not yet been determined. Therefore it is currently unclear whether all tax losses can still be carried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Future changes in share ownership may also trigger an ownership change and, consequently, a Section 8c KStG or a Section 10a GewStG limitation. Any limitation may result in the expiration of a portion or the complete tax operating loss carryforwards before they can be utilized. As a result, if we earn net taxable income, our ability to use our pre-change net operating loss carryforwards to reduce German income tax may be subject to limitations, which could potentially result in increased future cash tax liability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4055" w:type="dxa"/>
        <w:jc w:val="left"/>
        <w:tblInd w:w="0" w:type="dxa"/>
        <w:tblLayout w:type="fixed"/>
        <w:tblCellMar>
          <w:top w:w="0" w:type="dxa"/>
          <w:left w:w="0" w:type="dxa"/>
          <w:bottom w:w="0" w:type="dxa"/>
          <w:right w:w="0" w:type="dxa"/>
        </w:tblCellMar>
      </w:tblPr>
      <w:tblGrid>
        <w:gridCol w:w="760"/>
        <w:gridCol w:w="3295"/>
      </w:tblGrid>
      <w:tr>
        <w:trPr/>
        <w:tc>
          <w:tcPr>
            <w:tcW w:w="760"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bookmarkStart w:id="17" w:name="P1I4"/>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p>
        </w:tc>
        <w:tc>
          <w:tcPr>
            <w:tcW w:w="329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INFORMATION ON THE COMPANY</w:t>
            </w:r>
          </w:p>
        </w:tc>
      </w:tr>
    </w:tbl>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265"/>
        <w:gridCol w:w="1615"/>
      </w:tblGrid>
      <w:tr>
        <w:trPr/>
        <w:tc>
          <w:tcPr>
            <w:tcW w:w="2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18" w:name="P1I4A"/>
            <w:bookmarkEnd w:id="18"/>
            <w:r>
              <w:rPr>
                <w:rFonts w:ascii="Times New Roman" w:hAnsi="Times New Roman"/>
                <w:b/>
                <w:caps w:val="false"/>
                <w:smallCaps w:val="false"/>
                <w:sz w:val="20"/>
              </w:rPr>
              <w:t xml:space="preserve">A. </w:t>
            </w:r>
          </w:p>
        </w:tc>
        <w:tc>
          <w:tcPr>
            <w:tcW w:w="161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Corporate History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have historically conducted our business through the Subsidiary, which became a wholly-owned subsidiary of the Company after a corporate reorganization described as follows: We were incorporated pursuant to the laws of the Netherlands as Sono Motors Finance B.V. on October 23, 2020 as a wholly-owned subsidiary of the Subsidiary. As part of the corporate reorganization that was completed on November 27, 2020, our then-existing shareholders contributed all of their shares in the Subsidiary to Sono Motors Finance B.V. in exchange for newly issued ordinary shares of Sono Motors Finance B.V. In addition, the sole issued and outstanding common share in Sono Motors Finance B.V. at that time, which was held by the Subsidiary, was canceled (</w:t>
      </w:r>
      <w:r>
        <w:rPr>
          <w:rFonts w:ascii="Times New Roman" w:hAnsi="Times New Roman"/>
          <w:i/>
          <w:caps w:val="false"/>
          <w:smallCaps w:val="false"/>
          <w:sz w:val="20"/>
        </w:rPr>
        <w:t>ingetrokken</w:t>
      </w:r>
      <w:r>
        <w:rPr>
          <w:rFonts w:ascii="Times New Roman" w:hAnsi="Times New Roman"/>
          <w:caps w:val="false"/>
          <w:smallCaps w:val="false"/>
          <w:sz w:val="20"/>
        </w:rPr>
        <w:t>). As a result, the Subsidiary became a wholly-owned subsidiary of Sono Motors Finance B.V. and the then-existing shareholders of the Subsidiary became the shareholders of Sono Motors Finance B.V. Also on November 27, 2020, Sono Motors Finance B.V. was converted into a public company with limited liability under Dutch law (</w:t>
      </w:r>
      <w:r>
        <w:rPr>
          <w:rFonts w:ascii="Times New Roman" w:hAnsi="Times New Roman"/>
          <w:i/>
          <w:caps w:val="false"/>
          <w:smallCaps w:val="false"/>
          <w:sz w:val="20"/>
        </w:rPr>
        <w:t>naamloze vennootschap</w:t>
      </w:r>
      <w:r>
        <w:rPr>
          <w:rFonts w:ascii="Times New Roman" w:hAnsi="Times New Roman"/>
          <w:caps w:val="false"/>
          <w:smallCaps w:val="false"/>
          <w:sz w:val="20"/>
        </w:rPr>
        <w:t>), and changed its legal name from Sono Motors Finance B.V. to Sono Group N.V.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November 17, 2021, our ordinary shares commenced trading on the Nasdaq Global Market under the symbol “SEV.” We received approximately US$156.1 million in net proceeds from our IPO, after deducting underwriting commissions and discounts and the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Company is incorporated in the Netherlands, and a majority of its outstanding securities is owned by non-U.S. residents. Under the rules of the SEC, the Company is currently eligible for treatment as a “foreign private issuer.” As a foreign private issuer, we are not required to file periodic reports and consolidated financial statements with the SEC as frequently or as promptly as domestic registrants whose securities are registered under the Securities Exchange Act of 1934, as amended,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business address is Waldmeisterstraße 76, 80935 Munich, Germany. The SEC maintains an internet site that contains reports, proxy and information statements, and other information regarding issuers, such as us, that file electronically with the SEC at www.sec.gov. Our website address is https://ir.sonomotors.com/. The information contained on, or that can be accessed through, our website is not incorporated by reference into this Annual Report, and you should not consider any information contained on, or that can be accessed through, our website as part of this Annual Report or in deciding whether to purchase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May 15, 2023, based on management’s conclusion that the Company is over-indebted and faces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the Company applied to the Court to permit the opening of self-administration proceedings (</w:t>
      </w:r>
      <w:r>
        <w:rPr>
          <w:rFonts w:ascii="Times New Roman" w:hAnsi="Times New Roman"/>
          <w:i/>
          <w:caps w:val="false"/>
          <w:smallCaps w:val="false"/>
          <w:sz w:val="20"/>
        </w:rPr>
        <w:t>Eigenverwaltung</w:t>
      </w:r>
      <w:r>
        <w:rPr>
          <w:rFonts w:ascii="Times New Roman" w:hAnsi="Times New Roman"/>
          <w:caps w:val="false"/>
          <w:smallCaps w:val="false"/>
          <w:sz w:val="20"/>
        </w:rPr>
        <w:t>) with respect to the Company pursuant to Section 270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and for the same reason, the Subsidiary applied to the Court to permit the opening of self-administration proceedings in the form of a protective shield proceeding (</w:t>
      </w:r>
      <w:r>
        <w:rPr>
          <w:rFonts w:ascii="Times New Roman" w:hAnsi="Times New Roman"/>
          <w:i/>
          <w:caps w:val="false"/>
          <w:smallCaps w:val="false"/>
          <w:sz w:val="20"/>
        </w:rPr>
        <w:t>Schutzschirmverfahren</w:t>
      </w:r>
      <w:r>
        <w:rPr>
          <w:rFonts w:ascii="Times New Roman" w:hAnsi="Times New Roman"/>
          <w:caps w:val="false"/>
          <w:smallCaps w:val="false"/>
          <w:sz w:val="20"/>
        </w:rPr>
        <w:t>) with respect to the Subsidiary pursuant Section 270 (d) of the German Insolvency Code. The applications, in each case, were made with the goal of sustainably restructuring the business of both Companies. On May 17, 2023 and May 19, 2023, the Court admitted the opening of the Preliminary Self-Administration Proceedings with respect to the Company and the Subsidiary, respectively. On September 1, the Court opened the Subsidiary Self-Administration Proceedings with respect to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business operations of the Company are being continued on a provisional basis under the supervision of its preliminary custodian in the context of its Preliminary Self-Administration Proceedings, and the business operations of the Subsidiary are being continued on a provisional basis under the supervision of its custodian in the context of the Subsidiary Self-Administration Proceedings. Furthermore, the M&amp;A Process was initiated to find one or more potential investors to fund and/or acquire all or parts of the Subsidiary’s business and/or the Company’s business in one or more potential M&amp;A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Parallel to the M&amp;A Process, the Company began discussions with Yorkville, the Company’s main creditor apart from the Subsidiary, regarding a new investment. In connection with those discussions, the Company and Yorkville entered into the Yorkville Agreements, pursuant to which Yorkville has committed to provide financing to the Company subject to the satisfaction of certain conditions precedent. The aim of the Yorkville Agreements and the Transactions is the planned restructuring of the Company and the Subsidiary, which is intended to enable the Company to withdraw its application for its Preliminary Self-Administration Proceedings and to enable the Subsidiary to exit the Subsidiary Self-Administration Proceedings via an insolvency plan, which was filed with the Court on December 7, 2023 for approval by the Subsidiary’s creditors and subsequent confirmation by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Closing is currently expected in late January 2024 and is subject to the satisfaction of certain conditions precedent, including the Company’s filing of this Annual Report on Form 20-F for the year ended December 31, 2022, the Company’s submission of the Interim Report to the SEC, the Subsidiary’s insolvency plan becoming legally binding, and the withdrawal of the Company’s application for its Preliminary Self-Administration Proceedings. On December 22, 2023, Yorkville waived the Company's submission of the Interim Report as a condition precedent to the Closing. Apart from the Subsidiary, Yorkville is the Company’s main creditor under the Existing Convertible Debentures, see “</w:t>
      </w:r>
      <w:r>
        <w:rPr>
          <w:rFonts w:ascii="Times New Roman" w:hAnsi="Times New Roman"/>
          <w:i/>
          <w:caps w:val="false"/>
          <w:smallCaps w:val="false"/>
          <w:sz w:val="20"/>
        </w:rPr>
        <w:t>Item 10. Additional Information</w:t>
      </w:r>
      <w:r>
        <w:rPr>
          <w:rFonts w:ascii="Times New Roman" w:hAnsi="Times New Roman"/>
          <w:caps w:val="false"/>
          <w:smallCaps w:val="false"/>
          <w:sz w:val="20"/>
        </w:rPr>
        <w:t>—</w:t>
      </w:r>
      <w:r>
        <w:rPr>
          <w:rFonts w:ascii="Times New Roman" w:hAnsi="Times New Roman"/>
          <w:i/>
          <w:caps w:val="false"/>
          <w:smallCaps w:val="false"/>
          <w:sz w:val="20"/>
        </w:rPr>
        <w:t>C. Material Contracts</w:t>
      </w:r>
      <w:r>
        <w:rPr>
          <w:rFonts w:ascii="Times New Roman" w:hAnsi="Times New Roman"/>
          <w:caps w:val="false"/>
          <w:smallCaps w:val="false"/>
          <w:sz w:val="20"/>
        </w:rPr>
        <w:t>—</w:t>
      </w:r>
      <w:r>
        <w:rPr>
          <w:rFonts w:ascii="Times New Roman" w:hAnsi="Times New Roman"/>
          <w:i/>
          <w:caps w:val="false"/>
          <w:smallCaps w:val="false"/>
          <w:sz w:val="20"/>
        </w:rPr>
        <w:t>Convertible Debentures</w:t>
      </w:r>
      <w:r>
        <w:rPr>
          <w:rFonts w:ascii="Times New Roman" w:hAnsi="Times New Roman"/>
          <w:caps w:val="false"/>
          <w:smallCaps w:val="false"/>
          <w:sz w:val="20"/>
        </w:rPr>
        <w:t>”. For more information on the Transactions and the Yorkville Investment,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The Planned Yorkville Investment</w:t>
      </w:r>
      <w:r>
        <w:rPr>
          <w:rFonts w:ascii="Times New Roman" w:hAnsi="Times New Roman"/>
          <w:caps w:val="false"/>
          <w:smallCaps w:val="false"/>
          <w:sz w:val="20"/>
        </w:rPr>
        <w:t>”. The plan under the German Insolvency Code sets out how the Subsidiary intends to restructure its debt and procure the inflow of new money, including in connection with the Yorkville Investment, and subsequently exit the Subsidiary Self-Administration Proceedings. Approval by the creditors and confirmation by the Court was obtained in the creditors meeting on December 21, 2023. The 14-day appeal period started on December 21, 2023. Only one creditor with a claim of €500 declared an appeal during the creditors meeting. No successful appeal actions in regard to the Court’s confirmation are expected by the management.</w:t>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Companies expect the Yorkville Investment to position them to obtain sufficient funding for their business operations, with an initial focus on the Solar Bus Kit, through the end of 2024. Under the terms of the Yorkville Agreements, the financing will be provided by Yorkville at the Closing by way of one or more new interest-bearing convertible debenture(s) that will be convertible into ordinary shares of the Company and will mature on July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Company believes that, subject to the satisfactions of the conditions precedent under the Yorkville Agreements (other than the withdrawal of the Company’s Preliminary Self-Administration Proceedings), a successful conclusion and implementation of the Yorkville Investment would (i) enable it to withdraw its application for Self-Administration Proceedings at the Court and (ii) enable the Subsidiary to exit the Subsidiary Self-Administration Proceedings via its plan under the German Insolvency Code, which was approved by its creditors and confirmed by the Court on December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Companies’ successful emergence from their respective Self-Administration Proceedings remains subject to a number of contingencies and risks, including, among others, (i) whether the Companies are able to successfully fulfill the conditions precedent to the Closing so as to gain access to the funding offered by Yorkville under the Yorkville Investment (ii) whether the Court’s confirmation of the plan under the German Insolvency Code remains unaffected by any appeals or other challenges that may be raised during the 14-day appeals period that began on December 21, 2023, and (iii) if the Court’s confirmation of the Subsidiary's plan under the German Insolvency Code remains unaffected, whether the plan can be successfully implemented. For more information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 and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July 12, 2023 and August 28, 2023, we received notices from Nasdaq stating that the Staff had determined that our securities will be delisted from Nasdaq in accordance with Nasdaq’s Listing Rules and notifying us of the suspension in trading of our ordinary shares as of the opening of business on July 21, 2023. Following the Company's appeal of the Nasdaq staff’s determination to the Panel, on October 13, 2023, the Panel granted our request for the continued listing of our ordinary shares on Nasdaq, subject to our regaining compliance with the periodic filing requirement on or before November 30, 2023 and providing an update to the Panel including detailed financial projections and the progress of our withdrawal from the Self-Administration Proceedings on or before November 30, 2023. On December 11, 2023, we received a decision of the Panel advising us that the Panel has determined to delist our ordinary shares from Nasdaq. Although the delisting process has not been completed as of the date of this Annual Report, Nasdaq informed us that Nasdaq will complete the delisting by filing a Form 25 Notification of Delisting with the SEC following the lapse of applicable appeal periods. We do not intend to appeal the Panel’s decision.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Our Company</w:t>
      </w:r>
      <w:r>
        <w:rPr>
          <w:rFonts w:ascii="Times New Roman" w:hAnsi="Times New Roman"/>
          <w:caps w:val="false"/>
          <w:smallCaps w:val="false"/>
          <w:sz w:val="20"/>
        </w:rPr>
        <w:t>’</w:t>
      </w:r>
      <w:r>
        <w:rPr>
          <w:rFonts w:ascii="Times New Roman" w:hAnsi="Times New Roman"/>
          <w:i/>
          <w:caps w:val="false"/>
          <w:smallCaps w:val="false"/>
          <w:sz w:val="20"/>
        </w:rPr>
        <w:t>s Status</w:t>
      </w:r>
      <w:r>
        <w:rPr>
          <w:rFonts w:ascii="Times New Roman" w:hAnsi="Times New Roman"/>
          <w:caps w:val="false"/>
          <w:smallCaps w:val="false"/>
          <w:sz w:val="20"/>
        </w:rPr>
        <w:t>—</w:t>
      </w:r>
      <w:r>
        <w:rPr>
          <w:rFonts w:ascii="Times New Roman" w:hAnsi="Times New Roman"/>
          <w:i/>
          <w:caps w:val="false"/>
          <w:smallCaps w:val="false"/>
          <w:sz w:val="20"/>
        </w:rPr>
        <w:t>Following the anticipated delisting of our shares from Nasdaq, as determined by the Panel in its delist decision from December 11, 2023, we may not be able to meet the initial listing requirements for admission of our shares to trading on a stock exchange in the future and pay for the costs associated with an initial listing and therefore may not be able to have our shares admitted to trading on a stock exchange in the future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265"/>
        <w:gridCol w:w="1630"/>
      </w:tblGrid>
      <w:tr>
        <w:trPr/>
        <w:tc>
          <w:tcPr>
            <w:tcW w:w="2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19" w:name="P1I4B"/>
            <w:bookmarkEnd w:id="19"/>
            <w:r>
              <w:rPr>
                <w:rFonts w:ascii="Times New Roman" w:hAnsi="Times New Roman"/>
                <w:b/>
                <w:caps w:val="false"/>
                <w:smallCaps w:val="false"/>
                <w:sz w:val="20"/>
              </w:rPr>
              <w:t xml:space="preserve">B. </w:t>
            </w:r>
          </w:p>
        </w:tc>
        <w:tc>
          <w:tcPr>
            <w:tcW w:w="163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Business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description of our business is subject to, and qualified in its entirety by, future developments related to the Self-Administration Proceedings of the Company and the Subsidiary, which are described in “I</w:t>
      </w:r>
      <w:r>
        <w:rPr>
          <w:rFonts w:ascii="Times New Roman" w:hAnsi="Times New Roman"/>
          <w:i/>
          <w:caps w:val="false"/>
          <w:smallCaps w:val="false"/>
          <w:sz w:val="20"/>
        </w:rPr>
        <w:t>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 The Companies’ successful emergence from their respective Self-Administration Proceedings remains subject to a number of contingencies and risks, which are described in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believe we are a pioneer in the field of solar-powered mobility applications. We envision a world that no longer relies on the burning of fossil fuels. After terminating our Sion passenger car program due to a lack of available funding at the end of February 2023, we pivoted our business model to focusing exclusively on retrofitting and integrating our proprietary solar technology onto third party vehicles, with an initial focus in the short- to medium-term on our Solar Bus Kit. We believe that our solar technology is suitable for different uses, such as buses, trucks and trailers, and has the potential to accelerate the transition towards sustainable transportation. We have started to market, and are already generating limited revenues from, our proprietary solar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Following the decision to change the Subsidiary’s business model, we continued to face challenges to obtain financing and, after other financing options failed to materialize, our management ultimately concluded that the Subsidiary was over-indebted and faced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with the Company, in turn, becoming over-indebted and also facing impending illiquidity. On May 15, 2023, based on management’s conclusion, the Company applied to the Court, to permit the opening of self-administration proceedings (</w:t>
      </w:r>
      <w:r>
        <w:rPr>
          <w:rFonts w:ascii="Times New Roman" w:hAnsi="Times New Roman"/>
          <w:i/>
          <w:caps w:val="false"/>
          <w:smallCaps w:val="false"/>
          <w:sz w:val="20"/>
        </w:rPr>
        <w:t>Eigenverwaltung</w:t>
      </w:r>
      <w:r>
        <w:rPr>
          <w:rFonts w:ascii="Times New Roman" w:hAnsi="Times New Roman"/>
          <w:caps w:val="false"/>
          <w:smallCaps w:val="false"/>
          <w:sz w:val="20"/>
        </w:rPr>
        <w:t>) with respect to the Company pursuant to Section 270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and for the same reason, the Subsidiary applied to the Court to permit the opening of self-administration proceedings in the form of a protective shield proceeding (</w:t>
      </w:r>
      <w:r>
        <w:rPr>
          <w:rFonts w:ascii="Times New Roman" w:hAnsi="Times New Roman"/>
          <w:i/>
          <w:caps w:val="false"/>
          <w:smallCaps w:val="false"/>
          <w:sz w:val="20"/>
        </w:rPr>
        <w:t>Schutzschirmverfahren</w:t>
      </w:r>
      <w:r>
        <w:rPr>
          <w:rFonts w:ascii="Times New Roman" w:hAnsi="Times New Roman"/>
          <w:caps w:val="false"/>
          <w:smallCaps w:val="false"/>
          <w:sz w:val="20"/>
        </w:rPr>
        <w:t>) pursuant Section 270 (d) of the German Insolvency Code. The applications, in each case, were made with the goal of sustainably restructuring the business of both Companies. On May 17, 2023 and May 19, 2023, the Court admitted the opening of the Preliminary Self-Administration Proceedings with respect to the Company and the Subsidiary, respectively. On September 1, the Court opened the Subsidiary Self-Administration Proceedings. For more information on the Self-Administration Proceedings, see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business operations of the Company are being continued on a provisional basis under the supervision of its preliminary custodian in the context of its Preliminary Self-Administration Proceedings, and the business operations of the Subsidiary are being continued on a provisional basis under the supervision of its custodian in the context of the Subsidiary Self-Administration Proceedings. Furthermore, the M&amp;A Process was initiated to find one or more potential investors to fund and/or acquire all or parts of the Subsidiary’s business and/or the Company’s business in one or more potential M&amp;A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Parallel to the M&amp;A Process, the Company began discussions with Yorkville, the Company’s main creditor apart from the Subsidiary, regarding a new investment. In connection with those discussions, the Company and Yorkville entered into the Yorkville Agreements, pursuant to which Yorkville has committed to provide financing to the Company subject to the satisfaction of certain conditions precedent. The aim of the Yorkville Agreements and the Transactions is the planned restructuring of the Company and the Subsidiary, which is intended to enable the Company to withdraw its application for its Preliminary Self-Administration Proceedings and to enable the Subsidiary to exit the Subsidiary Self-Administration Proceedings via an insolvency plan, which was filed with the Court on December 7, 2023 for approval by the Subsidiary’s creditors and subsequent confirmation by the Court. The plan sets out how the Subsidiary intends to restructure its debt and procure the inflow of new money, including in connection with the Yorkville Investment, and subsequently exit the Subsidiary Self-Administration Proceedings. Approval by the creditors and confirmation by the Court was obtained in the creditors meeting on December 21, 2023. The 14-day appeal period started on December 21, 2023. Only one creditor with a claim of €500 declared an appeal during the creditors meeting. No successful appeal actions in regard to the Court’s confirmation are expected by the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Companies expect the Yorkville Investment to position them to obtain sufficient funding for their business operations, with an initial focus on the Solar Bus Kit, through the end of 2024. Under the terms of the Yorkville Agreements, the financing will be provided by Yorkville at the Closing by way of one or more new interest-bearing convertible debenture(s) that will be convertible into ordinary shares of the Company and will mature on July 1, 2025. The Closing is currently expected in late January 2024 and is subject to the satisfaction of certain conditions precedent, including the Company’s filing of this Annual Report on Form 20-F for the year ended December 31, 2022, the Company’s submission of the Interim Report to the SEC, the Subsidiary’s insolvency plan becoming legally binding, and the withdrawal of the Company’s application for its Preliminary Self-Administration Proceedings. On December 22, 2023, Yorkville waived the Company's submission of the Interim Report as a condition precedent to the Closing. Apart from the Subsidiary, Yorkville is the Company’s main creditor under the Existing Convertible Debentures, see “</w:t>
      </w:r>
      <w:r>
        <w:rPr>
          <w:rFonts w:ascii="Times New Roman" w:hAnsi="Times New Roman"/>
          <w:i/>
          <w:caps w:val="false"/>
          <w:smallCaps w:val="false"/>
          <w:sz w:val="20"/>
        </w:rPr>
        <w:t>Item 10. Additional Information</w:t>
      </w:r>
      <w:r>
        <w:rPr>
          <w:rFonts w:ascii="Times New Roman" w:hAnsi="Times New Roman"/>
          <w:caps w:val="false"/>
          <w:smallCaps w:val="false"/>
          <w:sz w:val="20"/>
        </w:rPr>
        <w:t>—</w:t>
      </w:r>
      <w:r>
        <w:rPr>
          <w:rFonts w:ascii="Times New Roman" w:hAnsi="Times New Roman"/>
          <w:i/>
          <w:caps w:val="false"/>
          <w:smallCaps w:val="false"/>
          <w:sz w:val="20"/>
        </w:rPr>
        <w:t>C. Material Contracts</w:t>
      </w:r>
      <w:r>
        <w:rPr>
          <w:rFonts w:ascii="Times New Roman" w:hAnsi="Times New Roman"/>
          <w:caps w:val="false"/>
          <w:smallCaps w:val="false"/>
          <w:sz w:val="20"/>
        </w:rPr>
        <w:t>—</w:t>
      </w:r>
      <w:r>
        <w:rPr>
          <w:rFonts w:ascii="Times New Roman" w:hAnsi="Times New Roman"/>
          <w:i/>
          <w:caps w:val="false"/>
          <w:smallCaps w:val="false"/>
          <w:sz w:val="20"/>
        </w:rPr>
        <w:t>Convertible Debentures</w:t>
      </w:r>
      <w:r>
        <w:rPr>
          <w:rFonts w:ascii="Times New Roman" w:hAnsi="Times New Roman"/>
          <w:caps w:val="false"/>
          <w:smallCaps w:val="false"/>
          <w:sz w:val="20"/>
        </w:rPr>
        <w:t>”. For more information on the Transactions and the Yorkville Investment,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The Planned Yorkville Investment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Company believes that, subject to the satisfactions of the conditions precedent under the Yorkville Agreements (other than the withdrawal of the Company’s Preliminary Self-Administration Proceedings), a successful conclusion and implementation of the Yorkville Investment would (i) enable it to withdraw its application for Self-Administration Proceedings at the Court and (ii) enable the Subsidiary to exit the Subsidiary Self-Administration Proceedings via its plan under the German Insolvency Code, which was approved by its creditors and confirmed by the Court on December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Companies’ successful emergence from their respective Self-Administration Proceedings remains subject to a number of contingencies and risks, including, among others, (i) whether the Companies are able to successfully fulfill the conditions precedent to the Closing so as to gain access to the funding offered by Yorkville under the Yorkville Investment (ii) whether the Court’s confirmation of the plan under the German Insolvency Code remains unaffected by any appeals or other challenges that may be raised during the 14-day appeals period that began on December 21, 2023, and (iii) if the Court’s confirmation of the Subsidiary's plan under the German Insolvency Code remains unaffected, whether the plan can be successfully implemented. For more information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 and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and when we are able to successfully emerge from the Self-Administration Proceedings, we intend to continue to pursue our disruptive solar technology, with an initial focus in the short- to medium-term on our Solar Bus Kit. Our solar technology allows for full solar integration in all kinds of vehicles, and we plan to continue pursuing other solar integration projects, with a planned increase in time and energy devoted to such other solar integration projects in the medium- to long-term, depending on the success of future capital raising efforts. In the process of developing the Sion, we soon realized that the solar technology that was available at the time was not well-suited for mobility applications. Traditional solar technology relies on glass to cover the solar cells. Glass is, however, heavy, relatively inflexible, expensive and dangerous in crash situations. Our polymer technology solves these issues. It is lightweight, allows for flexible surface integration via our patented injection molding process, is affordable due to fast and lean production, avoids the risk of bodily harm caused by broken glass and has proven to meet our expectations in crash tests. We have also developed other critical components for the use of solar technology in mobility applications. We have, through our maximum power point tracker central unit, or MCU, solved the issue that solar cells will be mounted on different parts of the exterior, which will lead to uneven exposure to sunlight and in turn to losses in solar energy production. Through rapid adaptation and the multi-channel approach of our MCU, relevant parts of the vehicle can be turned on or off for power production – despite quickly changing shading conditions. This ultimately leads to a high-efficiency system for feeding solar energy into the battery.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technology allows for the seamless integration of solar cells into the full body of a car and the charging of its battery through the power of the sun. However, solar technology has many other potential applications, and its use cases extend far beyond passenger cars, allowing for grid-independent charging and a reduction of running costs or total costs of ownership in a variety of transport-related use cases, such as trucks, buses and recreational vehicles. Fleet operators may use our technology to retrofit existing vehicles, to extend the range of battery electric vehicles, or BEVs, or to comply with emission regulations. The transport and logistics industries in particular are very focused on total cost of ownership. We believe our solar integration can reduce their running costs significantly. Manufacturers may also use our technology for new production vehicles. We have several patents granted or pending that protect our proprietary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have already generated limited revenues from our proprietary solar technology, having shipped prototypes and solar retrofits to customers. We have also been building up a customer base by signing non-binding letters of intent and purchase orders. We expect the Yorkville Investment to position us to obtain sufficient funding for our business operations, with an initial focus on the Solar Bus Kit, through the end of 2024. Our available cash and cash equivalents, together with financing under the Yorkville Investment, will not be sufficient to secure our funding needs until such point in time when we expect the monetization of our solar technology to reach sufficient scale. Our expected future sources of funding are subject to developments with respect to the Self-Administration Proceedings, in particular whether we are able to successfully conclude and implement the planned Yorkville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the year ended December 31, 2022 we had a loss for the period of €183.7 million, compared to a loss for the year ended December 31, 2021 of €63.9 million. We have incurred net losses since our inception in March 2016, resulting in an accumulated deficit of €330.8 million as of December 31, 2022 compared to an accumulated deficit of €147.1 million as of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 xml:space="preserve">The Planned Yorkville Investment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mid-November 2023, the Companies entered into the Yorkville Agreements in connection with the Yorkville Investment. Subject to the satisfaction of certain conditions precedent, Yorkville will provide financing to the Company at the Closing, which the Companies expect to position them to obtain sufficient funding for their business operations, with an initial focus on the Solar Bus Kit, through the end of 2024. The Closing of the Yorkville Investment is currently expected in late January 2024. In addition to the Restructuring Agreement between the Company and Yorkville, there is (i) the Settlement Agreement between the Company and the Subsidiary pursuant to which a settlement amount was agreed for intercompany claims, (ii) the Continuation Agreement between the Company and the Subsidiary relating to the satisfaction of intercompany claims, the further financing of the Subsidiary by the Company and key aspects of the Subsidiary Self-Administration Proceedings and the plan submitted by the Subsidiary to the Court under the German Insolvency Code, (iii) the Funding Commitment Letter between the Company and Yorkville to provide the Company with sufficient financial resources to fund the business operations of the Companies pursuant to a budget agreed with Yorkville (the “Budget”), (iv) the Prolongation Agreement between the Company and Yorkville Advisors to postpone the repayment date of the Existing Convertible Debentures to July 1, 2025, with the possibility of further extensions at Yorkville’s discretion, and (v) the Shareholders Commitment Letter between our Founders, Laurin Hahn and Jona Christians, the Company and the Subsidiary pursuant to which the Companies are entitled to request that each of the Founders enters into a Sale and Transfer Agreement under the terms of which the respective Founder would sell and transfer, if so requested, a portion of their ordinary shares of the Company to a trustee to be appointed for the benefit of the Subsidiary’s creditors and a portion of their ordinary shares of the Company and all of their high voting shares in the Company to the new members of the management board to be appointed for the Company. In addition, the Yorkville Agreements envision the issuance of the Back-to-Back Letter of Comfort from the Company to the Subsidiary, to provide funding for the Subsidiary’s business operations, with an initial focus on the Solar Bus Kit, which the Companies currently expect to be sufficient at least until, and including, December 31, 2024. The funds to be provided under the Back-to-Back Letter of Comfort will be provided by way of one or more intercompany loan(s) that will mature on July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Subject to the satisfaction of the Closing Conditions (as defined below), Yorkville is obligated under the Funding Commitment Letter to secure the financing of the Companies’ expected operational costs through the end of the year 2024 (the “Funding Period”). The financing would be provided by Yorkville by way of one or more new interest-bearing convertible debenture(s) that would mature on July 1, 2025. It is expected that a first funding of €4.0 million (the “First Tranche”) via a new convertible debenture would be paid to the Company on the date of the Closing, with a second funding to be made in accordance with the budget agreed between the Company and Yorkville. Up to a maximum total of €9.0 million minus €2.048 million of cash left-over at the Company as of December 1, 2023 would be callable by the Company and evidenced by new convertible debentures. Cash available at the Company in excess of €2.048 million cash left-over as of December 1, 2023 will be needed and will be used by the Company to satisfy claims of creditors, with the exception of the amounts payable to Yorkville under the Existing Convertible Debentures and expected payments that relate to the preliminary insolvency. The Subsidiary would remain a wholly-owned subsidiary of the Company, and funds would be paid by the Company to the Subsidiary under the terms of the Continuation Agreement and the Back-to-Back Letter of Comfort by way of one or more intercompany loan(s) that will mature on July 1, 2025. In the event of a shortfall during the Funding Period, Yorkville would provide additional funds to the Company, provided that agreements are reached in good faith on an adjusted budget for the Funding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Under the terms of the Settlement Agreement, the Company and the Subsidiary have agreed to a target settlement amount of €4 million to be paid by the Company to the Subsidiary. In turn, the Subsidiary waives all claims that the Subsidiary has or may have against the Company arising from intercompany claims or from either of two hard comfort letters issued by the Company for the benefit of the Subsidiary. The settlement amount to be paid by the Company shall equal the target amount if the Company complies with a budget agreed in consultation with the Subsidiary (the "Waterfall"). The Waterfall includes, in particular, costs planned for the implementation of measures required to bring about the Closing Conditions as well as payments made to satisfy the Company’s creditors, which is necessary to enable the Company to withdraw its application for its Preliminary Self-Administration Proceedings. If the aforementioned budget is exceeded, the settlement amount will be reduced accordingly. Conversely, savings in the budget will lead to an increase in the settlement amount. Payment of the settlement amount and any outstanding payments to the Company’s creditors following satisfaction of the Closing Conditions will be processed by a trustee (the “NV-Trustee”) yet to be appointed. The Subsidiary will bear the costs of the NV-Trustee.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Yorkville Agreements, starting December 1, 2023, the Subsidiary became obligated to finance its business operations in accordance with the agreed Budget. Such financing is being made at the expense of the Subsidiary’s insolvency estate until satisfaction of the Closing Conditions. Following satisfaction of the Closing Conditions, Yorkville will be obligated to pay the First Tranche to the Company at the Closing. The Company, in turn, will be obligated to reimburse the Subsidiary’s insolvency estate for the continuation costs incurred for the period from December 1, 2023 to the date of Closing and to finance the business operations of the Subsidiary until the end of the year 2024, both in accordance with the Budget. Pursuant to the terms of the Back-to-Back Letter of Comfort, the Company would provide funds to the Subsidiary (subject to the availability of such funds at the Company level) of up to €6,141,560 by way of one or more intercompany loan(s) that will mature on July 1, 2025. The first funding under the new hard letter of comfort is currently expected to amount to €3.0 million and would take place immediately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Yorkville Investment, the custodian appointed for the Subsidiary in connection with the Subsidiary Self-Administration Proceedings will have the right to demand that the Founders cumulatively transfer approximately 13 million ordinary shares of the Company to a trustee acting for the benefit of the creditors of the Subsidiary (the “GmbH Trustee”) by December 31, 2024. The GmbH-Trustee shall then be entitled to sell such shares following expiration of a lock-up agreement and subject to certain volume restrictions agreed with Yorkville. The proceeds from such sales will be used to satisfy claims of the Subsidiary’s creditors. Whether and to what extent such sale proceeds can be realized will depend on a number of factors, including, among others, the performance of the Company's share price. At present, it is not possible to reliably forecast whether and to what extent such sale proceeds can be expected. The costs incurred in connection with the share transfer, including a cumulative fixed purchase price of approximately €50,000, and the costs of the GmbH-Trustee will be borne by the Subsidiary’s insolvency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terms of the Yorkville Agreements, cash available to the Subsidiary and the proceeds from any sale of the Subsidiary’s assets that do not belong to the Subsidiary’s third-party vehicle solar integration business, including any proceeds from a future sale of the Sion program, can be used to cover the costs of the Subsidiary Self-Administration Proceedings and to satisfy claims of the Subsidiary’s creditors. This also applies to proceeds from a possible sale of the Sion program under the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Closing of the Yorkville Investment, the execution of the Transactions contemplated in connection therewith, and Yorkville’s obligation to provide funding pursuant to the terms of the Funding Commitment Letter, are all subject to the satisfaction of certain conditions precedent in, as well as our compliance with certain covenants and other obligations set forth in, the Yorkville Agreements, including the terms of the new convertible debenture(s) to be issued to Yorkville in connection with the Yorkville Investment. In addition, Yorkville’s funding commitment is subject to the absence of the following Termination Events:</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170"/>
        <w:gridCol w:w="5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Budget is exceeded as a result of incorrect or misleading work.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Budget is exceeded and Yorkville and the Company cannot agree on an adjustment, or Yorkville requests information regarding the Budget and the Company fails to provide it within ten business days.</w:t>
            </w:r>
          </w:p>
        </w:tc>
      </w:tr>
    </w:tbl>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60"/>
        <w:gridCol w:w="170"/>
        <w:gridCol w:w="55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event of default occurs with regard to the convertible debentures.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Companies fail to materially comply with the Yorkville Agreements and fail to rectify their noncompliance within ten business days following a request from Yorkville to such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than with regard to the Self-Administration Proceedings, the Companies are unable or admit inability to pay their debts as they fall due, suspend making payments on any of their debts, or, by reason of actual or anticipated financial difficulties, commence negotiations with one or more of their creditors (excluding any finance party in its capacity as such) with a view to rescheduling any of their indebtedness.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An entity incorporated in Germany is unable to pay its debts as they fall due (zahlungsunfähig) within the meaning of section 17 of the German Insolvency Code (Insolvenzordnung) or is over-indebted within the meaning of section 19 of the Germany Insolvency Code (Insolvenzordnung).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in relation to the Self-Administration Proceedings, any corporate action, legal proceedings or other procedure or step is taken in relation to, amongst others, the suspension of payments, an arrangement with a creditor of the Company, the appointment of a liquidator or administrative receiver or the enforcement of a security over any asset of the Company or the Subsidiary.</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60"/>
        <w:gridCol w:w="170"/>
        <w:gridCol w:w="8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or becomes unlawful for the Company to perform any of its obligations under the Yorkville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conditions precedent to the Closing include: (i) the Company’s regaining compliance with its periodic reporting requirements by filing this Annual Report on Form 20-F for the year ended December 31, 2022, (ii) the Company’s submission of the Interim Report to the SEC by December 31, 2023, (iii) the Subsidiary’s plan under the German Insolvency Code becoming legally binding by January 31, 2024, and (iv) the withdrawal of the Company’s application for its Preliminary Self-Administration Proceedings by January 31, 2024 (items (i), (iii) and (iv), collectively, the “Closing Conditions”). On December 22, 2023, Yorkville waived the Company's submission of the Interim Report as a condition precedent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Yorkville Agreements also provide that, in order for the Company to withdraw its application for its Preliminary Self-Administration Proceedings, the Company’s management must update the assessment, at the date of the withdrawal, regarding whether the Yorkville Investment will cure its mandatory insolvency filing obligations (i.e. illiquidity and over-indebtedness). In addition, the Yorkville Agreements require the Company to convene an annual general meeting of shareholders by December 31, 2023 and submit certain agenda items for shareholder vote. The Company’s annual general meeting of shareholders for 2023 (the “AGM”) has been convened for December 29, 2023. A subsequent general meeting of shareholders is currently envisioned in the first quarter of 2024 in order to propose certain required agenda items in connection with the Yorkville Investment. Under the terms of the Shareholders Commitment Letter, each Founder in his respective capacity as a shareholder of the Company agreed (i) to attend the AGM, either in person or represented by proxy, (ii) not to transfer any shares and/or voting rights such Founder holds in the capital of the Company prior to the AGM and (iii) to exercise the voting rights on all the shares in the capital of the Company held by such Founder in favor of all proposed resolutions. In addition, in the event that one or more subsequent general meetings are convened or deemed necessary to give full effect to the Yorkville Agreements and/or certain required agenda items, each Founder further agreed to comply with the requirements of (i) - (iii) above with respect to such subsequent general meeting(s) and to exercise his voting rights at such subsequent general meeting(s) so as to give effect to the Yorkville Agreements and/or certain required agenda items in the fullest possible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event of a Termination Event, Yorkville would have the right, at its sole discretion, to cancel any funding commitments still available, meaning that the Company would no longer be able to draw down on unused portions of the Commitment Amount, and to exercise all of its rights under any of the new convertible debentures as if an event of default had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Company believes that, subject to the satisfactions of the Closing Conditions, a successful implementation of the Yorkville Investment would (i) enable it to withdraw its application for Self-Administration Proceedings at the Court and (ii) enable the Subsidiary to exit the Subsidiary Self-Administration Proceedings via its plan under the German Insolvency Code, which was approved by its creditors and confirmed by the Court on December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successful conclusion and implementation of the Yorkville Investment is subject to certain risks, including, among others, (i) whether the Companies are able to successfully fulfill the conditions precedent to the Closing so as to gain access to the funding offered by Yorkville under the Yorkville Investment, (ii) whether the Court’s confirmation of the plan under the German Insolvency Code remains unaffected by any appeals or other challenges that may be raised during the 14-day appeals period that began on December 21, 2023, and (iii) if the Court’s confirmation of the Subsidiary's plan under the German Insolvency Code remains unaffected, whether the plan can be successfully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the Yorkville Investment is not concluded and implemented as planned, it is unlikely that the Company will be able to withdraw its application for Self-Administration Proceedings and that the Subsidiary will exit from the Subsidiary Self-Administration Proceedings. Accordingly, there is a risk that the Companies will not be able to restructure and emerge successfully from the Self-Administration Proceedings, but rather will be liquidated.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believe that more needs to be done to slow global warming and that new technologies are needed to reduce CO2 emissions and, if and when we are able to successfully emerge from the Self-Administration Proceedings, we intend to continue to work to achieve these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the solar application market, we believe solar integration will be the logical next step for pure electric vehicles. Solar production prices declined relatively consistently over the last ten years, with some marginal increases since the beginning of 2020 resulting partly from supply chain issues in connection with the global COVID-19 pandemic. The current solar production price as well as the increase in efficiency of solar cells enable solar integration to have a meaningful impact on ranges and autonomy of electric vehicles. Additionally, the steep increase in electric vehicle sales and the relatively slower increase in charging stations will create a bottleneck for the adoption of electric vehicles on a larger scale. We believe that even within the next few years, people living in apartments without private access to charging stations will be reluctant to buy electric vehicles due to uncertainty whether they will be able to find relevant charging options. This will put even more focus on electric vehicles with solar integration.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to using our technology in BEVs, we also believe that our solar technology is a solution to make combustion engine vehicles more climate friendly. By integrating our solar technology, fleet operators can reduce energy consumption in a variety of vehicles including, among others, buses, trailers and trucks, and thereby significantly reduce the total cost of ownership. Sustainability goals lead to regulations requiring vehicle manufacturers to meet increasingly challenging regulatory targets. More and more municipalities have announced that they intend to set stringent emission targets for vehicles wanting to enter their area. More and more battery electric vehicles may result in grid overload and destabilization. In parallel, we expect demand for sustainable energy to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believe that the share of vehicles suitable for solar retrofitting will rise in the medium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Other users, such as building owners, already see the power of solar integration to reduce energy consumption and, accordingly, total cost of ownership. As more means of transport, including ships, trucks, vans and buses, switch over the coming years to electric engines, the benefit of solar integration will, we believe, become increasingly clear and important to market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Our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consider our technological achievements to be at the core of our business activities and key to our future success. We have developed several innovative technologies for use in the mobility area. We have been approached by a number of companies, such as manufacturers of trucks, commercial vehicle equipment and public transport operators to provide them with access to our technology. We believe these technologies will offer users a unique experience and increased practicability of their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Traditional Solar Modules - Vehicle Applied Modules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Vehicle applied modules, or VaPV, are a core part of our solar integration business. This approach aims at using solar technology for vehicles after they have been fully built. These solutions are relevant for customers that want existing vehicles equipped either in a prototype solar module or low to medium volume production. If and when we are able to successfully emerge from the Self-Administration Proceedings, we currently intend to focus in the short- to medium-term on one such VaPV product, our Solar Bus Kit.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VaPV approach uses different types of semi-flexible solar modules, which are either glued or clamped onto the vehicle. The relevant solution is developed based on the needs of the specific customer, taking into account the expected lifetime of the vehicle, weights and costs specifications, installation times and synergies between solutions for different vehicle types. In 2022 and 2023, we equipped several prototypes for customers such as VBR Verkehrsbetriebe und Servicegesellschaft mbH, Scania CV AB, Koegel Trailer GmbH and Jean CHEREAU S.A.S, Hofbus GmbH and Stadtwerke Muenchen GmbH. Also during 2022 and 2023, we improved our technologies significantly, for example by improving installation methods to reduce installation times and by increasing system uptimes by eliminating software bugs and telematics problems. In addition, we gained experience in various commercial vehicle applications, including trailers, diesel buses, electric buses as well as electric vans. We equipped all of those vehicle types on a prototype stage with various customers. Continuous technical and cost improvements are being worked on with our technology and operations departments.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novel Solar Bus Kit is a scalable business-to-business retrofit solution that reduces energy consumption and inner-city greenhouse gas emissions, thereby contributing to climate protection. The Solar Bus Kit is a versatile and straightforward solution, optimized for the most common 12-meter public transport bus types on the European market, including Mercedes-Benz Citaro and MAN Lion City. We plan to offer a complete and efficient retrofit solution for bus fleet operators who have a compelling need to reduce diesel consumption and CO2 emissions to meet their sustainability goals.</w:t>
      </w:r>
    </w:p>
    <w:p>
      <w:pPr>
        <w:pStyle w:val="TextBody"/>
        <w:bidi w:val="0"/>
        <w:spacing w:before="0" w:after="0"/>
        <w:ind w:left="0" w:right="0" w:firstLine="20"/>
        <w:jc w:val="both"/>
        <w:rPr>
          <w:caps w:val="false"/>
          <w:smallCaps w:val="false"/>
        </w:rPr>
      </w:pPr>
      <w:r>
        <w:rPr>
          <w:caps w:val="false"/>
          <w:smallCaps w:val="false"/>
        </w:rPr>
        <w:t> </w:t>
      </w:r>
    </w:p>
    <w:p>
      <w:pPr>
        <w:pStyle w:val="TextBody"/>
        <w:bidi w:val="0"/>
        <w:jc w:val="center"/>
        <w:rPr/>
      </w:pPr>
      <w:r>
        <w:rPr/>
        <w:drawing>
          <wp:inline distT="0" distB="0" distL="0" distR="0">
            <wp:extent cx="5943600" cy="457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4572000"/>
                    </a:xfrm>
                    <a:prstGeom prst="rect">
                      <a:avLst/>
                    </a:prstGeom>
                  </pic:spPr>
                </pic:pic>
              </a:graphicData>
            </a:graphic>
          </wp:inline>
        </w:drawing>
      </w:r>
    </w:p>
    <w:p>
      <w:pPr>
        <w:pStyle w:val="TextBody"/>
        <w:bidi w:val="0"/>
        <w:spacing w:before="0" w:after="0"/>
        <w:ind w:left="16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Solar Bus Kit allows subsystems like the heating, ventilation and air conditioning to be partially powered by renewable energy thereby saving fuel, CO2, and costs. The Solar Bus Kit can save up to 1,500 liters of diesel and up to 4 tonnes of CO2 per bus per year from the approximately 1.4 kW peak installation with a total size of about 8 square-meters of solar panels. Bus fleet operators are expected to see a potential payback time of approximately 3 to 4 years, depending on generated solar yield (influenced, for example, by days in operation, geographical location) and fuel prices. We intend to cooperate with ÖPNV-Service Hagen (“ÖPNV-Service”) with respect to installation of the kit and after-sales and logistics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Although our initial focus in the short- to medium-term is expected to be on our Solar Bus Kit, our solar technology allows for full solar integration in all kinds of vehicles. We intend to continue pursuing such other applications, and subject to the success of future capital raising efforts, we increase the time and resources devoted to such other solar integration projects in the medium- to long-term.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Maximum Power Point Tracker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integration of solar modules into energy systems for transport-related use cases requires power electronics that fit the vehicle powertrain or auxiliary systems. Our MCU is the central piece of our power electronics. Our MCU is a multichannel, dynamic system that is both conversion and tracking efficient. Our power electronics optimize the power output by intelligent algorithms and the energy earnings for solar modules mounted on, or integrated into, moving objects by a multichannel approach that considers quickly changing sun radiation conditions and differently oriented solar modules. Our MCU and algorithms allow for fast adaptation to changing sun conditions, resulting in high energy yields. Our multi-channel architecture allows for individual tracking of differently oriented solar panels. We plan to have our technology certified according to automotive standards and are working on enabling our MCU to communicate with controlled area networks. We aim to optimize our power electronics to provide for a power range of above 1 kilowatts peak (“kWp”), with a target up to 2.5 kWp, whereas other power electronics typically provide for a power range of less than 1 kWp. Our MCU contains a controller area network that enables the battery systems to perform complex tasks efficiently and allows active communication between the battery systems and other devices throughout the vehicle. In addition, multiple MCUs can be connected to work with systems with higher power, such as eBuses and Trailers.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are currently developing two systems that are in different stages of maturity: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High Voltage System</w:t>
            </w:r>
            <w:r>
              <w:rPr>
                <w:rFonts w:ascii="Times New Roman" w:hAnsi="Times New Roman"/>
                <w:caps w:val="false"/>
                <w:smallCaps w:val="false"/>
                <w:sz w:val="20"/>
              </w:rPr>
              <w:t>: The high voltage system was used in our Sion prototypes. While the Sion used about 400V, the high voltage system has been developed to work with voltages between 400V and 800V. The system can be used for electric vehicles other than the Sion with minor or medium changes. Use cases include buses, vans, trucks and passenger vehicles.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Low Voltage System</w:t>
            </w:r>
            <w:r>
              <w:rPr>
                <w:rFonts w:ascii="Times New Roman" w:hAnsi="Times New Roman"/>
                <w:caps w:val="false"/>
                <w:smallCaps w:val="false"/>
                <w:sz w:val="20"/>
              </w:rPr>
              <w:t>: Based on the Sion system, current development projects relate to adding low voltage capabilities, flexibility on the input voltage to allow for a combination with a broader range of solar modules and higher power output. The low voltage system will be relevant for diesel buses and smaller reefer vans.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Customer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of December 31, 2022, we had 12 non-binding letters of intent and 16 purchase orders for our innovative solar solution. As of November 30, 2023, we had, in total, 13 non-binding letters of intent and 21 purchase orders / contracts signed and/or products delivered. All of them comprise either pilot installations, prototype projects or engineering services. Of the 13 non-binding letters of intent, six are still relevant for the future business which comprises mainly the solar bus kit in 2024 but also other applications like refrigerated trailers and e-transporters at a later point in time. Of the 21 purchase orders / contracts signed and/or products delivered, 17 are with customers that we believe are still relevant for our future business.</w:t>
      </w:r>
    </w:p>
    <w:p>
      <w:pPr>
        <w:pStyle w:val="TextBody"/>
        <w:bidi w:val="0"/>
        <w:spacing w:before="0" w:after="0"/>
        <w:ind w:left="0" w:right="0" w:firstLine="20"/>
        <w:jc w:val="both"/>
        <w:rPr>
          <w:caps w:val="false"/>
          <w:smallCaps w:val="false"/>
        </w:rPr>
      </w:pPr>
      <w:r>
        <w:rPr>
          <w:caps w:val="false"/>
          <w:smallCaps w:val="false"/>
        </w:rPr>
        <w:t> </w:t>
      </w:r>
    </w:p>
    <w:p>
      <w:pPr>
        <w:pStyle w:val="TextBody"/>
        <w:bidi w:val="0"/>
        <w:jc w:val="center"/>
        <w:rPr/>
      </w:pPr>
      <w:r>
        <w:rPr/>
        <w:drawing>
          <wp:inline distT="0" distB="0" distL="0" distR="0">
            <wp:extent cx="6858000" cy="3495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495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Source: Company Information.</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(1)          9 non-binding LOIs and 3 purchase orders (with 2 customers we had both an LOI and a purchase order).</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(2)        In total, 13 non-binding LOIs and 21 purchase orders / contracts signed and/or products delivered (with 6 customers we had both an LOI and a purchase order). Of these totals, 6 non-binding LOIs and 17 purchase orders / contracts signed and/or products delivered are with customers that we believe are still relevant for our future business.</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(3)          As of November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current Self-Administration Proceedings have had a negative impact on our ability to pursue new customer arrangements. In several cases, the signing of contracts related to new projects has been postponed until the conclusion of the Subsidiary Self-Administration Proceedings. We expect that, if and when we are able to successfully emerge from the Self-Administration Proceedings, we will be able to follow up on those projects.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2022 and 2023, we signed purchase orders or contracts with, amongst others, Koegel Trailer GmbH, VBR Verkehrsbetriebe und Servicegesellschaft mbH,, Scania CV AB, GORICA Industries L.L.C., The Reefer Group/Jean CHEREAU S.A.S, pepper motion GmbH, ALTRA S.p.A., Mitsubishi Heavy Industries Thermal Transport Europe GmbH, Hofbus GmbH and Stadtwerke Muenchen GmbH. This list includes purchase orders or contracts for both pilot installations of our Solar Bus Kit as well as for prototype projects in the refrigerated vehicle and e-transporter industries. While we intend to focus in 2024 on the bus industry and our Solar Bus Kit product, our solar technology allows for full solar integration in all kinds of vehicles, and we believe the other industries are valuable for long-term business opportunities. We intend to continue pursuing such other applications, and subject to the success of future capital raising efforts, we increase the time and resources devoted to such other solar integration projects in the medium- to long-term.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VBR Verkehrsbetriebe und Servicegesellschaft mbH is one of the largest fleet bus operators in Bavaria, Germany. We installed our Solar Bus Kit on two prototype buses to be used for finalizing and refining our product. The buses are part of the Munich Transport and Tariff Association bus fleet and currently drive through Munich on their daily routes.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partnership with the Munich Transport Company, MVG (</w:t>
            </w:r>
            <w:r>
              <w:rPr>
                <w:rFonts w:ascii="Times New Roman" w:hAnsi="Times New Roman"/>
                <w:i/>
                <w:caps w:val="false"/>
                <w:smallCaps w:val="false"/>
                <w:sz w:val="20"/>
              </w:rPr>
              <w:t>M</w:t>
            </w:r>
            <w:r>
              <w:rPr>
                <w:rFonts w:ascii="Times New Roman" w:hAnsi="Times New Roman"/>
                <w:caps w:val="false"/>
                <w:smallCaps w:val="false"/>
                <w:sz w:val="20"/>
              </w:rPr>
              <w:t>ü</w:t>
            </w:r>
            <w:r>
              <w:rPr>
                <w:rFonts w:ascii="Times New Roman" w:hAnsi="Times New Roman"/>
                <w:i/>
                <w:caps w:val="false"/>
                <w:smallCaps w:val="false"/>
                <w:sz w:val="20"/>
              </w:rPr>
              <w:t>nchner Verkehrsgesellschaft</w:t>
            </w:r>
            <w:r>
              <w:rPr>
                <w:rFonts w:ascii="Times New Roman" w:hAnsi="Times New Roman"/>
                <w:caps w:val="false"/>
                <w:smallCaps w:val="false"/>
                <w:sz w:val="20"/>
              </w:rPr>
              <w:t>) we launched our Solar Bus Kit for public transport for the first time. The novel solar bus trailer has been in operation in the Munich metropolitan area since April 2022, testing the energy yields as well as the potential of the technology in daily operation with promising results.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7, 2022, we announced that we started a project with Scania, a subsidiary of Volkswagen, and LLT, a Swedish public transport authority, to test the Solar Bus Kit in real-life conditions in the northern hemisphere. The objective of the project is to optimize the efficiency of the solar technology for buses in northern climates. The Solar Bus Kit has been installed on six buses since then and is successfully running on the streets.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2023, we installed our Solar Bus Kit on a Bus of HofBus GmbH, which to date has proved to be a well working product.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Reefer Group is a global leader in refrigerated bodies. As part of our collaboration with The Reefer Group, we started to build a first trailer vehicle with the Reefer Group’s French subsidiary Jean CHEREAU S.A.S. for extensive testing to further evaluate the technical and economic feasibility of integrating a customized solar solution for a high volume series vehicle. The partially completed trailer was shown at the IAA Transportation 2022, and we currently plan to finalize the trailer together with the customer in the future.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Koegel Trailer GmbH was founded in 1934 and is one of the largest European manufacturers of commercial vehicles, including trailers and semi-trailers today. The partially completed trailer was shown at the IAA Transportation 2022, we currently plan to finalize the trailer together with the customer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Polymer Solar Modules - Vehicle Integrated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our VaPV modules, we have several patents granted or within the filing process related to our vehicle integrated modules, or ViPV. Our solar technology is polymer based. It allows for flexible surface integration. Our modules, produced by contract manufacturers in Europe based on our intellectual property rights, are lighter than regular glass solar panels. We use monocrystalline silicon cells for the solar modules that allow for seamless integration into the entire body of vehicles. Our polymer solar modules can be used to replace the traditional metal sheet exterior and the need for costly paint jobs, as the exterior of a car may be covered with polymer solar body modules. Our solar modules make complex geometries and forms feasible, significantly broadening the scope of the technology’s possible applications compared to traditional glass solar panels. Their manufacturing process, which is based on our patented injection molding processes, makes our solar elements more robust than traditional solar cells, which are laminated into glass. We believe that our approach also allows for time-efficient production cycles, increasing the manufacturing speed of vehicles. In addition, the layer of polymer provides the solar cells underneath with protection against impact and damage such as scratches. Our solar technology also includes an MCU, a control unit that seeks to predict the energy yield from solar cells mounted in different angles to the sunlight. We have also developed proprietary hardware for critical components, such as an on-board charger that feeds the energy created by the solar cells into the on-board batteries of the relevant vehicle. Our proprietary software provides live energy data and optimization of energy yields and provides the backbone for seamless system integration of our solar technology. Based on tests performed and data collected and depending on driving patterns, energy efficiency assumptions, location and weather conditions, we believe that solar technology may allow commuters to get up to four times more range with one charge from the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buses, our solar integration provides power that can be used to run auxiliary systems and charge low voltage and/or high voltage vehicle batteries (in case of a BEV), thereby helping bus operators to reduce CO2 emissions and total cost of ownership. For electric buses, power provided by our solar technology may also be used to charge high-voltage batteries. For refrigerated vehicles, our solar technology allows for longer operating hours and reduces the risk that cooled goods go to waste. In addition, we offer customers the option to benefit from our solar know-how and our project management skills as well as access to our MCU. For recreational vehicles, our technology can be used to generate power for auxiliary systems, increasing independence from traditional charging infrastructure. In addition to knowledge sharing and project management services, customers may benefit from our MCU and infotainment system. Vehicle manufacturers may leverage our solar technology to increase the range and grid independence of their vehicles, reduce total cost of ownership and provide their customers with a more convenient product. We mainly intend to license our technology to vehicle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Solar technology offers a broad variety of use cases and we have already received purchase orders or entered into several letters of intent for partnerships, including with manufacturers of trailers, autonomous electric shuttles, trucks and buses, all of whom may enter into agreements with us to use solar technology in their own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believe our solar technology is among the lightest, most efficient and most affordable solar technology currently available for consumer usage. According to our own data, it is the lightest in terms of kilograms per square meter; it is the most efficient in terms of watts generated per square meter; and it is the most affordable in terms of production cost in euro per watt.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Although we intend to focus in the short- to medium-term on our Solar Bus Kit, we have several patents granted or within the filing-process protecting our proprietary technology and, if and when we are able to successfully emerge from the Self-Administration Proceedings, and subject to the success of future capital raising efforts, we currently intend to work in the long-term towards entering into co-development projects with established vehicle manufacturers, with a view to having our solar technology used in series production vehicles of established vehicle manufacturers in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believe that it is and will be crucial for our success to keep up with advances and changes in electric vehicle technology. Our development activities have historically focused on the finalization of the development of the Sion. Following our decision to terminate the Sion program and instead focus on our solar technology business, we have significantly reduced the personnel in our development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development strategy focuses on developing our key technologies and innovations in-house where we benefit from the expertise of our highly-qualified development team. This allows us to ensure that the key technologies and innovations reflect our core values and vision of sustainable and affordable electric mobility. We cooperate, or intend to cooperate, with renowned research institutions to combine our expertise in selected areas. For example, we are continuing our participation in public funding projects and collaborations with renowned research institutes like Fraunhofer and Tecnalia.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Manufacturing Concept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Production of the Solar Bus Kit will follow our lean approach with regards to financial capital. The semi-flexible solar modules will be supplied by selected suppliers that are closely involved in the development of the product to meet our specific needs. This was done to optimize both costs and performance. The Low Voltage MCU will go into production with an external production manufacturer. The development and rights are fully owned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focus on providing multiple online and offline touchpoints with our customers. We want to maintain our thought leadership in the space of solar mobility. Through publishing whitepapers, blog posts, and case studies, we want to educate our target groups of politicians, fleet operators and OEMs.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we will focus on public relations announcements concerning new customers, new patents granted and new funding secured. In the online marketing area, we will target business customers with industry specific videos on social media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To enlarge our reach, we plan to partner with other industry players to expand the reach and create new business opportunities. In addition, attending industry events showed success in 2022 and 2023, like IAA Transportation and BusWorld Brussels, which led to several new customer leads and confirmed the interest in our solar technology. Meeting with potential customers showcases our solutions and positions us to stay up-to-date with the latest trends and developments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and when we are able to successfully emerge from the Self-Administration Proceedings, we intend to focus in 2024 on sales of our Solar Bus Kit in the bus industry. We intend to sell our Solar Bus Kit directly to fleet operators and OEMs. The main focus will be Europe. In addition, we plan to set up a partnership program to scale up our solution more quickly. We intend to enable key, long-term partners to sell, install and service the Solar Bus Kit in specific regions - helping to reduce CO2 consumption on a larger scale and positioning us to grow our business more quickly.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we intend to continue to offer our solar technology to the refrigerated vehicles and electric transporters industries. While we intend to focus in 2024 on the bus industry and our Solar Bus Kit, our solar technology allows for full solar integration in all kinds of vehicles, and we believe the refrigerated vehicles and electric transporters industries are valuable for long- term business opportunities. We intend to continue pursuing such other applications, subject to the success of future capital raising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graphic shows our current focus and provides an overview of potential products and additional business opportunities, our full pursuit of which remains subject to the success of future capital raising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5381625" cy="2828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81625" cy="2828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Information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use a number of standard software programs for our business operations. In addition, we deploy our own proprietary software and applications. To help secure data that we handle and protect against outages, we have implemented a number of protective measures, including duplicate systems, firewalls, antivirus software, patches, data encryption, log monitors, routine backups, system audits, data partitioning, routine password modifications and disaster recovery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While there is a large number of providers of solar technology solutions for all kinds of stationary applications, the competitive landscape for vehicle solar solutions is less competitive. Based on a survey conducted by our business intelligence team, we have identified a few competitors particularly relevant to us, including a2-solar Advanced and Automotive Solar Systems GmbH, eNow, Inc., KRSolar B.V. doing business as wattlab, Im Efficiency B.V., Green Energy Solutions and TRAILAR.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believe that the following factors differentiate us and our product from these competitors: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high efficiency of our solar integration product, which results from our in-house developed maximum power point tracker solution and our reliance on cell technology that provides high energy density at a reasonable cost and allows our technology to harvest a high amount of solar yield in relation to installed power;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convenience and safety of our solar integration product, which result from a standardized, low-effort street approval procedure, the product’s modular and flexible system, our installation service that eliminates the need for customer self-installation, the system’s predictive maintenance capabilities and our over-the-air-update capabilities.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intellectual property, including patents, trademarks and copyright, is important to our business. We hold several patents in different jurisdictions relating to our solar module technology, ventilation system and energy management system for vehicles, have filed several patent applications, including relating to our solar technology, and expect to file several additional patent applications in 2023. We have registered trademarks in the EU or other relevant jurisdictions for “Sono Motors” and “Sion.” Our intellectual property portfolio includes domain names for websites that we use in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control access to, use and distribution of our intellectual property through confidentiality procedures, non-disclosure agreements with third parties and our employment and contractor agreements. Under the German Employee Invention Act (</w:t>
      </w:r>
      <w:r>
        <w:rPr>
          <w:rFonts w:ascii="Times New Roman" w:hAnsi="Times New Roman"/>
          <w:i/>
          <w:caps w:val="false"/>
          <w:smallCaps w:val="false"/>
          <w:sz w:val="20"/>
        </w:rPr>
        <w:t>Arbeitnehmererfindungsgesetz</w:t>
      </w:r>
      <w:r>
        <w:rPr>
          <w:rFonts w:ascii="Times New Roman" w:hAnsi="Times New Roman"/>
          <w:caps w:val="false"/>
          <w:smallCaps w:val="false"/>
          <w:sz w:val="20"/>
        </w:rPr>
        <w:t>) we generally have a claim on work-related inventions by our employees. We rely on contractual provisions with our business partners to protect our intellectual property and proprietary technology, brand and creative assets. We seek to maintain and protect our intellectual property portfolio, including by pursuing any infringements by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graphic provides an overview of our granted patents and filed patent applications as of October 13, 2023.</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jc w:val="center"/>
        <w:rPr/>
      </w:pPr>
      <w:r>
        <w:rPr/>
        <w:drawing>
          <wp:inline distT="0" distB="0" distL="0" distR="0">
            <wp:extent cx="6858000" cy="3152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1527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(1)      In total (patents relating to the same technology, but filed in different jurisdictions, are counted separately), 6 patents granted, 61 patent applications/utility model applications filed as of October 13, 2023. In connection with the Self-Administration Proceedings, we have decided to no longer pursue one of our previously filed applications.</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(2)      PV = photovoltaic.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Insurance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have taken out insurance policies that we believe to be customary in our industry. We believe that our insurance policies contain market-standard exclusions and deductibles. We regularly review the adequacy of our insurance coverage and consider the scope of our insurance coverage to be customary 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industry and business operations are subject to various laws, rules and regulations at international, national, state and municipal levels, which may affect, directly or indirectly, our operations or our industry. Also taking into account the fact that we expect our prospective customers to be mainly vehicle manufacturers, such laws, rules and regulations include laws on vehicle approval and homologation, laws on vehicle road safety, environmental laws, laws on vehicle emissions and renewable energies, consumer protection laws, product warranty and product liability laws, intellectual property and copyright laws, labor and employment protection laws, export control regulations, trade and economic sanctions and embargoes on certain countries, persons, groups and/or entities, projects and/or activities, competition and antitrust laws, tax laws, and criminal laws (e.g. anti-money laundering and anti-corruption laws). Within the EU the legal environment is also characterized by a set of political initiatives and legal frameworks under the so-called European green deal, which seeks to serve the overarching goal of eliminating greenhouse gas emissions and reaching climate neutrality by 2050. These initiatives and legal frameworks have had and will continue to have a significant influence on our industry and business operations as well as the overall adoption rate of electric mobility within the 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An overview of the laws, rules and regulations that are or are expected to be most relevant for our business operations or industry, broken down by general category of regulation, is provided below. Any reference in this section to any legislation or regulation is deemed to refer to such legislation or regulation as amended, supplemented or otherwise modified, and all further rules and regulations promulgated thereunder, unless the context requires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Vehicle Approval/Road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Depending on the exact use of our products and solutions by prospective customers, which we expect to be mainly vehicle manufacturers, our solar modules and other solar technology solutions may be covered by compliance requirements applicable to vehicle manufacturers under product-related regulatory frameworks and approval by the relevant government authorities. Vehicle manufacturers are required to comply with substantial licensing, certification, approval, permit and other homologation requirements in all relevant markets in which they operate, as well as numerous and continually increasing technical product requirements, particularly with regard to the safety of vehicle occupants and other road users.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General Product Safety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solar modules and other solar technology solutions will also have to comply with product-specific or general, non-specific product safety and product liability legislation and associated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EU has passed a directive on general product safety that applies in the absence of specific provisions among the EU regulations governing the safety of the products concerned or if legislation applicable to the sector is insufficient. Under this directive, manufacturers and distributors may only market products that comply with a general requirement of consumer safety. Taking into account certain points specified in the Directive, a product is considered to be safe if, under normal or reasonably foreseeable conditions of use, it does not present any risk or only the minimum risks compatible with the product’s use, considered to be acceptable and consistent with a high level of protection for the safety and health of persons. In addition to compliance with the safety requirement, manufacturers and distributors must provide consumers with the information necessary to assess a product’s inherent risks and take the measures necessary to avoid such threats (for example, withdraw products from the market, inform consumers and recall products). Strict liability applies for defective products throughout the EU in addition to any consumer protections at the national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Germany, the EU requirements have been implemented via the Product Safety Act (</w:t>
      </w:r>
      <w:r>
        <w:rPr>
          <w:rFonts w:ascii="Times New Roman" w:hAnsi="Times New Roman"/>
          <w:i/>
          <w:caps w:val="false"/>
          <w:smallCaps w:val="false"/>
          <w:sz w:val="20"/>
        </w:rPr>
        <w:t>Produktsicherheitsgesetz</w:t>
      </w:r>
      <w:r>
        <w:rPr>
          <w:rFonts w:ascii="Times New Roman" w:hAnsi="Times New Roman"/>
          <w:caps w:val="false"/>
          <w:smallCaps w:val="false"/>
          <w:sz w:val="20"/>
        </w:rPr>
        <w:t>) and the Product Liability Act (</w:t>
      </w:r>
      <w:r>
        <w:rPr>
          <w:rFonts w:ascii="Times New Roman" w:hAnsi="Times New Roman"/>
          <w:i/>
          <w:caps w:val="false"/>
          <w:smallCaps w:val="false"/>
          <w:sz w:val="20"/>
        </w:rPr>
        <w:t>Produkthaftungsgesetz</w:t>
      </w:r>
      <w:r>
        <w:rPr>
          <w:rFonts w:ascii="Times New Roman" w:hAnsi="Times New Roman"/>
          <w:caps w:val="false"/>
          <w:smallCaps w:val="false"/>
          <w:sz w:val="20"/>
        </w:rPr>
        <w:t>), which are accompanied by more general provisions under tort laws codified in the German Civil Code § 823 (</w:t>
      </w:r>
      <w:r>
        <w:rPr>
          <w:rFonts w:ascii="Times New Roman" w:hAnsi="Times New Roman"/>
          <w:i/>
          <w:caps w:val="false"/>
          <w:smallCaps w:val="false"/>
          <w:sz w:val="20"/>
        </w:rPr>
        <w:t>Bürgerliches Gesetzbuch</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Vehicle Emissions and Regulatory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protection of air quality and reduction of greenhouse gas emissions is a priority in the EU and vehicle manufacturers relying on internal combustion engines must comply with increasingly stringent standards on vehicle emissions. The current environment of the EU and regulatory initiatives strongly support the development, production and sale of alternative fuel vehicles and their overall market adoption. In line with the international climate agreement signed at the 2015 United Nations Framework Convention on Climate Change in Paris by nearly 200 nations (commonly referred to as the “Paris Agreement”), which became effective in November 2016 and consists of two elements (a commitment by each participating country to set a voluntary emissions reduction target (referred to as “nationally determined contributions” or “NDCs”), with a review of the NDCs that could lead to updates and enhancements every five years beginning in 2023, and a transparency commitment requiring participating countries to disclose their progress), as well as based on emission legislation, the EU is taking a progressive stance in reducing carbon dioxide emissions, thereby deliberately driving increasing demand for electric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Furthermore, the EU has implemented mandatory CO2 emissions targets. At present, all car manufacturers must meet a fleet-wide average emission target of 95g CO2/km for their new vehicle fleets that are registered in the EU. Car manufacturers are given additional incentives to produce zero- or low-emission cars emitting less than 50g CO2/km through a fleet-wide credits system. The regulation also provides for fleet-wide average CO2/km emissions targets for the years 2025 and 2030, which are defined as a percentage reduction from the current applicable values: Cars are subject to fleet-wide reductions of 15% in 2025 and 37.5% in 2030, while vans are subject to fleet-wide reductions of 15% in 2025 and 31% in 2030. The regulation also allows for pooling arrangements among several manufacturers of passenger cars or vans, based on which these manufacturers will be treated as a single “pool” and their compliance with emission limits will be assessed on an aggregated basis at the pool level. Car manufacturers are subject to penalty payments if a car manufacturer’s fleet-wide average emission of CO2/km exceeds the defined target values in a given year. The monetary penalty is calculated based on a predetermined euro amount (currently € 95) for each gram of CO2/km that exceeds the relevant target value multiplied by the number of vehicles produced by the car manufacturer.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adoption of electric mobility is further promoted on the national level within the EU. The vast majority of member states of the EU provide purchase grants, tax benefits or other incentive schemes to buyers of electric vehicles.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Renewable Energy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laws and regulations within the EU and various other jurisdictions impose energy source requirements for the transportation sector, which also aim to reduce the emission of greenhouse gases and promote the adoption of alternative fuel or electric vehicles. A directive adopted in 2018, which has to be implemented by the EU member states by June 30, 2021, establishes a common system for the promotion of energy from renewable sources (such as wind, solar (both solar thermal and solar solar) and geothermal energy, tide, wave and other ocean energy, hydropower or biomass) in electricity, heating and cooling, and transport and provides a framework for the promotion of the use of renewable energy sources in the EU until 2030. The directive defines a binding overall target of at least 32% of energy from renewable sources for the EU’s gross final energy consumption by 2030 (calculated as the sum of the member states’ gross final consumption of electricity and energy in various sectors) and promotes the use of renewable energy in transport, particularly prioritizing electricity, with a target of at least 14% renewables in the final energy consumption mix by 2030. The directive envisages electric mobility to constitute a substantial part of the renewable energy mix in the transport sector by the year 2030 and is a cornerstone for the adoption and integration of electric mobility within the EU, as it also supports incentive schemes for the swift development of electric mobility with respect to the sector’s growth potential and role for the EU employment market. In addition, the directive seeks to boost the use of renewable electricity in the transport sector by applying augmented multipliers in the context of the calculation of the relevant energy mix under the directive.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Industrial Environmental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All member states of the EU control the manufacture, use and disposal of pollutants by means of regulations on air pollutants, chemicals, heavy metals, persistent organic pollutants, soil contamination and biocides. The operations of manufacturers, particularly production, logistics and transport processes, as well as end products, must comply with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most relevant legal frameworks are the Regulation for Registration, Evaluation, Authorization and Restriction of Chemicals (“REACH”) and the Regulation on Classification, Labeling and Packaging of Substances and Mixtures (“CLP”). REACH requires manufacturers and importers of chemicals to identify and manage risks linked to the substances they manufacture and market, to submit a registration dossier for substances produced or imported in quantities of one ton or more per year per company, and to provide downstream users with risk information to ensure proper application of such substances. In addition, for “substances of very high concern,” REACH may require government authorization for further use or impose restrictions in the future, any of which may delay or increase the costs of operations. CLP complements REACH by requiring suppliers of substances and mixtures, including manufacturers, downstream users and distributors, to apply harmonized criteria to their classification and labeling.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Substance restrictions under REACH in some cases prohibit the marketing in the EU of articles containing certain substances. This is particularly relevant in relation to spare parts for products, which were designed before a relevant restriction was adopted and which are no longer in mass production (“legacy parts”). Similar problems may arise if a substance is placed under an authorization requirement under REACH and may, therefore, not be used for the production of legacy parts without a corresponding authorization. REACH does not include general exemptions with regard to legacy parts (so-called “repair as produced” clauses).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 xml:space="preserve">Emissions from Production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Emissions from production, such as air pollutants, noise, odors, vibrations and greenhouse gasses (such as CO2), are governed by specific laws and regulations, and, if the operation of a facility is subject to a permit, by specific conditions set forth therein. Some laws and regulations require the submission of emission reports on a regular basis. Non-compliance with maximum emission levels may result in administrative fines.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International, as well as European and national regulations, may have repercussions on the operation of the relevant production facilities. For example, stricter regulation of CO2 emissions could cause manufacturers to incur significant capital expenditures to upgrade production plants by installing or improving technical equipment to comply with maximum emission levels that may become applicable in the future, which may also affect their ability to sell their products at predetermined price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Emission trading systems for emissions from industrial production exist on the European and national level. These systems are based on “cap and trade” principles designed to reduce carbon dioxide emissions by limiting the number of emission allowances (cap) required for certain facilities and allowing the purchase for shortfall or the sale of surplus emission allowances (trade).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 xml:space="preserve">Reuse, Recycling and Recovery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Manufacturers may also be obligated to assist customers with the disposal, recovery and recycling of certain underlying components of their products once they have reached their end-of-life/disposal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An EU directive on batteries (the “Batteries Directive”) governs the recovery of batteries within the EU. The Batteries Directive requires manufacturers and distributors of batteries to bear a significant amount of the costs associated with proper collection and disposal of end-of-life batteries.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Furthermore, an EU directive on end-of-life vehicles (the “ELV Directive”) and an EU directive on waste from electrical and electronic equipment (the “WEEE Directive”) each govern the recovery of motor vehicles and electrical and electronic equipment within the EU, providing for ambitious recovery, reuse and recycling rates. The directives require that manufacturers cover all, or a significant part, of the costs associated with recovery, reuse and recycling measures. The aforementioned directives, including the Batteries Directive, as well as an EU directive on the restrictions of the use of certain hazardous substances in electrical and electronic equipment, limit manufacturing options because they also contain prohibitions on the use of certain identified substances and materials.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 xml:space="preserve">Cross-border Import and Export of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Sales of our products and solutions may be subject to export control and sanction regulations, as well as trade policy measures, such as tariffs. We may be required to comply with export control regulations, trade and economic sanctions restrictions and embargoes imposed by multiple authorities, such as the United Nations, the EU and the United States. In addition, the EU, United States and other applicable sanctions and embargo laws and regulations vary in their application (and may be inconsistent): they do not all apply to the same covered countries, persons, groups and/or entities, projects and/or activities, and such sanctions and embargo laws and regulations may be amended or strengthened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Within our primary target market, the EU’s internal market, the principle of free movement of goods applies. When importing goods from, and exporting goods to, non-EU countries, we will have to comply with national and European foreign trade and customs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Data Protection and Privacy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GDPR applies to the processing of personal data in the context of activities of establishments in the EEA, regardless of whether the processing takes place in the EEA or not.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The GDPR also requires the implementation of appropriate technical and organizational measures, depending on the nature of the processing activities. It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so-called data protection impact assessments, at least in cases where the data processing is likely to result in a high risk to the rights and freedoms of individuals. In Germany, operators of online platforms have to comply with the specific requirements of the German Tele Media Act (</w:t>
      </w:r>
      <w:r>
        <w:rPr>
          <w:rFonts w:ascii="Times New Roman" w:hAnsi="Times New Roman"/>
          <w:i/>
          <w:caps w:val="false"/>
          <w:smallCaps w:val="false"/>
          <w:sz w:val="20"/>
        </w:rPr>
        <w:t>Telemediengesetz</w:t>
      </w:r>
      <w:r>
        <w:rPr>
          <w:rFonts w:ascii="Times New Roman" w:hAnsi="Times New Roman"/>
          <w:caps w:val="false"/>
          <w:smallCaps w:val="false"/>
          <w:sz w:val="20"/>
        </w:rPr>
        <w:t>), which takes into consideration particular aspects of online communication. For example, the German Tele Media Act provides for additional information obligations which are stricter than the general requirements of the Data Protection Act (e.g., a requirement to include an imprint on websites and apps).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An EU directive on the processing of personal data and the protection of personal data in the electronic communications sector adopted in 2002 sets out rules to ensure security in the processing of personal data, the notification of personal data breaches and confidentiality of communications through public electronic communication services such as the internet and mobile telephony. Providers of such electronic communication services must, among others, ensure that personal data are accessed by authorized persons only, are protected from being destroyed, lost or accidentally altered and from other unlawful or unauthorized forms of processing and ensure the implementation of a security policy on the processing of personal data. The e-Privacy Directive also contains several provisions aimed at ensuring the confidentiality of electronic communications and sets forth strict (consent) requirements for the use of cookies and for unsolicited communication as part of direct marketing efforts. The e-Privacy Directive has been implemented in the Netherlands by the Dutch Telecommunications Act (</w:t>
      </w:r>
      <w:r>
        <w:rPr>
          <w:rFonts w:ascii="Times New Roman" w:hAnsi="Times New Roman"/>
          <w:i/>
          <w:caps w:val="false"/>
          <w:smallCaps w:val="false"/>
          <w:sz w:val="20"/>
        </w:rPr>
        <w:t>Telecommunicatiewet</w:t>
      </w:r>
      <w:r>
        <w:rPr>
          <w:rFonts w:ascii="Times New Roman" w:hAnsi="Times New Roman"/>
          <w:caps w:val="false"/>
          <w:smallCaps w:val="false"/>
          <w:sz w:val="20"/>
        </w:rPr>
        <w:t>) and in Germany by the German Telecommunications Act (</w:t>
      </w:r>
      <w:r>
        <w:rPr>
          <w:rFonts w:ascii="Times New Roman" w:hAnsi="Times New Roman"/>
          <w:i/>
          <w:caps w:val="false"/>
          <w:smallCaps w:val="false"/>
          <w:sz w:val="20"/>
        </w:rPr>
        <w:t>Telekommunikationsgesetz</w:t>
      </w:r>
      <w:r>
        <w:rPr>
          <w:rFonts w:ascii="Times New Roman" w:hAnsi="Times New Roman"/>
          <w:caps w:val="false"/>
          <w:smallCaps w:val="false"/>
          <w:sz w:val="20"/>
        </w:rPr>
        <w:t>). On January 10, 2017, the European Commission released a proposal for a regulation of the European Parliament and of the Council of the EU concerning the respect for private life and the protection of personal data in electronic communications (the e-Privacy Regulation), which would repeal the e-Privacy Directive. The proposal is still subject to legislative procedure and debate.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March 2021, the United Nations announced UN R155 – a regulation on cybersecurity and cybersecurity management systems. The regulation requires that, from July 2022, all new vehicle types and, from July 2024, all registered vehicles must prove that their product development is based on a systematic approach to risks associated with cyber threats to their cars. The regulations have been adopted by the EU as well as jurisdictions such as Japan and South Korea. The UN regulations are not expected to be adopted in the United States or China where similar regulations are expected to be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Antitrust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Competition and antitrust laws and regulations are designed to preserve free and open competition in the marketplace to enhance competitiveness and economic efficiency. Provisions on merger control, the prohibition of anticompetitive agreements, collusive behavior, the prohibition of abuse of a dominant position and the receipt of advantages in violation of state aid rules within the market are of particular relevance for manufacturers. National and supranational competition and antitrust authorities may initiate investigations and proceedings for alleged infringements of competition or antitrust laws, which may result in significant fines or other forms of liability or impose certain limitations or conditions regarding acquisitions and certain business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Within the EU, compliance with applicable European and national competition laws is monitored by the European Commission and in some cases the national competition authorities. The EU’s antitrust rules are set out in Articles 101 and 102 of the Treaty on the Functioning of the European Union (“TFEU”). Article 101(1) of the TFEU prohibits anticompetitive agreements to the extent they are not otherwise exempted by Article 101(3) of the TFEU. Article 102 TFEU prohibits the abuse of a dominant position. Article 107 (1) TFEU prohibits the granting of state 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Class Actions to Enforce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EU and certain of its member states, there is or has been an increasing prevalence of legislation governing class actions and their use to enforce regulations. As a result of these developments, consumers have increasingly powerful legal mechanisms at their disposal to collectively sue manufacturers of consumer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EU, under the banner of “A New Deal for Consumers,” the European Commission is facilitating a trend towards the increasing availability and use of collective redress mechanisms in areas in which EU law grants rights, including in particular consumer protection rules and regulations. The European Commission made a non-binding recommendation for EU member states to adopt collective redress procedures in June 2013, subsequently consulted on progress in 2017 and published a report on the subject in January 2018. A proposal for a new directive regarding “better enforcement and modernization of EU consumer protection rules” has been put forward by the European Commission. EU member states have also been developing their own rules in this regard. In Germany a law introducing a declaratory model action (</w:t>
      </w:r>
      <w:r>
        <w:rPr>
          <w:rFonts w:ascii="Times New Roman" w:hAnsi="Times New Roman"/>
          <w:i/>
          <w:caps w:val="false"/>
          <w:smallCaps w:val="false"/>
          <w:sz w:val="20"/>
        </w:rPr>
        <w:t>Musterfeststellungsklage</w:t>
      </w:r>
      <w:r>
        <w:rPr>
          <w:rFonts w:ascii="Times New Roman" w:hAnsi="Times New Roman"/>
          <w:caps w:val="false"/>
          <w:smallCaps w:val="false"/>
          <w:sz w:val="20"/>
        </w:rPr>
        <w:t>) came into force on November 1, 2018. With this new declaratory model action, certain persons are entitled to seek a legal declaration concerning factual or legal matters regarding consumer claims. Consumers can then opt in to be bound by a judgment (and under certain circumstances also a settlement) issued in the declaratory model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Netherlands, in the event a third party is liable to a Dutch company, as a general principle only the company itself can bring a civil action against that party. The individual shareholders do not have a general right to bring an action on behalf of the company. However, in the event that the cause for the liability of a third party to the company also constitutes a tortious act directly against a shareholder, that shareholder may have an individual right of action against such third 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265"/>
        <w:gridCol w:w="4375"/>
      </w:tblGrid>
      <w:tr>
        <w:trPr/>
        <w:tc>
          <w:tcPr>
            <w:tcW w:w="2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20" w:name="P1I4C"/>
            <w:bookmarkEnd w:id="20"/>
            <w:r>
              <w:rPr>
                <w:rFonts w:ascii="Times New Roman" w:hAnsi="Times New Roman"/>
                <w:b/>
                <w:caps w:val="false"/>
                <w:smallCaps w:val="false"/>
                <w:sz w:val="20"/>
              </w:rPr>
              <w:t xml:space="preserve">C. </w:t>
            </w:r>
          </w:p>
        </w:tc>
        <w:tc>
          <w:tcPr>
            <w:tcW w:w="437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Organizational Structure Organizational Structure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Sono Group N.V., or the Company, has a single, wholly-owned Subsidiary, Sono Motors GmbH. The Subsidiary became the wholly-owned subsidiary of the Company upon conclusion of a corporate reorganization that was completed on November 27, 2020. The Subsidiary has its country of residence and incorporation in Germany, with its company address in Waldmeisterstrasse 76, 80935 Munich, Germany.</w:t>
      </w:r>
    </w:p>
    <w:p>
      <w:pPr>
        <w:pStyle w:val="TextBody"/>
        <w:bidi w:val="0"/>
        <w:spacing w:before="0" w:after="0"/>
        <w:ind w:left="0" w:right="0" w:hanging="0"/>
        <w:jc w:val="left"/>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265"/>
        <w:gridCol w:w="2680"/>
      </w:tblGrid>
      <w:tr>
        <w:trPr/>
        <w:tc>
          <w:tcPr>
            <w:tcW w:w="2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21" w:name="P1I4D"/>
            <w:bookmarkEnd w:id="21"/>
            <w:r>
              <w:rPr>
                <w:rFonts w:ascii="Times New Roman" w:hAnsi="Times New Roman"/>
                <w:b/>
                <w:caps w:val="false"/>
                <w:smallCaps w:val="false"/>
                <w:sz w:val="20"/>
              </w:rPr>
              <w:t xml:space="preserve">D. </w:t>
            </w:r>
          </w:p>
        </w:tc>
        <w:tc>
          <w:tcPr>
            <w:tcW w:w="268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headquarters are located at Waldmeisterstraße 76, 80935 Munich, Germany. We leased this property for an initial fixed term until March 31, 2022 and have the option, after the expiration of the fixed term, to extend such lease for an additional term of one year up to five times. The lease will be consecutively and automatically extended for one more year, unless the lease is terminated by either party with six-month prior written notice. The lease was extended by one year on April 1, 2023. We subsequently terminated this contract, with termination becoming effective on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have leased a workshop, which we also refer to as our “Research and Development Center,” at Waldmeisterstraße 93, 80935 Munich, Germany. We have leased this property for a fixed term until April 30, 2026. We then have the option to extend this fixed term by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also leased a storage building at Waldmeisterstraße 99, 80935 Munich, Germany. The lease started on September 1, 2022 and runs for an indefinite period. In connection with our commitment to focus exclusively on our solar business for business customers, we terminated this contract at the end of February 2023, with termination becoming effective on November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date of this document, we do not own any real estate property and only lease real estate property as described above.</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895"/>
        <w:gridCol w:w="3235"/>
      </w:tblGrid>
      <w:tr>
        <w:trPr/>
        <w:tc>
          <w:tcPr>
            <w:tcW w:w="895"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bookmarkStart w:id="22" w:name="Item_4A"/>
            <w:bookmarkEnd w:id="2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4A.</w:t>
            </w:r>
          </w:p>
        </w:tc>
        <w:tc>
          <w:tcPr>
            <w:tcW w:w="323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UNRESOLVED STAFF COMMENTS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6080" w:type="dxa"/>
        <w:jc w:val="left"/>
        <w:tblInd w:w="0" w:type="dxa"/>
        <w:tblLayout w:type="fixed"/>
        <w:tblCellMar>
          <w:top w:w="0" w:type="dxa"/>
          <w:left w:w="0" w:type="dxa"/>
          <w:bottom w:w="0" w:type="dxa"/>
          <w:right w:w="0" w:type="dxa"/>
        </w:tblCellMar>
      </w:tblPr>
      <w:tblGrid>
        <w:gridCol w:w="805"/>
        <w:gridCol w:w="5275"/>
      </w:tblGrid>
      <w:tr>
        <w:trPr/>
        <w:tc>
          <w:tcPr>
            <w:tcW w:w="805"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bookmarkStart w:id="23" w:name="P1I5"/>
            <w:bookmarkEnd w:id="2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5. </w:t>
            </w:r>
          </w:p>
        </w:tc>
        <w:tc>
          <w:tcPr>
            <w:tcW w:w="527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OPERATING AND FINANCIAL REVIEW AND PROSPECTS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should be read in conjunction with the information included under “</w:t>
      </w:r>
      <w:r>
        <w:rPr>
          <w:rFonts w:ascii="Times New Roman" w:hAnsi="Times New Roman"/>
          <w:i/>
          <w:caps w:val="false"/>
          <w:smallCaps w:val="false"/>
          <w:sz w:val="20"/>
        </w:rPr>
        <w:t>Item 4. Information on the Company</w:t>
      </w:r>
      <w:r>
        <w:rPr>
          <w:rFonts w:ascii="Times New Roman" w:hAnsi="Times New Roman"/>
          <w:caps w:val="false"/>
          <w:smallCaps w:val="false"/>
          <w:sz w:val="20"/>
        </w:rPr>
        <w:t>” and “</w:t>
      </w:r>
      <w:r>
        <w:rPr>
          <w:rFonts w:ascii="Times New Roman" w:hAnsi="Times New Roman"/>
          <w:i/>
          <w:caps w:val="false"/>
          <w:smallCaps w:val="false"/>
          <w:sz w:val="20"/>
        </w:rPr>
        <w:t>Item 18. Financial Statements</w:t>
      </w:r>
      <w:r>
        <w:rPr>
          <w:rFonts w:ascii="Times New Roman" w:hAnsi="Times New Roman"/>
          <w:caps w:val="false"/>
          <w:smallCaps w:val="false"/>
          <w:sz w:val="20"/>
        </w:rPr>
        <w:t>.” The following discussion and analysis contains forward-looking statements and involves numerous risks and uncertainties, including, but not limited to, those described in “</w:t>
      </w:r>
      <w:r>
        <w:rPr>
          <w:rFonts w:ascii="Times New Roman" w:hAnsi="Times New Roman"/>
          <w:i/>
          <w:caps w:val="false"/>
          <w:smallCaps w:val="false"/>
          <w:sz w:val="20"/>
        </w:rPr>
        <w:t>Item 3.</w:t>
      </w:r>
      <w:r>
        <w:rPr>
          <w:rFonts w:ascii="Times New Roman" w:hAnsi="Times New Roman"/>
          <w:caps w:val="false"/>
          <w:smallCaps w:val="false"/>
          <w:sz w:val="20"/>
        </w:rPr>
        <w:t xml:space="preserve"> </w:t>
      </w:r>
      <w:r>
        <w:rPr>
          <w:rFonts w:ascii="Times New Roman" w:hAnsi="Times New Roman"/>
          <w:i/>
          <w:caps w:val="false"/>
          <w:smallCaps w:val="false"/>
          <w:sz w:val="20"/>
        </w:rPr>
        <w:t>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 Actual results could differ materially from those contained in any forward-looking statements. Our historical results are not necessarily indicative of the results that may be expected for any period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particular, any forward-looking discussion and analysis included in the following is subject to, and qualified in its entirety by, future developments related to the Self-Administration Proceedings of the Company and the Subsidiary, which are described in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 The companies’ successful emergence from the respective Self-Administration Proceedings remains subject to a number of contingencies and risks, which are described in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a discussion of the year ended December 31, 2021 compared to December 31, 2020, refer to the section contained in our Annual Report on Form 20-F for the year ended December 31, 2021, “</w:t>
      </w:r>
      <w:r>
        <w:rPr>
          <w:rFonts w:ascii="Times New Roman" w:hAnsi="Times New Roman"/>
          <w:i/>
          <w:caps w:val="false"/>
          <w:smallCaps w:val="false"/>
          <w:sz w:val="20"/>
        </w:rPr>
        <w:t>Item 5: Operating and financial review and prospects</w:t>
      </w:r>
      <w:r>
        <w:rPr>
          <w:rFonts w:ascii="Times New Roman" w:hAnsi="Times New Roman"/>
          <w:caps w:val="false"/>
          <w:smallCaps w:val="false"/>
          <w:sz w:val="20"/>
        </w:rPr>
        <w:t>”. Our consolidated financial statements have been prepared in accordance with IFRS as issued by the IASB.</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believe we are a pioneer in the field of solar-powered mobility applications. We envision a world that no longer relies on the burning of fossil fuels. After terminating our Sion passenger car program due to a lack of available funding at the end of February 2023, we pivoted our business model to focus exclusively on retrofitting and integrating our proprietary solar technology onto third party vehicles, with an initial focus in the short- to medium-term on our Solar Bus Kit. We believe that our solar technology is suitable for different uses, such as buses, trucks, camper vans and passenger cars, and has the potential to accelerate the transition towards sustainable transportation. We have started to market, and are already generating limited revenues from, our proprietary solar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Following the decision to change our business model, we continued to face challenges to obtain financing and, after other financing options failed to materialize, our management ultimately concluded that our sole wholly-owned Subsidiary was over-indebted and faced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with the Company, in turn, becoming over-indebted and also facing impending illiquidity. On May 15, 2023, based on such conclusions, the Company applied to the Court to permit the opening of self-administration proceedings (</w:t>
      </w:r>
      <w:r>
        <w:rPr>
          <w:rFonts w:ascii="Times New Roman" w:hAnsi="Times New Roman"/>
          <w:i/>
          <w:caps w:val="false"/>
          <w:smallCaps w:val="false"/>
          <w:sz w:val="20"/>
        </w:rPr>
        <w:t>Eigenverwaltung</w:t>
      </w:r>
      <w:r>
        <w:rPr>
          <w:rFonts w:ascii="Times New Roman" w:hAnsi="Times New Roman"/>
          <w:caps w:val="false"/>
          <w:smallCaps w:val="false"/>
          <w:sz w:val="20"/>
        </w:rPr>
        <w:t>) with respect to the Company pursuant to Section 270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and for the same reason, the Subsidiary applied to the Court to permit the opening of self-administration proceedings in the form of a protective shield proceeding pursuant to Section 270 (d) of the German Insolvency Code. The applications, in each case, were made with the goal of sustainably restructuring the business of both Companies. On May 17, 2023 and May 19, 2023, the Court admitted the opening of the Preliminary Self-Administration Proceedings with respect to the Company and the Subsidiary, respectively. On September 1, the Court opened the Subsidiary Self-Administration Proceedings. For more information on the Self-Administration Proceedings, see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mid-November 2023, the Company entered into the Yorkville Agreements in connection with the Yorkville Investment. Subject to the satisfaction of certain conditions precedent, Yorkville will provide financing to the Company at the Closing, which the Companies expect to position them to obtain sufficient funding for their business operations, with an initial focus on the Solar Bus Kit, through the end of 2024. The Closing of the Yorkville Investment is currently expected in late January 2024. The funding from Yorkville will be provided by way of one or more new interest-bearing convertible debenture(s) that would mature on July 1, 2025. For more information on the Transactions and the Yorkville Investment,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The Planned Yorkville Investment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December 7, 2023, the Subsidiary submitted a plan under the German Insolvency Code to the Court for approval by the Subsidiary’s creditors and for subsequent confirmation by the Court as required under applicable German insolvency law in the context of the Subsidiary Self-Administration Proceeding. The plan sets out how the Subsidiary intends to restructure its debt and procure the inflow of new money, including in connection with the Yorkville Investment, and subsequently exit the Subsidiary Self-Administration Proceedings. Approval by the creditors and confirmation by the Court was obtained in the creditors meeting on December 21, 2023. The 14-day appeal period started on December 21, 2023. Only one creditor with a claim of €500 declared an appeal during the creditors meeting. No successful appeal actions in regard to the Court’s confirmation are expected by the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Company believes that, subject to the satisfactions of the conditions precedent under the Yorkville Agreements (other than the withdrawal of the Company’s Preliminary Self-Administration Proceedings), a successful implementation of the Yorkville Investment would (i) enable it to withdraw its application for Self-Administration Proceedings at the Court and (ii) enable the Subsidiary to exit the Subsidiary Self-Administration Proceedings via its plan under the German Insolvency Code, which was approved by its creditors and confirmed by the Court on December 21, 2023. However, the Companies’ successful emergence from their respective Self-Administration Proceedings remains subject to a number of contingencies and risks, including, among others, (i) whether the Companies are able to successfully fulfill the conditions precedent to the Closing so as to gain access to the funding offered by Yorkville under the Yorkville Investment, (ii) whether the Court’s confirmation of the plan under the German Insolvency Code remains unaffected by any appeals or other challenges that may be raised during the 14-day appeals period that began on December 21, 2023, and (iii) if the Court’s confirmation of the Subsidiary's plan under the German Insolvency Code remains unaffected, whether the plan can be successfully implemented. For more information see “I</w:t>
      </w:r>
      <w:r>
        <w:rPr>
          <w:rFonts w:ascii="Times New Roman" w:hAnsi="Times New Roman"/>
          <w:i/>
          <w:caps w:val="false"/>
          <w:smallCaps w:val="false"/>
          <w:sz w:val="20"/>
        </w:rPr>
        <w:t>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w:t>
      </w:r>
      <w:r>
        <w:rPr>
          <w:rFonts w:ascii="Times New Roman" w:hAnsi="Times New Roman"/>
          <w:i/>
          <w:caps w:val="false"/>
          <w:smallCaps w:val="false"/>
          <w:sz w:val="20"/>
        </w:rPr>
        <w:t>The Company may not be able to successfully close and implement the Yorkville Investment, which would delay or prevent our emergence from the Self-Administration Proceedings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are able to successfully emerge from the Self-Administration Proceedings, we intend to continue to pursue our disruptive solar technology, with an initial focus in the short- to medium-term on our Solar Bus Kit. Our solar technology allows for full solar integration in all kinds of vehicles, and we currently plan to continue pursuing such projects, with a planned increase in time and energy devoted to such other solar integration projects in the medium- to long-term, depending on the success of future capital raising efforts. In the process of developing the Sion, we soon realized that the solar technology that was available at the time was not well-suited for mobility applications. Traditional solar technology relies on glass to cover the solar cells. Glass is, however, heavy, relatively inflexible, expensive and dangerous in crash situations. Our polymer technology solves these issues. It is lightweight, allows for flexible surface integration via our patented injection molding process, is affordable due to fast and lean production, avoids the risk of bodily harm caused by broken glass and has proven to meet our expectations in crash tests. We have also developed other critical components for the use of solar technology in mobility applications. We have, through our maximum power point tracker central unit, or MCU, solved the issue that solar cells will be mounted on different parts of the exterior, which will lead to uneven exposure to sunlight and in turn to losses in solar energy production. Through rapid adaptation and the multi-channel approach of our MCU, relevant parts of the vehicle can be turned on or off for power production – despite quickly changing shading conditions. This ultimately leads to a high-efficiency system for feeding solar energy into the battery.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technology allows for the seamless integration of solar cells into the full body of a car and the charging of its battery through the power of the sun. However, solar technology has many other potential applications, and its use cases extend far beyond passenger cars, allowing for grid-independent charging and a reduction of running costs or total costs of ownership in transport-related use cases, such as trucks, buses and recreational vehicles. Fleet operators may use our technology to retrofit existing vehicles, to extend the range of battery electric vehicles, or BEVs, or to comply with emission regulations. The transport and logistics industries in particular are very focused on total cost of ownership. We believe our solar integration can reduce their running costs significantly. Manufacturers may also use our technology for new production vehicles. We have several patents granted or within the filing-process protecting our proprietary technology.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have already generated limited revenues from our proprietary solar technology, having shipped prototypes and solar retrofits to customers. We have also been building up a customer base by signing non-binding letters of intent and purchase orders. We expect the Yorkville Investment to position them to obtain sufficient funding for their business operations, with an initial focus on the Solar Bus Kit, through the end of 2024. Our available cash and cash equivalents, together with financing under the Yorkville Investment, will not be sufficient to secure our funding needs until such point in time when we expect the monetization of our solar technology to reach sufficient scale. According to our current estimates, and under the assumptions that the Company successfully withdraws from its Self-Administration Proceedings and closes the Yorkville Transaction, we expect to need additional funding of approximately €9.0 million until the end of 2024 including any cash leftover on the Company’s bank accounts following the completion of all restructuring procedures. Our expected future sources of funding, beyond the Yorkville Investment, are subject to developments with respect to the Self-Administration Proceedings, in particular whether we are able to successfully close and implement the planned Yorkville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the year ended December 31, 2022 we had a loss for the period of €183.7 million, compared to a loss for the period for the year ended December 31, 2021 of €63.9 million. We have incurred net losses since our inception in March 2016, resulting in an accumulated deficit of €330.8 million as of December 31, 2022 compared to an accumulated deficit of €147.1 million as of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emerge from the Self-Administration Proceedings, our business will be restructured, which would include the release of significant liabilities, and will likely entail significant changes to our consolidated balance sheet and consolidated statement of operations. As a result, our financial information going forward may in many respects not be comparable to our historical financial information. In addition, the financial information for the periods under review mainly include expenses related to the Sion project, which was terminated in February 2023. Accordingly, the financial information contained in this annual report on Form 20-F is likely not indicative of any future financial information and has only limited value for purposes of assessing our solar-only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Assuming we are able to successfully emerge from the Self-Administration Proceedings, and subject to any business plan elaborated in the context of these proceedings, we expect to generate revenue from monetization of our solar technology in the future. The potential scope of application of our solar technology goes significantly beyond passenger cars. While our initial focus in the short- to medium-term is expected to be on our Solar Bus Kit, we believe that our solar technology has the potential to be used in existing markets, for example for trucks and trailers. We may also produce and sell certain selected solar components, license our patents to third parties or seek to generate service revenue from providing engineering services to third parties. We have shipped prototypes or solar retrofits to customers, generating revenue of approximately €229 thousand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Through February 2023, we also worked on, and incurred significant expenses for, the development of the Sion, which we had envisaged to become an affordable solar electric vehicle. Due to a lack of available funding, we decided to terminate the development of the Sion and focus on our solar technology. We currently seek to sell the Sion project, potentially together with our car-sharing and ride-pooling application. Any proceeds from the sale of the Sion project will be used to satisfy claims of the Subsidiary’s creditors in the Subsidiary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Factors Affecting Our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believe that our performance and future success depend on several factors that present significant opportunities for us but also pose risks and challenges, including those set forth in the section entitled “</w:t>
      </w:r>
      <w:r>
        <w:rPr>
          <w:rFonts w:ascii="Times New Roman" w:hAnsi="Times New Roman"/>
          <w:i/>
          <w:caps w:val="false"/>
          <w:smallCaps w:val="false"/>
          <w:sz w:val="20"/>
        </w:rPr>
        <w:t>Risk Factors</w:t>
      </w:r>
      <w:r>
        <w:rPr>
          <w:rFonts w:ascii="Times New Roman" w:hAnsi="Times New Roman"/>
          <w:caps w:val="false"/>
          <w:smallCaps w:val="false"/>
          <w:sz w:val="20"/>
        </w:rPr>
        <w:t>.” In particular, future developments depend on the outcome of the pending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emerge from the Self-Administration Proceedings, our business will be restructured, which would include the release of significant liabilities, and will likely entail significant changes to our consolidated balance sheet and consolidated statement of operations. In addition, due to the opening of the self-administration proceedings, the Company lost control of  the Subsidiary, on May 19, 2023. The effect of this loss of control is that in 2023, the results of the Subsidiary will be consolidated up until the loss of and the assets and liabilities of the Subsidiary will be derecognized from the consolidated statement of financial position. It is expected that there will also be an impact  recognized in the profit or loss attributable to the Company. It is expected that this loss of control to be temporary, with control being regained when the subsidiary exits the insolvency proceedings being consolidated again within the Group. As a result, our financial information going forward may in many respects not be comparable to our historical financial information. In addition, the financial information for the periods under review mainly include expenses related to the Sion project, which was terminated in February 2023. Accordingly, the financial information contained in this annual report on Form 20-F is likely not indicative of any future financial information and has only limited value for purposes of assessing our solar-only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Planned Yorkville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planned Yorkville Investment would be in the form of one or more interest-bearing convertible debentures that will mature on July 1, 2025. These instruments would be similar to the convertible debentures already issued to Yorkville in December 2022. In accordance with the applicable accounting standards, the convertible debentures are likely to be fair valued upon recognition and have an impact on the profit and loss of the Company. It is expected that the instrument will be converted over time, resulting in the issuance of new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Reservations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Through February 2023, we worked on developing the Sion and accepted reservations and advance payments from customers for the Sion. Until we terminated the Sion passenger car program, an advance payment liability was recognized at the time the cash was collected by Sono Group. Given that the Sion will not be delivered, advance payments are due back to customers. On February 24, 2023, Sono Group proposed a payment plan to reimburse reservation holders for advance payments in three installments (May 2023, June 2024 and January 2025) over the next two years. Reservation holders who accepted the payment plan would have received a one-time bonus of 5% on the amount of the advance payment to be paid with the third installment. Reservation holders could also waive repayment. Approximately 2% of the total advance payments waived repayments. Upon applying for the Self-Administration Proceedings, we became generally prohibited from paying any pre-petition debt. As a result, the payment plan for reservation holders is no longer relevant and all outstanding advance payments will be handled through the creditor proceedings. For information on the accounting treatment of the advance payments for historical periods and following our decision to change our business model, see “</w:t>
      </w:r>
      <w:r>
        <w:rPr>
          <w:rFonts w:ascii="Times New Roman" w:hAnsi="Times New Roman"/>
          <w:i/>
          <w:caps w:val="false"/>
          <w:smallCaps w:val="false"/>
          <w:sz w:val="20"/>
        </w:rPr>
        <w:t>Notes to the Consolidated Financial Statements</w:t>
      </w:r>
      <w:r>
        <w:rPr>
          <w:rFonts w:ascii="Times New Roman" w:hAnsi="Times New Roman"/>
          <w:caps w:val="false"/>
          <w:smallCaps w:val="false"/>
          <w:sz w:val="20"/>
        </w:rPr>
        <w:t>—</w:t>
      </w:r>
      <w:r>
        <w:rPr>
          <w:rFonts w:ascii="Times New Roman" w:hAnsi="Times New Roman"/>
          <w:i/>
          <w:caps w:val="false"/>
          <w:smallCaps w:val="false"/>
          <w:sz w:val="20"/>
        </w:rPr>
        <w:t>4. Significant accounting policies</w:t>
      </w:r>
      <w:r>
        <w:rPr>
          <w:rFonts w:ascii="Times New Roman" w:hAnsi="Times New Roman"/>
          <w:caps w:val="false"/>
          <w:smallCaps w:val="false"/>
          <w:sz w:val="20"/>
        </w:rPr>
        <w:t>—</w:t>
      </w:r>
      <w:r>
        <w:rPr>
          <w:rFonts w:ascii="Times New Roman" w:hAnsi="Times New Roman"/>
          <w:i/>
          <w:caps w:val="false"/>
          <w:smallCaps w:val="false"/>
          <w:sz w:val="20"/>
        </w:rPr>
        <w:t>4.8 Advance payments received from customers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Monetization of Our Solar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of October 16, 2023, we had 5 patents granted and 61 patents or patent/utility model applications filed. Patents relating to the same technology, but filed in different jurisdictions, are counted separately. In connection with the Self-Administration proceedings, we have decided to no longer pursue one of our previously filed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patent applications mainly relate to our solar technology. We also plan to license our technologies to third parties. We have already received purchase orders or entered into several non-binding letters of intent for partnerships, including with manufacturers of trailers, autonomous electric shuttles, trucks and buses that may use our technology in their own products. Any plans to monetize our solar technology are subject to developments with respect to the Self-Administration Proceedings we have applied 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Ability to Control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emerge from the Self-Administration Proceedings and provided we are able to launch the commercialization of our solar technology, we would expect that our cost of sales will be affected by fluctuations in certain raw material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are able to successfully emerge from the Self-Administration Proceedings, we would expect to continue to incur expenses related to the refinement of our technology and that our development expenses will constitute a substantial part of our expenses in future periods. We would only incur development expenses to the extent we believe that we are able to secure necessary financing, since we would expect to continue to depend on significant external financing for additional development activities. Elevated inflation levels, should they persist, may lead to an increase in our development costs and financing needs. Any plans regarding our development expenses are subject to developments with respect to the Self-Administration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Capital Expenditure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Prior to the change in our business model, our capital expenditure in the periods under review related to property, plant and equipment concerning the discontinued Sion program. Following our pivot to solar only in February 2023, we operated on an asset-light basis, which meant that our capital expenditure was very limited, until we applied for Self-Administration Proceedings on May 15,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Unused Tax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have substantial carried-forward tax losses resulting from our negative taxable income in 2022, 2021, 2020 and prior fiscal years. Given that our estimated taxable income for the foreseeable future will not be sufficient to recover these carried-forward losses we have not recognized deferred tax assets on the balance sheet as of December 31, 2020, December 31, 2021 or December 31, 2022. Our unused tax losses as of December 31, 2022, for which no tax asset has been recognized, were €252.1 million (corporate income tax) and €251.3 million (trade tax). Assuming a total tax rate of 32.98%, our unused corporate income and trade tax losses correspond to a potential undiscounted tax benefit of €83 million. Only up to 60% of our annual taxable income, to the extent such taxable income exceeds €1 million, may be offset against tax loss carry forwards. The remaining 40% of the taxable income is subject to corporate income and trade tax under the so-called minimum taxation rules. Annual taxable income for corporate income tax and trade tax purposes of up to €1 million could fully be offset against tax loss carry-forwards. However, due to the termination of the Sion program, existing tax loss carry forwards may be forfeited to the extent no built-in gains (</w:t>
      </w:r>
      <w:r>
        <w:rPr>
          <w:rFonts w:ascii="Times New Roman" w:hAnsi="Times New Roman"/>
          <w:i/>
          <w:caps w:val="false"/>
          <w:smallCaps w:val="false"/>
          <w:sz w:val="20"/>
        </w:rPr>
        <w:t>stille Reserven</w:t>
      </w:r>
      <w:r>
        <w:rPr>
          <w:rFonts w:ascii="Times New Roman" w:hAnsi="Times New Roman"/>
          <w:caps w:val="false"/>
          <w:smallCaps w:val="false"/>
          <w:sz w:val="20"/>
        </w:rPr>
        <w:t>) exist as of December 31, 2022. The built-in gains as of December 31, 2022 have not yet been determined. Therefore, it is currently unclear whether all tax losses can still be carried forward. For more information see “</w:t>
      </w:r>
      <w:r>
        <w:rPr>
          <w:rFonts w:ascii="Times New Roman" w:hAnsi="Times New Roman"/>
          <w:i/>
          <w:caps w:val="false"/>
          <w:smallCaps w:val="false"/>
          <w:sz w:val="20"/>
        </w:rPr>
        <w:t>Notes to the Consolidated Financial Statements</w:t>
      </w:r>
      <w:r>
        <w:rPr>
          <w:rFonts w:ascii="Times New Roman" w:hAnsi="Times New Roman"/>
          <w:caps w:val="false"/>
          <w:smallCaps w:val="false"/>
          <w:sz w:val="20"/>
        </w:rPr>
        <w:t>—</w:t>
      </w:r>
      <w:r>
        <w:rPr>
          <w:rFonts w:ascii="Times New Roman" w:hAnsi="Times New Roman"/>
          <w:i/>
          <w:caps w:val="false"/>
          <w:smallCaps w:val="false"/>
          <w:sz w:val="20"/>
        </w:rPr>
        <w:t>4. Significant accounting policies</w:t>
      </w:r>
      <w:r>
        <w:rPr>
          <w:rFonts w:ascii="Times New Roman" w:hAnsi="Times New Roman"/>
          <w:caps w:val="false"/>
          <w:smallCaps w:val="false"/>
          <w:sz w:val="20"/>
        </w:rPr>
        <w:t>—</w:t>
      </w:r>
      <w:r>
        <w:rPr>
          <w:rFonts w:ascii="Times New Roman" w:hAnsi="Times New Roman"/>
          <w:i/>
          <w:caps w:val="false"/>
          <w:smallCaps w:val="false"/>
          <w:sz w:val="20"/>
        </w:rPr>
        <w:t>4.12.8. Recoverability of deferred tax assets in relation to loss carryforwards</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Our Company</w:t>
      </w:r>
      <w:r>
        <w:rPr>
          <w:rFonts w:ascii="Times New Roman" w:hAnsi="Times New Roman"/>
          <w:caps w:val="false"/>
          <w:smallCaps w:val="false"/>
          <w:sz w:val="20"/>
        </w:rPr>
        <w:t>’</w:t>
      </w:r>
      <w:r>
        <w:rPr>
          <w:rFonts w:ascii="Times New Roman" w:hAnsi="Times New Roman"/>
          <w:i/>
          <w:caps w:val="false"/>
          <w:smallCaps w:val="false"/>
          <w:sz w:val="20"/>
        </w:rPr>
        <w:t>s Status</w:t>
      </w:r>
      <w:r>
        <w:rPr>
          <w:rFonts w:ascii="Times New Roman" w:hAnsi="Times New Roman"/>
          <w:caps w:val="false"/>
          <w:smallCaps w:val="false"/>
          <w:sz w:val="20"/>
        </w:rPr>
        <w:t>—</w:t>
      </w:r>
      <w:r>
        <w:rPr>
          <w:rFonts w:ascii="Times New Roman" w:hAnsi="Times New Roman"/>
          <w:i/>
          <w:caps w:val="false"/>
          <w:smallCaps w:val="false"/>
          <w:sz w:val="20"/>
        </w:rPr>
        <w:t>Our ability to use our net operating loss carryforwards and other tax attributes may be limited</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Conversion Stock Option Program (CSOP) and Employee Stock Option Program (ESOP)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first half of 2018, we set up two similar employee participation programs for our staff members and selected managers of Sono Motors based on virtual shares. In December 2020, we offered all participants of the aforementioned employee participation programs as well as six additional members of our staff to exchange their virtual shares for actual stock options under a newly set up employee participation program, our conversion stock option program (the “CSOP”), which is equity settled. As of December 31, 2022, 88 employees, including all those participating in the original employee participation program but one, have joined the CSOP. We recorded expenses in the amount of €0.7 million in 2022 and €1.9 million in 2021 for the CSOP.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2022, we intended to implement a new employee stock option program (the “ESOP”) for the years 2021, 2022 and 2023. In February 2023, we offered our employees, including those who will leave us in connection with our strategy shift towards a solar-only business model, the right to participate in the ESOP with a grant value of approximately 10% of their annual salary on a pro rata basis for their periods of employment during those years. We recorded expenses of €0.3 million in 2022 for the ESOP as employees have already rendered services related to stock options that have yet to be granted.</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There is uncertainty over the future of the ESOP due to the Self-Administration Proceedings and the restructuring plan submitted to the Court in connection with the Subsidiary Self-Administration Proceedings. The potential changes in financing, anticipated delisting of our shares from Nasdaq, as determined by the Panel in its delist decision from December 11, 202, and potential changes in management or ownership structures of the Companies may result in share options not being formally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COVID-19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2020, COVID-19 caused a global pandemic. During 2022, the effects of the pandemic were still present. In response to this pandemic, governments as well as private organizations implemented numerous measures seeking to contain the virus. These measures disrupted the manufacturing, delivery and overall supply chain. At the same time, we took actions to maintain operations and protect employees from infection. Since 2020, COVID-19 has had a slightly negative impact on orders and advance payments received from customers under our Sion passenger car program, which was terminated in February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War in Ukraine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February 2022, the government of Russia invaded Ukraine across a broad front. In response to this aggression, governments around the world have imposed severe sanctions against Russia. These sanctions disrupted the manufacturing, delivery and overall supply chain of vehicle manufacturers and suppliers. We cannot yet foresee the full extent of the sanction’s impact on our business and operations and such impact will depend on future developments of the war, which is highly uncertain and unpredictable. The war has also negatively impacted suppliers located in the Ukraine, which negatively affected the availability of car components. The war could have a material impact on our results of operations, liquidity, and capital management. We will continue to monitor the situation and the effect of this development on our liquidity and capital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Components of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emerge from the Self-Administration Proceedings, we expect our business to be restructured, which would include the release of significant liabilities, and will likely entail significant changes to our consolidated balance sheet and consolidated statement of operations. In addition, due to the opening of the self-administration proceedings, the Company lost control of  the Subsidiary, on May 19, 2023. The effect of this loss of control is that in 2023, the results of the Subsidiary will be consolidated up until the loss of and the assets and liabilities of the Subsidiary will be derecognized from the consolidated statement of financial position. It is expected that there will also be an impact  recognized in the profit or loss attributable to the Company. It is expected that this loss of control to be temporary, with control being regained when the subsidiary exits the insolvency proceedings being consolidated again within the Group. As a result, our financial information going forward may in many respects not be comparable to our historical financial information. In addition, the financial information for the periods under review mainly include expenses related to the Sion project, which was terminated in February 2023. Accordingly, the historical financial information contained in this annual report on Form 20-F is likely not indicative of any future financial information and has only limited value for purposes of assessing our solar-only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recognize revenues, which have historically been overall insignificant, primarily from the sale and installation of our Solar Bus Kit, a retrofit solution for existing combustion engine buses in order to reduce total cost of ownership and CO2 and from and the integration of our patented solar technology across other transportation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2021 and 2022, we recorded a marginal amount of cost of sales relating to monetization of our solar technology and launch of the Sono app. In 2020 we did not incur any cost of sales as we only started monetizing our solar technology in the second half of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operating expenses consist of research and development expenses and 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Cost of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There were no research expenses included in our profit and loss in 2021 and 2022, as we did not perform research. Our development expenses consist of (i) personnel expenses for our development staff, including salaries and bonuses and the relevant share of expenses relating to the CSOP, (ii) development cost for prototypes, our car-sharing and ride-pooling application and solar integration, (iii) professional services and (iv) other expenses. Development costs are expensed as incurred. As the recognition criteria for the capitalization of development cost have not been met, all development expenses were recognized in profit or loss as incurred in all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Selling and Distribution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selling and distribution expenses consist of (i) employee compensation for employees responsible for marketing activities, such as social media, e-mail marketing, trade shows and other channels, including salaries and bonuses and the relevant share of expenses relating to the CSOP, (ii) marketing and promotional expenses, (iii) expenses for professional services and (iv)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general and administrative expenses consist of (i) personnel expenses for employees responsible for areas such as finance, human resources, business development, administration, including salaries and bonuses and the relevant share of expenses relating to the CSOP, (ii) expenses for professional services, such as accounting, tax, legal and other external services, (iii) expenses without sufficient supporting documentation, including underlying invoices, and (iv)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Other Operating Income/Expenses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other operating income primarily consists of agency fees, donations, statutory reimbursements for personnel expenses, government grants and other 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other operating expenses primarily relate to foreign exchange losses resulting from the conversion from USD to EUR.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Interest and Similar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Interest and similar income relates to interest income from VAT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Interest and Similar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Interest and similar expenses largely consist of interest expenses related to the compounding effect for advance payments received from customers and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bookmarkStart w:id="24" w:name="P1I5A"/>
      <w:bookmarkEnd w:id="24"/>
      <w:r>
        <w:rPr>
          <w:rFonts w:ascii="Times New Roman" w:hAnsi="Times New Roman"/>
          <w:b/>
          <w:caps w:val="false"/>
          <w:smallCaps w:val="false"/>
          <w:sz w:val="20"/>
        </w:rPr>
        <w:t>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shows information taken from our consolidated statement of income (loss) and statements of comprehensive income (loss) for the years ended December 31, 2022 and 2021:</w:t>
      </w:r>
    </w:p>
    <w:p>
      <w:pPr>
        <w:pStyle w:val="TextBody"/>
        <w:bidi w:val="0"/>
        <w:spacing w:before="0" w:after="0"/>
        <w:ind w:left="0" w:right="0" w:hanging="0"/>
        <w:jc w:val="left"/>
        <w:rPr>
          <w:caps w:val="false"/>
          <w:smallCaps w:val="false"/>
        </w:rPr>
      </w:pPr>
      <w:r>
        <w:rPr>
          <w:caps w:val="false"/>
          <w:smallCaps w:val="false"/>
        </w:rPr>
        <w:t> </w:t>
      </w:r>
    </w:p>
    <w:tbl>
      <w:tblPr>
        <w:tblW w:w="8191" w:type="dxa"/>
        <w:jc w:val="left"/>
        <w:tblInd w:w="0" w:type="dxa"/>
        <w:tblLayout w:type="fixed"/>
        <w:tblCellMar>
          <w:top w:w="0" w:type="dxa"/>
          <w:left w:w="0" w:type="dxa"/>
          <w:bottom w:w="0" w:type="dxa"/>
          <w:right w:w="0" w:type="dxa"/>
        </w:tblCellMar>
      </w:tblPr>
      <w:tblGrid>
        <w:gridCol w:w="6380"/>
        <w:gridCol w:w="60"/>
        <w:gridCol w:w="80"/>
        <w:gridCol w:w="733"/>
        <w:gridCol w:w="107"/>
        <w:gridCol w:w="80"/>
        <w:gridCol w:w="80"/>
        <w:gridCol w:w="591"/>
        <w:gridCol w:w="8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671" w:type="dxa"/>
            <w:gridSpan w:val="6"/>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 xml:space="preserve">For the year ended </w:t>
              <w:br/>
              <w:t>December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07" w:type="dxa"/>
            <w:tcBorders>
              <w:bottom w:val="single" w:sz="2"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160" w:right="0" w:hanging="0"/>
              <w:jc w:val="left"/>
              <w:rPr/>
            </w:pPr>
            <w:r>
              <w:rPr/>
              <w:t> </w:t>
            </w:r>
          </w:p>
        </w:tc>
        <w:tc>
          <w:tcPr>
            <w:tcW w:w="671"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671" w:type="dxa"/>
            <w:gridSpan w:val="6"/>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(in € millions)</w:t>
            </w:r>
          </w:p>
        </w:tc>
        <w:tc>
          <w:tcPr>
            <w:tcW w:w="8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w:t>
            </w:r>
          </w:p>
        </w:tc>
        <w:tc>
          <w:tcPr>
            <w:tcW w:w="1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Gross loss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(0.2</w:t>
            </w:r>
          </w:p>
        </w:tc>
        <w:tc>
          <w:tcPr>
            <w:tcW w:w="107"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(0.0</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r>
        <w:trPr/>
        <w:tc>
          <w:tcPr>
            <w:tcW w:w="6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development expenses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(158.5</w:t>
            </w:r>
          </w:p>
        </w:tc>
        <w:tc>
          <w:tcPr>
            <w:tcW w:w="1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and distribution expenses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1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1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operating income/expenses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 losses on financial assets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(181.4</w:t>
            </w:r>
          </w:p>
        </w:tc>
        <w:tc>
          <w:tcPr>
            <w:tcW w:w="107"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(59.2</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r>
        <w:trPr/>
        <w:tc>
          <w:tcPr>
            <w:tcW w:w="6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and similar income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and similar expense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1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tax</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(183.7</w:t>
            </w:r>
          </w:p>
        </w:tc>
        <w:tc>
          <w:tcPr>
            <w:tcW w:w="107"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(63.9</w:t>
            </w:r>
          </w:p>
        </w:tc>
        <w:tc>
          <w:tcPr>
            <w:tcW w:w="80"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r>
        <w:trPr/>
        <w:tc>
          <w:tcPr>
            <w:tcW w:w="6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Taxes on income and earnings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taxes on expense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for the period</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(183.7</w:t>
            </w:r>
          </w:p>
        </w:tc>
        <w:tc>
          <w:tcPr>
            <w:tcW w:w="107"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(64.0</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r>
        <w:trPr/>
        <w:tc>
          <w:tcPr>
            <w:tcW w:w="6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 that will not be reclassified to profit or loss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6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comprehensive loss for the period</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(183.7</w:t>
            </w:r>
          </w:p>
        </w:tc>
        <w:tc>
          <w:tcPr>
            <w:tcW w:w="107"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6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(63.9</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Revenue increased from €16 thousand in 2021 to €229 thousand in 2022 primarily due to an increase in the number of customers and their orders of prototypes for testing integration of Sono Group’s solar technology onto vehicles produced or sold by these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Cost of Goods Sold</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Cost of Sales increased from €58 thousand in 2021 to €392 thousand in 2022 following the growth in revenue, relating to the monetization of our solar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Gross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2022, we incurred a gross loss of €0.2 million relating to the monetization of our solar technology as compared to a gross loss of €0.0 million in 2021. As most of our revenues are currently generated from prototype projects, our gross loss reflects our planned and expected higher cost of sales in proportion to revenues at this stage of development as we prepare for market entry.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Cost of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Cost of development expenses increased from €40.6 million in 2021 to €158.5 million in 2022, primarily due to recognition of impairment on Sion-related assets due to the termination of the Sion program, and an expansion in efforts on the development of the new prototype generation, leading to development costs for prototypes of €83.2 million in 2022 compared to €27.6 million in 2021. In connection with this expansion and the respective growth of the number of employees involved in development, personnel expenses increased significantly from €11.3 million in 2021 to €21.4 million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Selling and Distribution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Selling and distribution expenses increased slightly from €3.2 million in 2021 to €3.6 million in 2022, primarily due to an increase in advertising expenses from €0.4 million in 2021 to €1.3 million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increased from €13.1 million in 2021 to €20.0 million in 2022, due to higher personnel expenses, which increased from €4.6 million in 2021 to €6.0 million in 2022, as well as an increase in insurance expenses from €0.3 million in 2021 to €3.5 million in 2022 and software fees and subscriptions from €0.2 million in 2021 to €1.2 million in 2022. Personnel expenses increased primarily due to an increase in the number of employees. Insurance expenses increased substantially due to costs related to directors’ and officers’ liability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Other Operating Income/Expenses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2022, other operating income increased from €0.3 million in 2021 to €1.6 million resulting from increased income from currency revaluations.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Other operating expenses increased from €0.5 million in 2021 to €0.7 million in 2022. In both 2022 and 2021 the majority of the other operating expenses mainly related to foreign exchange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Operating Loss, Loss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Operating loss increased from €59.2 million in 2021 to €181.4 million in 2022, primarily due to an increase in cost of development and general and administrative expenses. Including the impact of interest and similar income, of interest and similar expenses and tax on income, loss for the period increased from €64.0 million in 2021 to €183.7 million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bookmarkStart w:id="25" w:name="P1I5B"/>
      <w:bookmarkEnd w:id="25"/>
      <w:r>
        <w:rPr>
          <w:rFonts w:ascii="Times New Roman" w:hAnsi="Times New Roman"/>
          <w:b/>
          <w:caps w:val="false"/>
          <w:smallCaps w:val="false"/>
          <w:sz w:val="20"/>
        </w:rPr>
        <w:t>B. Liquidity and Capital Resources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of December 31, 2022, cash and cash equivalents were at €30.4 million compared to €33.4 million as of September 30, 2022 and €132.9 million as of December 31, 2021. Cash and cash equivalents consist of cash in bank accounts and deposits.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currently do not generate any material revenue from our operations. We incur, however, significant expenses related to refinement of our solar technology and general and administrative functions. Until February 2023, we also incurred significant expenses related to the development of the Sion. Following our decision to terminate the Sion passenger car program, we are faced with substantial additional costs and cash outflows associated with the change in our business model, including reimbursements of advance payments to our reservation holders. When financing options failed to materialize following our termination of the Sion program, we decided to apply for the Self-Administration Proceedings on May 15, 2023.</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past, we mainly raised capital in the form of equity or equity-linked debt. We also raised capital through advance payments on reservations for the Sion. In the context of equity or equity-linked debt, we raised funds through the placement of pre-IPO mandatory convertible bonds in November 2020, as well as through our IPO in November 2021, our follow-on offering in May 2022, the committed equity financing entered into in June 2022 and pursuant to the securities purchase agreement entered into with Yorkville in December 2022. Finally, we have received limited grants from government agencies and similar bodies like the EU for participation in specific research and development projects.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expect our currently existing obligations, including with respect to advance payments made for Sion reservations, to be settled in the context of the Self-Administration Proceedings. Since its application for Self-Administration Proceedings, the Subsidiary has been prohibited from paying pre-petition debt, subject to certain exceptions. In connection with its Self-Administration Proceedings, the Subsidiary submitted a plan under the German Insolvency Code to the Court on December 7, 2023 that set out how the company intends to restructure its debt and procure the inflow of new money. Approval by the creditors and confirmation by the Court was obtained in the creditors meeting on December 21, 2023. The 14-day appeal period started on December 21, 2023. If the Court’s confirmation of the plan under the German Insolvency Code remains unaffected and the plan is implemented, any advance payments to be made to reservation holders will be made in accordance with the plan under the German Insolvency Code. In the event of liquidation, payments to reservation holders will be made according to the waterfall set forth in German insolvency law. See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able to successfully emerge from the Self-Administration Proceedings, we expect to continue to rely on external financing to cover our expenses and cash needs beyond 2024. As in the past, we would expect that our ability to raise external financing would continue to be highly dependent on further progress in the development and refinement of our solar technology and successful communication to potential external investors. While the planned Yorkville Investment, if successfully closed and implemented, should enable us to resume our operations with a focus on our Solar Bus Kit through the end of 2024, we expect additional financing to be necessary to undertake additional development activities for our Solar Bus Kit and other retrofitting and solar integration solutions, to pay overhead costs, and possibly to also repay convertible debentures.  If we are able to emerge successfully from the Self-Administration Proceedings, risks and uncertainties related to the supply chain, negative cost development, technical challenges and the war in Ukraine may negatively affect our business, liquidity and financial position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also “</w:t>
      </w:r>
      <w:r>
        <w:rPr>
          <w:rFonts w:ascii="Times New Roman;Times;serif" w:hAnsi="Times New Roman;Times;serif"/>
          <w:i/>
          <w:sz w:val="20"/>
        </w:rPr>
        <w:t xml:space="preserve">Note 8.1.3 </w:t>
      </w:r>
      <w:r>
        <w:rPr>
          <w:rFonts w:ascii="Times New Roman;Times;serif" w:hAnsi="Times New Roman;Times;serif"/>
          <w:sz w:val="20"/>
        </w:rPr>
        <w:t>“</w:t>
      </w:r>
      <w:r>
        <w:rPr>
          <w:rFonts w:ascii="Times New Roman;Times;serif" w:hAnsi="Times New Roman;Times;serif"/>
          <w:i/>
          <w:sz w:val="20"/>
        </w:rPr>
        <w:t>Liquidity risk</w:t>
      </w:r>
      <w:r>
        <w:rPr>
          <w:rFonts w:ascii="Times New Roman;Times;serif" w:hAnsi="Times New Roman;Times;serif"/>
          <w:sz w:val="20"/>
        </w:rPr>
        <w:t>” to the audited consolidated financial statements as of and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shows selected information taken from our consolidated cash flow statements for the years ended December 31, 2022 and 2021:</w:t>
      </w:r>
    </w:p>
    <w:p>
      <w:pPr>
        <w:pStyle w:val="TextBody"/>
        <w:bidi w:val="0"/>
        <w:spacing w:before="0" w:after="0"/>
        <w:ind w:left="0" w:right="0" w:hanging="0"/>
        <w:jc w:val="left"/>
        <w:rPr>
          <w:caps w:val="false"/>
          <w:smallCaps w:val="false"/>
        </w:rPr>
      </w:pPr>
      <w:r>
        <w:rPr>
          <w:caps w:val="false"/>
          <w:smallCaps w:val="false"/>
        </w:rPr>
        <w:t> </w:t>
      </w:r>
    </w:p>
    <w:tbl>
      <w:tblPr>
        <w:tblW w:w="6435" w:type="dxa"/>
        <w:jc w:val="left"/>
        <w:tblInd w:w="0" w:type="dxa"/>
        <w:tblLayout w:type="fixed"/>
        <w:tblCellMar>
          <w:top w:w="0" w:type="dxa"/>
          <w:left w:w="0" w:type="dxa"/>
          <w:bottom w:w="0" w:type="dxa"/>
          <w:right w:w="0" w:type="dxa"/>
        </w:tblCellMar>
      </w:tblPr>
      <w:tblGrid>
        <w:gridCol w:w="4625"/>
        <w:gridCol w:w="60"/>
        <w:gridCol w:w="77"/>
        <w:gridCol w:w="707"/>
        <w:gridCol w:w="103"/>
        <w:gridCol w:w="77"/>
        <w:gridCol w:w="77"/>
        <w:gridCol w:w="629"/>
        <w:gridCol w:w="8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670" w:type="dxa"/>
            <w:gridSpan w:val="6"/>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 xml:space="preserve">For the year ended </w:t>
              <w:br/>
              <w:t>December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03"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160" w:right="0" w:hanging="0"/>
              <w:jc w:val="left"/>
              <w:rPr/>
            </w:pPr>
            <w:r>
              <w:rPr/>
              <w:t> </w:t>
            </w:r>
          </w:p>
        </w:tc>
        <w:tc>
          <w:tcPr>
            <w:tcW w:w="706"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670" w:type="dxa"/>
            <w:gridSpan w:val="6"/>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(in € millions)</w:t>
            </w:r>
          </w:p>
        </w:tc>
        <w:tc>
          <w:tcPr>
            <w:tcW w:w="8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16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(139.6</w:t>
            </w:r>
          </w:p>
        </w:tc>
        <w:tc>
          <w:tcPr>
            <w:tcW w:w="10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160" w:right="0" w:hanging="0"/>
              <w:jc w:val="left"/>
              <w:rPr/>
            </w:pPr>
            <w:r>
              <w:rPr/>
              <w:t> </w:t>
            </w:r>
          </w:p>
        </w:tc>
        <w:tc>
          <w:tcPr>
            <w:tcW w:w="6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16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w:t>
            </w:r>
          </w:p>
        </w:tc>
        <w:tc>
          <w:tcPr>
            <w:tcW w:w="10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160" w:right="0" w:hanging="0"/>
              <w:jc w:val="left"/>
              <w:rPr/>
            </w:pPr>
            <w:r>
              <w:rPr/>
              <w:t> </w:t>
            </w:r>
          </w:p>
        </w:tc>
        <w:tc>
          <w:tcPr>
            <w:tcW w:w="6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from (used in) financing activities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16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160" w:right="0" w:hanging="0"/>
              <w:jc w:val="left"/>
              <w:rPr/>
            </w:pPr>
            <w:r>
              <w:rPr/>
              <w:t> </w:t>
            </w:r>
          </w:p>
        </w:tc>
        <w:tc>
          <w:tcPr>
            <w:tcW w:w="6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138.6</w:t>
            </w:r>
          </w:p>
        </w:tc>
        <w:tc>
          <w:tcPr>
            <w:tcW w:w="8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16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(103.8</w:t>
            </w:r>
          </w:p>
        </w:tc>
        <w:tc>
          <w:tcPr>
            <w:tcW w:w="103"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160" w:right="0" w:hanging="0"/>
              <w:jc w:val="left"/>
              <w:rPr/>
            </w:pPr>
            <w:r>
              <w:rPr/>
              <w:t> </w:t>
            </w:r>
          </w:p>
        </w:tc>
        <w:tc>
          <w:tcPr>
            <w:tcW w:w="629"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89.8</w:t>
            </w:r>
          </w:p>
        </w:tc>
        <w:tc>
          <w:tcPr>
            <w:tcW w:w="8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the beginning of the period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16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132.9</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160" w:right="0" w:hanging="0"/>
              <w:jc w:val="left"/>
              <w:rPr/>
            </w:pPr>
            <w:r>
              <w:rPr/>
              <w:t> </w:t>
            </w:r>
          </w:p>
        </w:tc>
        <w:tc>
          <w:tcPr>
            <w:tcW w:w="6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w:t>
            </w:r>
          </w:p>
        </w:tc>
        <w:tc>
          <w:tcPr>
            <w:tcW w:w="8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at end of the period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16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30.4</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160" w:right="0" w:hanging="0"/>
              <w:jc w:val="left"/>
              <w:rPr/>
            </w:pPr>
            <w:r>
              <w:rPr/>
              <w:t> </w:t>
            </w:r>
          </w:p>
        </w:tc>
        <w:tc>
          <w:tcPr>
            <w:tcW w:w="629"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132.9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Net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changed from a cash outflow of €47.1 million in 2021 to a cash outflow of €139.6 million in 2022. This change was mainly due to an overall increase in operating costs, especially for development costs of prototypes, other development costs, professional services, and lower advance payments received from customers and an increase in the cash effective loss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Net cash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changed from a cash outflow of €1.7 million in 2021 to a cash outflow of €47.2 million in 2022, primarily due to additional purchases of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Net cash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Net cash from financing activities decreased from a cash inflow of €138.6 million in 2021, which mainly included proceeds from our IPO, to a cash inflow of €83.0 million in 2022, which mainly included proceeds from a follow-on offering, a committed equity facility and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table below summarizes the maturity profile of our financial liabilities based on contractual undiscounted payments as of December 31, 2022:</w:t>
      </w:r>
    </w:p>
    <w:p>
      <w:pPr>
        <w:pStyle w:val="TextBody"/>
        <w:bidi w:val="0"/>
        <w:spacing w:before="0" w:after="0"/>
        <w:ind w:left="0" w:right="0" w:hanging="0"/>
        <w:jc w:val="left"/>
        <w:rPr>
          <w:caps w:val="false"/>
          <w:smallCaps w:val="false"/>
        </w:rPr>
      </w:pPr>
      <w:r>
        <w:rPr>
          <w:caps w:val="false"/>
          <w:smallCaps w:val="false"/>
        </w:rPr>
        <w:t> </w:t>
      </w:r>
    </w:p>
    <w:tbl>
      <w:tblPr>
        <w:tblW w:w="8426" w:type="dxa"/>
        <w:jc w:val="left"/>
        <w:tblInd w:w="0" w:type="dxa"/>
        <w:tblLayout w:type="fixed"/>
        <w:tblCellMar>
          <w:top w:w="0" w:type="dxa"/>
          <w:left w:w="0" w:type="dxa"/>
          <w:bottom w:w="0" w:type="dxa"/>
          <w:right w:w="0" w:type="dxa"/>
        </w:tblCellMar>
      </w:tblPr>
      <w:tblGrid>
        <w:gridCol w:w="2465"/>
        <w:gridCol w:w="60"/>
        <w:gridCol w:w="206"/>
        <w:gridCol w:w="1318"/>
        <w:gridCol w:w="60"/>
        <w:gridCol w:w="60"/>
        <w:gridCol w:w="193"/>
        <w:gridCol w:w="1226"/>
        <w:gridCol w:w="60"/>
        <w:gridCol w:w="60"/>
        <w:gridCol w:w="170"/>
        <w:gridCol w:w="784"/>
        <w:gridCol w:w="60"/>
        <w:gridCol w:w="60"/>
        <w:gridCol w:w="282"/>
        <w:gridCol w:w="1302"/>
        <w:gridCol w:w="6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524"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Carrying 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419"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Less than 1 year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954"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1 – 5 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584"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More than 5 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5841" w:type="dxa"/>
            <w:gridSpan w:val="14"/>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(in € millions)</w:t>
            </w:r>
          </w:p>
        </w:tc>
        <w:tc>
          <w:tcPr>
            <w:tcW w:w="6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5841" w:type="dxa"/>
            <w:gridSpan w:val="14"/>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and other payables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160" w:right="0" w:hanging="0"/>
              <w:jc w:val="left"/>
              <w:rPr/>
            </w:pPr>
            <w:r>
              <w:rPr/>
              <w:t> </w:t>
            </w:r>
          </w:p>
        </w:tc>
        <w:tc>
          <w:tcPr>
            <w:tcW w:w="13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160" w:right="0" w:hanging="0"/>
              <w:jc w:val="left"/>
              <w:rPr/>
            </w:pPr>
            <w:r>
              <w:rPr/>
              <w:t> </w:t>
            </w:r>
          </w:p>
        </w:tc>
        <w:tc>
          <w:tcPr>
            <w:tcW w:w="12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30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Loans and participation rights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160" w:right="0" w:hanging="0"/>
              <w:jc w:val="left"/>
              <w:rPr/>
            </w:pPr>
            <w:r>
              <w:rPr/>
              <w:t> </w:t>
            </w:r>
          </w:p>
        </w:tc>
        <w:tc>
          <w:tcPr>
            <w:tcW w:w="13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160" w:right="0" w:hanging="0"/>
              <w:jc w:val="left"/>
              <w:rPr/>
            </w:pPr>
            <w:r>
              <w:rPr/>
              <w:t> </w:t>
            </w:r>
          </w:p>
        </w:tc>
        <w:tc>
          <w:tcPr>
            <w:tcW w:w="12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16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130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160" w:right="0" w:hanging="0"/>
              <w:jc w:val="left"/>
              <w:rPr/>
            </w:pPr>
            <w:r>
              <w:rPr/>
              <w:t> </w:t>
            </w:r>
          </w:p>
        </w:tc>
        <w:tc>
          <w:tcPr>
            <w:tcW w:w="13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160" w:right="0" w:hanging="0"/>
              <w:jc w:val="left"/>
              <w:rPr/>
            </w:pPr>
            <w:r>
              <w:rPr/>
              <w:t> </w:t>
            </w:r>
          </w:p>
        </w:tc>
        <w:tc>
          <w:tcPr>
            <w:tcW w:w="12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16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160" w:right="0" w:hanging="0"/>
              <w:jc w:val="left"/>
              <w:rPr/>
            </w:pPr>
            <w:r>
              <w:rPr/>
              <w:t> </w:t>
            </w:r>
          </w:p>
        </w:tc>
        <w:tc>
          <w:tcPr>
            <w:tcW w:w="13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w:t>
            </w:r>
          </w:p>
        </w:tc>
        <w:tc>
          <w:tcPr>
            <w:tcW w:w="6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160" w:right="0" w:hanging="0"/>
              <w:jc w:val="left"/>
              <w:rPr/>
            </w:pPr>
            <w:r>
              <w:rPr/>
              <w:t> </w:t>
            </w:r>
          </w:p>
        </w:tc>
        <w:tc>
          <w:tcPr>
            <w:tcW w:w="1318"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160" w:right="0" w:hanging="0"/>
              <w:jc w:val="left"/>
              <w:rPr/>
            </w:pPr>
            <w:r>
              <w:rPr/>
              <w:t> </w:t>
            </w:r>
          </w:p>
        </w:tc>
        <w:tc>
          <w:tcPr>
            <w:tcW w:w="1226"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16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160" w:right="0" w:hanging="0"/>
              <w:jc w:val="left"/>
              <w:rPr/>
            </w:pPr>
            <w:r>
              <w:rPr/>
              <w:t> </w:t>
            </w:r>
          </w:p>
        </w:tc>
        <w:tc>
          <w:tcPr>
            <w:tcW w:w="1302"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0.5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caps w:val="false"/>
          <w:smallCaps w:val="false"/>
          <w:sz w:val="20"/>
        </w:rPr>
      </w:pPr>
      <w:bookmarkStart w:id="26" w:name="P1I5C"/>
      <w:bookmarkEnd w:id="26"/>
      <w:r>
        <w:rPr>
          <w:rFonts w:ascii="Times New Roman" w:hAnsi="Times New Roman"/>
          <w:b/>
          <w:caps w:val="false"/>
          <w:smallCaps w:val="false"/>
          <w:sz w:val="20"/>
        </w:rPr>
        <w:t>C. Development, Patents and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a description of our development policies,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Operations</w:t>
      </w:r>
      <w:r>
        <w:rPr>
          <w:rFonts w:ascii="Times New Roman" w:hAnsi="Times New Roman"/>
          <w:caps w:val="false"/>
          <w:smallCaps w:val="false"/>
          <w:sz w:val="20"/>
        </w:rPr>
        <w:t>—</w:t>
      </w:r>
      <w:r>
        <w:rPr>
          <w:rFonts w:ascii="Times New Roman" w:hAnsi="Times New Roman"/>
          <w:i/>
          <w:caps w:val="false"/>
          <w:smallCaps w:val="false"/>
          <w:sz w:val="20"/>
        </w:rPr>
        <w:t>Development</w:t>
      </w:r>
      <w:r>
        <w:rPr>
          <w:rFonts w:ascii="Times New Roman" w:hAnsi="Times New Roman"/>
          <w:caps w:val="false"/>
          <w:smallCaps w:val="false"/>
          <w:sz w:val="20"/>
        </w:rPr>
        <w:t>”. For a description of our intellectual property,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Intellectual Property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bookmarkStart w:id="27" w:name="P1I5D"/>
      <w:bookmarkEnd w:id="27"/>
      <w:r>
        <w:rPr>
          <w:rFonts w:ascii="Times New Roman" w:hAnsi="Times New Roman"/>
          <w:b/>
          <w:caps w:val="false"/>
          <w:smallCaps w:val="false"/>
          <w:sz w:val="20"/>
        </w:rPr>
        <w:t>D. 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Other than as disclosed elsewhere in this document with respect to our decision to change our business model announced on February 23, 2023, and our filing of applications for Self-Administration Proceedings under the German Insolvency Code on May 15, 2023, we are not aware of any trends, uncertainties, demands, commitments or events since December 31, 2022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bookmarkStart w:id="28" w:name="P1I5E"/>
      <w:bookmarkEnd w:id="28"/>
      <w:r>
        <w:rPr>
          <w:rFonts w:ascii="Times New Roman" w:hAnsi="Times New Roman"/>
          <w:b/>
          <w:caps w:val="false"/>
          <w:smallCaps w:val="false"/>
          <w:sz w:val="20"/>
        </w:rPr>
        <w:t>E. 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consolidated financial statements are prepared in accordance with IFRS, as issued by the IASB.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critical accounting estimates and judgments are described in “</w:t>
      </w:r>
      <w:r>
        <w:rPr>
          <w:rFonts w:ascii="Times New Roman" w:hAnsi="Times New Roman"/>
          <w:i/>
          <w:caps w:val="false"/>
          <w:smallCaps w:val="false"/>
          <w:sz w:val="20"/>
        </w:rPr>
        <w:t>Note 4.12</w:t>
      </w:r>
      <w:r>
        <w:rPr>
          <w:rFonts w:ascii="Times New Roman" w:hAnsi="Times New Roman"/>
          <w:caps w:val="false"/>
          <w:smallCaps w:val="false"/>
          <w:sz w:val="20"/>
        </w:rPr>
        <w:t xml:space="preserve"> “</w:t>
      </w:r>
      <w:r>
        <w:rPr>
          <w:rFonts w:ascii="Times New Roman" w:hAnsi="Times New Roman"/>
          <w:i/>
          <w:caps w:val="false"/>
          <w:smallCaps w:val="false"/>
          <w:sz w:val="20"/>
        </w:rPr>
        <w:t>Significant accounting judgements, estimates and assumptions</w:t>
      </w:r>
      <w:r>
        <w:rPr>
          <w:rFonts w:ascii="Times New Roman" w:hAnsi="Times New Roman"/>
          <w:caps w:val="false"/>
          <w:smallCaps w:val="false"/>
          <w:sz w:val="20"/>
        </w:rPr>
        <w:t>” to our consolidated financial statements as of and for the year ended December 31, 2022.</w:t>
      </w:r>
    </w:p>
    <w:p>
      <w:pPr>
        <w:pStyle w:val="TextBody"/>
        <w:bidi w:val="0"/>
        <w:spacing w:before="0" w:after="0"/>
        <w:ind w:left="0" w:right="0" w:hanging="0"/>
        <w:jc w:val="left"/>
        <w:rPr>
          <w:caps w:val="false"/>
          <w:smallCaps w:val="false"/>
        </w:rPr>
      </w:pPr>
      <w:r>
        <w:rPr>
          <w:caps w:val="false"/>
          <w:smallCaps w:val="false"/>
        </w:rPr>
        <w:t> </w:t>
      </w:r>
    </w:p>
    <w:tbl>
      <w:tblPr>
        <w:tblW w:w="5990" w:type="dxa"/>
        <w:jc w:val="left"/>
        <w:tblInd w:w="0" w:type="dxa"/>
        <w:tblLayout w:type="fixed"/>
        <w:tblCellMar>
          <w:top w:w="0" w:type="dxa"/>
          <w:left w:w="0" w:type="dxa"/>
          <w:bottom w:w="0" w:type="dxa"/>
          <w:right w:w="0" w:type="dxa"/>
        </w:tblCellMar>
      </w:tblPr>
      <w:tblGrid>
        <w:gridCol w:w="760"/>
        <w:gridCol w:w="5230"/>
      </w:tblGrid>
      <w:tr>
        <w:trPr/>
        <w:tc>
          <w:tcPr>
            <w:tcW w:w="760"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bookmarkStart w:id="29" w:name="P1I6"/>
            <w:bookmarkEnd w:id="2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p>
        </w:tc>
        <w:tc>
          <w:tcPr>
            <w:tcW w:w="523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DIRECTORS, SENIOR MANAGEMENT AND EMPLOYEES</w:t>
            </w:r>
          </w:p>
        </w:tc>
      </w:tr>
    </w:tbl>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220"/>
        <w:gridCol w:w="295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30" w:name="P1I6A"/>
            <w:bookmarkEnd w:id="30"/>
            <w:r>
              <w:rPr>
                <w:rFonts w:ascii="Times New Roman" w:hAnsi="Times New Roman"/>
                <w:b/>
                <w:caps w:val="false"/>
                <w:smallCaps w:val="false"/>
                <w:sz w:val="20"/>
              </w:rPr>
              <w:t>A.</w:t>
            </w:r>
          </w:p>
        </w:tc>
        <w:tc>
          <w:tcPr>
            <w:tcW w:w="295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Directors and Senior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Board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have a two-tier board structure consisting of a management board (</w:t>
      </w:r>
      <w:r>
        <w:rPr>
          <w:rFonts w:ascii="Times New Roman" w:hAnsi="Times New Roman"/>
          <w:i/>
          <w:caps w:val="false"/>
          <w:smallCaps w:val="false"/>
          <w:sz w:val="20"/>
        </w:rPr>
        <w:t>bestuur</w:t>
      </w:r>
      <w:r>
        <w:rPr>
          <w:rFonts w:ascii="Times New Roman" w:hAnsi="Times New Roman"/>
          <w:caps w:val="false"/>
          <w:smallCaps w:val="false"/>
          <w:sz w:val="20"/>
        </w:rPr>
        <w:t>) and a separate supervisory board (</w:t>
      </w:r>
      <w:r>
        <w:rPr>
          <w:rFonts w:ascii="Times New Roman" w:hAnsi="Times New Roman"/>
          <w:i/>
          <w:caps w:val="false"/>
          <w:smallCaps w:val="false"/>
          <w:sz w:val="20"/>
        </w:rPr>
        <w:t>raad van commissarissen</w:t>
      </w:r>
      <w:r>
        <w:rPr>
          <w:rFonts w:ascii="Times New Roman" w:hAnsi="Times New Roman"/>
          <w:caps w:val="false"/>
          <w:smallCaps w:val="false"/>
          <w:sz w:val="20"/>
        </w:rPr>
        <w:t>). There are no family relationships among any of our management board members and supervisory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Management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Current Management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sets forth our current management board members, all of whom we consider executive officers, as well as their ages, term served, the year of expiration of their term as management board members of the Company and position:</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28" w:type="dxa"/>
          <w:right w:w="0" w:type="dxa"/>
        </w:tblCellMar>
      </w:tblPr>
      <w:tblGrid>
        <w:gridCol w:w="1370"/>
        <w:gridCol w:w="60"/>
        <w:gridCol w:w="370"/>
        <w:gridCol w:w="60"/>
        <w:gridCol w:w="1285"/>
        <w:gridCol w:w="60"/>
        <w:gridCol w:w="1450"/>
        <w:gridCol w:w="60"/>
        <w:gridCol w:w="3790"/>
      </w:tblGrid>
      <w:tr>
        <w:trPr/>
        <w:tc>
          <w:tcPr>
            <w:tcW w:w="13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Name(1)</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370" w:type="dxa"/>
            <w:tcBorders>
              <w:bottom w:val="single" w:sz="2" w:space="0" w:color="000000"/>
            </w:tcBorders>
            <w:vAlign w:val="center"/>
          </w:tcPr>
          <w:p>
            <w:pPr>
              <w:pStyle w:val="TableContents"/>
              <w:bidi w:val="0"/>
              <w:spacing w:before="0" w:after="0"/>
              <w:ind w:left="140" w:right="0" w:firstLine="2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1285" w:type="dxa"/>
            <w:tcBorders>
              <w:bottom w:val="single" w:sz="2" w:space="0" w:color="000000"/>
            </w:tcBorders>
            <w:vAlign w:val="center"/>
          </w:tcPr>
          <w:p>
            <w:pPr>
              <w:pStyle w:val="TableContents"/>
              <w:bidi w:val="0"/>
              <w:spacing w:before="0" w:after="0"/>
              <w:ind w:left="140" w:right="0" w:firstLine="20"/>
              <w:jc w:val="center"/>
              <w:rPr>
                <w:rFonts w:ascii="Times New Roman" w:hAnsi="Times New Roman"/>
                <w:b/>
                <w:caps w:val="false"/>
                <w:smallCaps w:val="false"/>
                <w:sz w:val="20"/>
              </w:rPr>
            </w:pPr>
            <w:r>
              <w:rPr>
                <w:rFonts w:ascii="Times New Roman" w:hAnsi="Times New Roman"/>
                <w:b/>
                <w:caps w:val="false"/>
                <w:smallCaps w:val="false"/>
                <w:sz w:val="20"/>
              </w:rPr>
              <w:t>Term Served</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1450" w:type="dxa"/>
            <w:tcBorders>
              <w:bottom w:val="single" w:sz="2" w:space="0" w:color="000000"/>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 xml:space="preserve">Year in which </w:t>
            </w:r>
          </w:p>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Term Expires(2)</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3790" w:type="dxa"/>
            <w:tcBorders>
              <w:bottom w:val="single" w:sz="2" w:space="0" w:color="000000"/>
            </w:tcBorders>
            <w:vAlign w:val="center"/>
          </w:tcPr>
          <w:p>
            <w:pPr>
              <w:pStyle w:val="TableContents"/>
              <w:bidi w:val="0"/>
              <w:spacing w:before="0" w:after="0"/>
              <w:ind w:left="140" w:right="0" w:firstLine="20"/>
              <w:jc w:val="both"/>
              <w:rPr>
                <w:rFonts w:ascii="Times New Roman" w:hAnsi="Times New Roman"/>
                <w:b/>
                <w:caps w:val="false"/>
                <w:smallCaps w:val="false"/>
                <w:sz w:val="20"/>
              </w:rPr>
            </w:pPr>
            <w:r>
              <w:rPr>
                <w:rFonts w:ascii="Times New Roman" w:hAnsi="Times New Roman"/>
                <w:b/>
                <w:caps w:val="false"/>
                <w:smallCaps w:val="false"/>
                <w:sz w:val="20"/>
              </w:rPr>
              <w:t>Position</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Laurin Hahn</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37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29</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1285" w:type="dxa"/>
            <w:tcBorders/>
            <w:shd w:fill="CCEEFF" w:val="clear"/>
            <w:tcMar>
              <w:bottom w:w="0" w:type="dxa"/>
            </w:tcMar>
            <w:vAlign w:val="center"/>
          </w:tcPr>
          <w:p>
            <w:pPr>
              <w:pStyle w:val="TableContents"/>
              <w:bidi w:val="0"/>
              <w:spacing w:before="0" w:after="0"/>
              <w:ind w:left="140" w:right="0" w:firstLine="20"/>
              <w:jc w:val="center"/>
              <w:rPr>
                <w:rFonts w:ascii="Times New Roman" w:hAnsi="Times New Roman"/>
                <w:caps w:val="false"/>
                <w:smallCaps w:val="false"/>
                <w:sz w:val="20"/>
              </w:rPr>
            </w:pPr>
            <w:r>
              <w:rPr>
                <w:rFonts w:ascii="Times New Roman" w:hAnsi="Times New Roman"/>
                <w:b/>
                <w:caps w:val="false"/>
                <w:smallCaps w:val="false"/>
                <w:sz w:val="20"/>
              </w:rPr>
              <w:t xml:space="preserve">2020 </w:t>
            </w:r>
            <w:r>
              <w:rPr>
                <w:rFonts w:ascii="Times New Roman" w:hAnsi="Times New Roman"/>
                <w:caps w:val="false"/>
                <w:smallCaps w:val="false"/>
                <w:sz w:val="20"/>
              </w:rPr>
              <w:t xml:space="preserve">– </w:t>
            </w:r>
            <w:r>
              <w:rPr>
                <w:rFonts w:ascii="Times New Roman" w:hAnsi="Times New Roman"/>
                <w:b/>
                <w:caps w:val="false"/>
                <w:smallCaps w:val="false"/>
                <w:sz w:val="20"/>
              </w:rPr>
              <w:t>Present</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145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2025</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3790" w:type="dxa"/>
            <w:tcBorders/>
            <w:shd w:fill="CCEEFF" w:val="clear"/>
            <w:tcMar>
              <w:bottom w:w="0" w:type="dxa"/>
            </w:tcMar>
            <w:vAlign w:val="center"/>
          </w:tcPr>
          <w:p>
            <w:pPr>
              <w:pStyle w:val="TableContents"/>
              <w:bidi w:val="0"/>
              <w:spacing w:before="0" w:after="0"/>
              <w:ind w:left="140" w:right="0" w:firstLine="20"/>
              <w:jc w:val="both"/>
              <w:rPr>
                <w:rFonts w:ascii="Times New Roman" w:hAnsi="Times New Roman"/>
                <w:b/>
                <w:caps w:val="false"/>
                <w:smallCaps w:val="false"/>
                <w:sz w:val="20"/>
              </w:rPr>
            </w:pPr>
            <w:r>
              <w:rPr>
                <w:rFonts w:ascii="Times New Roman" w:hAnsi="Times New Roman"/>
                <w:b/>
                <w:caps w:val="false"/>
                <w:smallCaps w:val="false"/>
                <w:sz w:val="20"/>
              </w:rPr>
              <w:t xml:space="preserve">Co-Chief Executive Officer and Co-Founder </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Jona Christians</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37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30</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1285" w:type="dxa"/>
            <w:tcBorders/>
            <w:shd w:fill="FFFFFF" w:val="clear"/>
            <w:tcMar>
              <w:bottom w:w="0" w:type="dxa"/>
            </w:tcMar>
            <w:vAlign w:val="center"/>
          </w:tcPr>
          <w:p>
            <w:pPr>
              <w:pStyle w:val="TableContents"/>
              <w:bidi w:val="0"/>
              <w:spacing w:before="0" w:after="0"/>
              <w:ind w:left="140" w:right="0" w:firstLine="20"/>
              <w:jc w:val="center"/>
              <w:rPr>
                <w:rFonts w:ascii="Times New Roman" w:hAnsi="Times New Roman"/>
                <w:caps w:val="false"/>
                <w:smallCaps w:val="false"/>
                <w:sz w:val="20"/>
              </w:rPr>
            </w:pPr>
            <w:r>
              <w:rPr>
                <w:rFonts w:ascii="Times New Roman" w:hAnsi="Times New Roman"/>
                <w:b/>
                <w:caps w:val="false"/>
                <w:smallCaps w:val="false"/>
                <w:sz w:val="20"/>
              </w:rPr>
              <w:t xml:space="preserve">2020 </w:t>
            </w:r>
            <w:r>
              <w:rPr>
                <w:rFonts w:ascii="Times New Roman" w:hAnsi="Times New Roman"/>
                <w:caps w:val="false"/>
                <w:smallCaps w:val="false"/>
                <w:sz w:val="20"/>
              </w:rPr>
              <w:t xml:space="preserve">– </w:t>
            </w:r>
            <w:r>
              <w:rPr>
                <w:rFonts w:ascii="Times New Roman" w:hAnsi="Times New Roman"/>
                <w:b/>
                <w:caps w:val="false"/>
                <w:smallCaps w:val="false"/>
                <w:sz w:val="20"/>
              </w:rPr>
              <w:t>Present</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145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2025</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3790" w:type="dxa"/>
            <w:tcBorders/>
            <w:shd w:fill="FFFFFF" w:val="clear"/>
            <w:tcMar>
              <w:bottom w:w="0" w:type="dxa"/>
            </w:tcMar>
            <w:vAlign w:val="center"/>
          </w:tcPr>
          <w:p>
            <w:pPr>
              <w:pStyle w:val="TableContents"/>
              <w:bidi w:val="0"/>
              <w:spacing w:before="0" w:after="0"/>
              <w:ind w:left="140" w:right="0" w:firstLine="20"/>
              <w:jc w:val="both"/>
              <w:rPr>
                <w:rFonts w:ascii="Times New Roman" w:hAnsi="Times New Roman"/>
                <w:b/>
                <w:caps w:val="false"/>
                <w:smallCaps w:val="false"/>
                <w:sz w:val="20"/>
              </w:rPr>
            </w:pPr>
            <w:r>
              <w:rPr>
                <w:rFonts w:ascii="Times New Roman" w:hAnsi="Times New Roman"/>
                <w:b/>
                <w:caps w:val="false"/>
                <w:smallCaps w:val="false"/>
                <w:sz w:val="20"/>
              </w:rPr>
              <w:t xml:space="preserve">Co-Chief Executive Officer and Co-Founder </w:t>
            </w:r>
          </w:p>
        </w:tc>
      </w:tr>
      <w:tr>
        <w:trPr/>
        <w:tc>
          <w:tcPr>
            <w:tcW w:w="13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Torsten Kiedel</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37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45</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1285" w:type="dxa"/>
            <w:tcBorders/>
            <w:shd w:fill="CCEEFF" w:val="clear"/>
            <w:tcMar>
              <w:bottom w:w="0" w:type="dxa"/>
            </w:tcMar>
            <w:vAlign w:val="center"/>
          </w:tcPr>
          <w:p>
            <w:pPr>
              <w:pStyle w:val="TableContents"/>
              <w:bidi w:val="0"/>
              <w:spacing w:before="0" w:after="0"/>
              <w:ind w:left="140" w:right="0" w:firstLine="20"/>
              <w:jc w:val="center"/>
              <w:rPr>
                <w:rFonts w:ascii="Times New Roman" w:hAnsi="Times New Roman"/>
                <w:caps w:val="false"/>
                <w:smallCaps w:val="false"/>
                <w:sz w:val="20"/>
              </w:rPr>
            </w:pPr>
            <w:r>
              <w:rPr>
                <w:rFonts w:ascii="Times New Roman" w:hAnsi="Times New Roman"/>
                <w:b/>
                <w:caps w:val="false"/>
                <w:smallCaps w:val="false"/>
                <w:sz w:val="20"/>
              </w:rPr>
              <w:t xml:space="preserve">2021 </w:t>
            </w:r>
            <w:r>
              <w:rPr>
                <w:rFonts w:ascii="Times New Roman" w:hAnsi="Times New Roman"/>
                <w:caps w:val="false"/>
                <w:smallCaps w:val="false"/>
                <w:sz w:val="20"/>
              </w:rPr>
              <w:t xml:space="preserve">– </w:t>
            </w:r>
            <w:r>
              <w:rPr>
                <w:rFonts w:ascii="Times New Roman" w:hAnsi="Times New Roman"/>
                <w:b/>
                <w:caps w:val="false"/>
                <w:smallCaps w:val="false"/>
                <w:sz w:val="20"/>
              </w:rPr>
              <w:t>Present</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145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2025</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3790" w:type="dxa"/>
            <w:tcBorders/>
            <w:shd w:fill="CCEEFF" w:val="clear"/>
            <w:tcMar>
              <w:bottom w:w="0" w:type="dxa"/>
            </w:tcMar>
            <w:vAlign w:val="center"/>
          </w:tcPr>
          <w:p>
            <w:pPr>
              <w:pStyle w:val="TableContents"/>
              <w:bidi w:val="0"/>
              <w:spacing w:before="0" w:after="0"/>
              <w:ind w:left="140" w:right="0" w:firstLine="20"/>
              <w:jc w:val="both"/>
              <w:rPr>
                <w:rFonts w:ascii="Times New Roman" w:hAnsi="Times New Roman"/>
                <w:b/>
                <w:caps w:val="false"/>
                <w:smallCaps w:val="false"/>
                <w:sz w:val="20"/>
              </w:rPr>
            </w:pPr>
            <w:r>
              <w:rPr>
                <w:rFonts w:ascii="Times New Roman" w:hAnsi="Times New Roman"/>
                <w:b/>
                <w:caps w:val="false"/>
                <w:smallCaps w:val="false"/>
                <w:sz w:val="20"/>
              </w:rPr>
              <w:t xml:space="preserve">Chief Financial Officer </w:t>
            </w:r>
          </w:p>
        </w:tc>
      </w:tr>
      <w:tr>
        <w:trPr/>
        <w:tc>
          <w:tcPr>
            <w:tcW w:w="13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Markus Volmer</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37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49</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1285" w:type="dxa"/>
            <w:tcBorders/>
            <w:shd w:fill="FFFFFF" w:val="clear"/>
            <w:tcMar>
              <w:bottom w:w="0" w:type="dxa"/>
            </w:tcMar>
            <w:vAlign w:val="center"/>
          </w:tcPr>
          <w:p>
            <w:pPr>
              <w:pStyle w:val="TableContents"/>
              <w:bidi w:val="0"/>
              <w:spacing w:before="0" w:after="0"/>
              <w:ind w:left="140" w:right="0" w:firstLine="20"/>
              <w:jc w:val="center"/>
              <w:rPr>
                <w:rFonts w:ascii="Times New Roman" w:hAnsi="Times New Roman"/>
                <w:caps w:val="false"/>
                <w:smallCaps w:val="false"/>
                <w:sz w:val="20"/>
              </w:rPr>
            </w:pPr>
            <w:r>
              <w:rPr>
                <w:rFonts w:ascii="Times New Roman" w:hAnsi="Times New Roman"/>
                <w:b/>
                <w:caps w:val="false"/>
                <w:smallCaps w:val="false"/>
                <w:sz w:val="20"/>
              </w:rPr>
              <w:t xml:space="preserve">2021 </w:t>
            </w:r>
            <w:r>
              <w:rPr>
                <w:rFonts w:ascii="Times New Roman" w:hAnsi="Times New Roman"/>
                <w:caps w:val="false"/>
                <w:smallCaps w:val="false"/>
                <w:sz w:val="20"/>
              </w:rPr>
              <w:t xml:space="preserve">– </w:t>
            </w:r>
            <w:r>
              <w:rPr>
                <w:rFonts w:ascii="Times New Roman" w:hAnsi="Times New Roman"/>
                <w:b/>
                <w:caps w:val="false"/>
                <w:smallCaps w:val="false"/>
                <w:sz w:val="20"/>
              </w:rPr>
              <w:t>Present</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145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2025</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3790" w:type="dxa"/>
            <w:tcBorders/>
            <w:shd w:fill="FFFFFF" w:val="clear"/>
            <w:tcMar>
              <w:bottom w:w="0" w:type="dxa"/>
            </w:tcMar>
            <w:vAlign w:val="center"/>
          </w:tcPr>
          <w:p>
            <w:pPr>
              <w:pStyle w:val="TableContents"/>
              <w:bidi w:val="0"/>
              <w:spacing w:before="0" w:after="0"/>
              <w:ind w:left="140" w:right="0" w:firstLine="20"/>
              <w:jc w:val="both"/>
              <w:rPr>
                <w:rFonts w:ascii="Times New Roman" w:hAnsi="Times New Roman"/>
                <w:b/>
                <w:caps w:val="false"/>
                <w:smallCaps w:val="false"/>
                <w:sz w:val="20"/>
              </w:rPr>
            </w:pPr>
            <w:r>
              <w:rPr>
                <w:rFonts w:ascii="Times New Roman" w:hAnsi="Times New Roman"/>
                <w:b/>
                <w:caps w:val="false"/>
                <w:smallCaps w:val="false"/>
                <w:sz w:val="20"/>
              </w:rPr>
              <w:t>Chief Technology Officer</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(1)</w:t>
            </w:r>
          </w:p>
        </w:tc>
        <w:tc>
          <w:tcPr>
            <w:tcW w:w="9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context of the termination of the Sion passenger car program, Thomas Hausch resigned as chief operating officer and member of the management board on March 21, 2023 with immediate effect.</w:t>
            </w:r>
          </w:p>
        </w:tc>
      </w:tr>
      <w:tr>
        <w:trPr/>
        <w:tc>
          <w:tcPr>
            <w:tcW w:w="240" w:type="dxa"/>
            <w:tcBorders/>
            <w:vAlign w:val="center"/>
          </w:tcPr>
          <w:p>
            <w:pPr>
              <w:pStyle w:val="TableContents"/>
              <w:bidi w:val="0"/>
              <w:spacing w:before="0" w:after="283"/>
              <w:jc w:val="left"/>
              <w:rPr/>
            </w:pPr>
            <w:r>
              <w:rPr/>
              <w:t> </w:t>
            </w:r>
          </w:p>
        </w:tc>
        <w:tc>
          <w:tcPr>
            <w:tcW w:w="9965" w:type="dxa"/>
            <w:tcBorders/>
            <w:vAlign w:val="center"/>
          </w:tcPr>
          <w:p>
            <w:pPr>
              <w:pStyle w:val="TableContents"/>
              <w:bidi w:val="0"/>
              <w:spacing w:before="0" w:after="283"/>
              <w:jc w:val="left"/>
              <w:rPr/>
            </w:pPr>
            <w:r>
              <w:rPr/>
              <w:t> </w:t>
            </w:r>
          </w:p>
        </w:tc>
      </w:tr>
      <w:tr>
        <w:trPr/>
        <w:tc>
          <w:tcPr>
            <w:tcW w:w="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6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connection with the Yorkville Investment, new members of the management board of the Company will be appointed. The new members of the management board have not yet been selected.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Unless otherwise indicated, the current business address for each management board member is the same as our business address: Waldmeisterstraße 76, 80935 Munich, Germany.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brief summary of the business experience of the members of our management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Laurin Hahn</w:t>
      </w:r>
      <w:r>
        <w:rPr>
          <w:rFonts w:ascii="Times New Roman" w:hAnsi="Times New Roman"/>
          <w:caps w:val="false"/>
          <w:smallCaps w:val="false"/>
          <w:sz w:val="20"/>
        </w:rPr>
        <w:t xml:space="preserve"> is a co-founder and Chief Executive Officer (“CEO”) of our Company. Laurin founded his first business in the event industry at the age of 17 together with his brothers. Driven by the vision of fostering a system change and fully dedicating his time to the development of an efficient and affordable electric vehicle suitable for everyday use by sourcing the energy from the sun, he embarked on an ambitious journey after graduating from high school in 2012 together with his childhood friend Jona Christians. Within three years, Laurin and Jona built their first electric car with integrated solar panels, which they named the Sion. Based on this project and the vision of a sustainable mobility concept independent of fossil fuels, Laurin and Jona, together with Navina Pernsteiner, incorporated the Subsidiary in early 2016 to further promote their vision and enlarge their team. Laurin, as the visionary heart of Sono Motors, together with Jona, has built Sono Motors into a pioneer for solar electric mobility and a technological leader. Laurin is also a member of the “Entrepreneurs for Future” network. Laurin was recognized by the German magazine Capital for his entrepreneurship and innovative spirit in a “40 under 40” ranking in 2019. In 2020 Laurin was nominated for the entrepreneur of the year Germany 2020 award by Ernst &amp; Young and also nominated as the founder of the most innovative start-up.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Jona Christians</w:t>
      </w:r>
      <w:r>
        <w:rPr>
          <w:rFonts w:ascii="Times New Roman" w:hAnsi="Times New Roman"/>
          <w:caps w:val="false"/>
          <w:smallCaps w:val="false"/>
          <w:sz w:val="20"/>
        </w:rPr>
        <w:t xml:space="preserve"> is the co-founder and CEO of our Company. His main areas of expertise are our product and innovation strategy. In 2016, he co-founded Sono Motors GmbH together with his two friends and partners, Laurin Hahn and Navina Pernsteiner. Together with Laurin, he laid the foundation for our first vehicle, the Sion, and has been running Sono Motors since then. Jona was inspired by sustainable technology startups such as the Dutch company Fairphone and the nonprofit organization TED. After graduating from high school in 2012, he started to develop and realize his vision of a sustainable mobility concept independent of fossil fuels. As the joint project grew and consolidated, he decided against continuing his studies in computer science and experimental physics and devoted himself fully to the development of the Sion and the management of Sono Motors. At the age of 27, Jona was nominated for the Entrepreneur of the Year, Germany 2020, by Ernst &amp; Young. With Sono Motors, he was among the finalists of the German Sustainability Award Design in 2020. Also in 2020, Sono Motors and its founders were awarded as number one of the Most Innovative Start-Ups in Mobility by Forbes. Next to his role at Sono, Jona currently serves as a member of the entrepreneurial community Leaders for Climate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Torsten Kiedel</w:t>
      </w:r>
      <w:r>
        <w:rPr>
          <w:rFonts w:ascii="Times New Roman" w:hAnsi="Times New Roman"/>
          <w:caps w:val="false"/>
          <w:smallCaps w:val="false"/>
          <w:sz w:val="20"/>
        </w:rPr>
        <w:t xml:space="preserve"> has been working in the mobility industry for most of his professional life. He started his career at the BMW Group in 2004, where he spent seven years in various finance positions. During his tenure, Torsten also worked three years at the BMW Bank of North America in Salt Lake City, UT. Afterwards, Torsten became Chief Financial Officer of former “myTaxi”, now “Free Now.” After the successful acquisition of “myTaxi” by Daimler Financial Services, Torsten transferred to another Daimler portfolio company, FlixMobility GmbH, doing business as FlixBus, where he served as Vice President Finance, Legal and Procurement for three years, enabling FlixMobility’s international expansion. From March 2018 to January 2020, Torsten served as CFO of Occhio GmbH, a Munich, Germany, based provider of premium lighting solutions. Torsten joined Sono Motors at the beginning of 2020 as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Markus Volmer</w:t>
      </w:r>
      <w:r>
        <w:rPr>
          <w:rFonts w:ascii="Times New Roman" w:hAnsi="Times New Roman"/>
          <w:caps w:val="false"/>
          <w:smallCaps w:val="false"/>
          <w:sz w:val="20"/>
        </w:rPr>
        <w:t xml:space="preserve"> has more than 18 years of experience as a senior development engineer in the automotive industry. He began his career as an international management associate at Daimler AG (formerly DaimlerChrysler AG) in 2003. Between 2004 and 2014, Markus held various positions in development and testing at Daimler AG, before joining Foton Motor Group as Chief Engineer Vehicle Testing in 2014. In 2016, he was appointed Senior Chief Engineer Research &amp; Development and Testing at Borgward Group AG, a position he remained in before joining Sono Motors as Chief Technology Officer in 2021. Markus holds a degree in industrial engineering with a focus on mechanical engineering (</w:t>
      </w:r>
      <w:r>
        <w:rPr>
          <w:rFonts w:ascii="Times New Roman" w:hAnsi="Times New Roman"/>
          <w:i/>
          <w:caps w:val="false"/>
          <w:smallCaps w:val="false"/>
          <w:sz w:val="20"/>
        </w:rPr>
        <w:t>Diplom-Wirtschaftsingenieur</w:t>
      </w:r>
      <w:r>
        <w:rPr>
          <w:rFonts w:ascii="Times New Roman" w:hAnsi="Times New Roman"/>
          <w:caps w:val="false"/>
          <w:smallCaps w:val="false"/>
          <w:sz w:val="20"/>
        </w:rPr>
        <w:t>) from the Technical University Braunschweig and an MBA from the University of Rhode Island - College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 xml:space="preserve">Management board changes in connection with the Yorkville Investment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Yorkville Agreements entered into in connection with the Yorkville Investment contemplate changes in the management board of the Company. The new members of the management board have not yet been selected.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Supervisory Board</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supervisory board is currently composed of one member and three acting members appointed on a provisional basis. Our supervisory board may adjust the number of supervisory board members from time to time. Our supervisory board must, when determining the number of supervisory board members, observe our nomination arrangement pursuant to which each of Laurin Hahn and Jona Christians, acting individually, shall always be allowed to make a binding nomination for one supervisory board member as long as he holds at least 5% of voting rights. Our supervisory board members do not have a retirement age requirement under our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April 21, 2023, four members of our then five-member supervisory board resigned from their roles as members of the Company’s supervisory board and as members of the supervisory board committees, as applicable, with immediate effect. The members of the Company’s supervisory board who resigned were: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Martina Buchhauser, chairperson of the supervisory board, independent member of the audit committee and chairperson of the nomination and corporate governance committee;</w:t>
            </w:r>
          </w:p>
        </w:tc>
      </w:tr>
    </w:tbl>
    <w:tbl>
      <w:tblPr>
        <w:tblW w:w="9400" w:type="dxa"/>
        <w:jc w:val="left"/>
        <w:tblInd w:w="0" w:type="dxa"/>
        <w:tblLayout w:type="fixed"/>
        <w:tblCellMar>
          <w:top w:w="0" w:type="dxa"/>
          <w:left w:w="0" w:type="dxa"/>
          <w:bottom w:w="0" w:type="dxa"/>
          <w:right w:w="0" w:type="dxa"/>
        </w:tblCellMar>
      </w:tblPr>
      <w:tblGrid>
        <w:gridCol w:w="60"/>
        <w:gridCol w:w="170"/>
        <w:gridCol w:w="91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Sebastian Böttger, independent member of the audit committee, and chairperson of the compensation committee;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Jeffe, vice chairperson of the supervisory board, chairperson, independent member and financial expert of the audit committee, and member of the compensation committee;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Arnd Schwierholz, member of the supervisory board, member of the audit committee and member of the nomination and corporate governance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a consequence of the resignations described above, we did not have any supervisory board committees until three new candidates were identified and appointed. During such time, the Company also was not in compliance with Nasdaq Listing Rule 5605(c)(2)(A), which requires a listed company to have an audit committee composed of at least three members, who each meet the criteria for independence set forth in Rule 10A-4(b)(1) under the Exchange Act. This deficiency served as an additional ground for delisting according to a letter we received from Nasdaq staff on August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Current Supervisory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September 11, 2023, we appointed new acting members of the Company’s supervisory board on a provisional basis, and reestablished our compensation committee and our nomination and corporate governance committee. On September 22, 2023, we reestablished our audit committee. The provisional appointment of the new supervisory board members is effective until their formal appointment at the Company’s next general meeting of shareholders, convened for December 29, 2023.</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current member and acting members of the supervisory board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Sandra Vogt-Sasse: chairperson of the supervisory board; and chairperson, independent member and financial expert of the audit committee</w:t>
            </w:r>
          </w:p>
        </w:tc>
      </w:tr>
    </w:tbl>
    <w:tbl>
      <w:tblPr>
        <w:tblW w:w="9295" w:type="dxa"/>
        <w:jc w:val="left"/>
        <w:tblInd w:w="0" w:type="dxa"/>
        <w:tblLayout w:type="fixed"/>
        <w:tblCellMar>
          <w:top w:w="0" w:type="dxa"/>
          <w:left w:w="0" w:type="dxa"/>
          <w:bottom w:w="0" w:type="dxa"/>
          <w:right w:w="0" w:type="dxa"/>
        </w:tblCellMar>
      </w:tblPr>
      <w:tblGrid>
        <w:gridCol w:w="60"/>
        <w:gridCol w:w="170"/>
        <w:gridCol w:w="90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Martin Sabbione: independent member of the audit committee; and chairperson of the compensation committee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Thomas Wiedermann: independent member of the audit committee; chairperson of the nomination and corporate governance committee; and member of the compensation committee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Johannes Trischler: member of the compensation committee; and member of the nomination and corporate governance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September 22, 2023, the Company re-established its audit committee with Sandra Vogt-Sasse, the chair of our supervisory board, serving as chair of the audit committee and also serving as its financial expert. Since the new supervisory board members fulfill the requirements of the Nasdaq Listing Rules relating to audit committee members, we regained compliance with the Nasdaq Listing Rules relating to audit committee requirements upon re-establishment of the audit committee. Since then, we once again have three supervisory board committees as described under “</w:t>
      </w:r>
      <w:r>
        <w:rPr>
          <w:rFonts w:ascii="Times New Roman" w:hAnsi="Times New Roman"/>
          <w:i/>
          <w:caps w:val="false"/>
          <w:smallCaps w:val="false"/>
          <w:sz w:val="20"/>
        </w:rPr>
        <w:t>Item 6. Directors, Senior Management and Employees</w:t>
      </w:r>
      <w:r>
        <w:rPr>
          <w:rFonts w:ascii="Times New Roman" w:hAnsi="Times New Roman"/>
          <w:caps w:val="false"/>
          <w:smallCaps w:val="false"/>
          <w:sz w:val="20"/>
        </w:rPr>
        <w:t>—</w:t>
      </w:r>
      <w:r>
        <w:rPr>
          <w:rFonts w:ascii="Times New Roman" w:hAnsi="Times New Roman"/>
          <w:i/>
          <w:caps w:val="false"/>
          <w:smallCaps w:val="false"/>
          <w:sz w:val="20"/>
        </w:rPr>
        <w:t>C. Board Practices</w:t>
      </w:r>
      <w:r>
        <w:rPr>
          <w:rFonts w:ascii="Times New Roman" w:hAnsi="Times New Roman"/>
          <w:caps w:val="false"/>
          <w:smallCaps w:val="false"/>
          <w:sz w:val="20"/>
        </w:rPr>
        <w:t>—</w:t>
      </w:r>
      <w:r>
        <w:rPr>
          <w:rFonts w:ascii="Times New Roman" w:hAnsi="Times New Roman"/>
          <w:i/>
          <w:caps w:val="false"/>
          <w:smallCaps w:val="false"/>
          <w:sz w:val="20"/>
        </w:rPr>
        <w:t>Committees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names of our current supervisory board members, including our acting members appointed on a provisional basis, their ages and the year of expiration of their term as supervisory board members of 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713"/>
        <w:gridCol w:w="60"/>
        <w:gridCol w:w="370"/>
        <w:gridCol w:w="60"/>
        <w:gridCol w:w="8002"/>
      </w:tblGrid>
      <w:tr>
        <w:trPr/>
        <w:tc>
          <w:tcPr>
            <w:tcW w:w="1713" w:type="dxa"/>
            <w:tcBorders>
              <w:bottom w:val="single" w:sz="2" w:space="0" w:color="000000"/>
            </w:tcBorders>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70" w:type="dxa"/>
            <w:tcBorders>
              <w:bottom w:val="single" w:sz="2" w:space="0" w:color="000000"/>
            </w:tcBorders>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8002" w:type="dxa"/>
            <w:tcBorders>
              <w:bottom w:val="single" w:sz="2" w:space="0" w:color="000000"/>
            </w:tcBorders>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Year in which Term Expires(1)</w:t>
            </w:r>
          </w:p>
        </w:tc>
      </w:tr>
      <w:tr>
        <w:trPr/>
        <w:tc>
          <w:tcPr>
            <w:tcW w:w="1713" w:type="dxa"/>
            <w:tcBorders/>
            <w:shd w:fill="CCEEFF" w:val="clear"/>
            <w:tcMar>
              <w:bottom w:w="0" w:type="dxa"/>
            </w:tcMar>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Martin Sabbione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0" w:type="dxa"/>
            <w:tcBorders/>
            <w:shd w:fill="CCEEFF" w:val="clear"/>
            <w:tcMar>
              <w:bottom w:w="0" w:type="dxa"/>
            </w:tcMar>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2" w:type="dxa"/>
            <w:tcBorders/>
            <w:shd w:fill="CCEEFF" w:val="clear"/>
            <w:tcMar>
              <w:bottom w:w="0" w:type="dxa"/>
            </w:tcMar>
            <w:vAlign w:val="center"/>
          </w:tcPr>
          <w:p>
            <w:pPr>
              <w:pStyle w:val="TableContents"/>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Interim appointment, subject to formal appointment at the general meeting of shareholders convened for December 29, 2023</w:t>
            </w:r>
          </w:p>
        </w:tc>
      </w:tr>
      <w:tr>
        <w:trPr/>
        <w:tc>
          <w:tcPr>
            <w:tcW w:w="1713" w:type="dxa"/>
            <w:tcBorders/>
            <w:shd w:fill="FFFFFF" w:val="clear"/>
            <w:tcMar>
              <w:bottom w:w="0" w:type="dxa"/>
            </w:tcMar>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Johannes Trischler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0" w:type="dxa"/>
            <w:tcBorders/>
            <w:shd w:fill="FFFFFF" w:val="clear"/>
            <w:tcMar>
              <w:bottom w:w="0" w:type="dxa"/>
            </w:tcMar>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2" w:type="dxa"/>
            <w:tcBorders/>
            <w:shd w:fill="FFFFFF" w:val="clear"/>
            <w:tcMar>
              <w:bottom w:w="0" w:type="dxa"/>
            </w:tcMar>
            <w:vAlign w:val="center"/>
          </w:tcPr>
          <w:p>
            <w:pPr>
              <w:pStyle w:val="TableContents"/>
              <w:bidi w:val="0"/>
              <w:spacing w:before="0" w:after="283"/>
              <w:jc w:val="center"/>
              <w:rPr/>
            </w:pPr>
            <w:r>
              <w:rPr/>
              <w:t>2025</w:t>
            </w:r>
          </w:p>
        </w:tc>
      </w:tr>
      <w:tr>
        <w:trPr/>
        <w:tc>
          <w:tcPr>
            <w:tcW w:w="1713" w:type="dxa"/>
            <w:tcBorders/>
            <w:shd w:fill="CCEEFF" w:val="clear"/>
            <w:tcMar>
              <w:bottom w:w="0" w:type="dxa"/>
            </w:tcMar>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Sandra Vogt-Sasse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0" w:type="dxa"/>
            <w:tcBorders/>
            <w:shd w:fill="CCEEFF" w:val="clear"/>
            <w:tcMar>
              <w:bottom w:w="0" w:type="dxa"/>
            </w:tcMar>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2" w:type="dxa"/>
            <w:tcBorders/>
            <w:shd w:fill="CCEEFF" w:val="clear"/>
            <w:tcMar>
              <w:bottom w:w="0" w:type="dxa"/>
            </w:tcMar>
            <w:vAlign w:val="center"/>
          </w:tcPr>
          <w:p>
            <w:pPr>
              <w:pStyle w:val="TableContents"/>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Interim appointment, subject to formal appointment at the general meeting of shareholders convened for December 29, 2023</w:t>
            </w:r>
          </w:p>
        </w:tc>
      </w:tr>
      <w:tr>
        <w:trPr/>
        <w:tc>
          <w:tcPr>
            <w:tcW w:w="1713" w:type="dxa"/>
            <w:tcBorders/>
            <w:shd w:fill="FFFFFF" w:val="clear"/>
            <w:tcMar>
              <w:bottom w:w="0" w:type="dxa"/>
            </w:tcMar>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Thomas Wiedermann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0" w:type="dxa"/>
            <w:tcBorders/>
            <w:shd w:fill="FFFFFF" w:val="clear"/>
            <w:tcMar>
              <w:bottom w:w="0" w:type="dxa"/>
            </w:tcMar>
            <w:vAlign w:val="center"/>
          </w:tcPr>
          <w:p>
            <w:pPr>
              <w:pStyle w:val="TableContents"/>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2" w:type="dxa"/>
            <w:tcBorders/>
            <w:shd w:fill="FFFFFF" w:val="clear"/>
            <w:tcMar>
              <w:bottom w:w="0" w:type="dxa"/>
            </w:tcMar>
            <w:vAlign w:val="center"/>
          </w:tcPr>
          <w:p>
            <w:pPr>
              <w:pStyle w:val="TableContents"/>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Interim appointment, subject to formal appointment at the general meeting of shareholders convened for December 29, 2023</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8"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Yorkville Agreements entered into in connection with the Yorkville Investment contemplate changes in the supervisory board of the Company. The new members of the supervisory board have not yet been selected.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Johannes Trischler was nominated by Jona Christians. Laurin Hahn intends to nominate Martin Sabbione for formal appointment at the general meeting of shareholders convened for December 29,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Unless otherwise indicated, the current business address for each supervisory board member is the same as our business address: Waldmeisterstraße 76, 80935 Munich, Germany.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is a brief summary of the prior business experience of the members of our supervisory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Sandra Vogt-Sasse</w:t>
      </w:r>
      <w:r>
        <w:rPr>
          <w:rFonts w:ascii="Times New Roman" w:hAnsi="Times New Roman"/>
          <w:caps w:val="false"/>
          <w:smallCaps w:val="false"/>
          <w:sz w:val="20"/>
        </w:rPr>
        <w:t xml:space="preserve"> was provisionally appointed as acting member of our supervisory board on September 11, 2023. Sandra is a self-employed auditor, a tax consultant and Managing Director of SAVOSA GmbH Steuerberatungsgesellschaft. She also is a supervisory board member of Deutsche Börse Commodities GmbH, Germany, a company closely linked to the capital market through its products and services. Sandra worked for Ernst &amp; Young GmbH Wirtschaftsprüfungsgesellschaft from 1993 to 2020, first as an employee, thereafter as a freelancer. Her focus is on advising companies on economic issues, auditing, and quality control in accordance with § 57a of the German Public Accountant Act (</w:t>
      </w:r>
      <w:r>
        <w:rPr>
          <w:rFonts w:ascii="Times New Roman" w:hAnsi="Times New Roman"/>
          <w:i/>
          <w:caps w:val="false"/>
          <w:smallCaps w:val="false"/>
          <w:sz w:val="20"/>
        </w:rPr>
        <w:t>Wirtschaftspr</w:t>
      </w:r>
      <w:r>
        <w:rPr>
          <w:rFonts w:ascii="Times New Roman" w:hAnsi="Times New Roman"/>
          <w:caps w:val="false"/>
          <w:smallCaps w:val="false"/>
          <w:sz w:val="20"/>
        </w:rPr>
        <w:t>ü</w:t>
      </w:r>
      <w:r>
        <w:rPr>
          <w:rFonts w:ascii="Times New Roman" w:hAnsi="Times New Roman"/>
          <w:i/>
          <w:caps w:val="false"/>
          <w:smallCaps w:val="false"/>
          <w:sz w:val="20"/>
        </w:rPr>
        <w:t>ferordnung - WPO</w:t>
      </w:r>
      <w:r>
        <w:rPr>
          <w:rFonts w:ascii="Times New Roman" w:hAnsi="Times New Roman"/>
          <w:caps w:val="false"/>
          <w:smallCaps w:val="false"/>
          <w:sz w:val="20"/>
        </w:rPr>
        <w:t>). Sandra holds a diploma in business from the Ruhr-University Bochum.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Martin Sabbione</w:t>
      </w:r>
      <w:r>
        <w:rPr>
          <w:rFonts w:ascii="Times New Roman" w:hAnsi="Times New Roman"/>
          <w:caps w:val="false"/>
          <w:smallCaps w:val="false"/>
          <w:sz w:val="20"/>
        </w:rPr>
        <w:t xml:space="preserve"> was provisionally appointed as acting member of our supervisory board on September 11, 2023. Martin is currently Senior Head of Controlling at Volkswagen Group Charging GmbH. He founded multiple startups in the cleantech and healthcare spaces and previously held positions as CFO of the Subsidiary and Head of Investment at WiWin GmbH &amp; Co, KG. Martin is an experienced senior finance manager with a focus on scaling businesses and is passionate about sustainability, the mobility and energy transition, and innovations in healthcare.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Johannes Trischler</w:t>
      </w:r>
      <w:r>
        <w:rPr>
          <w:rFonts w:ascii="Times New Roman" w:hAnsi="Times New Roman"/>
          <w:caps w:val="false"/>
          <w:smallCaps w:val="false"/>
          <w:sz w:val="20"/>
        </w:rPr>
        <w:t xml:space="preserve"> became a member of our supervisory board immediately prior to pricing of the IPO on November 16, 2021. Besides various political engagements, Johannes began his legal career in 2017 as head of the legal department at the large district town Freising (Große Kreisstadt Freising), where he was a member of the mayor’s staff and advised on legal and policy issues until 2018. In 2018, he joined the Subsidiary as senior legal counsel and head of the legal department; he holds the title of General Counsel since March 2021. Johannes was born in Munich, Germany, in 1987. He holds a law degree from the Ludwig-Maximilians-University, Munich. He graduated with his first state examination in law in 2013 and completed his legal clerkship at the Higher Regional Court of Munich in 2016. He graduated with his second state examination in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i/>
          <w:caps w:val="false"/>
          <w:smallCaps w:val="false"/>
          <w:sz w:val="20"/>
        </w:rPr>
        <w:t>Thomas Wiedermann</w:t>
      </w:r>
      <w:r>
        <w:rPr>
          <w:rFonts w:ascii="Times New Roman" w:hAnsi="Times New Roman"/>
          <w:caps w:val="false"/>
          <w:smallCaps w:val="false"/>
          <w:sz w:val="20"/>
        </w:rPr>
        <w:t xml:space="preserve"> was provisionally appointed as acting member of our supervisory board on September 11, 2023. Thomas is currently Managing Partner of Dankwardt Holding GmbH and, since August 2023, he has served as chairman of the supervisory board for Dockweiler AG. Thomas is also a partner at Twec, based in Hamburg. From 2015 to August 2023, he was on the supervisory board of Gräper Holding GmbH Ahlhorn. Prior to that, he worked as CEO and CRO for Provivo Biosciences GmbH until 2022, as CRO for ZI GmbH until 2019, and as CRO for Deutsche Ölwerke GmbH until 2018. The focus of his work includes restructuring and process optimization along the entire value chain as well as achieving sustainable revenue and earnings growth by focusing on and expanding strategic business areas. Thomas holds degrees in electrical engineering (TU Munich) and business administration (LMU Munich).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 xml:space="preserve">Supervisory board changes in connection with the Yorkville Investment </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Yorkville Agreements entered into in connection with the Yorkville Investment contemplate changes in the supervisory board of the Company. The new members of the supervisory board have not yet been selected.</w:t>
      </w:r>
    </w:p>
    <w:p>
      <w:pPr>
        <w:pStyle w:val="TextBody"/>
        <w:bidi w:val="0"/>
        <w:spacing w:before="0" w:after="0"/>
        <w:ind w:left="0" w:right="0" w:hanging="0"/>
        <w:jc w:val="left"/>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220"/>
        <w:gridCol w:w="1255"/>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31" w:name="P1I6B"/>
            <w:bookmarkEnd w:id="31"/>
            <w:r>
              <w:rPr>
                <w:rFonts w:ascii="Times New Roman" w:hAnsi="Times New Roman"/>
                <w:b/>
                <w:caps w:val="false"/>
                <w:smallCaps w:val="false"/>
                <w:sz w:val="20"/>
              </w:rPr>
              <w:t>B.</w:t>
            </w:r>
          </w:p>
        </w:tc>
        <w:tc>
          <w:tcPr>
            <w:tcW w:w="125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Remuneration and Other Benefits to Management Board Members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a foreign private issuer, in accordance with the Nasdaq listing requirements, we will comply with home country compensation requirements and certain exemptions thereunder rather than complying with Nasdaq compensation requirements. Dutch law does not provide for limitations with respect to the aggregate annual compensation paid to our management board members or supervisory board members, provided that such compensation is consistent with our compensation policy. Our compensation policy has been adopted by our general meeting. Changes to our compensation policy shall require a vote of our general meeting by simple majority of votes cast. The supervisory board determines the remuneration of individual management board members with due observance of the compensation policy. A proposal with respect to remuneration schemes in the form of shares or rights to shares in which management board members may participate is subject to approval by our general meeting by simple majority of votes cast. Such a proposal must set out at least the maximum number of shares or rights to subscribe for shares to be granted to the management board members and the criteria for granting or amendment. The compensation for our supervisory board members is set by the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compensation policy authorizes our supervisory board to determine the amount, level and structure of the compensation packages of our management board members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supervisory board. We do not separately set aside amounts from pensions, retirement or other benefits for members of our management board, other than pursuant to relevant statutory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Compensation of Management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the year ended December 31, 2022, the aggregate compensation accrued or paid to our management board members for services in all capacities was €853,284. The following table sets forth the aggregate compensation and benefits provided to our management board members in the year ended December 31, 2022.</w:t>
      </w:r>
    </w:p>
    <w:p>
      <w:pPr>
        <w:pStyle w:val="TextBody"/>
        <w:bidi w:val="0"/>
        <w:spacing w:before="0" w:after="0"/>
        <w:ind w:left="0" w:right="0" w:hanging="0"/>
        <w:jc w:val="left"/>
        <w:rPr>
          <w:caps w:val="false"/>
          <w:smallCaps w:val="false"/>
        </w:rPr>
      </w:pPr>
      <w:r>
        <w:rPr>
          <w:caps w:val="false"/>
          <w:smallCaps w:val="false"/>
        </w:rPr>
        <w:t> </w:t>
      </w:r>
    </w:p>
    <w:tbl>
      <w:tblPr>
        <w:tblW w:w="6005" w:type="dxa"/>
        <w:jc w:val="left"/>
        <w:tblInd w:w="0" w:type="dxa"/>
        <w:tblLayout w:type="fixed"/>
        <w:tblCellMar>
          <w:top w:w="0" w:type="dxa"/>
          <w:left w:w="0" w:type="dxa"/>
          <w:bottom w:w="28" w:type="dxa"/>
          <w:right w:w="0" w:type="dxa"/>
        </w:tblCellMar>
      </w:tblPr>
      <w:tblGrid>
        <w:gridCol w:w="1610"/>
        <w:gridCol w:w="60"/>
        <w:gridCol w:w="60"/>
        <w:gridCol w:w="695"/>
        <w:gridCol w:w="60"/>
        <w:gridCol w:w="60"/>
        <w:gridCol w:w="60"/>
        <w:gridCol w:w="590"/>
        <w:gridCol w:w="60"/>
        <w:gridCol w:w="60"/>
        <w:gridCol w:w="190"/>
        <w:gridCol w:w="1065"/>
        <w:gridCol w:w="60"/>
        <w:gridCol w:w="60"/>
        <w:gridCol w:w="99"/>
        <w:gridCol w:w="1156"/>
        <w:gridCol w:w="60"/>
      </w:tblGrid>
      <w:tr>
        <w:trPr/>
        <w:tc>
          <w:tcPr>
            <w:tcW w:w="161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Salary</w:t>
              <w:br/>
              <w: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Bonus</w:t>
              <w:br/>
              <w: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1255" w:type="dxa"/>
            <w:gridSpan w:val="2"/>
            <w:tcBorders>
              <w:bottom w:val="single" w:sz="2" w:space="0" w:color="000000"/>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All Other</w:t>
              <w:br/>
              <w:t>Compensation</w:t>
              <w:br/>
              <w:t>(€)(1)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1255" w:type="dxa"/>
            <w:gridSpan w:val="2"/>
            <w:tcBorders>
              <w:bottom w:val="single" w:sz="2" w:space="0" w:color="000000"/>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Total</w:t>
              <w:br/>
              <w:t>Compensation</w:t>
              <w:br/>
              <w:t>(€)</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Laurin Hahn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56,000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160" w:right="0" w:hanging="0"/>
              <w:jc w:val="left"/>
              <w:rPr/>
            </w:pPr>
            <w:r>
              <w:rPr/>
              <w:t> </w:t>
            </w:r>
          </w:p>
        </w:tc>
        <w:tc>
          <w:tcPr>
            <w:tcW w:w="1065"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404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160" w:right="0" w:hanging="0"/>
              <w:jc w:val="left"/>
              <w:rPr/>
            </w:pPr>
            <w:r>
              <w:rPr/>
              <w:t> </w:t>
            </w:r>
          </w:p>
        </w:tc>
        <w:tc>
          <w:tcPr>
            <w:tcW w:w="1156"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66,404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Jona Christians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56,000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160" w:right="0" w:hanging="0"/>
              <w:jc w:val="left"/>
              <w:rPr/>
            </w:pPr>
            <w:r>
              <w:rPr/>
              <w:t> </w:t>
            </w:r>
          </w:p>
        </w:tc>
        <w:tc>
          <w:tcPr>
            <w:tcW w:w="1065"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160" w:right="0" w:hanging="0"/>
              <w:jc w:val="left"/>
              <w:rPr/>
            </w:pPr>
            <w:r>
              <w:rPr/>
              <w:t> </w:t>
            </w:r>
          </w:p>
        </w:tc>
        <w:tc>
          <w:tcPr>
            <w:tcW w:w="1156"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66,000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Torsten Kiedel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160" w:right="0" w:hanging="0"/>
              <w:jc w:val="left"/>
              <w:rPr/>
            </w:pPr>
            <w:r>
              <w:rPr/>
              <w:t> </w:t>
            </w:r>
          </w:p>
        </w:tc>
        <w:tc>
          <w:tcPr>
            <w:tcW w:w="1065"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160" w:right="0" w:hanging="0"/>
              <w:jc w:val="left"/>
              <w:rPr/>
            </w:pPr>
            <w:r>
              <w:rPr/>
              <w:t> </w:t>
            </w:r>
          </w:p>
        </w:tc>
        <w:tc>
          <w:tcPr>
            <w:tcW w:w="1156"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230,450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Thomas Hausch(2)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249,996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160" w:right="0" w:hanging="0"/>
              <w:jc w:val="left"/>
              <w:rPr/>
            </w:pPr>
            <w:r>
              <w:rPr/>
              <w:t> </w:t>
            </w:r>
          </w:p>
        </w:tc>
        <w:tc>
          <w:tcPr>
            <w:tcW w:w="1065"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160" w:right="0" w:hanging="0"/>
              <w:jc w:val="left"/>
              <w:rPr/>
            </w:pPr>
            <w:r>
              <w:rPr/>
              <w:t> </w:t>
            </w:r>
          </w:p>
        </w:tc>
        <w:tc>
          <w:tcPr>
            <w:tcW w:w="1156"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259,996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Markus Volmer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160" w:right="0" w:hanging="0"/>
              <w:jc w:val="left"/>
              <w:rPr/>
            </w:pPr>
            <w:r>
              <w:rPr/>
              <w:t> </w:t>
            </w:r>
          </w:p>
        </w:tc>
        <w:tc>
          <w:tcPr>
            <w:tcW w:w="1065"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160" w:right="0" w:hanging="0"/>
              <w:jc w:val="left"/>
              <w:rPr/>
            </w:pPr>
            <w:r>
              <w:rPr/>
              <w:t> </w:t>
            </w:r>
          </w:p>
        </w:tc>
        <w:tc>
          <w:tcPr>
            <w:tcW w:w="1156"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230,434</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(1)</w:t>
            </w:r>
          </w:p>
        </w:tc>
        <w:tc>
          <w:tcPr>
            <w:tcW w:w="9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other compensation includes other monetary benefits and contributions to social security insurance, if any.</w:t>
            </w:r>
          </w:p>
        </w:tc>
      </w:tr>
      <w:tr>
        <w:trPr/>
        <w:tc>
          <w:tcPr>
            <w:tcW w:w="2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context of the termination of the Sion passenger car program, Thomas Hausch resigned as chief operating officer and member of the management board on March 21, 2023 with immediate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Share Ownership of Management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share ownership of our management board members as of November 30, 2023.</w:t>
      </w:r>
    </w:p>
    <w:p>
      <w:pPr>
        <w:pStyle w:val="TextBody"/>
        <w:bidi w:val="0"/>
        <w:spacing w:before="0" w:after="0"/>
        <w:ind w:left="0" w:right="0" w:hanging="0"/>
        <w:jc w:val="left"/>
        <w:rPr>
          <w:caps w:val="false"/>
          <w:smallCaps w:val="false"/>
        </w:rPr>
      </w:pPr>
      <w:r>
        <w:rPr>
          <w:caps w:val="false"/>
          <w:smallCaps w:val="false"/>
        </w:rPr>
        <w:t> </w:t>
      </w:r>
    </w:p>
    <w:tbl>
      <w:tblPr>
        <w:tblW w:w="6332" w:type="dxa"/>
        <w:jc w:val="left"/>
        <w:tblInd w:w="0" w:type="dxa"/>
        <w:tblLayout w:type="fixed"/>
        <w:tblCellMar>
          <w:top w:w="0" w:type="dxa"/>
          <w:left w:w="0" w:type="dxa"/>
          <w:bottom w:w="28" w:type="dxa"/>
          <w:right w:w="0" w:type="dxa"/>
        </w:tblCellMar>
      </w:tblPr>
      <w:tblGrid>
        <w:gridCol w:w="1535"/>
        <w:gridCol w:w="60"/>
        <w:gridCol w:w="75"/>
        <w:gridCol w:w="1479"/>
        <w:gridCol w:w="60"/>
        <w:gridCol w:w="60"/>
        <w:gridCol w:w="185"/>
        <w:gridCol w:w="1504"/>
        <w:gridCol w:w="60"/>
        <w:gridCol w:w="60"/>
        <w:gridCol w:w="100"/>
        <w:gridCol w:w="1094"/>
        <w:gridCol w:w="60"/>
      </w:tblGrid>
      <w:tr>
        <w:trPr/>
        <w:tc>
          <w:tcPr>
            <w:tcW w:w="153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1554" w:type="dxa"/>
            <w:gridSpan w:val="2"/>
            <w:tcBorders>
              <w:bottom w:val="single" w:sz="2" w:space="0" w:color="000000"/>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Number of Shares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1689" w:type="dxa"/>
            <w:gridSpan w:val="2"/>
            <w:tcBorders>
              <w:bottom w:val="single" w:sz="2" w:space="0" w:color="000000"/>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Percentage of</w:t>
              <w:br/>
              <w:t>Shares Outstanding</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1194" w:type="dxa"/>
            <w:gridSpan w:val="2"/>
            <w:tcBorders>
              <w:bottom w:val="single" w:sz="2" w:space="0" w:color="000000"/>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Voting Rights</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Laurin Hahn(1)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160" w:right="0" w:hanging="0"/>
              <w:jc w:val="left"/>
              <w:rPr/>
            </w:pPr>
            <w:r>
              <w:rPr/>
              <w:t> </w:t>
            </w:r>
          </w:p>
        </w:tc>
        <w:tc>
          <w:tcPr>
            <w:tcW w:w="1479"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21,375,000(1)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160" w:right="0" w:hanging="0"/>
              <w:jc w:val="left"/>
              <w:rPr/>
            </w:pPr>
            <w:r>
              <w:rPr/>
              <w:t> </w:t>
            </w:r>
          </w:p>
        </w:tc>
        <w:tc>
          <w:tcPr>
            <w:tcW w:w="1504"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19.67%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ind w:left="160" w:right="0" w:hanging="0"/>
              <w:jc w:val="left"/>
              <w:rPr/>
            </w:pPr>
            <w:r>
              <w:rPr/>
              <w:t> </w:t>
            </w:r>
          </w:p>
        </w:tc>
        <w:tc>
          <w:tcPr>
            <w:tcW w:w="1094"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32.81%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 Christians(2)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ind w:left="160" w:right="0" w:hanging="0"/>
              <w:jc w:val="left"/>
              <w:rPr/>
            </w:pPr>
            <w:r>
              <w:rPr/>
              <w:t> </w:t>
            </w:r>
          </w:p>
        </w:tc>
        <w:tc>
          <w:tcPr>
            <w:tcW w:w="1479"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19,237,500(2)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ind w:left="160" w:right="0" w:hanging="0"/>
              <w:jc w:val="left"/>
              <w:rPr/>
            </w:pPr>
            <w:r>
              <w:rPr/>
              <w:t> </w:t>
            </w:r>
          </w:p>
        </w:tc>
        <w:tc>
          <w:tcPr>
            <w:tcW w:w="1504"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17.70%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ind w:left="160" w:right="0" w:hanging="0"/>
              <w:jc w:val="left"/>
              <w:rPr/>
            </w:pPr>
            <w:r>
              <w:rPr/>
              <w:t> </w:t>
            </w:r>
          </w:p>
        </w:tc>
        <w:tc>
          <w:tcPr>
            <w:tcW w:w="1094"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29.53%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Torsten Kiedel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160" w:right="0" w:hanging="0"/>
              <w:jc w:val="left"/>
              <w:rPr/>
            </w:pPr>
            <w:r>
              <w:rPr/>
              <w:t> </w:t>
            </w:r>
          </w:p>
        </w:tc>
        <w:tc>
          <w:tcPr>
            <w:tcW w:w="1479"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160" w:right="0" w:hanging="0"/>
              <w:jc w:val="left"/>
              <w:rPr/>
            </w:pPr>
            <w:r>
              <w:rPr/>
              <w:t> </w:t>
            </w:r>
          </w:p>
        </w:tc>
        <w:tc>
          <w:tcPr>
            <w:tcW w:w="1504"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ind w:left="160" w:right="0" w:hanging="0"/>
              <w:jc w:val="left"/>
              <w:rPr/>
            </w:pPr>
            <w:r>
              <w:rPr/>
              <w:t> </w:t>
            </w:r>
          </w:p>
        </w:tc>
        <w:tc>
          <w:tcPr>
            <w:tcW w:w="1094"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Thomas Hausch(3)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ind w:left="160" w:right="0" w:hanging="0"/>
              <w:jc w:val="left"/>
              <w:rPr/>
            </w:pPr>
            <w:r>
              <w:rPr/>
              <w:t> </w:t>
            </w:r>
          </w:p>
        </w:tc>
        <w:tc>
          <w:tcPr>
            <w:tcW w:w="1479"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ind w:left="160" w:right="0" w:hanging="0"/>
              <w:jc w:val="left"/>
              <w:rPr/>
            </w:pPr>
            <w:r>
              <w:rPr/>
              <w:t> </w:t>
            </w:r>
          </w:p>
        </w:tc>
        <w:tc>
          <w:tcPr>
            <w:tcW w:w="1504"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ind w:left="160" w:right="0" w:hanging="0"/>
              <w:jc w:val="left"/>
              <w:rPr/>
            </w:pPr>
            <w:r>
              <w:rPr/>
              <w:t> </w:t>
            </w:r>
          </w:p>
        </w:tc>
        <w:tc>
          <w:tcPr>
            <w:tcW w:w="1094"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Markus Volmer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160" w:right="0" w:hanging="0"/>
              <w:jc w:val="left"/>
              <w:rPr/>
            </w:pPr>
            <w:r>
              <w:rPr/>
              <w:t> </w:t>
            </w:r>
          </w:p>
        </w:tc>
        <w:tc>
          <w:tcPr>
            <w:tcW w:w="1479"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160" w:right="0" w:hanging="0"/>
              <w:jc w:val="left"/>
              <w:rPr/>
            </w:pPr>
            <w:r>
              <w:rPr/>
              <w:t> </w:t>
            </w:r>
          </w:p>
        </w:tc>
        <w:tc>
          <w:tcPr>
            <w:tcW w:w="1504"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ind w:left="160" w:right="0" w:hanging="0"/>
              <w:jc w:val="left"/>
              <w:rPr/>
            </w:pPr>
            <w:r>
              <w:rPr/>
              <w:t> </w:t>
            </w:r>
          </w:p>
        </w:tc>
        <w:tc>
          <w:tcPr>
            <w:tcW w:w="1094"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(1)</w:t>
            </w:r>
          </w:p>
        </w:tc>
        <w:tc>
          <w:tcPr>
            <w:tcW w:w="996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Of which 1,578,947 shares are high voting shares, which correspond to 21.85% of the voting rights.</w:t>
            </w:r>
          </w:p>
        </w:tc>
      </w:tr>
      <w:tr>
        <w:trPr/>
        <w:tc>
          <w:tcPr>
            <w:tcW w:w="240"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(2)</w:t>
            </w:r>
          </w:p>
        </w:tc>
        <w:tc>
          <w:tcPr>
            <w:tcW w:w="996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Of which 1,421,053 shares are high voting shares, which correspond to 19.66% of the voting rights.</w:t>
            </w:r>
          </w:p>
        </w:tc>
      </w:tr>
      <w:tr>
        <w:trPr/>
        <w:tc>
          <w:tcPr>
            <w:tcW w:w="240"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(3)</w:t>
            </w:r>
          </w:p>
        </w:tc>
        <w:tc>
          <w:tcPr>
            <w:tcW w:w="9965"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 the context of the termination of the Sion passenger car program, Thomas Hausch resigned as chief operating officer and member of the management board on March 21, 2023 with immediate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Option Ownership of Management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option ownership of our management board members as of November 30, 2023.</w:t>
      </w:r>
    </w:p>
    <w:p>
      <w:pPr>
        <w:pStyle w:val="TextBody"/>
        <w:bidi w:val="0"/>
        <w:spacing w:before="0" w:after="0"/>
        <w:ind w:left="0" w:right="0" w:hanging="0"/>
        <w:jc w:val="left"/>
        <w:rPr>
          <w:caps w:val="false"/>
          <w:smallCaps w:val="false"/>
        </w:rPr>
      </w:pPr>
      <w:r>
        <w:rPr>
          <w:caps w:val="false"/>
          <w:smallCaps w:val="false"/>
        </w:rPr>
        <w:t> </w:t>
      </w:r>
    </w:p>
    <w:tbl>
      <w:tblPr>
        <w:tblW w:w="5070" w:type="dxa"/>
        <w:jc w:val="left"/>
        <w:tblInd w:w="0" w:type="dxa"/>
        <w:tblLayout w:type="fixed"/>
        <w:tblCellMar>
          <w:top w:w="0" w:type="dxa"/>
          <w:left w:w="0" w:type="dxa"/>
          <w:bottom w:w="28" w:type="dxa"/>
          <w:right w:w="0" w:type="dxa"/>
        </w:tblCellMar>
      </w:tblPr>
      <w:tblGrid>
        <w:gridCol w:w="1555"/>
        <w:gridCol w:w="60"/>
        <w:gridCol w:w="1645"/>
        <w:gridCol w:w="60"/>
        <w:gridCol w:w="1750"/>
      </w:tblGrid>
      <w:tr>
        <w:trPr/>
        <w:tc>
          <w:tcPr>
            <w:tcW w:w="1555" w:type="dxa"/>
            <w:tcBorders>
              <w:bottom w:val="single" w:sz="2" w:space="0" w:color="000000"/>
            </w:tcBorders>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1645" w:type="dxa"/>
            <w:tcBorders>
              <w:bottom w:val="single" w:sz="2" w:space="0" w:color="000000"/>
            </w:tcBorders>
            <w:vAlign w:val="center"/>
          </w:tcPr>
          <w:p>
            <w:pPr>
              <w:pStyle w:val="TableContents"/>
              <w:bidi w:val="0"/>
              <w:spacing w:before="0" w:after="0"/>
              <w:ind w:left="160" w:right="0" w:firstLine="20"/>
              <w:jc w:val="center"/>
              <w:rPr>
                <w:rFonts w:ascii="Times New Roman" w:hAnsi="Times New Roman"/>
                <w:b/>
                <w:caps w:val="false"/>
                <w:smallCaps w:val="false"/>
                <w:sz w:val="20"/>
              </w:rPr>
            </w:pPr>
            <w:r>
              <w:rPr>
                <w:rFonts w:ascii="Times New Roman" w:hAnsi="Times New Roman"/>
                <w:b/>
                <w:caps w:val="false"/>
                <w:smallCaps w:val="false"/>
                <w:sz w:val="20"/>
              </w:rPr>
              <w:t>Number of Options</w:t>
            </w:r>
          </w:p>
        </w:tc>
        <w:tc>
          <w:tcPr>
            <w:tcW w:w="60" w:type="dxa"/>
            <w:tcBorders/>
            <w:tcMar>
              <w:bottom w:w="0" w:type="dxa"/>
            </w:tcMar>
            <w:vAlign w:val="center"/>
          </w:tcPr>
          <w:p>
            <w:pPr>
              <w:pStyle w:val="TableContents"/>
              <w:bidi w:val="0"/>
              <w:spacing w:before="0" w:after="283"/>
              <w:jc w:val="left"/>
              <w:rPr/>
            </w:pPr>
            <w:r>
              <w:rPr/>
              <w:t> </w:t>
            </w:r>
          </w:p>
        </w:tc>
        <w:tc>
          <w:tcPr>
            <w:tcW w:w="1750" w:type="dxa"/>
            <w:tcBorders>
              <w:bottom w:val="single" w:sz="2" w:space="0" w:color="000000"/>
            </w:tcBorders>
            <w:vAlign w:val="center"/>
          </w:tcPr>
          <w:p>
            <w:pPr>
              <w:pStyle w:val="TableContents"/>
              <w:bidi w:val="0"/>
              <w:spacing w:before="0" w:after="0"/>
              <w:ind w:left="160" w:right="0" w:firstLine="20"/>
              <w:jc w:val="center"/>
              <w:rPr>
                <w:rFonts w:ascii="Times New Roman" w:hAnsi="Times New Roman"/>
                <w:b/>
                <w:caps w:val="false"/>
                <w:smallCaps w:val="false"/>
                <w:sz w:val="20"/>
              </w:rPr>
            </w:pPr>
            <w:r>
              <w:rPr>
                <w:rFonts w:ascii="Times New Roman" w:hAnsi="Times New Roman"/>
                <w:b/>
                <w:caps w:val="false"/>
                <w:smallCaps w:val="false"/>
                <w:sz w:val="20"/>
              </w:rPr>
              <w:t>Exercise Price (in €)</w:t>
            </w:r>
          </w:p>
        </w:tc>
      </w:tr>
      <w:tr>
        <w:trPr/>
        <w:tc>
          <w:tcPr>
            <w:tcW w:w="1555" w:type="dxa"/>
            <w:tcBorders/>
            <w:shd w:fill="CCEE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Laurin Hahn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5" w:type="dxa"/>
            <w:tcBorders/>
            <w:shd w:fill="CCEEFF" w:val="clear"/>
            <w:tcMar>
              <w:bottom w:w="0" w:type="dxa"/>
            </w:tcMar>
            <w:vAlign w:val="center"/>
          </w:tcPr>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0" w:type="dxa"/>
            <w:tcBorders/>
            <w:shd w:fill="CCEEFF" w:val="clear"/>
            <w:tcMar>
              <w:bottom w:w="0" w:type="dxa"/>
            </w:tcMar>
            <w:vAlign w:val="center"/>
          </w:tcPr>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1555" w:type="dxa"/>
            <w:tcBorders/>
            <w:shd w:fill="FFFF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Jona Christians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5" w:type="dxa"/>
            <w:tcBorders/>
            <w:shd w:fill="FFFFFF" w:val="clear"/>
            <w:tcMar>
              <w:bottom w:w="0" w:type="dxa"/>
            </w:tcMar>
            <w:vAlign w:val="center"/>
          </w:tcPr>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0" w:type="dxa"/>
            <w:tcBorders/>
            <w:shd w:fill="FFFFFF" w:val="clear"/>
            <w:tcMar>
              <w:bottom w:w="0" w:type="dxa"/>
            </w:tcMar>
            <w:vAlign w:val="center"/>
          </w:tcPr>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1555" w:type="dxa"/>
            <w:tcBorders/>
            <w:shd w:fill="CCEE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Torsten Kiedel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5" w:type="dxa"/>
            <w:tcBorders/>
            <w:shd w:fill="CCEEFF" w:val="clear"/>
            <w:tcMar>
              <w:bottom w:w="0" w:type="dxa"/>
            </w:tcMar>
            <w:vAlign w:val="center"/>
          </w:tcPr>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132,350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0" w:type="dxa"/>
            <w:tcBorders/>
            <w:shd w:fill="CCEEFF" w:val="clear"/>
            <w:tcMar>
              <w:bottom w:w="0" w:type="dxa"/>
            </w:tcMar>
            <w:vAlign w:val="center"/>
          </w:tcPr>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0.06 each</w:t>
            </w:r>
          </w:p>
        </w:tc>
      </w:tr>
      <w:tr>
        <w:trPr/>
        <w:tc>
          <w:tcPr>
            <w:tcW w:w="1555" w:type="dxa"/>
            <w:tcBorders/>
            <w:shd w:fill="FFFF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Thomas Hausch(1)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5" w:type="dxa"/>
            <w:tcBorders/>
            <w:shd w:fill="FFFFFF" w:val="clear"/>
            <w:tcMar>
              <w:bottom w:w="0" w:type="dxa"/>
            </w:tcMar>
            <w:vAlign w:val="center"/>
          </w:tcPr>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134,350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0" w:type="dxa"/>
            <w:tcBorders/>
            <w:shd w:fill="FFFFFF" w:val="clear"/>
            <w:tcMar>
              <w:bottom w:w="0" w:type="dxa"/>
            </w:tcMar>
            <w:vAlign w:val="center"/>
          </w:tcPr>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0.06 each</w:t>
            </w:r>
          </w:p>
        </w:tc>
      </w:tr>
      <w:tr>
        <w:trPr/>
        <w:tc>
          <w:tcPr>
            <w:tcW w:w="1555" w:type="dxa"/>
            <w:tcBorders/>
            <w:shd w:fill="CCEE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Markus Volmer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5" w:type="dxa"/>
            <w:tcBorders/>
            <w:shd w:fill="CCEEFF" w:val="clear"/>
            <w:tcMar>
              <w:bottom w:w="0" w:type="dxa"/>
            </w:tcMar>
            <w:vAlign w:val="center"/>
          </w:tcPr>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0" w:type="dxa"/>
            <w:tcBorders/>
            <w:shd w:fill="CCEEFF" w:val="clear"/>
            <w:tcMar>
              <w:bottom w:w="0" w:type="dxa"/>
            </w:tcMar>
            <w:vAlign w:val="center"/>
          </w:tcPr>
          <w:p>
            <w:pPr>
              <w:pStyle w:val="TableContents"/>
              <w:bidi w:val="0"/>
              <w:spacing w:before="0" w:after="0"/>
              <w:ind w:left="160" w:right="0" w:firstLine="2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(1) In the context of the termination of the Sion passenger car program, Thomas Hausch resigned as chief operating officer and member of the management board on March 21, 2023 with immediate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Service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entered into service contracts with our management board members (“Management Contracts”). The Management Contracts generally provide for a term of four years and a base salary and an annual variable payment expressed as a percentage of annual base salary. The supervisory board is also entitled to grant management board members additional compensation at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Management Contracts also provide for additional allowances. The management board members are also eligible to participate in a stock option plan, virtual stock plan or equivalent plan that is established in a manner substantially similar to other of the senior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Management Contracts provide for the following restrictive covenants: (i) a non-compete during employment and for 18 months and (ii) a perpetual confidentiality covenant. Under the Management Contracts, we are obligated to pay the management board members compensation for the duration of their post-employment non-compete in monthly installments that are equal to half of the total compensation they received prior to their termination. In connection with the changes in the Company’s management board that are contemplated in the Yorkville Agreements, the Company intends to waive the post-contractions non-compete clauses contained in the Management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management board members also hold positions at the Subsidiary. In the context of the termination of the Sion passenger car program, Thomas Hausch resigned as chief operating officer of the Subsidiary and member of the Subsidiary’s management board on March 21, 2023 with immediate effect. In connection with the corporate structure and future business model currently envisioned in the planned Yorkville Investment, including the streamlined initial business focus on the Solar Bus Kit, on September 29, 2023, the Subsidiary terminated its contracts with its remaining managing directors – CEOs Laurin Hahn and Jona Christians, CFO Torsten Kiedel and CTO Markus Volmer. Mr. Hahn, Mr. Christians, Mr. Kiedel and Mr. Volmer will remain in their roles and continue to support the Subsidiary through the end of 2023. In connection with the terminations, the Subsidiary has waived the post-contractions non-competition clauses contained in the employment contracts of each of the managing directors. Mr. Hahn, Mr. Christians, Mr. Kiedel and Mr. Volmer currently remain on the management board of the Company. In connection with the Yorkville Investment, new members of the management board of the Company will be appointed. See “</w:t>
      </w:r>
      <w:r>
        <w:rPr>
          <w:rFonts w:ascii="Times New Roman" w:hAnsi="Times New Roman"/>
          <w:i/>
          <w:caps w:val="false"/>
          <w:smallCaps w:val="false"/>
          <w:sz w:val="20"/>
        </w:rPr>
        <w:t>Item 6. Directors, Senior Management and Employees</w:t>
      </w:r>
      <w:r>
        <w:rPr>
          <w:rFonts w:ascii="Times New Roman" w:hAnsi="Times New Roman"/>
          <w:caps w:val="false"/>
          <w:smallCaps w:val="false"/>
          <w:sz w:val="20"/>
        </w:rPr>
        <w:t>—</w:t>
      </w:r>
      <w:r>
        <w:rPr>
          <w:rFonts w:ascii="Times New Roman" w:hAnsi="Times New Roman"/>
          <w:i/>
          <w:caps w:val="false"/>
          <w:smallCaps w:val="false"/>
          <w:sz w:val="20"/>
        </w:rPr>
        <w:t>Directors and Senior Management</w:t>
      </w:r>
      <w:r>
        <w:rPr>
          <w:rFonts w:ascii="Times New Roman" w:hAnsi="Times New Roman"/>
          <w:caps w:val="false"/>
          <w:smallCaps w:val="false"/>
          <w:sz w:val="20"/>
        </w:rPr>
        <w:t xml:space="preserve">—A. </w:t>
      </w:r>
      <w:r>
        <w:rPr>
          <w:rFonts w:ascii="Times New Roman" w:hAnsi="Times New Roman"/>
          <w:i/>
          <w:caps w:val="false"/>
          <w:smallCaps w:val="false"/>
          <w:sz w:val="20"/>
        </w:rPr>
        <w:t>Management Board</w:t>
      </w:r>
      <w:r>
        <w:rPr>
          <w:rFonts w:ascii="Times New Roman" w:hAnsi="Times New Roman"/>
          <w:caps w:val="false"/>
          <w:smallCaps w:val="false"/>
          <w:sz w:val="20"/>
        </w:rPr>
        <w:t>—</w:t>
      </w:r>
      <w:r>
        <w:rPr>
          <w:rFonts w:ascii="Times New Roman" w:hAnsi="Times New Roman"/>
          <w:i/>
          <w:caps w:val="false"/>
          <w:smallCaps w:val="false"/>
          <w:sz w:val="20"/>
        </w:rPr>
        <w:t>Management board changes in connection with the Yorkville Investment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entered into service agreements with our supervisory board members, the terms of which provide for, among other things, compensation as determined by the general meeting from time to time.</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Remuneration and Other Benefits to Supervisory Board Members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Compensation of Supervisory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supervisory board was first established in 2021. The annual compensation packages for services as supervisory board members consist of €50,000 for the chairperson, €40,000 for the vice-chairperson and €25,000 for each regular supervisory board member. In addition, for membership in the audit committee, the chairperson receives an annual compensation of €20,000 and each other member an annual compensation of €10,000. For membership in the compensation committee, the chairperson receives an annual compensation of €12,000 and each other member an annual compensation of €6,000. For membership in the nomination and corporate governance committee, the chairperson receives an annual compensation of €8,000 and each other member an annual compensation of €4,000.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aggregate compensation and benefits provided to supervisory board members for their services on the supervisory board in the year ended December 31, 2022 (excluding the restricted stock units (“RSU”) awarded to them, as reflected).</w:t>
      </w:r>
    </w:p>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28" w:type="dxa"/>
          <w:right w:w="0" w:type="dxa"/>
        </w:tblCellMar>
      </w:tblPr>
      <w:tblGrid>
        <w:gridCol w:w="1895"/>
        <w:gridCol w:w="60"/>
        <w:gridCol w:w="240"/>
        <w:gridCol w:w="1015"/>
        <w:gridCol w:w="60"/>
      </w:tblGrid>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1255" w:type="dxa"/>
            <w:gridSpan w:val="2"/>
            <w:tcBorders>
              <w:bottom w:val="single" w:sz="2" w:space="0" w:color="000000"/>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Compensation</w:t>
              <w:br/>
              <w:t>and benefits</w:t>
              <w:br/>
              <w:t>(€)</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Martina Buchhauser(1)</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240" w:type="dxa"/>
            <w:tcBorders/>
            <w:shd w:fill="CCEEFF" w:val="clear"/>
            <w:tcMar>
              <w:bottom w:w="0" w:type="dxa"/>
            </w:tcMar>
            <w:vAlign w:val="center"/>
          </w:tcPr>
          <w:p>
            <w:pPr>
              <w:pStyle w:val="TableContents"/>
              <w:bidi w:val="0"/>
              <w:spacing w:before="0" w:after="283"/>
              <w:ind w:left="160" w:right="0" w:hanging="0"/>
              <w:jc w:val="left"/>
              <w:rPr/>
            </w:pPr>
            <w:r>
              <w:rPr/>
              <w:t>€</w:t>
            </w:r>
          </w:p>
        </w:tc>
        <w:tc>
          <w:tcPr>
            <w:tcW w:w="10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67,167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Sebastian Böttger(1)</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240" w:type="dxa"/>
            <w:tcBorders/>
            <w:shd w:fill="FFFFFF" w:val="clear"/>
            <w:tcMar>
              <w:bottom w:w="0" w:type="dxa"/>
            </w:tcMar>
            <w:vAlign w:val="center"/>
          </w:tcPr>
          <w:p>
            <w:pPr>
              <w:pStyle w:val="TableContents"/>
              <w:bidi w:val="0"/>
              <w:spacing w:before="0" w:after="283"/>
              <w:ind w:left="160" w:right="0" w:hanging="0"/>
              <w:jc w:val="left"/>
              <w:rPr/>
            </w:pPr>
            <w:r>
              <w:rPr/>
              <w:t>€</w:t>
            </w:r>
          </w:p>
        </w:tc>
        <w:tc>
          <w:tcPr>
            <w:tcW w:w="101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A. Jeffe(1)</w:t>
            </w:r>
          </w:p>
        </w:tc>
        <w:tc>
          <w:tcPr>
            <w:tcW w:w="60" w:type="dxa"/>
            <w:tcBorders/>
            <w:shd w:fill="CCEEFF" w:val="clear"/>
            <w:tcMar>
              <w:bottom w:w="0" w:type="dxa"/>
            </w:tcMar>
            <w:vAlign w:val="center"/>
          </w:tcPr>
          <w:p>
            <w:pPr>
              <w:pStyle w:val="TableContents"/>
              <w:bidi w:val="0"/>
              <w:spacing w:before="0" w:after="283"/>
              <w:ind w:left="160" w:right="0" w:hanging="0"/>
              <w:jc w:val="left"/>
              <w:rPr/>
            </w:pPr>
            <w:r>
              <w:rPr/>
              <w:t> </w:t>
            </w:r>
          </w:p>
        </w:tc>
        <w:tc>
          <w:tcPr>
            <w:tcW w:w="240" w:type="dxa"/>
            <w:tcBorders/>
            <w:shd w:fill="CCEEFF" w:val="clear"/>
            <w:tcMar>
              <w:bottom w:w="0" w:type="dxa"/>
            </w:tcMar>
            <w:vAlign w:val="center"/>
          </w:tcPr>
          <w:p>
            <w:pPr>
              <w:pStyle w:val="TableContents"/>
              <w:bidi w:val="0"/>
              <w:spacing w:before="0" w:after="283"/>
              <w:ind w:left="160" w:right="0" w:hanging="0"/>
              <w:jc w:val="left"/>
              <w:rPr/>
            </w:pPr>
            <w:r>
              <w:rPr/>
              <w:t>€</w:t>
            </w:r>
          </w:p>
        </w:tc>
        <w:tc>
          <w:tcPr>
            <w:tcW w:w="10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64,750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Johannes Trischler</w:t>
            </w:r>
          </w:p>
        </w:tc>
        <w:tc>
          <w:tcPr>
            <w:tcW w:w="60" w:type="dxa"/>
            <w:tcBorders/>
            <w:shd w:fill="FFFFFF" w:val="clear"/>
            <w:tcMar>
              <w:bottom w:w="0" w:type="dxa"/>
            </w:tcMar>
            <w:vAlign w:val="center"/>
          </w:tcPr>
          <w:p>
            <w:pPr>
              <w:pStyle w:val="TableContents"/>
              <w:bidi w:val="0"/>
              <w:spacing w:before="0" w:after="283"/>
              <w:ind w:left="160" w:right="0" w:hanging="0"/>
              <w:jc w:val="left"/>
              <w:rPr/>
            </w:pPr>
            <w:r>
              <w:rPr/>
              <w:t> </w:t>
            </w:r>
          </w:p>
        </w:tc>
        <w:tc>
          <w:tcPr>
            <w:tcW w:w="240" w:type="dxa"/>
            <w:tcBorders/>
            <w:shd w:fill="FFFFFF" w:val="clear"/>
            <w:tcMar>
              <w:bottom w:w="0" w:type="dxa"/>
            </w:tcMar>
            <w:vAlign w:val="center"/>
          </w:tcPr>
          <w:p>
            <w:pPr>
              <w:pStyle w:val="TableContents"/>
              <w:bidi w:val="0"/>
              <w:spacing w:before="0" w:after="283"/>
              <w:ind w:left="160" w:right="0" w:hanging="0"/>
              <w:jc w:val="left"/>
              <w:rPr/>
            </w:pPr>
            <w:r>
              <w:rPr/>
              <w:t>€</w:t>
            </w:r>
          </w:p>
        </w:tc>
        <w:tc>
          <w:tcPr>
            <w:tcW w:w="101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29,000</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(1) Robert A. Jeffe, Martina Buchhauser and Sebastian Böttger resigned as members of the supervisory board on April 21, 2023, with immediate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Supervisory board member Arnd Schwierholz, who was appointed as member of the supervisory board effective December 21, 2022 and resigned as member of the supervisory board on April 21, 2023 with immediate effect, did not receive any compensation for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2022, we received services from members of the supervisory board (including services from employee representatives on the supervisory board in their capacity as employees of the Subsidiary) in the amount of €207,917.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September 11, 2023, three new members of the supervisory board were appointed on a provisional basis until their formal appointment at the Company's next annual general meeting. After the appointment the supervisory board is chaired by Sandra Vogt-Sasse, who is supported by Thomas Wiedermann as Vice-Chair. Martin Sabbione also joins the supervisory board as an additional new member. Johannes Trischler, an employee representative,  has been a member of the Company's supervisory board since November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 annum compensation and benefits that will be provided to supervisory board members for their services on the supervisory board in 2023 (excluding the RSUs awarded to them, as reflected) are set forth in the table below.</w:t>
      </w:r>
    </w:p>
    <w:p>
      <w:pPr>
        <w:pStyle w:val="TextBody"/>
        <w:bidi w:val="0"/>
        <w:spacing w:before="0" w:after="0"/>
        <w:ind w:left="140" w:right="0" w:hanging="0"/>
        <w:jc w:val="both"/>
        <w:rPr>
          <w:caps w:val="false"/>
          <w:smallCaps w:val="false"/>
        </w:rPr>
      </w:pPr>
      <w:r>
        <w:rPr>
          <w:caps w:val="false"/>
          <w:smallCaps w:val="false"/>
        </w:rPr>
        <w:t> </w:t>
      </w:r>
    </w:p>
    <w:tbl>
      <w:tblPr>
        <w:tblW w:w="3285" w:type="dxa"/>
        <w:jc w:val="left"/>
        <w:tblInd w:w="0" w:type="dxa"/>
        <w:tblLayout w:type="fixed"/>
        <w:tblCellMar>
          <w:top w:w="0" w:type="dxa"/>
          <w:left w:w="0" w:type="dxa"/>
          <w:bottom w:w="28" w:type="dxa"/>
          <w:right w:w="0" w:type="dxa"/>
        </w:tblCellMar>
      </w:tblPr>
      <w:tblGrid>
        <w:gridCol w:w="1745"/>
        <w:gridCol w:w="60"/>
        <w:gridCol w:w="236"/>
        <w:gridCol w:w="999"/>
        <w:gridCol w:w="245"/>
      </w:tblGrid>
      <w:tr>
        <w:trPr/>
        <w:tc>
          <w:tcPr>
            <w:tcW w:w="174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ind w:left="280" w:right="0" w:hanging="0"/>
              <w:jc w:val="left"/>
              <w:rPr/>
            </w:pPr>
            <w:r>
              <w:rPr/>
              <w:t> </w:t>
            </w:r>
          </w:p>
        </w:tc>
        <w:tc>
          <w:tcPr>
            <w:tcW w:w="1235" w:type="dxa"/>
            <w:gridSpan w:val="2"/>
            <w:tcBorders>
              <w:bottom w:val="single" w:sz="2" w:space="0" w:color="000000"/>
            </w:tcBorders>
            <w:vAlign w:val="center"/>
          </w:tcPr>
          <w:p>
            <w:pPr>
              <w:pStyle w:val="TableContents"/>
              <w:bidi w:val="0"/>
              <w:spacing w:before="0" w:after="0"/>
              <w:ind w:left="56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w:t>
              <w:br/>
              <w:t>and benefits</w:t>
              <w:br/>
              <w:t>(€)</w:t>
            </w:r>
          </w:p>
        </w:tc>
        <w:tc>
          <w:tcPr>
            <w:tcW w:w="245" w:type="dxa"/>
            <w:tcBorders>
              <w:bottom w:val="single" w:sz="2" w:space="0" w:color="000000"/>
            </w:tcBorders>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Sandra Vogt-Sasse</w:t>
            </w:r>
          </w:p>
        </w:tc>
        <w:tc>
          <w:tcPr>
            <w:tcW w:w="60" w:type="dxa"/>
            <w:tcBorders/>
            <w:shd w:fill="CCEEFF" w:val="clear"/>
            <w:tcMar>
              <w:bottom w:w="0" w:type="dxa"/>
            </w:tcMar>
            <w:vAlign w:val="center"/>
          </w:tcPr>
          <w:p>
            <w:pPr>
              <w:pStyle w:val="TableContents"/>
              <w:bidi w:val="0"/>
              <w:spacing w:before="0" w:after="283"/>
              <w:ind w:left="280" w:right="0" w:hanging="0"/>
              <w:jc w:val="left"/>
              <w:rPr/>
            </w:pPr>
            <w:r>
              <w:rPr/>
              <w:t> </w:t>
            </w:r>
          </w:p>
        </w:tc>
        <w:tc>
          <w:tcPr>
            <w:tcW w:w="236" w:type="dxa"/>
            <w:tcBorders/>
            <w:shd w:fill="CCEEFF" w:val="clear"/>
            <w:tcMar>
              <w:bottom w:w="0" w:type="dxa"/>
            </w:tcMar>
            <w:vAlign w:val="center"/>
          </w:tcPr>
          <w:p>
            <w:pPr>
              <w:pStyle w:val="TableContents"/>
              <w:bidi w:val="0"/>
              <w:spacing w:before="0" w:after="283"/>
              <w:ind w:left="280" w:right="0" w:hanging="0"/>
              <w:jc w:val="left"/>
              <w:rPr/>
            </w:pPr>
            <w:r>
              <w:rPr/>
              <w:t>€</w:t>
            </w:r>
          </w:p>
        </w:tc>
        <w:tc>
          <w:tcPr>
            <w:tcW w:w="99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70,000</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Thomas Wiedermann</w:t>
            </w:r>
          </w:p>
        </w:tc>
        <w:tc>
          <w:tcPr>
            <w:tcW w:w="60" w:type="dxa"/>
            <w:tcBorders/>
            <w:shd w:fill="FFFFFF" w:val="clear"/>
            <w:tcMar>
              <w:bottom w:w="0" w:type="dxa"/>
            </w:tcMar>
            <w:vAlign w:val="center"/>
          </w:tcPr>
          <w:p>
            <w:pPr>
              <w:pStyle w:val="TableContents"/>
              <w:bidi w:val="0"/>
              <w:spacing w:before="0" w:after="283"/>
              <w:ind w:left="280" w:right="0" w:hanging="0"/>
              <w:jc w:val="left"/>
              <w:rPr/>
            </w:pPr>
            <w:r>
              <w:rPr/>
              <w:t> </w:t>
            </w:r>
          </w:p>
        </w:tc>
        <w:tc>
          <w:tcPr>
            <w:tcW w:w="236" w:type="dxa"/>
            <w:tcBorders/>
            <w:shd w:fill="FFFFFF" w:val="clear"/>
            <w:tcMar>
              <w:bottom w:w="0" w:type="dxa"/>
            </w:tcMar>
            <w:vAlign w:val="center"/>
          </w:tcPr>
          <w:p>
            <w:pPr>
              <w:pStyle w:val="TableContents"/>
              <w:bidi w:val="0"/>
              <w:spacing w:before="0" w:after="283"/>
              <w:ind w:left="280" w:right="0" w:hanging="0"/>
              <w:jc w:val="left"/>
              <w:rPr/>
            </w:pPr>
            <w:r>
              <w:rPr/>
              <w:t>€</w:t>
            </w:r>
          </w:p>
        </w:tc>
        <w:tc>
          <w:tcPr>
            <w:tcW w:w="99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64,000</w:t>
            </w:r>
          </w:p>
        </w:tc>
        <w:tc>
          <w:tcPr>
            <w:tcW w:w="24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Martin Sabbione</w:t>
            </w:r>
          </w:p>
        </w:tc>
        <w:tc>
          <w:tcPr>
            <w:tcW w:w="60" w:type="dxa"/>
            <w:tcBorders/>
            <w:shd w:fill="CCEEFF" w:val="clear"/>
            <w:tcMar>
              <w:bottom w:w="0" w:type="dxa"/>
            </w:tcMar>
            <w:vAlign w:val="center"/>
          </w:tcPr>
          <w:p>
            <w:pPr>
              <w:pStyle w:val="TableContents"/>
              <w:bidi w:val="0"/>
              <w:spacing w:before="0" w:after="283"/>
              <w:ind w:left="280" w:right="0" w:hanging="0"/>
              <w:jc w:val="left"/>
              <w:rPr/>
            </w:pPr>
            <w:r>
              <w:rPr/>
              <w:t> </w:t>
            </w:r>
          </w:p>
        </w:tc>
        <w:tc>
          <w:tcPr>
            <w:tcW w:w="236" w:type="dxa"/>
            <w:tcBorders/>
            <w:shd w:fill="CCEEFF" w:val="clear"/>
            <w:tcMar>
              <w:bottom w:w="0" w:type="dxa"/>
            </w:tcMar>
            <w:vAlign w:val="center"/>
          </w:tcPr>
          <w:p>
            <w:pPr>
              <w:pStyle w:val="TableContents"/>
              <w:bidi w:val="0"/>
              <w:spacing w:before="0" w:after="283"/>
              <w:ind w:left="280" w:right="0" w:hanging="0"/>
              <w:jc w:val="left"/>
              <w:rPr/>
            </w:pPr>
            <w:r>
              <w:rPr/>
              <w:t>€</w:t>
            </w:r>
          </w:p>
        </w:tc>
        <w:tc>
          <w:tcPr>
            <w:tcW w:w="99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47,000</w:t>
            </w:r>
          </w:p>
        </w:tc>
        <w:tc>
          <w:tcPr>
            <w:tcW w:w="24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Johannes Trischler</w:t>
            </w:r>
          </w:p>
        </w:tc>
        <w:tc>
          <w:tcPr>
            <w:tcW w:w="60" w:type="dxa"/>
            <w:tcBorders/>
            <w:shd w:fill="FFFFFF" w:val="clear"/>
            <w:tcMar>
              <w:bottom w:w="0" w:type="dxa"/>
            </w:tcMar>
            <w:vAlign w:val="center"/>
          </w:tcPr>
          <w:p>
            <w:pPr>
              <w:pStyle w:val="TableContents"/>
              <w:bidi w:val="0"/>
              <w:spacing w:before="0" w:after="283"/>
              <w:ind w:left="280" w:right="0" w:hanging="0"/>
              <w:jc w:val="left"/>
              <w:rPr/>
            </w:pPr>
            <w:r>
              <w:rPr/>
              <w:t> </w:t>
            </w:r>
          </w:p>
        </w:tc>
        <w:tc>
          <w:tcPr>
            <w:tcW w:w="236" w:type="dxa"/>
            <w:tcBorders/>
            <w:shd w:fill="FFFFFF" w:val="clear"/>
            <w:tcMar>
              <w:bottom w:w="0" w:type="dxa"/>
            </w:tcMar>
            <w:vAlign w:val="center"/>
          </w:tcPr>
          <w:p>
            <w:pPr>
              <w:pStyle w:val="TableContents"/>
              <w:bidi w:val="0"/>
              <w:spacing w:before="0" w:after="283"/>
              <w:ind w:left="280" w:right="0" w:hanging="0"/>
              <w:jc w:val="left"/>
              <w:rPr/>
            </w:pPr>
            <w:r>
              <w:rPr/>
              <w:t>€</w:t>
            </w:r>
          </w:p>
        </w:tc>
        <w:tc>
          <w:tcPr>
            <w:tcW w:w="99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35,000</w:t>
            </w:r>
          </w:p>
        </w:tc>
        <w:tc>
          <w:tcPr>
            <w:tcW w:w="24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Until November 10, 2023, Thomas Wiedermann’s annual compensation was €56,000 and Martin Sabbione’s was €55,000. The changes in compensation reflect changes in committee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Until September 11, 2023, Johannes Trischler’s annual compensation for his services on the supervisory board (excluding RSUs) was €29,000. The changes in compensation reflect changes in committee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Share Ownership of Supervisory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year ended December 31, 2022, supervisory board members did not own any shares in the Company. Of our current supervisory board members, Martin Sabbione currently owns an insignificant number of shares in the Company.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RSU Ownership of Supervisory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to the aforementioned cash component, each supervisory board member received a one-time award of RSUs (restricted stock units for common shares in the capital of the Company) under the Company’s long-term incentive plan upon his or her appointment as supervisory board member, starting from the date of the Company’s IPO (November 19, 2021, the grant date), which vests in four equal installments on each relevant anniversary of the grant date, with the fourth installment vesting on the earlier of (a) the fourth anniversary of the grant date or (b) the Company's annual general meeting of shareholders to be held in 2025:</w:t>
      </w:r>
    </w:p>
    <w:p>
      <w:pPr>
        <w:pStyle w:val="TextBody"/>
        <w:bidi w:val="0"/>
        <w:spacing w:before="0" w:after="0"/>
        <w:ind w:left="0" w:right="0" w:hanging="0"/>
        <w:jc w:val="left"/>
        <w:rPr>
          <w:caps w:val="false"/>
          <w:smallCaps w:val="false"/>
        </w:rPr>
      </w:pPr>
      <w:r>
        <w:rPr>
          <w:caps w:val="false"/>
          <w:smallCaps w:val="false"/>
        </w:rPr>
        <w:t> </w:t>
      </w:r>
    </w:p>
    <w:tbl>
      <w:tblPr>
        <w:tblW w:w="3449" w:type="dxa"/>
        <w:jc w:val="left"/>
        <w:tblInd w:w="0" w:type="dxa"/>
        <w:tblLayout w:type="fixed"/>
        <w:tblCellMar>
          <w:top w:w="0" w:type="dxa"/>
          <w:left w:w="0" w:type="dxa"/>
          <w:bottom w:w="28" w:type="dxa"/>
          <w:right w:w="0" w:type="dxa"/>
        </w:tblCellMar>
      </w:tblPr>
      <w:tblGrid>
        <w:gridCol w:w="1895"/>
        <w:gridCol w:w="60"/>
        <w:gridCol w:w="131"/>
        <w:gridCol w:w="1303"/>
        <w:gridCol w:w="60"/>
      </w:tblGrid>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ind w:left="160" w:right="0" w:hanging="0"/>
              <w:jc w:val="left"/>
              <w:rPr/>
            </w:pPr>
            <w:r>
              <w:rPr/>
              <w:t> </w:t>
            </w:r>
          </w:p>
        </w:tc>
        <w:tc>
          <w:tcPr>
            <w:tcW w:w="1434" w:type="dxa"/>
            <w:gridSpan w:val="2"/>
            <w:tcBorders>
              <w:bottom w:val="single" w:sz="2" w:space="0" w:color="000000"/>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Number of RSUs</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Martina Buchhauser(1)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ind w:left="160" w:right="0" w:hanging="0"/>
              <w:jc w:val="left"/>
              <w:rPr/>
            </w:pPr>
            <w:r>
              <w:rPr/>
              <w:t> </w:t>
            </w:r>
          </w:p>
        </w:tc>
        <w:tc>
          <w:tcPr>
            <w:tcW w:w="13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A. Jeffe(1)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ind w:left="160" w:right="0" w:hanging="0"/>
              <w:jc w:val="left"/>
              <w:rPr/>
            </w:pPr>
            <w:r>
              <w:rPr/>
              <w:t> </w:t>
            </w:r>
          </w:p>
        </w:tc>
        <w:tc>
          <w:tcPr>
            <w:tcW w:w="13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Sebastian Böttger(1)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ind w:left="160" w:right="0" w:hanging="0"/>
              <w:jc w:val="left"/>
              <w:rPr/>
            </w:pPr>
            <w:r>
              <w:rPr/>
              <w:t> </w:t>
            </w:r>
          </w:p>
        </w:tc>
        <w:tc>
          <w:tcPr>
            <w:tcW w:w="13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Johannes Trischler(2)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ind w:left="160" w:right="0" w:hanging="0"/>
              <w:jc w:val="left"/>
              <w:rPr/>
            </w:pPr>
            <w:r>
              <w:rPr/>
              <w:t> </w:t>
            </w:r>
          </w:p>
        </w:tc>
        <w:tc>
          <w:tcPr>
            <w:tcW w:w="13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15,028</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(1) Robert A. Jeffe, Martina Buchhauser and Sebastian Böttger resigned as members of the supervisory board on April 21, 2023, with immediate effect, and the number of RSUs represent the amount vested up to the resignation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(2) The number of RSUs represents the total amount granted for Johannes Trischler.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Supervisory board member Arnd Schwierhold, who was appointed as member of the supervisory board effective December 21, 2022 and resigned as member of the supervisory board on April 21, 2023 with immediate effect, does not hold any RSUs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Employee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There is uncertainty over the future of the remuneration based on shares (share-based payment) programs as a result of the Self-Administration Proceedings. The potential change in financing, anticipated delisting of our shares from Nasdaq, as determined by the Panel in its delist decision from December 11, 2023, and potential changes in management or the structure of the Companies may result in share options not being formally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Former Virtual Share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granted virtual shares to all employees under an employee participation program (the “VESP 2017”), which entitled the beneficiaries to monetary benefits in the form of profit participations or a right to participate in the Subsidiary’s exit proceeds in the case of certain predetermined exit events subject to certain conditions. The value of the virtual shares of the employees were derived from a point system based on the relevant employee’s length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we granted virtual shares to certain key employees under another employee participation program (the “VESP 2018”), which also entitled such key employees to essentially equivalent monetary benefits, while the value of such key employees’ virtual shares were derived from a percentage defined in the relevant key employee’s employment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December 2020, the VESP 2017 and VESP 2018 and any virtual shares, awards or other benefits related thereto were terminated with immediate effect based on the conclusion of individual cancellation agreements with all beneficiaries but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Long-Term Incentive Plan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November 2021, in conjunction with the consummation of our IPO, we established a new long-term incentive plan (the “LTIP”) with the purpose of advancing the interests of our shareholders and other stakeholders by enhancing our ability to attract, retain and motivate individuals who are expected to make important contributions to us. The LTIP governs issuances of equity and equity-based incentive awards from and after the consummation of our IPO. The maximum number of ordinary shares underlying awards granted pursuant to the LTIP (other than replacement awards under the LTIP) shall not exceed 10% of the Company’s issued share capital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LTIP is, as applicable, administered by (i) the management board, to the extent the administration or operation of the LTIP relates to the grant of awards to a participant who is not a management board member or supervisory board member, as well as any other matter relating to such awards, (ii) the Company’s supervisory board, to the extent the administration or operation of the LTIP relates to the grant of awards to participants who are members of the compensation committee established by the supervisory board, as well as any other matter relating to such awards, or (iii) the compensation committee established by the supervisory board for all other matters relating to the administration or operation of the LTIP (each of these bodies, where appropriate,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Awards under the LTIP may be granted to our employees, the members of our management board and supervisory board, consultants or other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Awards under the LTIP may be granted in the form of stock options, stock appreciation rights, shares of restricted stock, restricted stock units, other share-based awards or a combination of the foregoing. The Committee may condition the right of an individual to exercise his or her awards upon the achievement or satisfaction of performance criteria.</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vesting conditions for awards under the LTIP will be determined by the Committee and will be set forth in the applicable award documentation.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event of a good leaver’s (as defined in the LTIP) termination of employment or service, all vested awards must be exercised or settled in accordance with their terms within a period specified by the Committee and all unvested awards shall be canceled automatically without compensation unless otherwise determined by the Committee or set forth in the applicable award documentation. In the event of a bad leaver’s (as defined in the LTIP) termination of employment or service, all vested and unvested awards will be canceled automatically without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event of a change in control of the Company (as defined in the LTIP) outstanding awards that will be substituted or exchanged for equivalent replacement awards, will be canceled. If outstanding rewards are not substituted or exchanged for equivalent replacement awards, the awards shall immediately vest and settle in full, unless otherwise decided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Conversion Stock Option Program (CSOP)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December 2020, against the background of our intention to terminate all relevant benefits under the VESP 2017 and the VESP 2018, we adopted our conversion stock option program under the LTIP (“CSOP”) in order to grant a total of 1,805,100 of stock options each with an exercise price of €0.06 to the former beneficiaries under the VESP 2017 (except for one such beneficiary) and the VESP 2018 as well as one additional beneficiary based on individual grant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Under the CSOP, the Company granted 1,401,240 fully vested stock options, each with an exercise price of €0.06 and which are not subject to any performance criteria, with effect as of the closing date of our IPO on November 19, 2021 to all but one former beneficiaries (who had not accepted our offer to transfer to the CSOP) under the VESP 2017 as well as the one aforementioned additional beneficiary (the “VESP 2017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VESP 2017 Tranche stock options may first be exercised one year after the closing of our IPO, which took place on November 19, 2021, and only in certain windows afterwards and expire four years after the closing of our IPO. In addition, we intend to offer 27,100 fully vested stock options to certain former employees based on essentially equivalent terms as the other stock options that were already granted under the VESP 2017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the Company granted 403,860 stock options (of which on March 31, 2022, 311,116 stock options were fully vested and 92,744 stock options were not fully vested), each with an exercise price of €0.06 and which are not subject to any performance criteria, with effect as of the closing date of our IPO, which took place on November 19, 2021, to the former beneficiaries under the VESP 2018 (the “VESP 2018 Tranche”). The VESP 2018 Tranche stock options are generally subject to a three-year vesting period with 1/36 of the stock options granted to the relevant beneficiary incrementally vesting for each month of employment of such beneficiary depending on the relevant vesting start date as set out in the relevant individual grant agreement. The then-vested VESP 2018 Tranche stock options may first be exercised one year after the closing of our IPO, which took place on November 19, 2021, and expire four years after the closing of our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Immediately prior to the pricing of our IPO on November 16, 2021, we issued additional ordinary shares to all of our existing shareholders, replicating the effect of a share split. Each of our existing shareholders received 0.71 additional ordinary shares per common share or high voting share held by them immediately prior to the pricing of our IPO, rounded down to the nearest integer. Our stock options reflect the effect of this issuance of share, as the underlying securities for one stock option changed from one common share to 1.71 ordinary shares, with issuable shares being rounded down to the nearest full integer.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 xml:space="preserve">Employee Stock Option Plan (ESOP)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2022, we intended to implement a new employee stock option program (the “ESOP”) under the LTIP to grant stock options to certain employees of the Company or any direct or indirect subsidiary. Under the ESOP, as part of the 10% authorization under the LTIP, stock options may be granted by no later than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Stock options under the ESOP may be granted to our employees, managing directors and other officers, who are not members of our management board or our supervisory board. The exercise price of the stock options, granted to each eligible beneficiary by a separate grant agreement (the “Grant Agreement”) in one or more tranches, shall be €0.06 for each stock option (subject to adjustments in case of certain reorganization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stock options are not subject to any performance criteria and shall vest in quarterly installments over a one-year vesting period, potentially subject to the condition that a cliff period of eighteen months has expired. In connection with the initial adoption of the ESOP, a grant agreement may set forth for some or all of the stock options granted in 2022, a separate date on which vesting shall start and different cliff and vesting periods, such period not to be less than six months.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Vested stock options may be exercised only during certain trading windows following the publication of our financial results. Each exercised stock option entitles the beneficiary to receive one share against payment of the exercise price. However, in fulfillment of any validly exercised stock options, the Company, at its sole discretion, may instead of the delivery of some or all resulting shares make a cash payment to the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event of a good leaver’s (to be defined in the ESOP) termination of employment or service, all vested awards must be exercised or settled in accordance with their terms within a period specified in the ESOP and all unvested awards shall be canceled automatically without compensation. In the event of a bad leaver’s (to be defined in the ESOP) termination of employment or service, all vested and unvested awards will be canceled automatically without compensation.</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There is uncertainty over the future of the ESOP due to the Self-Administration Proceedings and the plan under the German Insolvency Code submitted to the Court in connection with the Subsidiary Self-Administration Proceedings. The potential changes in financing, anticipated delisting of our shares from Nasdaq, as determined by the Panel in its delist decision from December 11, 2023, and potential changes in management or ownership structures of the Companies may result in share options not being formally granted.</w:t>
      </w:r>
    </w:p>
    <w:p>
      <w:pPr>
        <w:pStyle w:val="TextBody"/>
        <w:bidi w:val="0"/>
        <w:spacing w:before="0" w:after="0"/>
        <w:ind w:left="0" w:right="0" w:hanging="0"/>
        <w:jc w:val="left"/>
        <w:rPr>
          <w:caps w:val="false"/>
          <w:smallCaps w:val="false"/>
        </w:rPr>
      </w:pPr>
      <w:r>
        <w:rPr>
          <w:caps w:val="false"/>
          <w:smallCaps w:val="false"/>
        </w:rPr>
        <w:t> </w:t>
      </w:r>
    </w:p>
    <w:tbl>
      <w:tblPr>
        <w:tblW w:w="1625" w:type="dxa"/>
        <w:jc w:val="left"/>
        <w:tblInd w:w="0" w:type="dxa"/>
        <w:tblLayout w:type="fixed"/>
        <w:tblCellMar>
          <w:top w:w="0" w:type="dxa"/>
          <w:left w:w="0" w:type="dxa"/>
          <w:bottom w:w="0" w:type="dxa"/>
          <w:right w:w="0" w:type="dxa"/>
        </w:tblCellMar>
      </w:tblPr>
      <w:tblGrid>
        <w:gridCol w:w="220"/>
        <w:gridCol w:w="1405"/>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32" w:name="P1I6C"/>
            <w:bookmarkEnd w:id="32"/>
            <w:r>
              <w:rPr>
                <w:rFonts w:ascii="Times New Roman" w:hAnsi="Times New Roman"/>
                <w:b/>
                <w:caps w:val="false"/>
                <w:smallCaps w:val="false"/>
                <w:sz w:val="20"/>
              </w:rPr>
              <w:t>C.</w:t>
            </w:r>
          </w:p>
        </w:tc>
        <w:tc>
          <w:tcPr>
            <w:tcW w:w="140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Board Practices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a consequence of the resignations of four of the five supervisory board members as described under “</w:t>
      </w:r>
      <w:r>
        <w:rPr>
          <w:rFonts w:ascii="Times New Roman" w:hAnsi="Times New Roman"/>
          <w:i/>
          <w:caps w:val="false"/>
          <w:smallCaps w:val="false"/>
          <w:sz w:val="20"/>
        </w:rPr>
        <w:t>Item 6. Directors, Senior Management and Employees</w:t>
      </w:r>
      <w:r>
        <w:rPr>
          <w:rFonts w:ascii="Times New Roman" w:hAnsi="Times New Roman"/>
          <w:caps w:val="false"/>
          <w:smallCaps w:val="false"/>
          <w:sz w:val="20"/>
        </w:rPr>
        <w:t>—</w:t>
      </w:r>
      <w:r>
        <w:rPr>
          <w:rFonts w:ascii="Times New Roman" w:hAnsi="Times New Roman"/>
          <w:i/>
          <w:caps w:val="false"/>
          <w:smallCaps w:val="false"/>
          <w:sz w:val="20"/>
        </w:rPr>
        <w:t>A. Directors and Senior Management</w:t>
      </w:r>
      <w:r>
        <w:rPr>
          <w:rFonts w:ascii="Times New Roman" w:hAnsi="Times New Roman"/>
          <w:caps w:val="false"/>
          <w:smallCaps w:val="false"/>
          <w:sz w:val="20"/>
        </w:rPr>
        <w:t>—</w:t>
      </w:r>
      <w:r>
        <w:rPr>
          <w:rFonts w:ascii="Times New Roman" w:hAnsi="Times New Roman"/>
          <w:i/>
          <w:caps w:val="false"/>
          <w:smallCaps w:val="false"/>
          <w:sz w:val="20"/>
        </w:rPr>
        <w:t>Supervisory Board</w:t>
      </w:r>
      <w:r>
        <w:rPr>
          <w:rFonts w:ascii="Times New Roman" w:hAnsi="Times New Roman"/>
          <w:caps w:val="false"/>
          <w:smallCaps w:val="false"/>
          <w:sz w:val="20"/>
        </w:rPr>
        <w:t>” on April 21, 2023, the Company did not have any supervisory board committees until three new candidates for the supervisory board were identified and appointed  on  a provisional basis on September 11, 2023. During that time, the Company also was not in compliance with Nasdaq Listing Rule 5605(c)(2)(A), which requires a listed company to have an audit committee composed of at least three members, who each meet the criteria for independence set forth in Rule 10A-4(b)(1) under the Exchange Act. This deficiency served as an additional ground for delisting according to a letter we received from Nasdaq staff on August 28, 2023. On September 11, 2023, the Company re-established its compensation committee and its nomination and corporate governance committee. On September 22, 2023, the Company re-established its audit committee.  Since the new supervisory board members fulfill the requirements of the Nasdaq Listing Rules relating to audit committee members, we regained compliance with the Nasdaq Listing Rules relating to audit committee requirements upon the re-establishment of the audit committee. Since that time, we also once again have three supervisory board committees as described in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audit committee assists the supervisory board in overseeing our accounting and financial reporting processes and the audits of our consolidated financial statements. Sandra Vogt-Sasse currently serves as chairperson of the  audit committee. Robert A. Jeffe served as chairperson of the committee until April 21, 2023. In addition, the audit committee is responsible for the appointment, compensation, retention and oversight of the work of our independent registered public accounting firm. All audit committee members satisfy the “independence” requirements set forth in Rule 10A-3 under the Exchange Act and that Sandra Vogt-Sasse is qualified as an “audit committee financial expert,” as such term is defined in the rules of the SEC. The composition of our audit committee was consistent with the best practice provisions of the DCGC. Until April 21, 2023, the audit committee consisted of Robert A. Jeffe, Sebastian Böttger, Martina Buchhauser and Arnd Schwierholz. The audit committee currently consists of Sandra Vogt-Sasse, Martin Sabbione, and Thomas Wiedermann.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audit committee is governed by a charter, which is posted and accessible on our investor relations website. As of the date of this Annual Report, the Company is not in compliance with the audit committee charter. According to the charter, the chairperson of the supervisory board may not serve as the chair of the audit committee. Both positions are currently held by Sandra Vogt-Sasse. The decision to have Sandra Vogt-Sasse serve as both the chair of the audit committee and the chair of the supervisory board was taken based on her significant experience in and knowledge about auditing, local GAAP and IFRS, as well as auditing quality controls in accordance with §57a of the German Public Accountant Act (</w:t>
      </w:r>
      <w:r>
        <w:rPr>
          <w:rFonts w:ascii="Times New Roman" w:hAnsi="Times New Roman"/>
          <w:i/>
          <w:caps w:val="false"/>
          <w:smallCaps w:val="false"/>
          <w:sz w:val="20"/>
        </w:rPr>
        <w:t>Wirtschaftspr</w:t>
      </w:r>
      <w:r>
        <w:rPr>
          <w:rFonts w:ascii="Times New Roman" w:hAnsi="Times New Roman"/>
          <w:caps w:val="false"/>
          <w:smallCaps w:val="false"/>
          <w:sz w:val="20"/>
        </w:rPr>
        <w:t>ü</w:t>
      </w:r>
      <w:r>
        <w:rPr>
          <w:rFonts w:ascii="Times New Roman" w:hAnsi="Times New Roman"/>
          <w:i/>
          <w:caps w:val="false"/>
          <w:smallCaps w:val="false"/>
          <w:sz w:val="20"/>
        </w:rPr>
        <w:t>ferordnung - WPO</w:t>
      </w:r>
      <w:r>
        <w:rPr>
          <w:rFonts w:ascii="Times New Roman" w:hAnsi="Times New Roman"/>
          <w:caps w:val="false"/>
          <w:smallCaps w:val="false"/>
          <w:sz w:val="20"/>
        </w:rPr>
        <w:t>). In combination with Sandra Vogt-Sasse’s acquired capital markets knowledge, especially concerning SEC and Nasdaq requirements, having her chair both the audit committee and the supervisory board seemed a logical step in light of the Company’s situation at the time of the supervisory board appointments. The Company intends to amend its audit committee charter to allow one person to serve as both the chair of the supervisory board and the chair of the audit committee in a future annual general meeting of shareholders of the Company currently, envisioned for the first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compensation committee assists the supervisory board in determining compensation for our executive officers and our management board members and supervisory board members. Martin Sabbione currently serves as chairperson of the compensation committee. Sebastian Böttger served as chairperson of the committee until April 21, 2023. The composition of our compensation committee was consistent with the best practice provisions of the DCGC. Until April 21, 2023, the compensation committee consisted of Sebastian Böttger and Robert A. Jeffe. The compensation committee currently consists of Martin Sabbione, Thomas Wiedermann and Johannes Trischler.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compensation committee is governed by a charter, which is posted and accessible on our investor relations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Nomination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nomination and corporate governance committee assists our supervisory board in identifying individuals qualified to become our management board members or supervisory board members consistent with criteria established by us, including in our code of business conduct and ethics. Martina Buchhauser served as chairperson of the committee. Until April 21, 2023, the nomination and corporate governance committee consisted of Martina Buchhauser, Johannes Trischler and Arnd Schwierholz. From September 22, 2023 to November 10, 2023, the nomination and corporate governance committee consisted of Martin Sabbione and Johannes Trischler. The nomination and corporate governance committee currently consists of Thomas Wiedermann and Johannes Trischler.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nomination and corporate governance committee is governed by a charter, which is posted and accessible on our investor relations website.</w:t>
      </w:r>
    </w:p>
    <w:p>
      <w:pPr>
        <w:pStyle w:val="TextBody"/>
        <w:bidi w:val="0"/>
        <w:spacing w:before="0" w:after="0"/>
        <w:ind w:left="0" w:right="0" w:hanging="0"/>
        <w:jc w:val="left"/>
        <w:rPr>
          <w:caps w:val="false"/>
          <w:smallCaps w:val="false"/>
        </w:rPr>
      </w:pPr>
      <w:r>
        <w:rPr>
          <w:caps w:val="false"/>
          <w:smallCaps w:val="false"/>
        </w:rPr>
        <w:t> </w:t>
      </w:r>
    </w:p>
    <w:tbl>
      <w:tblPr>
        <w:tblW w:w="1190" w:type="dxa"/>
        <w:jc w:val="left"/>
        <w:tblInd w:w="0" w:type="dxa"/>
        <w:tblLayout w:type="fixed"/>
        <w:tblCellMar>
          <w:top w:w="0" w:type="dxa"/>
          <w:left w:w="0" w:type="dxa"/>
          <w:bottom w:w="0" w:type="dxa"/>
          <w:right w:w="0" w:type="dxa"/>
        </w:tblCellMar>
      </w:tblPr>
      <w:tblGrid>
        <w:gridCol w:w="220"/>
        <w:gridCol w:w="97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33" w:name="P1I6D"/>
            <w:bookmarkEnd w:id="33"/>
            <w:r>
              <w:rPr>
                <w:rFonts w:ascii="Times New Roman" w:hAnsi="Times New Roman"/>
                <w:b/>
                <w:caps w:val="false"/>
                <w:smallCaps w:val="false"/>
                <w:sz w:val="20"/>
              </w:rPr>
              <w:t>D.</w:t>
            </w:r>
          </w:p>
        </w:tc>
        <w:tc>
          <w:tcPr>
            <w:tcW w:w="97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2022, 409 people were employed at Sono Motors, with engineering and development for the Sion and our proprietary solar technology accounting for over 60% of our workforce. In light of our decision to terminate the Sion program, in February 2023, as of the end of March 2023, we notified 254 employees about the termination of their employment with us. Most of these terminations are expected to become effective by the end of May 2023. Thereafter, in connection with the corporate structure and future business model currently envisioned in the planned Yorkville Investment, including the streamlined initial business focus on the Solar Bus Kit, on September 29, 2023, we terminated the contracts of 40 employees, including the contracts of the four managing directors of the Subsidiary. The following table shows the number of employees, by category, as of December 31, 2020, 2021 and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6"/>
        <w:gridCol w:w="60"/>
        <w:gridCol w:w="2959"/>
        <w:gridCol w:w="60"/>
        <w:gridCol w:w="60"/>
        <w:gridCol w:w="1585"/>
        <w:gridCol w:w="60"/>
        <w:gridCol w:w="60"/>
        <w:gridCol w:w="715"/>
        <w:gridCol w:w="60"/>
        <w:gridCol w:w="60"/>
        <w:gridCol w:w="1638"/>
        <w:gridCol w:w="60"/>
        <w:gridCol w:w="60"/>
        <w:gridCol w:w="535"/>
        <w:gridCol w:w="60"/>
        <w:gridCol w:w="60"/>
        <w:gridCol w:w="505"/>
        <w:gridCol w:w="62"/>
      </w:tblGrid>
      <w:tr>
        <w:trPr/>
        <w:tc>
          <w:tcPr>
            <w:tcW w:w="15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8537" w:type="dxa"/>
            <w:gridSpan w:val="16"/>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Department</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4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Year</w:t>
            </w:r>
          </w:p>
        </w:tc>
        <w:tc>
          <w:tcPr>
            <w:tcW w:w="60" w:type="dxa"/>
            <w:tcBorders/>
            <w:vAlign w:val="center"/>
          </w:tcPr>
          <w:p>
            <w:pPr>
              <w:pStyle w:val="TableContents"/>
              <w:bidi w:val="0"/>
              <w:spacing w:before="0" w:after="283"/>
              <w:ind w:left="160" w:right="0" w:hanging="0"/>
              <w:jc w:val="left"/>
              <w:rPr/>
            </w:pPr>
            <w:r>
              <w:rPr/>
              <w:t> </w:t>
            </w:r>
          </w:p>
        </w:tc>
        <w:tc>
          <w:tcPr>
            <w:tcW w:w="2959" w:type="dxa"/>
            <w:tcBorders>
              <w:bottom w:val="single" w:sz="2" w:space="0" w:color="000000"/>
            </w:tcBorders>
            <w:tcMar>
              <w:bottom w:w="28" w:type="dxa"/>
            </w:tcMar>
            <w:vAlign w:val="center"/>
          </w:tcPr>
          <w:p>
            <w:pPr>
              <w:pStyle w:val="TableContents"/>
              <w:bidi w:val="0"/>
              <w:spacing w:before="0" w:after="0"/>
              <w:ind w:left="140" w:right="0" w:firstLine="20"/>
              <w:jc w:val="center"/>
              <w:rPr>
                <w:rFonts w:ascii="Times New Roman" w:hAnsi="Times New Roman"/>
                <w:b/>
                <w:caps w:val="false"/>
                <w:smallCaps w:val="false"/>
                <w:sz w:val="20"/>
              </w:rPr>
            </w:pPr>
            <w:r>
              <w:rPr>
                <w:rFonts w:ascii="Times New Roman" w:hAnsi="Times New Roman"/>
                <w:b/>
                <w:caps w:val="false"/>
                <w:smallCaps w:val="false"/>
                <w:sz w:val="20"/>
              </w:rPr>
              <w:t>Departments Sion, Solar and Digital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585" w:type="dxa"/>
            <w:tcBorders>
              <w:bottom w:val="single" w:sz="2" w:space="0" w:color="000000"/>
            </w:tcBorders>
            <w:tcMar>
              <w:bottom w:w="28" w:type="dxa"/>
            </w:tcMar>
            <w:vAlign w:val="center"/>
          </w:tcPr>
          <w:p>
            <w:pPr>
              <w:pStyle w:val="TableContents"/>
              <w:bidi w:val="0"/>
              <w:spacing w:before="0" w:after="0"/>
              <w:ind w:left="140" w:right="0" w:firstLine="20"/>
              <w:jc w:val="center"/>
              <w:rPr>
                <w:rFonts w:ascii="Times New Roman" w:hAnsi="Times New Roman"/>
                <w:b/>
                <w:caps w:val="false"/>
                <w:smallCaps w:val="false"/>
                <w:sz w:val="20"/>
              </w:rPr>
            </w:pPr>
            <w:r>
              <w:rPr>
                <w:rFonts w:ascii="Times New Roman" w:hAnsi="Times New Roman"/>
                <w:b/>
                <w:caps w:val="false"/>
                <w:smallCaps w:val="false"/>
                <w:sz w:val="20"/>
              </w:rPr>
              <w:t>Marketing &amp; Sales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715" w:type="dxa"/>
            <w:tcBorders>
              <w:bottom w:val="single" w:sz="2" w:space="0" w:color="000000"/>
            </w:tcBorders>
            <w:tcMar>
              <w:bottom w:w="28" w:type="dxa"/>
            </w:tcMar>
            <w:vAlign w:val="center"/>
          </w:tcPr>
          <w:p>
            <w:pPr>
              <w:pStyle w:val="TableContents"/>
              <w:bidi w:val="0"/>
              <w:spacing w:before="0" w:after="0"/>
              <w:ind w:left="140" w:right="0" w:firstLine="20"/>
              <w:jc w:val="center"/>
              <w:rPr>
                <w:rFonts w:ascii="Times New Roman" w:hAnsi="Times New Roman"/>
                <w:b/>
                <w:caps w:val="false"/>
                <w:smallCaps w:val="false"/>
                <w:sz w:val="20"/>
              </w:rPr>
            </w:pPr>
            <w:r>
              <w:rPr>
                <w:rFonts w:ascii="Times New Roman" w:hAnsi="Times New Roman"/>
                <w:b/>
                <w:caps w:val="false"/>
                <w:smallCaps w:val="false"/>
                <w:sz w:val="20"/>
              </w:rPr>
              <w:t>Finance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638" w:type="dxa"/>
            <w:tcBorders>
              <w:bottom w:val="single" w:sz="2" w:space="0" w:color="000000"/>
            </w:tcBorders>
            <w:tcMar>
              <w:bottom w:w="28" w:type="dxa"/>
            </w:tcMar>
            <w:vAlign w:val="center"/>
          </w:tcPr>
          <w:p>
            <w:pPr>
              <w:pStyle w:val="TableContents"/>
              <w:bidi w:val="0"/>
              <w:spacing w:before="0" w:after="0"/>
              <w:ind w:left="140" w:right="0" w:firstLine="20"/>
              <w:jc w:val="center"/>
              <w:rPr>
                <w:rFonts w:ascii="Times New Roman" w:hAnsi="Times New Roman"/>
                <w:b/>
                <w:caps w:val="false"/>
                <w:smallCaps w:val="false"/>
                <w:sz w:val="20"/>
              </w:rPr>
            </w:pPr>
            <w:r>
              <w:rPr>
                <w:rFonts w:ascii="Times New Roman" w:hAnsi="Times New Roman"/>
                <w:b/>
                <w:caps w:val="false"/>
                <w:smallCaps w:val="false"/>
                <w:sz w:val="20"/>
              </w:rPr>
              <w:t>HR + Organization</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535" w:type="dxa"/>
            <w:tcBorders>
              <w:bottom w:val="single" w:sz="2" w:space="0" w:color="000000"/>
            </w:tcBorders>
            <w:tcMar>
              <w:bottom w:w="28" w:type="dxa"/>
            </w:tcMar>
            <w:vAlign w:val="center"/>
          </w:tcPr>
          <w:p>
            <w:pPr>
              <w:pStyle w:val="TableContents"/>
              <w:bidi w:val="0"/>
              <w:spacing w:before="0" w:after="0"/>
              <w:ind w:left="140" w:right="0" w:firstLine="20"/>
              <w:jc w:val="center"/>
              <w:rPr>
                <w:rFonts w:ascii="Times New Roman" w:hAnsi="Times New Roman"/>
                <w:b/>
                <w:caps w:val="false"/>
                <w:smallCaps w:val="false"/>
                <w:sz w:val="20"/>
              </w:rPr>
            </w:pPr>
            <w:r>
              <w:rPr>
                <w:rFonts w:ascii="Times New Roman" w:hAnsi="Times New Roman"/>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505" w:type="dxa"/>
            <w:tcBorders>
              <w:bottom w:val="single" w:sz="2" w:space="0" w:color="000000"/>
            </w:tcBorders>
            <w:tcMar>
              <w:bottom w:w="28" w:type="dxa"/>
            </w:tcMar>
            <w:vAlign w:val="center"/>
          </w:tcPr>
          <w:p>
            <w:pPr>
              <w:pStyle w:val="TableContents"/>
              <w:bidi w:val="0"/>
              <w:spacing w:before="0" w:after="0"/>
              <w:ind w:left="140" w:right="0" w:firstLine="2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154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31, 2020</w:t>
            </w:r>
          </w:p>
        </w:tc>
        <w:tc>
          <w:tcPr>
            <w:tcW w:w="60" w:type="dxa"/>
            <w:tcBorders/>
            <w:shd w:fill="CCEEFF" w:val="clear"/>
            <w:vAlign w:val="center"/>
          </w:tcPr>
          <w:p>
            <w:pPr>
              <w:pStyle w:val="TableContents"/>
              <w:bidi w:val="0"/>
              <w:spacing w:before="0" w:after="283"/>
              <w:ind w:left="160" w:right="0" w:hanging="0"/>
              <w:jc w:val="left"/>
              <w:rPr/>
            </w:pPr>
            <w:r>
              <w:rPr/>
              <w:t> </w:t>
            </w:r>
          </w:p>
        </w:tc>
        <w:tc>
          <w:tcPr>
            <w:tcW w:w="29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15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7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16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5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5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107</w:t>
            </w:r>
          </w:p>
        </w:tc>
        <w:tc>
          <w:tcPr>
            <w:tcW w:w="62" w:type="dxa"/>
            <w:tcBorders/>
            <w:shd w:fill="CCEEFF"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31, 2021</w:t>
            </w:r>
          </w:p>
        </w:tc>
        <w:tc>
          <w:tcPr>
            <w:tcW w:w="60" w:type="dxa"/>
            <w:tcBorders/>
            <w:shd w:fill="FFFFFF" w:val="clear"/>
            <w:vAlign w:val="center"/>
          </w:tcPr>
          <w:p>
            <w:pPr>
              <w:pStyle w:val="TableContents"/>
              <w:bidi w:val="0"/>
              <w:spacing w:before="0" w:after="283"/>
              <w:ind w:left="160" w:right="0" w:hanging="0"/>
              <w:jc w:val="left"/>
              <w:rPr/>
            </w:pPr>
            <w:r>
              <w:rPr/>
              <w:t> </w:t>
            </w:r>
          </w:p>
        </w:tc>
        <w:tc>
          <w:tcPr>
            <w:tcW w:w="295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60" w:right="0" w:hanging="0"/>
              <w:jc w:val="left"/>
              <w:rPr/>
            </w:pPr>
            <w:r>
              <w:rPr/>
              <w:t> </w:t>
            </w:r>
          </w:p>
        </w:tc>
        <w:tc>
          <w:tcPr>
            <w:tcW w:w="15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60" w:right="0" w:hanging="0"/>
              <w:jc w:val="left"/>
              <w:rPr/>
            </w:pPr>
            <w:r>
              <w:rPr/>
              <w:t> </w:t>
            </w:r>
          </w:p>
        </w:tc>
        <w:tc>
          <w:tcPr>
            <w:tcW w:w="71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60" w:right="0" w:hanging="0"/>
              <w:jc w:val="left"/>
              <w:rPr/>
            </w:pPr>
            <w:r>
              <w:rPr/>
              <w:t> </w:t>
            </w:r>
          </w:p>
        </w:tc>
        <w:tc>
          <w:tcPr>
            <w:tcW w:w="163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60" w:right="0" w:hanging="0"/>
              <w:jc w:val="left"/>
              <w:rPr/>
            </w:pPr>
            <w:r>
              <w:rPr/>
              <w:t> </w:t>
            </w:r>
          </w:p>
        </w:tc>
        <w:tc>
          <w:tcPr>
            <w:tcW w:w="5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60" w:right="0" w:hanging="0"/>
              <w:jc w:val="left"/>
              <w:rPr/>
            </w:pPr>
            <w:r>
              <w:rPr/>
              <w:t> </w:t>
            </w:r>
          </w:p>
        </w:tc>
        <w:tc>
          <w:tcPr>
            <w:tcW w:w="50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231</w:t>
            </w:r>
          </w:p>
        </w:tc>
        <w:tc>
          <w:tcPr>
            <w:tcW w:w="62" w:type="dxa"/>
            <w:tcBorders/>
            <w:shd w:fill="FFFFFF" w:val="clear"/>
            <w:vAlign w:val="center"/>
          </w:tcPr>
          <w:p>
            <w:pPr>
              <w:pStyle w:val="TableContents"/>
              <w:bidi w:val="0"/>
              <w:spacing w:before="0" w:after="283"/>
              <w:jc w:val="left"/>
              <w:rPr/>
            </w:pPr>
            <w:r>
              <w:rPr/>
              <w:t> </w:t>
            </w:r>
          </w:p>
        </w:tc>
      </w:tr>
      <w:tr>
        <w:trPr/>
        <w:tc>
          <w:tcPr>
            <w:tcW w:w="154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31, 2022</w:t>
            </w:r>
          </w:p>
        </w:tc>
        <w:tc>
          <w:tcPr>
            <w:tcW w:w="60" w:type="dxa"/>
            <w:tcBorders/>
            <w:shd w:fill="CCEEFF" w:val="clear"/>
            <w:vAlign w:val="center"/>
          </w:tcPr>
          <w:p>
            <w:pPr>
              <w:pStyle w:val="TableContents"/>
              <w:bidi w:val="0"/>
              <w:spacing w:before="0" w:after="283"/>
              <w:ind w:left="160" w:right="0" w:hanging="0"/>
              <w:jc w:val="left"/>
              <w:rPr/>
            </w:pPr>
            <w:r>
              <w:rPr/>
              <w:t> </w:t>
            </w:r>
          </w:p>
        </w:tc>
        <w:tc>
          <w:tcPr>
            <w:tcW w:w="29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15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7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16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5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5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409</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15" w:type="dxa"/>
        <w:jc w:val="left"/>
        <w:tblInd w:w="0" w:type="dxa"/>
        <w:tblLayout w:type="fixed"/>
        <w:tblCellMar>
          <w:top w:w="0" w:type="dxa"/>
          <w:left w:w="0" w:type="dxa"/>
          <w:bottom w:w="0" w:type="dxa"/>
          <w:right w:w="0" w:type="dxa"/>
        </w:tblCellMar>
      </w:tblPr>
      <w:tblGrid>
        <w:gridCol w:w="220"/>
        <w:gridCol w:w="1495"/>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34" w:name="P1I6E"/>
            <w:bookmarkEnd w:id="34"/>
            <w:r>
              <w:rPr>
                <w:rFonts w:ascii="Times New Roman" w:hAnsi="Times New Roman"/>
                <w:b/>
                <w:caps w:val="false"/>
                <w:smallCaps w:val="false"/>
                <w:sz w:val="20"/>
              </w:rPr>
              <w:t>E.</w:t>
            </w:r>
          </w:p>
        </w:tc>
        <w:tc>
          <w:tcPr>
            <w:tcW w:w="149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Share 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information regarding the share ownership of directors and officers, see “</w:t>
      </w:r>
      <w:r>
        <w:rPr>
          <w:rFonts w:ascii="Times New Roman" w:hAnsi="Times New Roman"/>
          <w:i/>
          <w:caps w:val="false"/>
          <w:smallCaps w:val="false"/>
          <w:sz w:val="20"/>
        </w:rPr>
        <w:t>Item 7.</w:t>
      </w:r>
      <w:r>
        <w:rPr>
          <w:rFonts w:ascii="Times New Roman" w:hAnsi="Times New Roman"/>
          <w:caps w:val="false"/>
          <w:smallCaps w:val="false"/>
          <w:sz w:val="20"/>
        </w:rPr>
        <w:t> </w:t>
      </w:r>
      <w:r>
        <w:rPr>
          <w:rFonts w:ascii="Times New Roman" w:hAnsi="Times New Roman"/>
          <w:i/>
          <w:caps w:val="false"/>
          <w:smallCaps w:val="false"/>
          <w:sz w:val="20"/>
        </w:rPr>
        <w:t>Major Shareholders and Related Party Transactions</w:t>
      </w:r>
      <w:r>
        <w:rPr>
          <w:rFonts w:ascii="Times New Roman" w:hAnsi="Times New Roman"/>
          <w:caps w:val="false"/>
          <w:smallCaps w:val="false"/>
          <w:sz w:val="20"/>
        </w:rPr>
        <w:t>—</w:t>
      </w:r>
      <w:r>
        <w:rPr>
          <w:rFonts w:ascii="Times New Roman" w:hAnsi="Times New Roman"/>
          <w:i/>
          <w:caps w:val="false"/>
          <w:smallCaps w:val="false"/>
          <w:sz w:val="20"/>
        </w:rPr>
        <w:t>A. Major Shareholders</w:t>
      </w:r>
      <w:r>
        <w:rPr>
          <w:rFonts w:ascii="Times New Roman" w:hAnsi="Times New Roman"/>
          <w:caps w:val="false"/>
          <w:smallCaps w:val="false"/>
          <w:sz w:val="20"/>
        </w:rPr>
        <w:t>”. For information as to our equity incentive plans, see “</w:t>
      </w:r>
      <w:r>
        <w:rPr>
          <w:rFonts w:ascii="Times New Roman" w:hAnsi="Times New Roman"/>
          <w:i/>
          <w:caps w:val="false"/>
          <w:smallCaps w:val="false"/>
          <w:sz w:val="20"/>
        </w:rPr>
        <w:t>Item</w:t>
      </w:r>
      <w:r>
        <w:rPr>
          <w:rFonts w:ascii="Times New Roman" w:hAnsi="Times New Roman"/>
          <w:caps w:val="false"/>
          <w:smallCaps w:val="false"/>
          <w:sz w:val="20"/>
        </w:rPr>
        <w:t> </w:t>
      </w:r>
      <w:r>
        <w:rPr>
          <w:rFonts w:ascii="Times New Roman" w:hAnsi="Times New Roman"/>
          <w:i/>
          <w:caps w:val="false"/>
          <w:smallCaps w:val="false"/>
          <w:sz w:val="20"/>
        </w:rPr>
        <w:t>6. Directors, Senior Management and Employees</w:t>
      </w:r>
      <w:r>
        <w:rPr>
          <w:rFonts w:ascii="Times New Roman" w:hAnsi="Times New Roman"/>
          <w:caps w:val="false"/>
          <w:smallCaps w:val="false"/>
          <w:sz w:val="20"/>
        </w:rPr>
        <w:t>—</w:t>
      </w:r>
      <w:r>
        <w:rPr>
          <w:rFonts w:ascii="Times New Roman" w:hAnsi="Times New Roman"/>
          <w:i/>
          <w:caps w:val="false"/>
          <w:smallCaps w:val="false"/>
          <w:sz w:val="20"/>
        </w:rPr>
        <w:t>B. Compensation</w:t>
      </w:r>
      <w:r>
        <w:rPr>
          <w:rFonts w:ascii="Times New Roman" w:hAnsi="Times New Roman"/>
          <w:caps w:val="false"/>
          <w:smallCaps w:val="false"/>
          <w:sz w:val="20"/>
        </w:rPr>
        <w:t>—</w:t>
      </w:r>
      <w:r>
        <w:rPr>
          <w:rFonts w:ascii="Times New Roman" w:hAnsi="Times New Roman"/>
          <w:i/>
          <w:caps w:val="false"/>
          <w:smallCaps w:val="false"/>
          <w:sz w:val="20"/>
        </w:rPr>
        <w:t>Employee Participation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860" w:type="dxa"/>
        <w:jc w:val="left"/>
        <w:tblInd w:w="0" w:type="dxa"/>
        <w:tblLayout w:type="fixed"/>
        <w:tblCellMar>
          <w:top w:w="0" w:type="dxa"/>
          <w:left w:w="0" w:type="dxa"/>
          <w:bottom w:w="0" w:type="dxa"/>
          <w:right w:w="0" w:type="dxa"/>
        </w:tblCellMar>
      </w:tblPr>
      <w:tblGrid>
        <w:gridCol w:w="760"/>
        <w:gridCol w:w="6100"/>
      </w:tblGrid>
      <w:tr>
        <w:trPr/>
        <w:tc>
          <w:tcPr>
            <w:tcW w:w="76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35" w:name="P1I7"/>
            <w:bookmarkEnd w:id="35"/>
            <w:r>
              <w:rPr>
                <w:rFonts w:ascii="Times New Roman" w:hAnsi="Times New Roman"/>
                <w:b/>
                <w:caps w:val="false"/>
                <w:smallCaps w:val="false"/>
                <w:sz w:val="20"/>
              </w:rPr>
              <w:t>ITEM 7.</w:t>
            </w:r>
          </w:p>
        </w:tc>
        <w:tc>
          <w:tcPr>
            <w:tcW w:w="610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MAJOR SHAREHOLDERS AND RELATED PARTY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220"/>
        <w:gridCol w:w="175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36" w:name="P1I7A"/>
            <w:bookmarkEnd w:id="36"/>
            <w:r>
              <w:rPr>
                <w:rFonts w:ascii="Times New Roman" w:hAnsi="Times New Roman"/>
                <w:b/>
                <w:caps w:val="false"/>
                <w:smallCaps w:val="false"/>
                <w:sz w:val="20"/>
              </w:rPr>
              <w:t>A.</w:t>
            </w:r>
          </w:p>
        </w:tc>
        <w:tc>
          <w:tcPr>
            <w:tcW w:w="175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Major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of the date of signing of this Annual Report, we have a subscribed capital in the amount of €10,840,026.90, which is divided into 105,667,115 ordinary shares, each with a nominal value of €0.06 and 3,000,000 high voting shares, each with a nominal value of €1.50. Our authorized share capital is €25,200,000, divided into 320,000,000 ordinary shares, each with a nominal value of €0.06, and 4,000,000 high voting shares, each with a nominal value of €1.50. The following table sets forth information, as of November 30, 2023, regarding the beneficial ownership of our ordinary shares and our high voting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each person, or group of affiliated persons, known by us to own beneficially 5% or more of our outstanding ordinary shares or high voting shares;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each management board member and supervisory board member;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all management board members and supervisory board members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September 1, 2023, through the exercise of any option, warrant or other right. Except as otherwise indicated, and subject to applicable community property laws, the persons named in the table have sole voting and investment power with respect to all shares held by that person.</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Unless otherwise indicated below, the address for each beneficial owner listed is c/o Sono Group N.V., Waldmeisterstraße 76, 80935 Munich, Germany.</w:t>
      </w:r>
    </w:p>
    <w:p>
      <w:pPr>
        <w:pStyle w:val="TextBody"/>
        <w:bidi w:val="0"/>
        <w:spacing w:before="0" w:after="0"/>
        <w:ind w:left="0" w:right="0" w:hanging="0"/>
        <w:jc w:val="left"/>
        <w:rPr>
          <w:caps w:val="false"/>
          <w:smallCaps w:val="false"/>
        </w:rPr>
      </w:pPr>
      <w:r>
        <w:rPr>
          <w:caps w:val="false"/>
          <w:smallCaps w:val="false"/>
        </w:rPr>
        <w:t> </w:t>
      </w:r>
    </w:p>
    <w:tbl>
      <w:tblPr>
        <w:tblW w:w="9067" w:type="dxa"/>
        <w:jc w:val="left"/>
        <w:tblInd w:w="0" w:type="dxa"/>
        <w:tblLayout w:type="fixed"/>
        <w:tblCellMar>
          <w:top w:w="0" w:type="dxa"/>
          <w:left w:w="0" w:type="dxa"/>
          <w:bottom w:w="0" w:type="dxa"/>
          <w:right w:w="0" w:type="dxa"/>
        </w:tblCellMar>
      </w:tblPr>
      <w:tblGrid>
        <w:gridCol w:w="3530"/>
        <w:gridCol w:w="60"/>
        <w:gridCol w:w="60"/>
        <w:gridCol w:w="950"/>
        <w:gridCol w:w="60"/>
        <w:gridCol w:w="60"/>
        <w:gridCol w:w="75"/>
        <w:gridCol w:w="610"/>
        <w:gridCol w:w="215"/>
        <w:gridCol w:w="60"/>
        <w:gridCol w:w="62"/>
        <w:gridCol w:w="877"/>
        <w:gridCol w:w="62"/>
        <w:gridCol w:w="62"/>
        <w:gridCol w:w="75"/>
        <w:gridCol w:w="610"/>
        <w:gridCol w:w="215"/>
        <w:gridCol w:w="60"/>
        <w:gridCol w:w="126"/>
        <w:gridCol w:w="1023"/>
        <w:gridCol w:w="215"/>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815" w:type="dxa"/>
            <w:gridSpan w:val="6"/>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Ordinary shares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748" w:type="dxa"/>
            <w:gridSpan w:val="6"/>
            <w:tcBorders/>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High voting shares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r>
      <w:tr>
        <w:trPr/>
        <w:tc>
          <w:tcPr>
            <w:tcW w:w="35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beneficial owner</w:t>
            </w:r>
          </w:p>
        </w:tc>
        <w:tc>
          <w:tcPr>
            <w:tcW w:w="60" w:type="dxa"/>
            <w:tcBorders/>
            <w:vAlign w:val="center"/>
          </w:tcPr>
          <w:p>
            <w:pPr>
              <w:pStyle w:val="TableContents"/>
              <w:bidi w:val="0"/>
              <w:spacing w:before="0" w:after="283"/>
              <w:ind w:left="16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16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149" w:type="dxa"/>
            <w:gridSpan w:val="2"/>
            <w:tcBorders>
              <w:bottom w:val="single" w:sz="2" w:space="0" w:color="000000"/>
            </w:tcBorders>
            <w:tcMar>
              <w:bottom w:w="28" w:type="dxa"/>
            </w:tcMar>
            <w:vAlign w:val="center"/>
          </w:tcPr>
          <w:p>
            <w:pPr>
              <w:pStyle w:val="TableContents"/>
              <w:bidi w:val="0"/>
              <w:spacing w:before="0" w:after="0"/>
              <w:ind w:left="320" w:right="0" w:firstLine="20"/>
              <w:jc w:val="center"/>
              <w:rPr>
                <w:rFonts w:ascii="Times New Roman" w:hAnsi="Times New Roman"/>
                <w:b/>
                <w:caps w:val="false"/>
                <w:smallCaps w:val="false"/>
                <w:sz w:val="20"/>
              </w:rPr>
            </w:pPr>
            <w:r>
              <w:rPr>
                <w:rFonts w:ascii="Times New Roman" w:hAnsi="Times New Roman"/>
                <w:b/>
                <w:caps w:val="false"/>
                <w:smallCaps w:val="false"/>
                <w:sz w:val="20"/>
              </w:rPr>
              <w:t>Combined</w:t>
              <w:br/>
              <w:t>voting power</w:t>
            </w:r>
          </w:p>
        </w:tc>
        <w:tc>
          <w:tcPr>
            <w:tcW w:w="21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both"/>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rPr>
            </w:pPr>
            <w:r>
              <w:rPr>
                <w:b/>
              </w:rPr>
              <w:t>Members of the supervisory board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Martina Buchhauser(1)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rPr>
            </w:pPr>
            <w:r>
              <w:rPr>
                <w:b/>
              </w:rPr>
              <w:t>Sebastian Böttger(1)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rPr>
            </w:pPr>
            <w:r>
              <w:rPr>
                <w:b/>
              </w:rPr>
              <w:t>Robert A. Jeffe(1)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rPr>
            </w:pPr>
            <w:r>
              <w:rPr>
                <w:b/>
              </w:rPr>
              <w:t>Martin Sabbione(2)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center"/>
              <w:rPr>
                <w:b/>
              </w:rPr>
            </w:pPr>
            <w:r>
              <w:rPr>
                <w:b/>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center"/>
              <w:rPr>
                <w:b/>
              </w:rPr>
            </w:pPr>
            <w:r>
              <w:rPr>
                <w:b/>
              </w:rPr>
              <w:t>*</w:t>
            </w:r>
          </w:p>
        </w:tc>
        <w:tc>
          <w:tcPr>
            <w:tcW w:w="21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b/>
              </w:rPr>
            </w:pPr>
            <w:r>
              <w:rPr>
                <w:b/>
              </w:rPr>
              <w:t>Arnd Schwierholz(1)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Johannes Trischler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both"/>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Sandra Vogt-Sasse(2)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both"/>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both"/>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both"/>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both"/>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Thomas Wiedermann(2)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both"/>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Members of the management board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both"/>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both"/>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both"/>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both"/>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Laurin Hahn(3)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19,796,053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16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18.22</w:t>
            </w:r>
          </w:p>
        </w:tc>
        <w:tc>
          <w:tcPr>
            <w:tcW w:w="215"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16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1,578,947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16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52.63</w:t>
            </w:r>
          </w:p>
        </w:tc>
        <w:tc>
          <w:tcPr>
            <w:tcW w:w="215"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16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32.81</w:t>
            </w:r>
          </w:p>
        </w:tc>
        <w:tc>
          <w:tcPr>
            <w:tcW w:w="215"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r>
        <w:trPr/>
        <w:tc>
          <w:tcPr>
            <w:tcW w:w="35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Jona Christians(3)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6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17,816,447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16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16.40</w:t>
            </w:r>
          </w:p>
        </w:tc>
        <w:tc>
          <w:tcPr>
            <w:tcW w:w="215"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16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1,421,053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16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47.37</w:t>
            </w:r>
          </w:p>
        </w:tc>
        <w:tc>
          <w:tcPr>
            <w:tcW w:w="215"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16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29.53</w:t>
            </w:r>
          </w:p>
        </w:tc>
        <w:tc>
          <w:tcPr>
            <w:tcW w:w="215"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Torsten Kiedel(4)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both"/>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Thomas Hausch(5)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both"/>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both"/>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both"/>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both"/>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Markus Volmer(6)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both"/>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both"/>
              <w:rPr/>
            </w:pPr>
            <w:r>
              <w:rPr/>
              <w:t> </w:t>
            </w:r>
          </w:p>
        </w:tc>
        <w:tc>
          <w:tcPr>
            <w:tcW w:w="2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*Indicates beneficial ownership of less than 1% of the total outstanding ordinary shares.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pPr>
            <w:r>
              <w:rPr/>
              <w:t>(1)</w:t>
            </w:r>
          </w:p>
        </w:tc>
        <w:tc>
          <w:tcPr>
            <w:tcW w:w="9977" w:type="dxa"/>
            <w:tcBorders/>
            <w:vAlign w:val="center"/>
          </w:tcPr>
          <w:p>
            <w:pPr>
              <w:pStyle w:val="TableContents"/>
              <w:bidi w:val="0"/>
              <w:spacing w:before="0" w:after="283"/>
              <w:jc w:val="both"/>
              <w:rPr/>
            </w:pPr>
            <w:r>
              <w:rPr/>
              <w:t>On April 21, 2023, Martina Buchhauser, Sebastian Böttger, Robert A. Jeffe and Arnd Schwierholz resigned from their roles as members of the Company’s supervisory board and as members of the supervisory board committees, as applicable, with immediate effect.</w:t>
            </w:r>
          </w:p>
        </w:tc>
      </w:tr>
      <w:tr>
        <w:trPr/>
        <w:tc>
          <w:tcPr>
            <w:tcW w:w="228" w:type="dxa"/>
            <w:tcBorders/>
            <w:vAlign w:val="center"/>
          </w:tcPr>
          <w:p>
            <w:pPr>
              <w:pStyle w:val="TableContents"/>
              <w:bidi w:val="0"/>
              <w:spacing w:before="0" w:after="283"/>
              <w:jc w:val="both"/>
              <w:rPr/>
            </w:pPr>
            <w:r>
              <w:rPr/>
              <w:t> </w:t>
            </w:r>
          </w:p>
        </w:tc>
        <w:tc>
          <w:tcPr>
            <w:tcW w:w="9977" w:type="dxa"/>
            <w:tcBorders/>
            <w:vAlign w:val="center"/>
          </w:tcPr>
          <w:p>
            <w:pPr>
              <w:pStyle w:val="TableContents"/>
              <w:bidi w:val="0"/>
              <w:spacing w:before="0" w:after="283"/>
              <w:jc w:val="both"/>
              <w:rPr/>
            </w:pPr>
            <w:r>
              <w:rPr/>
              <w:t> </w:t>
            </w:r>
          </w:p>
        </w:tc>
      </w:tr>
      <w:tr>
        <w:trPr/>
        <w:tc>
          <w:tcPr>
            <w:tcW w:w="228" w:type="dxa"/>
            <w:tcBorders/>
            <w:vAlign w:val="center"/>
          </w:tcPr>
          <w:p>
            <w:pPr>
              <w:pStyle w:val="TableContents"/>
              <w:bidi w:val="0"/>
              <w:spacing w:before="0" w:after="283"/>
              <w:jc w:val="both"/>
              <w:rPr/>
            </w:pPr>
            <w:r>
              <w:rPr/>
              <w:t>(2)</w:t>
            </w:r>
          </w:p>
        </w:tc>
        <w:tc>
          <w:tcPr>
            <w:tcW w:w="9977" w:type="dxa"/>
            <w:tcBorders/>
            <w:vAlign w:val="center"/>
          </w:tcPr>
          <w:p>
            <w:pPr>
              <w:pStyle w:val="TableContents"/>
              <w:bidi w:val="0"/>
              <w:spacing w:before="0" w:after="283"/>
              <w:jc w:val="both"/>
              <w:rPr/>
            </w:pPr>
            <w:r>
              <w:rPr/>
              <w:t>On September 11, 2023, Martin Sabbione, Sandra Vogt-Sasse, and Thomas Wiedermann were appointed as acting members of the Company’s supervisory board on a provisional basis.</w:t>
            </w:r>
          </w:p>
        </w:tc>
      </w:tr>
      <w:tr>
        <w:trPr/>
        <w:tc>
          <w:tcPr>
            <w:tcW w:w="228" w:type="dxa"/>
            <w:tcBorders/>
            <w:vAlign w:val="center"/>
          </w:tcPr>
          <w:p>
            <w:pPr>
              <w:pStyle w:val="TableContents"/>
              <w:bidi w:val="0"/>
              <w:spacing w:before="0" w:after="283"/>
              <w:jc w:val="both"/>
              <w:rPr/>
            </w:pPr>
            <w:r>
              <w:rPr/>
              <w:t> </w:t>
            </w:r>
          </w:p>
        </w:tc>
        <w:tc>
          <w:tcPr>
            <w:tcW w:w="9977" w:type="dxa"/>
            <w:tcBorders/>
            <w:vAlign w:val="center"/>
          </w:tcPr>
          <w:p>
            <w:pPr>
              <w:pStyle w:val="TableContents"/>
              <w:bidi w:val="0"/>
              <w:spacing w:before="0" w:after="283"/>
              <w:jc w:val="both"/>
              <w:rPr/>
            </w:pPr>
            <w:r>
              <w:rPr/>
              <w:t> </w:t>
            </w:r>
          </w:p>
        </w:tc>
      </w:tr>
      <w:tr>
        <w:trPr/>
        <w:tc>
          <w:tcPr>
            <w:tcW w:w="228"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(3)</w:t>
            </w:r>
          </w:p>
        </w:tc>
        <w:tc>
          <w:tcPr>
            <w:tcW w:w="9977" w:type="dxa"/>
            <w:tcBorders/>
            <w:vAlign w:val="center"/>
          </w:tcPr>
          <w:p>
            <w:pPr>
              <w:pStyle w:val="TableContents"/>
              <w:bidi w:val="0"/>
              <w:spacing w:before="0" w:after="283"/>
              <w:jc w:val="left"/>
              <w:rPr/>
            </w:pPr>
            <w:r>
              <w:rPr/>
              <w:t>Laurin Hahn and Jona Christians, together with Navina Pernsteiner, gave profit participation rights originally associated with their shares in the Subsidiary and now, after our corporate reorganization, equivalent to 18,399,456, 16,556,510 and 1,839,946 ordinary shares in the Company, respectively, to a “community pool” as further described under “Item 3. Regulatory, Legal and Tax Risks" and "Notes to the Consolidated Financial Statements—4. Significant accounting policies—4.3.1 Sono Points”</w:t>
            </w:r>
            <w:r>
              <w:rPr>
                <w:i/>
              </w:rPr>
              <w:t>.</w:t>
            </w:r>
          </w:p>
        </w:tc>
      </w:tr>
      <w:tr>
        <w:trPr/>
        <w:tc>
          <w:tcPr>
            <w:tcW w:w="228" w:type="dxa"/>
            <w:tcBorders/>
            <w:vAlign w:val="center"/>
          </w:tcPr>
          <w:p>
            <w:pPr>
              <w:pStyle w:val="TableContents"/>
              <w:bidi w:val="0"/>
              <w:spacing w:before="0" w:after="283"/>
              <w:jc w:val="both"/>
              <w:rPr/>
            </w:pPr>
            <w:r>
              <w:rPr/>
              <w:t> </w:t>
            </w:r>
          </w:p>
        </w:tc>
        <w:tc>
          <w:tcPr>
            <w:tcW w:w="9977" w:type="dxa"/>
            <w:tcBorders/>
            <w:vAlign w:val="center"/>
          </w:tcPr>
          <w:p>
            <w:pPr>
              <w:pStyle w:val="TableContents"/>
              <w:bidi w:val="0"/>
              <w:spacing w:before="0" w:after="283"/>
              <w:jc w:val="both"/>
              <w:rPr/>
            </w:pPr>
            <w:r>
              <w:rPr/>
              <w:t> </w:t>
            </w:r>
          </w:p>
        </w:tc>
      </w:tr>
      <w:tr>
        <w:trPr/>
        <w:tc>
          <w:tcPr>
            <w:tcW w:w="228"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(4)</w:t>
            </w:r>
          </w:p>
        </w:tc>
        <w:tc>
          <w:tcPr>
            <w:tcW w:w="9977"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Torsten Kiedel joined Sono Motors on February 1, 2020 and became a member of our management board immediately prior to the pricing of the IPO.</w:t>
            </w:r>
          </w:p>
        </w:tc>
      </w:tr>
      <w:tr>
        <w:trPr/>
        <w:tc>
          <w:tcPr>
            <w:tcW w:w="228" w:type="dxa"/>
            <w:tcBorders/>
            <w:vAlign w:val="center"/>
          </w:tcPr>
          <w:p>
            <w:pPr>
              <w:pStyle w:val="TableContents"/>
              <w:bidi w:val="0"/>
              <w:spacing w:before="0" w:after="283"/>
              <w:jc w:val="both"/>
              <w:rPr/>
            </w:pPr>
            <w:r>
              <w:rPr/>
              <w:t> </w:t>
            </w:r>
          </w:p>
        </w:tc>
        <w:tc>
          <w:tcPr>
            <w:tcW w:w="9977" w:type="dxa"/>
            <w:tcBorders/>
            <w:vAlign w:val="center"/>
          </w:tcPr>
          <w:p>
            <w:pPr>
              <w:pStyle w:val="TableContents"/>
              <w:bidi w:val="0"/>
              <w:spacing w:before="0" w:after="283"/>
              <w:jc w:val="both"/>
              <w:rPr/>
            </w:pPr>
            <w:r>
              <w:rPr/>
              <w:t> </w:t>
            </w:r>
          </w:p>
        </w:tc>
      </w:tr>
      <w:tr>
        <w:trPr/>
        <w:tc>
          <w:tcPr>
            <w:tcW w:w="228"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(5)</w:t>
            </w:r>
          </w:p>
        </w:tc>
        <w:tc>
          <w:tcPr>
            <w:tcW w:w="9977"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Thomas Hausch joined Sono Motors on June 13, 2018 and became a member of our management board immediately prior to the pricing of the IPO. In the context of the termination of the Sion passenger car program, he resigned as member of the management board on March 21, 2023, with immediate effect.</w:t>
            </w:r>
          </w:p>
        </w:tc>
      </w:tr>
      <w:tr>
        <w:trPr/>
        <w:tc>
          <w:tcPr>
            <w:tcW w:w="228" w:type="dxa"/>
            <w:tcBorders/>
            <w:vAlign w:val="center"/>
          </w:tcPr>
          <w:p>
            <w:pPr>
              <w:pStyle w:val="TableContents"/>
              <w:bidi w:val="0"/>
              <w:spacing w:before="0" w:after="283"/>
              <w:jc w:val="both"/>
              <w:rPr/>
            </w:pPr>
            <w:r>
              <w:rPr/>
              <w:t> </w:t>
            </w:r>
          </w:p>
        </w:tc>
        <w:tc>
          <w:tcPr>
            <w:tcW w:w="9977" w:type="dxa"/>
            <w:tcBorders/>
            <w:vAlign w:val="center"/>
          </w:tcPr>
          <w:p>
            <w:pPr>
              <w:pStyle w:val="TableContents"/>
              <w:bidi w:val="0"/>
              <w:spacing w:before="0" w:after="283"/>
              <w:jc w:val="both"/>
              <w:rPr/>
            </w:pPr>
            <w:r>
              <w:rPr/>
              <w:t> </w:t>
            </w:r>
          </w:p>
        </w:tc>
      </w:tr>
      <w:tr>
        <w:trPr/>
        <w:tc>
          <w:tcPr>
            <w:tcW w:w="228"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(6)</w:t>
            </w:r>
          </w:p>
        </w:tc>
        <w:tc>
          <w:tcPr>
            <w:tcW w:w="9977"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Markus Volmer joined Sono Motors on February 1, 2021 and became a member of our management board immediately prior to the pricing of the IPO on November 16, 2021.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To our knowledge, other than as provided in the table above, our other filings with the SEC, public disclosure and this Annual Report, there has been no significant change in the percentage ownership held by any other major shareholder since January 1,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Each holder of our ordinary shares is entitled to one vote per common share and each holder of our high voting shares is entitled to 25 votes per high voting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To our knowledge, none of our ordinary shares were held by record shareholders with registered addresses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are not aware of any arrangement that may, at a subsequent date, result in a change of control of our Company.</w:t>
      </w:r>
    </w:p>
    <w:p>
      <w:pPr>
        <w:pStyle w:val="TextBody"/>
        <w:bidi w:val="0"/>
        <w:spacing w:before="0" w:after="0"/>
        <w:ind w:left="0" w:right="0" w:hanging="0"/>
        <w:jc w:val="left"/>
        <w:rPr>
          <w:caps w:val="false"/>
          <w:smallCaps w:val="false"/>
        </w:rPr>
      </w:pPr>
      <w:r>
        <w:rPr>
          <w:caps w:val="false"/>
          <w:smallCaps w:val="false"/>
        </w:rPr>
        <w:t> </w:t>
      </w:r>
    </w:p>
    <w:tbl>
      <w:tblPr>
        <w:tblW w:w="2585" w:type="dxa"/>
        <w:jc w:val="left"/>
        <w:tblInd w:w="0" w:type="dxa"/>
        <w:tblLayout w:type="fixed"/>
        <w:tblCellMar>
          <w:top w:w="0" w:type="dxa"/>
          <w:left w:w="0" w:type="dxa"/>
          <w:bottom w:w="0" w:type="dxa"/>
          <w:right w:w="0" w:type="dxa"/>
        </w:tblCellMar>
      </w:tblPr>
      <w:tblGrid>
        <w:gridCol w:w="220"/>
        <w:gridCol w:w="2365"/>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37" w:name="P1I7B"/>
            <w:bookmarkEnd w:id="37"/>
            <w:r>
              <w:rPr>
                <w:rFonts w:ascii="Times New Roman" w:hAnsi="Times New Roman"/>
                <w:b/>
                <w:caps w:val="false"/>
                <w:smallCaps w:val="false"/>
                <w:sz w:val="20"/>
              </w:rPr>
              <w:t>B.</w:t>
            </w:r>
          </w:p>
        </w:tc>
        <w:tc>
          <w:tcPr>
            <w:tcW w:w="23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is a description of related party transactions in excess of $120,000 we have entered into since January 1, 2020, with any members of our management or supervisory board, executive officers, nominees or holders of more than 5% of any class of our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Relationships with Members of the Management Board and the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management board members entered into service agreements with us as discussed in more detail within the “</w:t>
      </w:r>
      <w:r>
        <w:rPr>
          <w:rFonts w:ascii="Times New Roman" w:hAnsi="Times New Roman"/>
          <w:i/>
          <w:caps w:val="false"/>
          <w:smallCaps w:val="false"/>
          <w:sz w:val="20"/>
        </w:rPr>
        <w:t>Item 6. Directors, Senior Management and Employees</w:t>
      </w:r>
      <w:r>
        <w:rPr>
          <w:rFonts w:ascii="Times New Roman" w:hAnsi="Times New Roman"/>
          <w:caps w:val="false"/>
          <w:smallCaps w:val="false"/>
          <w:sz w:val="20"/>
        </w:rPr>
        <w:t>—</w:t>
      </w:r>
      <w:r>
        <w:rPr>
          <w:rFonts w:ascii="Times New Roman" w:hAnsi="Times New Roman"/>
          <w:i/>
          <w:caps w:val="false"/>
          <w:smallCaps w:val="false"/>
          <w:sz w:val="20"/>
        </w:rPr>
        <w:t>B.</w:t>
      </w:r>
      <w:r>
        <w:rPr>
          <w:rFonts w:ascii="Times New Roman" w:hAnsi="Times New Roman"/>
          <w:caps w:val="false"/>
          <w:smallCaps w:val="false"/>
          <w:sz w:val="20"/>
        </w:rPr>
        <w:t> </w:t>
      </w:r>
      <w:r>
        <w:rPr>
          <w:rFonts w:ascii="Times New Roman" w:hAnsi="Times New Roman"/>
          <w:i/>
          <w:caps w:val="false"/>
          <w:smallCaps w:val="false"/>
          <w:sz w:val="20"/>
        </w:rPr>
        <w:t>Compensation</w:t>
      </w:r>
      <w:r>
        <w:rPr>
          <w:rFonts w:ascii="Times New Roman" w:hAnsi="Times New Roman"/>
          <w:caps w:val="false"/>
          <w:smallCaps w:val="false"/>
          <w:sz w:val="20"/>
        </w:rPr>
        <w:t>—</w:t>
      </w:r>
      <w:r>
        <w:rPr>
          <w:rFonts w:ascii="Times New Roman" w:hAnsi="Times New Roman"/>
          <w:i/>
          <w:caps w:val="false"/>
          <w:smallCaps w:val="false"/>
          <w:sz w:val="20"/>
        </w:rPr>
        <w:t>Remuneration and Other Benefits to Management Board Members for the Year Ended December 31, 2022</w:t>
      </w:r>
      <w:r>
        <w:rPr>
          <w:rFonts w:ascii="Times New Roman" w:hAnsi="Times New Roman"/>
          <w:caps w:val="false"/>
          <w:smallCaps w:val="false"/>
          <w:sz w:val="20"/>
        </w:rPr>
        <w:t>—</w:t>
      </w:r>
      <w:r>
        <w:rPr>
          <w:rFonts w:ascii="Times New Roman" w:hAnsi="Times New Roman"/>
          <w:i/>
          <w:caps w:val="false"/>
          <w:smallCaps w:val="false"/>
          <w:sz w:val="20"/>
        </w:rPr>
        <w:t>Service Agreements</w:t>
      </w:r>
      <w:r>
        <w:rPr>
          <w:rFonts w:ascii="Times New Roman" w:hAnsi="Times New Roman"/>
          <w:caps w:val="false"/>
          <w:smallCaps w:val="false"/>
          <w:sz w:val="20"/>
        </w:rPr>
        <w:t>” section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Relationships with Other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Some of the key management personnel participate in the employee participation program. For details on this program, please refer to notes 5.10 Share-based payment and 10.3 Remuneration based on shares (share-based payment) to our consolidated financial statements included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2975" w:type="dxa"/>
        <w:jc w:val="left"/>
        <w:tblInd w:w="0" w:type="dxa"/>
        <w:tblLayout w:type="fixed"/>
        <w:tblCellMar>
          <w:top w:w="0" w:type="dxa"/>
          <w:left w:w="0" w:type="dxa"/>
          <w:bottom w:w="0" w:type="dxa"/>
          <w:right w:w="0" w:type="dxa"/>
        </w:tblCellMar>
      </w:tblPr>
      <w:tblGrid>
        <w:gridCol w:w="220"/>
        <w:gridCol w:w="2755"/>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38" w:name="P1I7C"/>
            <w:bookmarkEnd w:id="38"/>
            <w:r>
              <w:rPr>
                <w:rFonts w:ascii="Times New Roman" w:hAnsi="Times New Roman"/>
                <w:b/>
                <w:caps w:val="false"/>
                <w:smallCaps w:val="false"/>
                <w:sz w:val="20"/>
              </w:rPr>
              <w:t>C.</w:t>
            </w:r>
          </w:p>
        </w:tc>
        <w:tc>
          <w:tcPr>
            <w:tcW w:w="275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Interests of Experts and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395" w:type="dxa"/>
        <w:jc w:val="left"/>
        <w:tblInd w:w="0" w:type="dxa"/>
        <w:tblLayout w:type="fixed"/>
        <w:tblCellMar>
          <w:top w:w="0" w:type="dxa"/>
          <w:left w:w="0" w:type="dxa"/>
          <w:bottom w:w="0" w:type="dxa"/>
          <w:right w:w="0" w:type="dxa"/>
        </w:tblCellMar>
      </w:tblPr>
      <w:tblGrid>
        <w:gridCol w:w="760"/>
        <w:gridCol w:w="2635"/>
      </w:tblGrid>
      <w:tr>
        <w:trPr/>
        <w:tc>
          <w:tcPr>
            <w:tcW w:w="76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39" w:name="P1I8"/>
            <w:bookmarkEnd w:id="39"/>
            <w:r>
              <w:rPr>
                <w:rFonts w:ascii="Times New Roman" w:hAnsi="Times New Roman"/>
                <w:b/>
                <w:caps w:val="false"/>
                <w:smallCaps w:val="false"/>
                <w:sz w:val="20"/>
              </w:rPr>
              <w:t>ITEM 8.</w:t>
            </w:r>
          </w:p>
        </w:tc>
        <w:tc>
          <w:tcPr>
            <w:tcW w:w="263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FINANCIAL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220"/>
        <w:gridCol w:w="499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40" w:name="P1I8A"/>
            <w:bookmarkEnd w:id="40"/>
            <w:r>
              <w:rPr>
                <w:rFonts w:ascii="Times New Roman" w:hAnsi="Times New Roman"/>
                <w:b/>
                <w:caps w:val="false"/>
                <w:smallCaps w:val="false"/>
                <w:sz w:val="20"/>
              </w:rPr>
              <w:t>A.</w:t>
            </w:r>
          </w:p>
        </w:tc>
        <w:tc>
          <w:tcPr>
            <w:tcW w:w="499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Consolidated Statements and Other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See “</w:t>
      </w:r>
      <w:r>
        <w:rPr>
          <w:rFonts w:ascii="Times New Roman" w:hAnsi="Times New Roman"/>
          <w:i/>
          <w:caps w:val="false"/>
          <w:smallCaps w:val="false"/>
          <w:sz w:val="20"/>
        </w:rPr>
        <w:t>Item 18. Financial Statements</w:t>
      </w:r>
      <w:r>
        <w:rPr>
          <w:rFonts w:ascii="Times New Roman" w:hAnsi="Times New Roman"/>
          <w:caps w:val="false"/>
          <w:smallCaps w:val="false"/>
          <w:sz w:val="20"/>
        </w:rPr>
        <w:t>” and our audited consolidated financial statements beginning on page F-1.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The Self-Administration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the decision to change its business model, the Subsidiary continued to face challenges to obtain financing and, after other financing options failed to materialize, the Company’s management ultimately concluded that the Subsidiary was over-indebted and faced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with the Company, in turn, becoming over-indebted and also facing impending illiquidity. As a consequence, management decided to apply for the opening of the Self-Administration Proceedings with respect to the Company and the Subsidiary with the goal of sustainably restructuring the Company and the Subsidiary in order to preserve the Companies’ businesses. Accordingly, on May 15, 2023, the Company applied to the Court to permit the opening of self-administration proceedings (</w:t>
      </w:r>
      <w:r>
        <w:rPr>
          <w:rFonts w:ascii="Times New Roman" w:hAnsi="Times New Roman"/>
          <w:i/>
          <w:caps w:val="false"/>
          <w:smallCaps w:val="false"/>
          <w:sz w:val="20"/>
        </w:rPr>
        <w:t>Eigenverwaltung</w:t>
      </w:r>
      <w:r>
        <w:rPr>
          <w:rFonts w:ascii="Times New Roman" w:hAnsi="Times New Roman"/>
          <w:caps w:val="false"/>
          <w:smallCaps w:val="false"/>
          <w:sz w:val="20"/>
        </w:rPr>
        <w:t>) pursuant to Section 270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the Subsidiary applied to the Court to permit the opening of self-administration proceedings in the form of a protective shield proceeding (</w:t>
      </w:r>
      <w:r>
        <w:rPr>
          <w:rFonts w:ascii="Times New Roman" w:hAnsi="Times New Roman"/>
          <w:i/>
          <w:caps w:val="false"/>
          <w:smallCaps w:val="false"/>
          <w:sz w:val="20"/>
        </w:rPr>
        <w:t>Schutzschirmverfahren</w:t>
      </w:r>
      <w:r>
        <w:rPr>
          <w:rFonts w:ascii="Times New Roman" w:hAnsi="Times New Roman"/>
          <w:caps w:val="false"/>
          <w:smallCaps w:val="false"/>
          <w:sz w:val="20"/>
        </w:rPr>
        <w:t>) pursuant Section 270 (d) of the German Insolvency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Self-Administration Proceedings applied for by the Company and the Subsidiary are debtor-in-possession type proceedings under German insolvency law, which are available to businesses in financial distress and typically aim to preserve the business and the entity that are the subject of the proceedings. In these proceedings, management retains control of the operation of the subject company’s business under the supervision of a custodian, who is initially appointed on a preliminary basis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ufiger Sachwalter</w:t>
      </w:r>
      <w:r>
        <w:rPr>
          <w:rFonts w:ascii="Times New Roman" w:hAnsi="Times New Roman"/>
          <w:caps w:val="false"/>
          <w:smallCaps w:val="false"/>
          <w:sz w:val="20"/>
        </w:rPr>
        <w:t>) and is primarily responsible for monitoring the subject company’s compliance with German insolvency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17 and May 19, 2023, respectively, the Court admitted the opening of the Preliminary Self-Administration Proceedings with respect to the Company and the Subsidiary. The Court also appointed preliminary custodians for each of the Company and the Subsidiary in their respective Preliminary Self-Administration Proceedings. On September 1, 2023, the Court opened the Subsidiary Self-Administration Proceedings. The Company has retained SGP, and the Subsidiary has retained Dentons, to act as advisors during the Preliminary Self-Administration Proceedings and the Subsidiary Self-Administration Proceedings,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business operations of the Company and the Subsidiary are being continued on a provisional basis under the supervision of its preliminary custodian, in the case of the Company in the context of its Preliminary Self-Administration Proceedings, and by the custodian, in the case of the Subsidiary in the context of the Subsidiary Self-Administration Proceedings. Furthermore, the M&amp;A Process was initiated to find one or more potential investors to acquire up to 100% of the shares of either or both of the Companies and/or all or some of the tangible and/or intangible assets of the Subsidiary in one or more potential M&amp;A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Parallel to the M&amp;A Process, the Company began discussions with Yorkville, the Company’s main creditor apart from the Subsidiary, regarding a new investment. In connection with those discussions, the Company and Yorkville entered into the Yorkville Agreements, pursuant to which Yorkville has committed to provide financing to the Company subject to the satisfaction of certain conditions precedent. The aim of the Yorkville Agreements and the Transactions is the planned restructuring of the Company and the Subsidiary, which is intended to enable the Company to withdraw its application for its Preliminary Self-Administration Proceedings and to enable the Subsidiary to exit the Subsidiary Self-Administration Proceedings via an insolvency plan. The plan sets out how the Subsidiary intends to restructure its debt and procure the inflow of new money, including in connection with the Yorkville Investment, and subsequently exit the Subsidiary Self-Administration Proceedings. Approval by the creditors and confirmation by the Court was obtained in the creditors meeting on December 21, 2023. The 14-day appeal period started on December 21, 2023. Only one creditor with a claim of €500 declared an appeal during the creditors meeting. No successful appeal actions in regard to the Court’s confirmation are expected by the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Companies expect the Yorkville Investment to position them to obtain sufficient funding for their business operations, with an initial focus on the Solar Bus Kit, through the end of 2024. Under the terms of the Yorkville Agreements, the financing will be provided by Yorkville at the Closing by way of one or more new interest-bearing convertible debenture(s) that will be convertible into ordinary shares of the Company and will mature on July 1, 2025. The Closing is currently expected in late January 2024 and is subject to the satisfaction of certain conditions precedent, including the Company’s filing of this Annual Report on Form 20-F for the year ended December 31, 2022, the Company’s submission of the Interim Report to the SEC, the Subsidiary’s insolvency plan becoming legally binding, and the withdrawal of the Company’s application for its Preliminary Self-Administration Proceedings. On December 22, 2023, Yorkville waived the Company's submission of the Interim Report as a condition precedent to the Closing. Apart from the Subsidiary, Yorkville is the Company’s main creditor under the Existing Convertible Debentures, see “</w:t>
      </w:r>
      <w:r>
        <w:rPr>
          <w:rFonts w:ascii="Times New Roman" w:hAnsi="Times New Roman"/>
          <w:i/>
          <w:caps w:val="false"/>
          <w:smallCaps w:val="false"/>
          <w:sz w:val="20"/>
        </w:rPr>
        <w:t>Item 10. Additional Information</w:t>
      </w:r>
      <w:r>
        <w:rPr>
          <w:rFonts w:ascii="Times New Roman" w:hAnsi="Times New Roman"/>
          <w:caps w:val="false"/>
          <w:smallCaps w:val="false"/>
          <w:sz w:val="20"/>
        </w:rPr>
        <w:t>—</w:t>
      </w:r>
      <w:r>
        <w:rPr>
          <w:rFonts w:ascii="Times New Roman" w:hAnsi="Times New Roman"/>
          <w:i/>
          <w:caps w:val="false"/>
          <w:smallCaps w:val="false"/>
          <w:sz w:val="20"/>
        </w:rPr>
        <w:t>C. Material Contracts</w:t>
      </w:r>
      <w:r>
        <w:rPr>
          <w:rFonts w:ascii="Times New Roman" w:hAnsi="Times New Roman"/>
          <w:caps w:val="false"/>
          <w:smallCaps w:val="false"/>
          <w:sz w:val="20"/>
        </w:rPr>
        <w:t>—</w:t>
      </w:r>
      <w:r>
        <w:rPr>
          <w:rFonts w:ascii="Times New Roman" w:hAnsi="Times New Roman"/>
          <w:i/>
          <w:caps w:val="false"/>
          <w:smallCaps w:val="false"/>
          <w:sz w:val="20"/>
        </w:rPr>
        <w:t>Convertible Debentures</w:t>
      </w:r>
      <w:r>
        <w:rPr>
          <w:rFonts w:ascii="Times New Roman" w:hAnsi="Times New Roman"/>
          <w:caps w:val="false"/>
          <w:smallCaps w:val="false"/>
          <w:sz w:val="20"/>
        </w:rPr>
        <w:t>”. For more information on the Transactions and the Yorkville Investment, see “</w:t>
      </w:r>
      <w:r>
        <w:rPr>
          <w:rFonts w:ascii="Times New Roman" w:hAnsi="Times New Roman"/>
          <w:i/>
          <w:caps w:val="false"/>
          <w:smallCaps w:val="false"/>
          <w:sz w:val="20"/>
        </w:rPr>
        <w:t>Item 4. Information on the Company</w:t>
      </w:r>
      <w:r>
        <w:rPr>
          <w:rFonts w:ascii="Times New Roman" w:hAnsi="Times New Roman"/>
          <w:caps w:val="false"/>
          <w:smallCaps w:val="false"/>
          <w:sz w:val="20"/>
        </w:rPr>
        <w:t>—</w:t>
      </w:r>
      <w:r>
        <w:rPr>
          <w:rFonts w:ascii="Times New Roman" w:hAnsi="Times New Roman"/>
          <w:i/>
          <w:caps w:val="false"/>
          <w:smallCaps w:val="false"/>
          <w:sz w:val="20"/>
        </w:rPr>
        <w:t>B. Business Overview</w:t>
      </w:r>
      <w:r>
        <w:rPr>
          <w:rFonts w:ascii="Times New Roman" w:hAnsi="Times New Roman"/>
          <w:caps w:val="false"/>
          <w:smallCaps w:val="false"/>
          <w:sz w:val="20"/>
        </w:rPr>
        <w:t>—</w:t>
      </w:r>
      <w:r>
        <w:rPr>
          <w:rFonts w:ascii="Times New Roman" w:hAnsi="Times New Roman"/>
          <w:i/>
          <w:caps w:val="false"/>
          <w:smallCaps w:val="false"/>
          <w:sz w:val="20"/>
        </w:rPr>
        <w:t>The Planned Yorkville Investment</w:t>
      </w:r>
      <w:r>
        <w:rPr>
          <w:rFonts w:ascii="Times New Roman" w:hAnsi="Times New Roman"/>
          <w:caps w:val="false"/>
          <w:smallCaps w:val="false"/>
          <w:sz w:val="20"/>
        </w:rPr>
        <w: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December 7, 2023, the Subsidiary submitted a plan under the German Insolvency Code to the Court for approval by the Subsidiary’s creditors and for subsequent confirmation by the Court as required under applicable German insolvency law in the context of the Subsidiary Self-Administration Proceedings. The plan under the German Insolvency Code sets out how the Subsidiary intends to restructure its debt and procure the inflow of new money, including in connection with the Yorkville Investment, and subsequently exit the Subsidiary Self-Administration Proceedings.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Court scheduled a meeting with the creditors, who were divided into different classes, on December 21, 2023 to discuss and vote on the Subsidiary’s plan under the German Insolvency Code. Approval by the creditors and confirmation by the Court was obtained in the creditors meeting on December 21, 2023. The 14-day appeal period started on December 21, 2023. If the plan under the German Insolvency Code is successfully appealed, the Subsidiary would likely become subject to regular insolvency proceedings which may involve its liquidation. If the Court’s confirmation of the plan remains unaffected by appeals or challenges, the plan under the German Insolvency Code would enter into force and be implemented by the Subsidiary, and the insolvency proceedings would be closed. Only one creditor with a claim of €500 declared an appeal during the creditors meeting. No successful appeal actions in regard to the court decision are expected by the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Prior to the court order, the Subsidiary would have to settle all due preferred claims (such as cost of proceedings, claims arising after the opening of the proceedings etc.) and provide security for preferred claims which are disputed / not yet due. If the envisaged restructuring of a company’s business by way of a plan fails, such company will eventually be liquidated in the course of the insolvency proceedings. In this scenario, the creditors will be paid from the liquidation proceeds in accordance with the rank of their respective claims, in accordance with German insolvency law. Equity holders may also receive distributions from the liquidation proceeds, but only after all prior-ranking debt has been settled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Company believes that, subject to the satisfactions of the conditions precedent under the Yorkville Agreements, a successful conclusion and implementation of the Yorkville Investment would (i) enable it to withdraw its application for Self-Administration Proceedings at the Court and (ii) enable the Subsidiary to exit the Subsidiary Self-Administration Proceedings via its plan under the German Insolvency Code, which was approved by its creditors and confirmed by the Court on December 21, 2023. However, the Companies’ successful emergence from their respective Self-Administration Proceedings remains subject to a number of contingencies and risks, including, among others, (i) whether the Companies are able to successfully fulfill the conditions precedent to the Closing so as to gain access to the funding offered by Yorkville under the Yorkville Investment, (ii) whether the Court’s confirmation of the plan under the German Insolvency Code remains unaffected by any appeals or other challenges that may be raised during the 14-day appeals period that began on December 21, 2023, and (iii) if the Court’s confirmation of the Subsidiary's plan under the German Insolvency Code remains unaffected, whether the plan can be successfully implemented. For more information see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the Self-Administration Proceedings</w:t>
      </w:r>
      <w:r>
        <w:rPr>
          <w:rFonts w:ascii="Times New Roman" w:hAnsi="Times New Roman"/>
          <w:caps w:val="false"/>
          <w:smallCaps w:val="false"/>
          <w:sz w:val="20"/>
        </w:rPr>
        <w:t>” and ”</w:t>
      </w:r>
      <w:r>
        <w:rPr>
          <w:rFonts w:ascii="Times New Roman" w:hAnsi="Times New Roman"/>
          <w:i/>
          <w:caps w:val="false"/>
          <w:smallCaps w:val="false"/>
          <w:sz w:val="20"/>
        </w:rPr>
        <w:t>Item 8. Financial Information</w:t>
      </w:r>
      <w:r>
        <w:rPr>
          <w:rFonts w:ascii="Times New Roman" w:hAnsi="Times New Roman"/>
          <w:caps w:val="false"/>
          <w:smallCaps w:val="false"/>
          <w:sz w:val="20"/>
        </w:rPr>
        <w:t>—</w:t>
      </w:r>
      <w:r>
        <w:rPr>
          <w:rFonts w:ascii="Times New Roman" w:hAnsi="Times New Roman"/>
          <w:i/>
          <w:caps w:val="false"/>
          <w:smallCaps w:val="false"/>
          <w:sz w:val="20"/>
        </w:rPr>
        <w:t>A. Consolidated Statements and Other Financial Information</w:t>
      </w:r>
      <w:r>
        <w:rPr>
          <w:rFonts w:ascii="Times New Roman" w:hAnsi="Times New Roman"/>
          <w:caps w:val="false"/>
          <w:smallCaps w:val="false"/>
          <w:sz w:val="20"/>
        </w:rPr>
        <w:t>—</w:t>
      </w:r>
      <w:r>
        <w:rPr>
          <w:rFonts w:ascii="Times New Roman" w:hAnsi="Times New Roman"/>
          <w:i/>
          <w:caps w:val="false"/>
          <w:smallCaps w:val="false"/>
          <w:sz w:val="20"/>
        </w:rPr>
        <w:t>Legal Proceedings</w:t>
      </w:r>
      <w:r>
        <w:rPr>
          <w:rFonts w:ascii="Times New Roman" w:hAnsi="Times New Roman"/>
          <w:caps w:val="false"/>
          <w:smallCaps w:val="false"/>
          <w:sz w:val="20"/>
        </w:rPr>
        <w:t>—</w:t>
      </w:r>
      <w:r>
        <w:rPr>
          <w:rFonts w:ascii="Times New Roman" w:hAnsi="Times New Roman"/>
          <w:i/>
          <w:caps w:val="false"/>
          <w:smallCaps w:val="false"/>
          <w:sz w:val="20"/>
        </w:rPr>
        <w:t>The Self-Administration Proceedings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Other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various claims and legal proceedings relating to claims arising out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2023, we received a demand letter from Yorkville claiming that we and our directors and officers made various material misrepresentations and omissions to fraudulently induce Yorkville to enter into a securities purchase agreement and purchase convertible debentures in an aggregate principal amount of $31.1 million. In the Restructuring Agreement, Yorkville agreed, subject to closing of the transactions envisaged in the Restructuring Agreement and certain other conditions, not to pursue claims against our directors and officers. We believe that the claims made in the demand letter are unjustified. We will defend ourselves against the claims made in the demand letter, should Yorkville decide to pursue these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light of our decision to terminate the Sion program in February 2023, as of the end of March 2023, the employment contracts of 254 of our employees had been terminated. Thereafter, in connection with the corporate structure and future business model envisioned in the Yorkville Investment, including the streamlined initial business focus on the Solar Bus Kit, in September 2023, we terminated the contracts of 40 employees. As of December 1, 2023, 13 employees had initiated legal proceedings against us in connection with their termination due to our changes in business model, 11 of which have already been resolved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February 2022, a former employee filed a claim in court against us. The former employee asserts that the termination of his employment relationship by us was not justified and seeks re-employment. In May 2022, the former employee expanded the claims to recover certain benefits, which he claims to have a value of €14.2 million. In December 2022, the court decided that the termination was not justified and that we have to continue employing this person. The court rejected the claims to recover certain benefits. In February 2023, the employee filed an appeal against this part of the court’s decision. In August 2023, we settled the claim with the former employee for €70,000.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first half of 2021, we decided to change our designated battery supplier. The former supplier has indicated that it believes it is entitled to compensation under its contract with us. In initial discussions, the former supplier proposed an agreement with compensation in the amount of €2 million. In February 2022, the former supplier increased its request to €15 million. In June 2022, the former supplier filed an action for declaratory judgment (</w:t>
      </w:r>
      <w:r>
        <w:rPr>
          <w:rFonts w:ascii="Times New Roman" w:hAnsi="Times New Roman"/>
          <w:i/>
          <w:caps w:val="false"/>
          <w:smallCaps w:val="false"/>
          <w:sz w:val="20"/>
        </w:rPr>
        <w:t>Feststellungsklage</w:t>
      </w:r>
      <w:r>
        <w:rPr>
          <w:rFonts w:ascii="Times New Roman" w:hAnsi="Times New Roman"/>
          <w:caps w:val="false"/>
          <w:smallCaps w:val="false"/>
          <w:sz w:val="20"/>
        </w:rPr>
        <w:t>) with the Regional Court Stuttgart, Germany, in which the former supplier claimed that its damages were at least €23.4 million. On March 7, 2023, the former supplier declared the matter terminated in a written pleading.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of the end of March 2023, the employment contracts of 254 of our employees had been terminated. The statutory period for taking legal action against most of these terminations has now expired. To date, we are aware of 13 lawsuits against the termination of employment contracts, 11 of which have been settled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may only make distributions, whether a distribution of profits or of freely distributable reserves, to our shareholders to the extent our shareholders’ equity (</w:t>
      </w:r>
      <w:r>
        <w:rPr>
          <w:rFonts w:ascii="Times New Roman" w:hAnsi="Times New Roman"/>
          <w:i/>
          <w:caps w:val="false"/>
          <w:smallCaps w:val="false"/>
          <w:sz w:val="20"/>
        </w:rPr>
        <w:t>eigen vermogen</w:t>
      </w:r>
      <w:r>
        <w:rPr>
          <w:rFonts w:ascii="Times New Roman" w:hAnsi="Times New Roman"/>
          <w:caps w:val="false"/>
          <w:smallCaps w:val="false"/>
          <w:sz w:val="20"/>
        </w:rPr>
        <w:t>) exceeds the sum of the paid-in and called-up share capital plus any reserves required by Dutch law or by our articles of association. Under our articles of association, the management board may decide that all or part of the profits are carried to reserves. After reservation by the management board of any profit, any remaining profit will be at the disposal of the general meeting for distribution, subject to restrictions of Dutch law and approval by our supervisory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only make a distribution of dividends to our shareholders after the adoption of our annual accounts demonstrating that such distribution is legally permitted. The management board is permitted, subject to certain requirements, to declare interim dividends without the approval of the general meeting, but only with the approval of the supervisory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Times New Roman" w:hAnsi="Times New Roman"/>
          <w:i/>
          <w:caps w:val="false"/>
          <w:smallCaps w:val="false"/>
          <w:sz w:val="20"/>
        </w:rPr>
        <w:t>verjaring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current dividend policy is to retain all available funds and any future earnings to fund the further development and expansion of our business. If we were to revise this policy relating to a payment of future dividends, such revised policy would, subject to the restrictions described above, depend on many factors, such as our results of operations, financial condition, cash requirements, prospects and other factors deemed relevant by our management board and supervisory board.</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220"/>
        <w:gridCol w:w="172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41" w:name="P1I8B"/>
            <w:bookmarkEnd w:id="41"/>
            <w:r>
              <w:rPr>
                <w:rFonts w:ascii="Times New Roman" w:hAnsi="Times New Roman"/>
                <w:b/>
                <w:caps w:val="false"/>
                <w:smallCaps w:val="false"/>
                <w:sz w:val="20"/>
              </w:rPr>
              <w:t>B.</w:t>
            </w:r>
          </w:p>
        </w:tc>
        <w:tc>
          <w:tcPr>
            <w:tcW w:w="17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Significant Changes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Except as otherwise disclosed in this Annual Report, there has been no undisclosed significant change since the date of the annual financial statements.</w:t>
      </w:r>
    </w:p>
    <w:p>
      <w:pPr>
        <w:pStyle w:val="TextBody"/>
        <w:bidi w:val="0"/>
        <w:spacing w:before="0" w:after="0"/>
        <w:ind w:left="0" w:right="0" w:hanging="0"/>
        <w:jc w:val="left"/>
        <w:rPr>
          <w:caps w:val="false"/>
          <w:smallCaps w:val="false"/>
        </w:rPr>
      </w:pPr>
      <w:r>
        <w:rPr>
          <w:caps w:val="false"/>
          <w:smallCaps w:val="false"/>
        </w:rPr>
        <w:t> </w:t>
      </w:r>
    </w:p>
    <w:tbl>
      <w:tblPr>
        <w:tblW w:w="3230" w:type="dxa"/>
        <w:jc w:val="left"/>
        <w:tblInd w:w="0" w:type="dxa"/>
        <w:tblLayout w:type="fixed"/>
        <w:tblCellMar>
          <w:top w:w="0" w:type="dxa"/>
          <w:left w:w="0" w:type="dxa"/>
          <w:bottom w:w="0" w:type="dxa"/>
          <w:right w:w="0" w:type="dxa"/>
        </w:tblCellMar>
      </w:tblPr>
      <w:tblGrid>
        <w:gridCol w:w="760"/>
        <w:gridCol w:w="2470"/>
      </w:tblGrid>
      <w:tr>
        <w:trPr/>
        <w:tc>
          <w:tcPr>
            <w:tcW w:w="76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42" w:name="P1I9"/>
            <w:bookmarkEnd w:id="42"/>
            <w:r>
              <w:rPr>
                <w:rFonts w:ascii="Times New Roman" w:hAnsi="Times New Roman"/>
                <w:b/>
                <w:caps w:val="false"/>
                <w:smallCaps w:val="false"/>
                <w:sz w:val="20"/>
              </w:rPr>
              <w:t>ITEM 9.</w:t>
            </w:r>
          </w:p>
        </w:tc>
        <w:tc>
          <w:tcPr>
            <w:tcW w:w="247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THE OFFER AND LISTING</w:t>
            </w:r>
          </w:p>
        </w:tc>
      </w:tr>
    </w:tbl>
    <w:p>
      <w:pPr>
        <w:pStyle w:val="TextBody"/>
        <w:bidi w:val="0"/>
        <w:spacing w:before="0" w:after="0"/>
        <w:ind w:left="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220"/>
        <w:gridCol w:w="2125"/>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43" w:name="P1I9A"/>
            <w:bookmarkEnd w:id="43"/>
            <w:r>
              <w:rPr>
                <w:rFonts w:ascii="Times New Roman" w:hAnsi="Times New Roman"/>
                <w:b/>
                <w:caps w:val="false"/>
                <w:smallCaps w:val="false"/>
                <w:sz w:val="20"/>
              </w:rPr>
              <w:t>A.</w:t>
            </w:r>
          </w:p>
        </w:tc>
        <w:tc>
          <w:tcPr>
            <w:tcW w:w="212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Offer and Listing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Our shares have been listed on The Nasdaq Global Market since November 17, 2021 under the symbol “SEV.” On July 21, 2023, trading of our shares on Nasdaq was suspended. On December 11, 2023, we received a decision of the Panel advising us that the Panel has determined to delist the Company’s ordinary shares from Nasdaq. See also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Our Company</w:t>
      </w:r>
      <w:r>
        <w:rPr>
          <w:rFonts w:ascii="Times New Roman" w:hAnsi="Times New Roman"/>
          <w:caps w:val="false"/>
          <w:smallCaps w:val="false"/>
          <w:sz w:val="20"/>
        </w:rPr>
        <w:t>’</w:t>
      </w:r>
      <w:r>
        <w:rPr>
          <w:rFonts w:ascii="Times New Roman" w:hAnsi="Times New Roman"/>
          <w:i/>
          <w:caps w:val="false"/>
          <w:smallCaps w:val="false"/>
          <w:sz w:val="20"/>
        </w:rPr>
        <w:t>s Status</w:t>
      </w:r>
      <w:r>
        <w:rPr>
          <w:rFonts w:ascii="Times New Roman" w:hAnsi="Times New Roman"/>
          <w:caps w:val="false"/>
          <w:smallCaps w:val="false"/>
          <w:sz w:val="20"/>
        </w:rPr>
        <w:t>—</w:t>
      </w:r>
      <w:r>
        <w:rPr>
          <w:rFonts w:ascii="Times New Roman" w:hAnsi="Times New Roman"/>
          <w:i/>
          <w:caps w:val="false"/>
          <w:smallCaps w:val="false"/>
          <w:sz w:val="20"/>
        </w:rPr>
        <w:t>Following the anticipated delisting of our shares from Nasdaq, as determined by the Panel in its delist decision from December 11, 2023, we may not be able to meet the initial listing requirements for admission of our shares to trading on a stock exchange in the future and pay for the costs associated with an initial listing and therefore may not be able to have our shares admitted to trading on a stock exchange in the future.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925" w:type="dxa"/>
        <w:jc w:val="left"/>
        <w:tblInd w:w="0" w:type="dxa"/>
        <w:tblLayout w:type="fixed"/>
        <w:tblCellMar>
          <w:top w:w="0" w:type="dxa"/>
          <w:left w:w="0" w:type="dxa"/>
          <w:bottom w:w="0" w:type="dxa"/>
          <w:right w:w="0" w:type="dxa"/>
        </w:tblCellMar>
      </w:tblPr>
      <w:tblGrid>
        <w:gridCol w:w="220"/>
        <w:gridCol w:w="1705"/>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44" w:name="P1I9B"/>
            <w:bookmarkEnd w:id="44"/>
            <w:r>
              <w:rPr>
                <w:rFonts w:ascii="Times New Roman" w:hAnsi="Times New Roman"/>
                <w:b/>
                <w:caps w:val="false"/>
                <w:smallCaps w:val="false"/>
                <w:sz w:val="20"/>
              </w:rPr>
              <w:t>B.</w:t>
            </w:r>
          </w:p>
        </w:tc>
        <w:tc>
          <w:tcPr>
            <w:tcW w:w="170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Plan of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965" w:type="dxa"/>
        <w:jc w:val="left"/>
        <w:tblInd w:w="0" w:type="dxa"/>
        <w:tblLayout w:type="fixed"/>
        <w:tblCellMar>
          <w:top w:w="0" w:type="dxa"/>
          <w:left w:w="0" w:type="dxa"/>
          <w:bottom w:w="0" w:type="dxa"/>
          <w:right w:w="0" w:type="dxa"/>
        </w:tblCellMar>
      </w:tblPr>
      <w:tblGrid>
        <w:gridCol w:w="220"/>
        <w:gridCol w:w="745"/>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45" w:name="P1I9C"/>
            <w:bookmarkEnd w:id="45"/>
            <w:r>
              <w:rPr>
                <w:rFonts w:ascii="Times New Roman" w:hAnsi="Times New Roman"/>
                <w:b/>
                <w:caps w:val="false"/>
                <w:smallCaps w:val="false"/>
                <w:sz w:val="20"/>
              </w:rPr>
              <w:t>C.</w:t>
            </w:r>
          </w:p>
        </w:tc>
        <w:tc>
          <w:tcPr>
            <w:tcW w:w="74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See “—</w:t>
      </w:r>
      <w:r>
        <w:rPr>
          <w:rFonts w:ascii="Times New Roman" w:hAnsi="Times New Roman"/>
          <w:i/>
          <w:caps w:val="false"/>
          <w:smallCaps w:val="false"/>
          <w:sz w:val="20"/>
        </w:rPr>
        <w:t>A. Offer and Listing Details.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220"/>
        <w:gridCol w:w="1795"/>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46" w:name="P1I9D"/>
            <w:bookmarkEnd w:id="46"/>
            <w:r>
              <w:rPr>
                <w:rFonts w:ascii="Times New Roman" w:hAnsi="Times New Roman"/>
                <w:b/>
                <w:caps w:val="false"/>
                <w:smallCaps w:val="false"/>
                <w:sz w:val="20"/>
              </w:rPr>
              <w:t>D.</w:t>
            </w:r>
          </w:p>
        </w:tc>
        <w:tc>
          <w:tcPr>
            <w:tcW w:w="179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Selling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220"/>
        <w:gridCol w:w="73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47" w:name="P1I9E"/>
            <w:bookmarkEnd w:id="47"/>
            <w:r>
              <w:rPr>
                <w:rFonts w:ascii="Times New Roman" w:hAnsi="Times New Roman"/>
                <w:b/>
                <w:caps w:val="false"/>
                <w:smallCaps w:val="false"/>
                <w:sz w:val="20"/>
              </w:rPr>
              <w:t>E.</w:t>
            </w:r>
          </w:p>
        </w:tc>
        <w:tc>
          <w:tcPr>
            <w:tcW w:w="73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Dilution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205"/>
        <w:gridCol w:w="1795"/>
      </w:tblGrid>
      <w:tr>
        <w:trPr/>
        <w:tc>
          <w:tcPr>
            <w:tcW w:w="20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48" w:name="P1I9F"/>
            <w:bookmarkEnd w:id="48"/>
            <w:r>
              <w:rPr>
                <w:rFonts w:ascii="Times New Roman" w:hAnsi="Times New Roman"/>
                <w:b/>
                <w:caps w:val="false"/>
                <w:smallCaps w:val="false"/>
                <w:sz w:val="20"/>
              </w:rPr>
              <w:t>F.</w:t>
            </w:r>
          </w:p>
        </w:tc>
        <w:tc>
          <w:tcPr>
            <w:tcW w:w="179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Expenses of the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3620" w:type="dxa"/>
        <w:jc w:val="left"/>
        <w:tblInd w:w="0" w:type="dxa"/>
        <w:tblLayout w:type="fixed"/>
        <w:tblCellMar>
          <w:top w:w="0" w:type="dxa"/>
          <w:left w:w="0" w:type="dxa"/>
          <w:bottom w:w="0" w:type="dxa"/>
          <w:right w:w="0" w:type="dxa"/>
        </w:tblCellMar>
      </w:tblPr>
      <w:tblGrid>
        <w:gridCol w:w="865"/>
        <w:gridCol w:w="2755"/>
      </w:tblGrid>
      <w:tr>
        <w:trPr/>
        <w:tc>
          <w:tcPr>
            <w:tcW w:w="8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49" w:name="P1I10"/>
            <w:bookmarkEnd w:id="49"/>
            <w:r>
              <w:rPr>
                <w:rFonts w:ascii="Times New Roman" w:hAnsi="Times New Roman"/>
                <w:b/>
                <w:caps w:val="false"/>
                <w:smallCaps w:val="false"/>
                <w:sz w:val="20"/>
              </w:rPr>
              <w:t>ITEM 10.</w:t>
            </w:r>
          </w:p>
        </w:tc>
        <w:tc>
          <w:tcPr>
            <w:tcW w:w="275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ADDITIONAL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1430" w:type="dxa"/>
        <w:jc w:val="left"/>
        <w:tblInd w:w="0" w:type="dxa"/>
        <w:tblLayout w:type="fixed"/>
        <w:tblCellMar>
          <w:top w:w="0" w:type="dxa"/>
          <w:left w:w="0" w:type="dxa"/>
          <w:bottom w:w="0" w:type="dxa"/>
          <w:right w:w="0" w:type="dxa"/>
        </w:tblCellMar>
      </w:tblPr>
      <w:tblGrid>
        <w:gridCol w:w="220"/>
        <w:gridCol w:w="121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50" w:name="P1I10A"/>
            <w:bookmarkEnd w:id="50"/>
            <w:r>
              <w:rPr>
                <w:rFonts w:ascii="Times New Roman" w:hAnsi="Times New Roman"/>
                <w:b/>
                <w:caps w:val="false"/>
                <w:smallCaps w:val="false"/>
                <w:sz w:val="20"/>
              </w:rPr>
              <w:t>A.</w:t>
            </w:r>
          </w:p>
        </w:tc>
        <w:tc>
          <w:tcPr>
            <w:tcW w:w="121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Share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220"/>
        <w:gridCol w:w="355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51" w:name="P1I10B"/>
            <w:bookmarkEnd w:id="51"/>
            <w:r>
              <w:rPr>
                <w:rFonts w:ascii="Times New Roman" w:hAnsi="Times New Roman"/>
                <w:b/>
                <w:caps w:val="false"/>
                <w:smallCaps w:val="false"/>
                <w:sz w:val="20"/>
              </w:rPr>
              <w:t>B.</w:t>
            </w:r>
          </w:p>
        </w:tc>
        <w:tc>
          <w:tcPr>
            <w:tcW w:w="355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copy of our articles of association is attached as Exhibit 1.1 to this Annual Report. The information called for by this Item is set forth in Exhibit 2.2 to this Annual Report and is incorporated by reference into this Annual Report.</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220"/>
        <w:gridCol w:w="166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52" w:name="P1I10C"/>
            <w:bookmarkEnd w:id="52"/>
            <w:r>
              <w:rPr>
                <w:rFonts w:ascii="Times New Roman" w:hAnsi="Times New Roman"/>
                <w:b/>
                <w:caps w:val="false"/>
                <w:smallCaps w:val="false"/>
                <w:sz w:val="20"/>
              </w:rPr>
              <w:t>C.</w:t>
            </w:r>
          </w:p>
        </w:tc>
        <w:tc>
          <w:tcPr>
            <w:tcW w:w="166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Material Contracts</w:t>
            </w:r>
          </w:p>
        </w:tc>
      </w:tr>
    </w:tbl>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Valmet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5, 2022, we entered into a binding term sheet (the “Term Sheet”) with Valmet Automotive , a Finnish contract manufacturer, which specified all substantial parameters regarding the collaboration and the production of the Sion. Under the Term Sheet, both parties had the option to terminate the Term Sheet at their discretion without liability, subject to certain material breach exceptions. Upon termination, each party’s continuing obligations under the Term Sheet expire, except for any obligations which by their nature survive the term of the Term Sheet, e.g., confidentiality obligations. In connection with our decision in February 2023 to shift to a solar-only business model, the Term Sheet was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Equity Line of Credit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June 13, 2022, we entered into a purchase agreement and a registration rights agreement with Joh. Berenberg, Gossler &amp; Co. KG (the “ELOC Investor”) in relation to an equity line of credit (the “ELOC”). Pursuant to the purchase agreement, we had the right to sell to the ELOC Investor up to $150 million of our ordinary shares, subject to certain limitations and conditions set forth in the purchase agreement, from time to time until June 30, 2024. Sales of ordinary shares to the ELOC Investor pursuant to the purchase agreement, and the timing of any such sales, were solely at our option, and we were under no obligation to sell any securities to the ELOC Investor under the purchase agreement. Under the terms of the securities purchase agreement relating to the Existing Convertible Debentures described below, we are only permitted to have either the ELOC or an at market issuance sales agreement in place at any given time. In view of our entry into the at market issuance sales agreement described below on December 7, 2022, we terminated the ELOC. Through termination of the ELOC, we sold 8,748,433 ordinary shares to the ELOC Investor for total gross proceeds of $17.5 million (€17.3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Existing Convertible Debentures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December 7, 2022, we entered into a securities purchase agreement with Yorkville, under which we agreed to sell and issue to Yorkville the Existing Convertible Debentures in an aggregate principal amount of up to $31.1 million, which are convertible into our ordinary shares, subject to certain conditions and limitations set forth in the securities purchase agreement. A first convertible debenture in a principal amount of $11.1 million was issued on December 7, 2022 upon signing of the securities purchase agreement, a second convertible debenture in a principal amount of $10.0 million was issued upon filing with the SEC of our registration statement on Form F-3 (the “Form F-3”) registering, among others, the resale of ordinary shares resulting from the conversion of the Existing Convertible Debentures, referred to as conversion shares, and a third convertible debenture in a principal amount of $10.0 million was issued to Yorkville on the effective date of the Form F-3. YA II PN, Ltd., a Cayman Islands exempt limited partnership, is a fund managed by Yorkville Advisors Global, LP, headquartered in Mountainside, New Jersey.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Existing Convertible Debentures bear interest at an annual rate of 4.0%, payable at maturity, which will increase to an annual rate of 12.0% (i) for so long as the daily volume weighted average price of the ordinary shares is less than $0.15 for five trading days during a period of seven consecutive trading days (a “Triggering Event”) or (ii) upon the occurrence and during the continuance of an event of default. In connection with the Yorkville Investment, the Company and Yorkville Advisors entered into the Prolongation Agreement to postpone the repayment date of the Existing Convertible Debentures from December 7, 2023 to July 1, 2025, with the possibility of further extensions at Yorkville’s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Existing Convertible Debentures provide a conversion right, according to which Yorkville may, at any time after the issuance date, subject to certain limitations, convert any portion of the outstanding and unpaid principal amount of the convertible debenture, together with any accrued but unpaid interest, into our ordinary shares at the lower of (i) $1.75 per ordinary share (the “Fixed Conversion Price”) or (ii) 96.5% of the lowest daily volume weighted average price of the ordinary shares during the seven consecutive trading days immediately preceding the date of conversion (the “Variable Conversion Price”), but not lower than a floor price of $0.15 per share, subject to adjustment in accordance with the terms of the Existing Convertible Debentures, provided that, under no circumstances, the conversion price per ordinary share shall be less than the nominal value of one ordinary share (translated into United States Dollars) on the applicable share delivery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Yorkville has agreed that (i) it will use commercially reasonable efforts to convert at least $2.5 million of principal amount of Existing Convertible Debentures per calendar month, subject to certain exceptions set forth in the convertible debentures, and (ii) it will not convert more than an aggregate of the greater of (y) 20% of monthly dollar trading value of the ordinary shares as reported on Bloomberg during regular trading hours during the applicable calendar month or (z) $5.0 million of principal amount of the Existing Convertible Debentures per calendar month utilizing the Variable Conversion Price, subject to certain exceptions set forth in the securities purchase agreement. The Existing Convertible Debentures may not be converted into ordinary shares to the extent such conversion would result in Yorkville and its affiliates having beneficial ownership of more than 4.99% of our then outstanding ordinary shares; provided that this limitation may be waived by Yorkville upon not less than 65 days’ prior notice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at any time after the issue date of the Existing Convertible Debentures, and from time to time thereafter, a Triggering Event occurs, then we shall make monthly payments beginning on the 20th calendar day after the date on which the Triggering Event occurs (the “Triggering Date”) and continuing on the same day of each successive calendar month. Each monthly payment shall be an amount equal to the sum of (i) the Triggered Principal Amount (as defined below), plus (ii) a redemption premium equal to 6.0% of such Triggered Principal Amount, plus (iii) accrued and unpaid interest on the outstanding Existing Convertible Debentures. Notwithstanding the foregoing, subject to certain conditions set forth in the Existing Convertible Debentures, our obligation to make monthly prepayments may cease. “Triggered Principal Amount” means the quotient of (i) the aggregate principal amounts outstanding on the Existing Convertible Debentures divided by (ii) the number of whole calendar months remaining between the Triggering Date and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Existing Convertible Debentures provide us, subject to certain conditions, the right, at our option, to redeem early a portion or all amounts outstanding under the Existing Convertible Debentures; provided that (i) the trading price of the ordinary shares is less than the Fixed Conversion Price and (ii) we provide the holder of the Existing Convertible Debentures with at least three (3) business days’ prior written notice. Each redemption payment will be the principal amount of the Existing Convertible Debentures to be redeemed, plus a redemption premium equal to 4.0% of the principal amount being redeemed, plus accrued and unpaid interest on the outstanding Existing Convertible Debentures. Yorkville shall have five (5) business days after receipt of a redemption notice to elect to convert all or any portion of the Existing Convertible Debentures.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Existing Convertible Debentures include customary covenants and set forth certain events of default after which the Existing Convertible Debentures may be declared immediately due and payable and set forth certain types of bankruptcy or insolvency events of default involving us after which the Existing Convertible Debentures become automatically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securities purchase agreement, also on December 7, 2022, we entered into a registration rights agreement with Yorkville pursuant to which we agreed to prepare and file with the SEC the Form F-3 covering the resale by Yorkville of the conversion shares. We are currently not eligible to use our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securities purchase agreement contains customary representations, warranties, conditions and indemnification obligations by each party. The representations, warranties and covenants contained in the securities purchase agreement were made only for purposes of the securities purchase agreement and as of specific dates, were solely for the benefit of the parties to such agreement and are subject to certain important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of the date hereof, an aggregate principal amount of $20.0 million remained outstanding under the Existing Convertible Debentures and Yorkville had converted $11.1 million principal amount plus respective interest of $145 thousand into 14,901,768 ordinary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At market issuance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7, 2022, we entered into an at market issuance sales agreement, referred to as the “ATM Sales Agreement”, with B. Riley Securities, Inc., Berenberg Capital Markets LLC and Cantor Fitzgerald &amp; Co., referred to as the “Agents”. In accordance with the terms of the ATM Sales Agreement, under the Form F-3 we may offer and sell, from time to time, ordinary shares, through or to the agents, acting as agent or principal having an aggregate offering price of up to $135,000,000. Sales of ordinary shares, if any, will be made by any method permitted that is deemed an “at the market offering” as defined in Rule 415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ATM Sales Agreement, the Agents are not required to sell any specific amount but will act as our sales agents using commercially reasonable efforts consistent with each of their normal trading and sales practices, on mutually agreed terms between the Agents and us. Each time we wish to issue and sell ordinary shares under the ATM Sales Agreement, we will notify an Agent of the number of shares to be issued, the dates on which such sales are anticipated to be made and any minimum price below which sales may not be made. Once we have so instructed such Agent, unless such Agent declines to accept the terms of such notice, such Agent has agreed to use its commercially reasonable efforts consistent with its normal trading and sales practices to sell such shares up to the amount specified on such terms. The obligations of the Agents under the Sales Agreement to sell our ordinary shares are subject to a number of conditions that we must meet.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Under the terms of the securities purchase agreement relating to the Existing Convertible Debentures described above, we had undertaken to limit sales under the ATM Sales Agreement to not more than 2% of the daily trading volume of our ordinary shares on Nasdaq (the “Two Percent Cap”) for so long as any amounts are outstanding under the Existing Convertible Debentures. The Two Percent Cap shall be increased on a trading day (i) to 10% if the trading volume on that trading day is between $5.0 million and $10 million and (ii) to 15% if the trading volume on that trading day is greater than $10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agreed to pay the Agents a commission at a rate of 3.0% of the aggregate gross proceeds we receive from each sale of our ordinary shares. We have agreed to provide indemnification and contribution to the Agents with respect to certain civil liabilities, including liabilities under the Securities Act. We, B. Riley, Berenberg and Cantor may each terminate the ATM Sales Agreement at any time upon five days’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date hereof, no sales have been made pursuant to the ATM Sales Agreement. We are currently not eligible to use our Form F-3.</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220"/>
        <w:gridCol w:w="166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53" w:name="P1I10D"/>
            <w:bookmarkEnd w:id="53"/>
            <w:r>
              <w:rPr>
                <w:rFonts w:ascii="Times New Roman" w:hAnsi="Times New Roman"/>
                <w:b/>
                <w:caps w:val="false"/>
                <w:smallCaps w:val="false"/>
                <w:sz w:val="20"/>
              </w:rPr>
              <w:t>D.</w:t>
            </w:r>
          </w:p>
        </w:tc>
        <w:tc>
          <w:tcPr>
            <w:tcW w:w="166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Exchange Controls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Under Dutch law, there are no exchange controls applicable to the transfer to persons outside of the Netherlands of dividends or other distributions with respect to, or of the proceeds from the sale of, shares of a Dutch company, albeit those transfers being subject to applicable restrictions under trade and economic sanctions and measures, including those concerning export control, pursuant to EU regulations, the Sanctions Act 1977 (</w:t>
      </w:r>
      <w:r>
        <w:rPr>
          <w:rFonts w:ascii="Times New Roman" w:hAnsi="Times New Roman"/>
          <w:i/>
          <w:caps w:val="false"/>
          <w:smallCaps w:val="false"/>
          <w:sz w:val="20"/>
        </w:rPr>
        <w:t>Sanctiewet 1977</w:t>
      </w:r>
      <w:r>
        <w:rPr>
          <w:rFonts w:ascii="Times New Roman" w:hAnsi="Times New Roman"/>
          <w:caps w:val="false"/>
          <w:smallCaps w:val="false"/>
          <w:sz w:val="20"/>
        </w:rPr>
        <w:t>) or other legislation, applicable anti-boycott regulations, applicable anti-money-laundering regulations and similar rules and provided that, under circumstances, such dividends or other distributions must be reported to the Dutch Central Bank for statistical purposes. There are no special restrictions in the articles of association or Dutch law that limit the right of shareholders who are not citizens or residents of the Netherlands to hold or vote shares.</w:t>
      </w:r>
    </w:p>
    <w:p>
      <w:pPr>
        <w:pStyle w:val="TextBody"/>
        <w:bidi w:val="0"/>
        <w:spacing w:before="0" w:after="0"/>
        <w:ind w:left="0" w:right="0" w:hanging="0"/>
        <w:jc w:val="left"/>
        <w:rPr>
          <w:caps w:val="false"/>
          <w:smallCaps w:val="false"/>
        </w:rPr>
      </w:pPr>
      <w:r>
        <w:rPr>
          <w:caps w:val="false"/>
          <w:smallCaps w:val="false"/>
        </w:rPr>
        <w:t> </w:t>
      </w:r>
    </w:p>
    <w:tbl>
      <w:tblPr>
        <w:tblW w:w="1040" w:type="dxa"/>
        <w:jc w:val="left"/>
        <w:tblInd w:w="0" w:type="dxa"/>
        <w:tblLayout w:type="fixed"/>
        <w:tblCellMar>
          <w:top w:w="0" w:type="dxa"/>
          <w:left w:w="0" w:type="dxa"/>
          <w:bottom w:w="0" w:type="dxa"/>
          <w:right w:w="0" w:type="dxa"/>
        </w:tblCellMar>
      </w:tblPr>
      <w:tblGrid>
        <w:gridCol w:w="220"/>
        <w:gridCol w:w="82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54" w:name="P1I10E"/>
            <w:bookmarkEnd w:id="54"/>
            <w:r>
              <w:rPr>
                <w:rFonts w:ascii="Times New Roman" w:hAnsi="Times New Roman"/>
                <w:b/>
                <w:caps w:val="false"/>
                <w:smallCaps w:val="false"/>
                <w:sz w:val="20"/>
              </w:rPr>
              <w:t>E.</w:t>
            </w:r>
          </w:p>
        </w:tc>
        <w:tc>
          <w:tcPr>
            <w:tcW w:w="8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i/>
          <w:caps w:val="false"/>
          <w:smallCaps w:val="false"/>
          <w:sz w:val="20"/>
        </w:rPr>
        <w:t>The following summary contains a description of Dutch, German and U.S. federal income tax considerations generally applicable to the acquisition, ownership and disposition of ordinary shares, but it does not purport to be a comprehensive description of all the tax considerations that may be relevant to a decision to purchase ordinary shares. The summary is based upon the tax laws of the Netherlands and regulations thereunder, the tax laws of Germany and regulations thereunder and the tax laws of the United States and regulations thereunder as of the date hereof, which are subject to change.</w:t>
      </w:r>
      <w:r>
        <w:rPr>
          <w:rFonts w:ascii="Times New Roman" w:hAnsi="Times New Roman"/>
          <w:caps w:val="false"/>
          <w:smallCaps w:val="false"/>
          <w:sz w:val="20"/>
        </w:rPr>
        <w:t> </w:t>
      </w:r>
      <w:r>
        <w:rPr>
          <w:rFonts w:ascii="Times New Roman" w:hAnsi="Times New Roman"/>
          <w:i/>
          <w:caps w:val="false"/>
          <w:smallCaps w:val="false"/>
          <w:sz w:val="20"/>
        </w:rPr>
        <w:t>You should consult your tax advisor regarding the applicable tax consequences to you of investing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Material Dutch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following is a general summary of certain material Dutch tax consequences of the acquisition, ownership and disposal of our ordinary shares. This summary does not purport to set forth all possible tax considerations or consequences that may be relevant to a holder or prospective holder or our ordinary shares and does not purport to deal with the tax consequences applicable to all categories of investors, some of which (such as trusts or similar arrangements) may be subject to special rules. In view of its general nature, it should be treated with corresponding caution.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purposes of this discussion, it is assumed that we are a tax resident of Germany under German national tax laws since we intended to have, from our incorporation and on a continuous basis, our place of effective management in Germany.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otherwise indicated, this summary is based on and only addresses the tax laws of the Netherlands, published regulations thereunder and published authoritative case law, all as in effect on the date hereof, including for the avoidance of doubt, the tax rates on the date hereof, and all of which are subject to change, possibly with retroactive effect. Where the summary refers to “the Netherlands” or “Dutch” it refers only to the part of the Kingdom of the Netherlands located in Europe. The applicable tax laws or interpretations thereof may change, or the relevant facts and circumstances may change, and such changes may affect the contents of this section, which will not be updated to reflect such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This discussion is for general information purposes only and is not Dutch tax advice or a complete description of all Dutch tax consequences relating to the acquisition, ownership and disposal of our ordinary shares. Holders or prospective holders of our ordinary shares should consult their own tax advisor regarding the Dutch tax consequences relating to the acquisition, holding and disposal of our ordinary shares in light of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Please note that this section does not set forth the tax considerations for: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holders of ordinary shares if such holders have a substantial interest (</w:t>
            </w:r>
            <w:r>
              <w:rPr>
                <w:rFonts w:ascii="Times New Roman" w:hAnsi="Times New Roman"/>
                <w:i/>
                <w:caps w:val="false"/>
                <w:smallCaps w:val="false"/>
                <w:sz w:val="20"/>
              </w:rPr>
              <w:t>aanmerkelijk belang</w:t>
            </w:r>
            <w:r>
              <w:rPr>
                <w:rFonts w:ascii="Times New Roman" w:hAnsi="Times New Roman"/>
                <w:caps w:val="false"/>
                <w:smallCaps w:val="false"/>
                <w:sz w:val="20"/>
              </w:rPr>
              <w:t>) or deemed substantial interest (</w:t>
            </w:r>
            <w:r>
              <w:rPr>
                <w:rFonts w:ascii="Times New Roman" w:hAnsi="Times New Roman"/>
                <w:i/>
                <w:caps w:val="false"/>
                <w:smallCaps w:val="false"/>
                <w:sz w:val="20"/>
              </w:rPr>
              <w:t>fictief aanmerkelijk belang</w:t>
            </w:r>
            <w:r>
              <w:rPr>
                <w:rFonts w:ascii="Times New Roman" w:hAnsi="Times New Roman"/>
                <w:caps w:val="false"/>
                <w:smallCaps w:val="false"/>
                <w:sz w:val="20"/>
              </w:rPr>
              <w:t>) in us under the Dutch Income Tax Act 2001 (</w:t>
            </w:r>
            <w:r>
              <w:rPr>
                <w:rFonts w:ascii="Times New Roman" w:hAnsi="Times New Roman"/>
                <w:i/>
                <w:caps w:val="false"/>
                <w:smallCaps w:val="false"/>
                <w:sz w:val="20"/>
              </w:rPr>
              <w:t>Wet inkomstenbelasting 2001</w:t>
            </w:r>
            <w:r>
              <w:rPr>
                <w:rFonts w:ascii="Times New Roman" w:hAnsi="Times New Roman"/>
                <w:caps w:val="false"/>
                <w:smallCaps w:val="false"/>
                <w:sz w:val="20"/>
              </w:rPr>
              <w:t>). Generally, a holder of securities in a company is considered to hold a substantial interest in such company if such holder alone or, in the case of individuals, together with such holder’s partner for Dutch income tax purposes, or any relative by blood or marriage in the direct line (including foster children) ,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and/or to 5% or more of the company’s liquidation proceeds. A deemed substantial interest may arise if a substantial interest (or part thereof) in a company has been disposed of, or is deemed to have been disposed of, on a non-recognition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holder of ordinary shares which is or who is entitled to the dividend withholding tax exemption (inhoudingsvrijstelling) with respect to any income (</w:t>
            </w:r>
            <w:r>
              <w:rPr>
                <w:rFonts w:ascii="Times New Roman" w:hAnsi="Times New Roman"/>
                <w:i/>
                <w:caps w:val="false"/>
                <w:smallCaps w:val="false"/>
                <w:sz w:val="20"/>
              </w:rPr>
              <w:t>opbrengst</w:t>
            </w:r>
            <w:r>
              <w:rPr>
                <w:rFonts w:ascii="Times New Roman" w:hAnsi="Times New Roman"/>
                <w:caps w:val="false"/>
                <w:smallCaps w:val="false"/>
                <w:sz w:val="20"/>
              </w:rPr>
              <w:t>) derived from the ordinary shares (as defined in Article 4 of the Dutch Dividend Withholding Tax Act 1965 (Wet op de dividendbelasting). Generally, a holder of ordinary shares may be entitled or required to apply, subject to certain other requirements, the dividend withholding tax exemption if it is an entity and holds an interest of 5% or more in our nominal paid-up share capital;</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t>holders of ordinary shares if the ordinary shares held by such holders qualify or qualified as a participation (</w:t>
            </w:r>
            <w:r>
              <w:rPr>
                <w:i/>
              </w:rPr>
              <w:t>deelneming</w:t>
            </w:r>
            <w:r>
              <w:rPr/>
              <w:t>) for purposes of the Dutch Corporate Income Tax Act 1969 (Wet op de vennootschapsbelasting 1969). Generally, a holder’s shareholding of 5% or more in our nominal paid-in share capital qualifies as a participation. A holder may also have a participation if (a) such holder does not have a shareholding of 5% or more but a related entity (statutorily defined term) has a participation or (b) the company in which the shares are held is a related entity (statutorily defined term);</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pension funds, investment institutions (</w:t>
            </w:r>
            <w:r>
              <w:rPr>
                <w:rFonts w:ascii="Times New Roman" w:hAnsi="Times New Roman"/>
                <w:i/>
                <w:caps w:val="false"/>
                <w:smallCaps w:val="false"/>
                <w:sz w:val="20"/>
              </w:rPr>
              <w:t>fiscale beleggingsinstellingen</w:t>
            </w:r>
            <w:r>
              <w:rPr>
                <w:rFonts w:ascii="Times New Roman" w:hAnsi="Times New Roman"/>
                <w:caps w:val="false"/>
                <w:smallCaps w:val="false"/>
                <w:sz w:val="20"/>
              </w:rPr>
              <w:t>), exempt investment institutions (</w:t>
            </w:r>
            <w:r>
              <w:rPr>
                <w:rFonts w:ascii="Times New Roman" w:hAnsi="Times New Roman"/>
                <w:i/>
                <w:caps w:val="false"/>
                <w:smallCaps w:val="false"/>
                <w:sz w:val="20"/>
              </w:rPr>
              <w:t>vrijgestelde beleggingsinstellingen</w:t>
            </w:r>
            <w:r>
              <w:rPr>
                <w:rFonts w:ascii="Times New Roman" w:hAnsi="Times New Roman"/>
                <w:caps w:val="false"/>
                <w:smallCaps w:val="false"/>
                <w:sz w:val="20"/>
              </w:rPr>
              <w:t>) (as defined in the Dutch Corporate Income Tax Act 1969) and other entities that are, in whole or in part, not subject to or exempt from corporate income tax in the Netherlands as well as entities that are exempt from corporate income tax in their country of residence, such country of residence being another state of the EU, Norway, Liechtenstein, Iceland or any other state with which the Netherlands has agreed to exchange information in line with international standards;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holders of ordinary shares who are individuals and for whom the ordinary shares or any benefit derived from the ordinary shares are a remuneration or deemed to be a remuneration for (employment) activities performed by such holders or certain individuals related to such holders (as defined in the Dutch Income Tax Act 2001).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Dividend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However, as long as we continue to have our place of effective management solely in Germany, and not in the Netherlands, under the double tax treaty between Germany and the Netherlands, we will be considered to be exclusively tax resident in Germany and we will not be required to withhold Dutch dividend withholding tax. This exemption from withholding does not apply to dividends distributed by us to a holder who is resident or deemed to be resident in the Netherlands for Dutch income tax purposes or to holders of ordinary shares that are neither resident nor deemed to be resident of the Netherlands if the ordinary shares are attributable to a Dutch permanent establishment of such non-resident holder, in which case the following paragraph applies. See also “</w:t>
      </w:r>
      <w:r>
        <w:rPr>
          <w:rFonts w:ascii="Times New Roman" w:hAnsi="Times New Roman"/>
          <w:i/>
          <w:caps w:val="false"/>
          <w:smallCaps w:val="false"/>
          <w:sz w:val="20"/>
        </w:rPr>
        <w:t>Item</w:t>
      </w:r>
      <w:r>
        <w:rPr>
          <w:rFonts w:ascii="Times New Roman" w:hAnsi="Times New Roman"/>
          <w:caps w:val="false"/>
          <w:smallCaps w:val="false"/>
          <w:sz w:val="20"/>
        </w:rPr>
        <w:t> </w:t>
      </w:r>
      <w:r>
        <w:rPr>
          <w:rFonts w:ascii="Times New Roman" w:hAnsi="Times New Roman"/>
          <w:i/>
          <w:caps w:val="false"/>
          <w:smallCaps w:val="false"/>
          <w:sz w:val="20"/>
        </w:rPr>
        <w:t>3. Key Information</w:t>
      </w:r>
      <w:r>
        <w:rPr>
          <w:rFonts w:ascii="Times New Roman" w:hAnsi="Times New Roman"/>
          <w:caps w:val="false"/>
          <w:smallCaps w:val="false"/>
          <w:sz w:val="20"/>
        </w:rPr>
        <w:t>—</w:t>
      </w:r>
      <w:r>
        <w:rPr>
          <w:rFonts w:ascii="Times New Roman" w:hAnsi="Times New Roman"/>
          <w:i/>
          <w:caps w:val="false"/>
          <w:smallCaps w:val="false"/>
          <w:sz w:val="20"/>
        </w:rPr>
        <w:t>D.</w:t>
      </w:r>
      <w:r>
        <w:rPr>
          <w:rFonts w:ascii="Times New Roman" w:hAnsi="Times New Roman"/>
          <w:caps w:val="false"/>
          <w:smallCaps w:val="false"/>
          <w:sz w:val="20"/>
        </w:rPr>
        <w:t> </w:t>
      </w:r>
      <w:r>
        <w:rPr>
          <w:rFonts w:ascii="Times New Roman" w:hAnsi="Times New Roman"/>
          <w:i/>
          <w:caps w:val="false"/>
          <w:smallCaps w:val="false"/>
          <w:sz w:val="20"/>
        </w:rPr>
        <w:t>Risk Factors</w:t>
      </w:r>
      <w:r>
        <w:rPr>
          <w:rFonts w:ascii="Times New Roman" w:hAnsi="Times New Roman"/>
          <w:caps w:val="false"/>
          <w:smallCaps w:val="false"/>
          <w:sz w:val="20"/>
        </w:rPr>
        <w:t>—</w:t>
      </w:r>
      <w:r>
        <w:rPr>
          <w:rFonts w:ascii="Times New Roman" w:hAnsi="Times New Roman"/>
          <w:i/>
          <w:caps w:val="false"/>
          <w:smallCaps w:val="false"/>
          <w:sz w:val="20"/>
        </w:rPr>
        <w:t>Regulatory, Legal and Tax Risks</w:t>
      </w:r>
      <w:r>
        <w:rPr>
          <w:rFonts w:ascii="Times New Roman" w:hAnsi="Times New Roman"/>
          <w:caps w:val="false"/>
          <w:smallCaps w:val="false"/>
          <w:sz w:val="20"/>
        </w:rPr>
        <w:t>—</w:t>
      </w:r>
      <w:r>
        <w:rPr>
          <w:rFonts w:ascii="Times New Roman" w:hAnsi="Times New Roman"/>
          <w:i/>
          <w:caps w:val="false"/>
          <w:smallCaps w:val="false"/>
          <w:sz w:val="20"/>
        </w:rPr>
        <w:t>If we do pay dividends, we may need to withhold tax on such dividends payable to holders of our shares in both Germany and the Netherlands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Dividends distributed by us to individuals and corporate legal entities who are resident or deemed to be resident in the Netherlands for Dutch income tax purposes (“Dutch Resident Individuals” and “Dutch Resident Entities,” as the case may be) or to holders of ordinary shares that are neither resident nor deemed to be resident of the Netherlands if the ordinary shares are attributable to a Dutch permanent establishment of such non-resident holder are subject to Dutch dividend withholding tax at a rate of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expression “dividends distributed” includes,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distributions in cash or in kind, deemed and constructive distributions and repayments of paid-in capital not recognized for Dutch dividend withholding tax purposes;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 xml:space="preserve">liquidation proceeds, proceeds of redemption of ordinary shares, or proceeds of the repurchase of ordinary shares (other than as temporary portfolio investment; </w:t>
            </w:r>
            <w:r>
              <w:rPr>
                <w:rFonts w:ascii="Times New Roman" w:hAnsi="Times New Roman"/>
                <w:i/>
                <w:caps w:val="false"/>
                <w:smallCaps w:val="false"/>
                <w:sz w:val="20"/>
              </w:rPr>
              <w:t>tijdelijke belegging</w:t>
            </w:r>
            <w:r>
              <w:rPr>
                <w:rFonts w:ascii="Times New Roman" w:hAnsi="Times New Roman"/>
                <w:caps w:val="false"/>
                <w:smallCaps w:val="false"/>
                <w:sz w:val="20"/>
              </w:rPr>
              <w:t>) by us or one of our subsidiaries or other affiliated entities, in each case to the extent such proceeds exceed the average paid-in capital of those ordinary shares as recognized for purposes of Dutch dividend withholding tax;</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an amount equal to the par value of ordinary shares issued or an increase of the par value of ordinary shares, to the extent that it does not appear that a related contribution, recognized for purposes of Dutch dividend withholding tax, has been made or will be made;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partial repayment of the paid-in capital, recognized for purposes of Dutch dividend withholding tax, if and to the extent that we have net profits (</w:t>
            </w:r>
            <w:r>
              <w:rPr>
                <w:rFonts w:ascii="Times New Roman" w:hAnsi="Times New Roman"/>
                <w:i/>
                <w:caps w:val="false"/>
                <w:smallCaps w:val="false"/>
                <w:sz w:val="20"/>
              </w:rPr>
              <w:t>zuivere winst</w:t>
            </w:r>
            <w:r>
              <w:rPr>
                <w:rFonts w:ascii="Times New Roman" w:hAnsi="Times New Roman"/>
                <w:caps w:val="false"/>
                <w:smallCaps w:val="false"/>
                <w:sz w:val="20"/>
              </w:rPr>
              <w:t>), unless (i) the general meeting has resolved in advance to make such repayment and (ii) the par value of the ordinary shares concerned has been reduced by an equal amount by way of an amendment of our articles of association. The term "net profits" includes anticipated profits that have yet to be realized.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Dutch Resident Individuals and Dutch Resident Entities generally are entitled to a credit for any Dutch dividend withholding tax against their Dutch (corporate) income tax liability. For Dutch Resident Entities, the credit in any given year is limited to the amount of corporate income tax payable in respect of the relevant year with an indefinite carry forward of any excess amount. The above generally also applies to holders of ordinary shares that are neither resident nor deemed to be resident of the Netherlands if the ordinary shares are attributable to a Dutch permanent establishment of such non-resident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Dividend Stripping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Pursuant to legislation to counteract “dividend stripping,” a reduction, exemption, credit or refund of Dutch dividend withholding tax is denied if the recipient of the dividend is not the beneficial owner (</w:t>
      </w:r>
      <w:r>
        <w:rPr>
          <w:rFonts w:ascii="Times New Roman" w:hAnsi="Times New Roman"/>
          <w:i/>
          <w:caps w:val="false"/>
          <w:smallCaps w:val="false"/>
          <w:sz w:val="20"/>
        </w:rPr>
        <w:t>uiteindelijk gerechtigde</w:t>
      </w:r>
      <w:r>
        <w:rPr>
          <w:rFonts w:ascii="Times New Roman" w:hAnsi="Times New Roman"/>
          <w:caps w:val="false"/>
          <w:smallCaps w:val="false"/>
          <w:sz w:val="20"/>
        </w:rPr>
        <w:t>) of the dividend as described in the Dutch Dividend Withholding Tax Act 1965 (</w:t>
      </w:r>
      <w:r>
        <w:rPr>
          <w:rFonts w:ascii="Times New Roman" w:hAnsi="Times New Roman"/>
          <w:i/>
          <w:caps w:val="false"/>
          <w:smallCaps w:val="false"/>
          <w:sz w:val="20"/>
        </w:rPr>
        <w:t>Wet op de dividendbelasting 1965</w:t>
      </w:r>
      <w:r>
        <w:rPr>
          <w:rFonts w:ascii="Times New Roman" w:hAnsi="Times New Roman"/>
          <w:caps w:val="false"/>
          <w:smallCaps w:val="false"/>
          <w:sz w:val="20"/>
        </w:rPr>
        <w:t>).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As from 1 January 2024, more stringent rules apply to the setoff, exemption from, and reduction or refund of Dutch dividend withholding tax to address situations where a claim for setoff, exemption, reduction or refund may align with the letter of Dutch tax law or a double taxation convention but goes against the underlying intention or spirit of the dividend stripping rules, as perceived by the legislator. In addition, the burden of proof in cases related to dividend stripping and beneficial owner status has in certain circumstances been shifted from the tax inspector to the person making a claim for a setoff, reduction or refund of or exemption from Dutch dividend withholding tax. Furthermore, for shares traded on a regulated market, including the Ordinary Shares, it has been codified that the record date is used when determining the person who is entitled to the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Dutch State Secretary for Finance takes the position that the definition of beneficial owner introduced by this legislation will also be applied in the context of a double taxation convention.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Conditional withholding tax on dividends (as of January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As of January 1, 2024, a Dutch conditional withholding tax will be imposed on dividends distributed by us to entities related (</w:t>
      </w:r>
      <w:r>
        <w:rPr>
          <w:rFonts w:ascii="Times New Roman" w:hAnsi="Times New Roman"/>
          <w:i/>
          <w:caps w:val="false"/>
          <w:smallCaps w:val="false"/>
          <w:sz w:val="20"/>
        </w:rPr>
        <w:t>gelieerd</w:t>
      </w:r>
      <w:r>
        <w:rPr>
          <w:rFonts w:ascii="Times New Roman" w:hAnsi="Times New Roman"/>
          <w:caps w:val="false"/>
          <w:smallCaps w:val="false"/>
          <w:sz w:val="20"/>
        </w:rPr>
        <w:t xml:space="preserve">) to the Company (within the meaning of the Dutch Withholding Tax Act 2021; </w:t>
      </w:r>
      <w:r>
        <w:rPr>
          <w:rFonts w:ascii="Times New Roman" w:hAnsi="Times New Roman"/>
          <w:i/>
          <w:caps w:val="false"/>
          <w:smallCaps w:val="false"/>
          <w:sz w:val="20"/>
        </w:rPr>
        <w:t>Wet bronbelasting</w:t>
      </w:r>
      <w:r>
        <w:rPr>
          <w:rFonts w:ascii="Times New Roman" w:hAnsi="Times New Roman"/>
          <w:caps w:val="false"/>
          <w:smallCaps w:val="false"/>
          <w:sz w:val="20"/>
        </w:rPr>
        <w:t xml:space="preserve"> 2021), if such related entity: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is considered to be resident (</w:t>
            </w:r>
            <w:r>
              <w:rPr>
                <w:rFonts w:ascii="Times New Roman" w:hAnsi="Times New Roman"/>
                <w:i/>
                <w:caps w:val="false"/>
                <w:smallCaps w:val="false"/>
                <w:sz w:val="20"/>
              </w:rPr>
              <w:t>gevestigd</w:t>
            </w:r>
            <w:r>
              <w:rPr>
                <w:rFonts w:ascii="Times New Roman" w:hAnsi="Times New Roman"/>
                <w:caps w:val="false"/>
                <w:smallCaps w:val="false"/>
                <w:sz w:val="20"/>
              </w:rPr>
              <w:t>) in a jurisdiction that is listed in the yearly updated Dutch Regulation on low-taxing states and non-cooperative jurisdictions for tax purposes (</w:t>
            </w:r>
            <w:r>
              <w:rPr>
                <w:rFonts w:ascii="Times New Roman" w:hAnsi="Times New Roman"/>
                <w:i/>
                <w:caps w:val="false"/>
                <w:smallCaps w:val="false"/>
                <w:sz w:val="20"/>
              </w:rPr>
              <w:t>Regeling laagbelastende staten en niet-co</w:t>
            </w:r>
            <w:r>
              <w:rPr>
                <w:rFonts w:ascii="Times New Roman" w:hAnsi="Times New Roman"/>
                <w:caps w:val="false"/>
                <w:smallCaps w:val="false"/>
                <w:sz w:val="20"/>
              </w:rPr>
              <w:t>ö</w:t>
            </w:r>
            <w:r>
              <w:rPr>
                <w:rFonts w:ascii="Times New Roman" w:hAnsi="Times New Roman"/>
                <w:i/>
                <w:caps w:val="false"/>
                <w:smallCaps w:val="false"/>
                <w:sz w:val="20"/>
              </w:rPr>
              <w:t>peratieve rechtsgebieden voor belastingdoeleinden</w:t>
            </w:r>
            <w:r>
              <w:rPr>
                <w:rFonts w:ascii="Times New Roman" w:hAnsi="Times New Roman"/>
                <w:caps w:val="false"/>
                <w:smallCaps w:val="false"/>
                <w:sz w:val="20"/>
              </w:rPr>
              <w:t>) (a "Listed Jurisdiction");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has a permanent establishment located in a Listed Jurisdiction to which the ordinary shares are attributable;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holds the ordinary shares for the main purpose or one of the main purposes to avoid taxation for another person or entity and there is an artificial arrangement or transaction or a series of artificial arrangements or transactions; or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is not considered to be the beneficial owner of the ordinary shares in its jurisdiction of residence because such jurisdiction treats another entity as the beneficial owner of the ordinary shares (a hybrid mismatch); or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is not resident in any jurisdiction (also a hybrid mismatch); or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is a reverse hybrid (within the meaning of Article 2(12) of the Dutch Corporate Income Tax Act 1969), if and to the extent (x) there is a participant in the reverse hybrid which is related (</w:t>
            </w:r>
            <w:r>
              <w:rPr>
                <w:rFonts w:ascii="Times New Roman" w:hAnsi="Times New Roman"/>
                <w:i/>
                <w:caps w:val="false"/>
                <w:smallCaps w:val="false"/>
                <w:sz w:val="20"/>
              </w:rPr>
              <w:t>gelieerd</w:t>
            </w:r>
            <w:r>
              <w:rPr>
                <w:rFonts w:ascii="Times New Roman" w:hAnsi="Times New Roman"/>
                <w:caps w:val="false"/>
                <w:smallCaps w:val="false"/>
                <w:sz w:val="20"/>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Dutch conditional withholding tax on dividends will be imposed at the highest Dutch corporate income tax rate in effect at the time of the distribution (2024: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(2024: 25.8%).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Taxes on Income and Capital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Dutch Resident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Generally speaking,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Dutch Resident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the holder of ordinary shares is a Dutch Resident Individual, any income derived or deemed to be derived from the ordinary shares or any capital gains realized on the disposal or deemed disposal of the ordinary shares is subject to Dutch income tax at the progressive rates (with a maximum of 49.50% in 2024),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ordinary shares are attributable to an enterprise from which the holder of ordinary shares derives a share of the profit, whether as an entrepreneur (</w:t>
            </w:r>
            <w:r>
              <w:rPr>
                <w:rFonts w:ascii="Times New Roman" w:hAnsi="Times New Roman"/>
                <w:i/>
                <w:caps w:val="false"/>
                <w:smallCaps w:val="false"/>
                <w:sz w:val="20"/>
              </w:rPr>
              <w:t>ondernemer</w:t>
            </w:r>
            <w:r>
              <w:rPr>
                <w:rFonts w:ascii="Times New Roman" w:hAnsi="Times New Roman"/>
                <w:caps w:val="false"/>
                <w:smallCaps w:val="false"/>
                <w:sz w:val="20"/>
              </w:rPr>
              <w:t>) or as a person who has a co-entitlement to the net worth (</w:t>
            </w:r>
            <w:r>
              <w:rPr>
                <w:rFonts w:ascii="Times New Roman" w:hAnsi="Times New Roman"/>
                <w:i/>
                <w:caps w:val="false"/>
                <w:smallCaps w:val="false"/>
                <w:sz w:val="20"/>
              </w:rPr>
              <w:t>medegerechtigd tot het vermogen</w:t>
            </w:r>
            <w:r>
              <w:rPr>
                <w:rFonts w:ascii="Times New Roman" w:hAnsi="Times New Roman"/>
                <w:caps w:val="false"/>
                <w:smallCaps w:val="false"/>
                <w:sz w:val="20"/>
              </w:rPr>
              <w:t>) of such enterprise without being a shareholder (as defined in the Dutch Income Tax Act 2001);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holder of ordinary shares is considered to perform activities with respect to the ordinary shares that go beyond ordinary asset management (</w:t>
            </w:r>
            <w:r>
              <w:rPr>
                <w:rFonts w:ascii="Times New Roman" w:hAnsi="Times New Roman"/>
                <w:i/>
                <w:caps w:val="false"/>
                <w:smallCaps w:val="false"/>
                <w:sz w:val="20"/>
              </w:rPr>
              <w:t>normaal, actief vermogensbeheer</w:t>
            </w:r>
            <w:r>
              <w:rPr>
                <w:rFonts w:ascii="Times New Roman" w:hAnsi="Times New Roman"/>
                <w:caps w:val="false"/>
                <w:smallCaps w:val="false"/>
                <w:sz w:val="20"/>
              </w:rPr>
              <w:t>) or otherwise derives benefits from the ordinary shares that are taxable as benefits from miscellaneous activities (</w:t>
            </w:r>
            <w:r>
              <w:rPr>
                <w:rFonts w:ascii="Times New Roman" w:hAnsi="Times New Roman"/>
                <w:i/>
                <w:caps w:val="false"/>
                <w:smallCaps w:val="false"/>
                <w:sz w:val="20"/>
              </w:rPr>
              <w:t>resultaat uit overige werkzaamheden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Taxation of savings and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above-mentioned conditions (1) and (2) do not apply to the Dutch Resident Individual, the ordinary shares will be subject to an annual Dutch income tax under the regime for savings and investments (</w:t>
      </w:r>
      <w:r>
        <w:rPr>
          <w:rFonts w:ascii="Times New Roman" w:hAnsi="Times New Roman"/>
          <w:i/>
          <w:caps w:val="false"/>
          <w:smallCaps w:val="false"/>
          <w:sz w:val="20"/>
        </w:rPr>
        <w:t>inkomen uit sparen en beleggen</w:t>
      </w:r>
      <w:r>
        <w:rPr>
          <w:rFonts w:ascii="Times New Roman" w:hAnsi="Times New Roman"/>
          <w:caps w:val="false"/>
          <w:smallCaps w:val="false"/>
          <w:sz w:val="20"/>
        </w:rPr>
        <w:t>). Taxation only occurs insofar the Dutch Resident Individual's net investment assets for the year exceed a statutory threshold (</w:t>
      </w:r>
      <w:r>
        <w:rPr>
          <w:rFonts w:ascii="Times New Roman" w:hAnsi="Times New Roman"/>
          <w:i/>
          <w:caps w:val="false"/>
          <w:smallCaps w:val="false"/>
          <w:sz w:val="20"/>
        </w:rPr>
        <w:t>heffingvrij vermogen</w:t>
      </w:r>
      <w:r>
        <w:rPr>
          <w:rFonts w:ascii="Times New Roman" w:hAnsi="Times New Roman"/>
          <w:caps w:val="false"/>
          <w:smallCaps w:val="false"/>
          <w:sz w:val="20"/>
        </w:rPr>
        <w:t xml:space="preserve">). The net investment assets for the year are the fair market value of the investment assets less the fair market value of the liabilities on January 1 of the relevant calendar year (reference date; </w:t>
      </w:r>
      <w:r>
        <w:rPr>
          <w:rFonts w:ascii="Times New Roman" w:hAnsi="Times New Roman"/>
          <w:i/>
          <w:caps w:val="false"/>
          <w:smallCaps w:val="false"/>
          <w:sz w:val="20"/>
        </w:rPr>
        <w:t>peildatum</w:t>
      </w:r>
      <w:r>
        <w:rPr>
          <w:rFonts w:ascii="Times New Roman" w:hAnsi="Times New Roman"/>
          <w:caps w:val="false"/>
          <w:smallCaps w:val="false"/>
          <w:sz w:val="20"/>
        </w:rPr>
        <w:t>). Actual income or capital gains realized in respect of the ordinary shares are as such not subject to Dutch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Dutch Resident Individual's assets and liabilities taxed under this regime, including the ordinary shares, are allocated over the following three categories: (a) bank savings (</w:t>
      </w:r>
      <w:r>
        <w:rPr>
          <w:rFonts w:ascii="Times New Roman" w:hAnsi="Times New Roman"/>
          <w:i/>
          <w:caps w:val="false"/>
          <w:smallCaps w:val="false"/>
          <w:sz w:val="20"/>
        </w:rPr>
        <w:t>banktegoeden</w:t>
      </w:r>
      <w:r>
        <w:rPr>
          <w:rFonts w:ascii="Times New Roman" w:hAnsi="Times New Roman"/>
          <w:caps w:val="false"/>
          <w:smallCaps w:val="false"/>
          <w:sz w:val="20"/>
        </w:rPr>
        <w:t>), (b) other investments (</w:t>
      </w:r>
      <w:r>
        <w:rPr>
          <w:rFonts w:ascii="Times New Roman" w:hAnsi="Times New Roman"/>
          <w:i/>
          <w:caps w:val="false"/>
          <w:smallCaps w:val="false"/>
          <w:sz w:val="20"/>
        </w:rPr>
        <w:t>overige bezittingen</w:t>
      </w:r>
      <w:r>
        <w:rPr>
          <w:rFonts w:ascii="Times New Roman" w:hAnsi="Times New Roman"/>
          <w:caps w:val="false"/>
          <w:smallCaps w:val="false"/>
          <w:sz w:val="20"/>
        </w:rPr>
        <w:t>), including the ordinary shares, and (c) liabilities (</w:t>
      </w:r>
      <w:r>
        <w:rPr>
          <w:rFonts w:ascii="Times New Roman" w:hAnsi="Times New Roman"/>
          <w:i/>
          <w:caps w:val="false"/>
          <w:smallCaps w:val="false"/>
          <w:sz w:val="20"/>
        </w:rPr>
        <w:t>schulden</w:t>
      </w:r>
      <w:r>
        <w:rPr>
          <w:rFonts w:ascii="Times New Roman" w:hAnsi="Times New Roman"/>
          <w:caps w:val="false"/>
          <w:smallCaps w:val="false"/>
          <w:sz w:val="20"/>
        </w:rPr>
        <w:t>). The taxable benefit for the year (voordeel uit sparen en beleggen) is equal to the product of (x) the total deemed return divided by the sum of bank savings, other investments and liabilities and (b) the sum of bank savings, other investments and liabilities minus the statutory threshold, and is taxed at a flat rate of 36% (rate for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deemed return applicable to other investments, including the ordinary shares is set at 6.04% for the calendar year 2024. Transactions in the three-month period before and after January 1 of the relevant calendar year implemented to arbitrate between the deemed return percentages applicable to bank savings, other investments and liabilities will for this purpose be ignored if the holder of ordinary shares cannot sufficiently demonstrate that such transactions are implemented for other than tax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current Dutch income tax regime for savings and investments was implemented in Dutch tax law following the decision of the Dutch Supreme Court (Hoge Raad) of December 24, 2021 (ECLI:NL:2021:1963) (the “Decision”). In the Decision, the Dutch Supreme Court ruled that the (old) system of taxation for savings and investments based on a deemed return may under specific circumstances contravene with Section 1 of the First Protocol to the European Convention on Human Rights in combination with Section 14 of the European Convention on Human Rights (the “EC-Human Rights”). A new court procedure is pending before the Dutch Supreme Court questioning whether the current tax system for savings and investments is in line with the Decision. On September 18, 2023 (ECLI:NL:PHR:2023:655) the Attorney General Wattel concluded that the new tax system is not in line with the Decision, except for the taxation of bank savings, as the system is, in short, still based on a deemed return rather than actual returns, and as a result, the regime contravenes with the EC-Human Rights. The decision of the Dutch Supreme Court is expected mid-2024. In addition, on September 8, 2023, the former cabinet published a law proposal for a new tax system for savings and investments on the basis of actual returns according to an asset accumulation system, the 'Actual Return Box 3 Act' (</w:t>
      </w:r>
      <w:r>
        <w:rPr>
          <w:rFonts w:ascii="Times New Roman" w:hAnsi="Times New Roman"/>
          <w:i/>
          <w:caps w:val="false"/>
          <w:smallCaps w:val="false"/>
          <w:sz w:val="20"/>
        </w:rPr>
        <w:t>Wet werkelijk rendement box 3</w:t>
      </w:r>
      <w:r>
        <w:rPr>
          <w:rFonts w:ascii="Times New Roman" w:hAnsi="Times New Roman"/>
          <w:caps w:val="false"/>
          <w:smallCaps w:val="false"/>
          <w:sz w:val="20"/>
        </w:rPr>
        <w:t>). The proposed system is expected to come into effect on January 1, 2027 at the earliest. However, it is up to the new cabinet to submit a final law proposal to the Dutch parliament.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Holders of ordinary shares are advised to consult their own tax advisor to ensure that the tax in respect of the ordinary shares is levied in accordance with the applicable Dutch tax rules at the relevant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Non-residents of The Netherlands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holder of ordinary shares that is neither a Dutch Resident Entity nor a Dutch Resident Individual will not be subject to Dutch (corporate) income tax in respect of income derived or deemed to be derived from the ordinary shares or in respect of any capital gains realized on the disposal or deemed disposal of the ordinary shares, provided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such holder does not have an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event the holder is an individual, such holder does not carry out any activities in the Netherlands with respect to the ordinary shares that go beyond ordinary asset management and does not otherwise derive benefits from the ordinary shares that are taxable as benefits from miscellaneous activities in the Netherlands.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Gift and Inheritance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Residents of the Netherlands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Gift or inheritance taxes will arise in the Netherlands with respect to a transfer of ordinary shares by way of a gift by, or on the death of, a holder of such ordinary shares who is resident or deemed resident of the Netherlands at the time of the gift or the holder’s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Non-residents of the Netherlands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 gift or inheritance taxes will arise in the Netherlands with respect to a transfer of ordinary shares by way of gift by, or on the death of, a holder of ordinary shares who is neither resident nor deemed to be resident of the Netherlands,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case of a gift of ordinary shares by an individual who at the date of the gift was neither resident nor deemed to be resident of the Netherlands, such individual dies within 180 days after the date of the gift, while being resident or deemed to be resident of the Netherlands;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case of a gift of ordinary shares is made under a condition precedent, the holder of the ordinary shares is resident or is deemed to be resident of the Netherlands at the time the condition is fulfilled;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transfer is otherwise construed as a gift or inheritance made by, or on behalf of, a person who, at the time of the gift or death, is or is deemed to be resident of the Netherlands.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purposes of Dutch gift and inheritance taxes, among others, a person that holds the Dutch nationality will be deemed to be resident of the Netherlands if such person has been resident in the Netherlands at any time during the ten (10) years preceding the date of the gift or such person’s death. Additionally, for purposes of Dutch gift tax, among others, a person not holding the Dutch nationality will be deemed to be resident of the Netherlands if such person has been resident in the Netherlands at any time during the twelve (12) months preceding the date of the gift. Applicable tax treaties may override deemed residency.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Value Added Tax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 Dutch value-added tax will be payable by a holder of ordinary shares in respect of any payment in consideration for the holding or disposal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Other Taxes and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 Dutch registration tax, stamp duty or any other similar documentary tax or duty will be payable by a holder of ordinary shares in respect of any payment in consideration for the holding or disposal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Material German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section is a summary of the material German tax considerations that become relevant when purchasing, holding or transferring the Company’s shares. The Company expects and intends to have its sole place of management in Germany and, therefore, qualifies as a corporation subject to German unlimited corporate income taxation; however, because a company’s tax residency depends on future facts regarding the location in which the Company is managed and controlled, there is no guarantee as to whether the Company will actually qualify as a corporation subject to German unlimited corporate income taxation and such a scenario in which the company does not qualify as a corporation subject to German unlimited income taxation is not discussed herein. This section does not set forth all German tax aspects that may be relevant for shareholders. The section is based on the German tax law applicable as of the date of this Annual Report. It should be noted that the law may change following the issuance of this Annual Report and that such changes may have retroactive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material German tax principles of purchasing, owning and transferring of shares are set forth in the following. This section does not purport to be a comprehensive or complete analysis or listing of all potential tax effects of the purchase, ownership or disposition of shares and does not set forth all tax considerations that may be relevant to a particular person’s decision to acquire ordinary shares. All of the following is subject to change. Such changes could apply retroactively and could affect the consequences set forth below. This section does not refer to any U.S. Foreign Account Tax Compliance Act aspects.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Shareholders are advised to consult their own tax advisers with regard to the application of German tax law to their particular situations, in particular with respect to the procedure to be complied with to obtain a (potential) relief of withholding tax on dividends and on capital gains (</w:t>
      </w:r>
      <w:r>
        <w:rPr>
          <w:rFonts w:ascii="Times New Roman" w:hAnsi="Times New Roman"/>
          <w:i/>
          <w:caps w:val="false"/>
          <w:smallCaps w:val="false"/>
          <w:sz w:val="20"/>
        </w:rPr>
        <w:t>Kapitalertragsteuer</w:t>
      </w:r>
      <w:r>
        <w:rPr>
          <w:rFonts w:ascii="Times New Roman" w:hAnsi="Times New Roman"/>
          <w:caps w:val="false"/>
          <w:smallCaps w:val="false"/>
          <w:sz w:val="20"/>
        </w:rPr>
        <w:t>) and with respect to the influence of double tax treaty provisions, as well as any tax consequences arising under the laws of any state, local or other foreign jurisdiction. For German tax purposes, a “shareholder” may include an individual who or an entity that does not have the legal title to the shares, but to whom the shares are nevertheless attributed, based either on such individual or entity owning a beneficial interest in the shares or based on specific statutory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This section does not constitute particular tax advice. Potential purchasers of the Company’s shares are urged to consult their own tax advisers regarding the tax consequences of the purchase, ownership and disposition of shares in light of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Dividends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Withholding Tax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Dividends distributed from a company to its shareholders are subject to withholding tax, subject to certain exemptions (for example, repayments of capital from the tax equity account (</w:t>
      </w:r>
      <w:r>
        <w:rPr>
          <w:rFonts w:ascii="Times New Roman" w:hAnsi="Times New Roman"/>
          <w:i/>
          <w:caps w:val="false"/>
          <w:smallCaps w:val="false"/>
          <w:sz w:val="20"/>
        </w:rPr>
        <w:t>steuerliches Einlagekonto</w:t>
      </w:r>
      <w:r>
        <w:rPr>
          <w:rFonts w:ascii="Times New Roman" w:hAnsi="Times New Roman"/>
          <w:caps w:val="false"/>
          <w:smallCaps w:val="false"/>
          <w:sz w:val="20"/>
        </w:rPr>
        <w:t>), as described in the following. The withholding tax rate is 25% plus 5.5% solidarity surcharge (Solidaritätszuschlag) thereon (in total 26.375%) and, if applicable, church tax (</w:t>
      </w:r>
      <w:r>
        <w:rPr>
          <w:rFonts w:ascii="Times New Roman" w:hAnsi="Times New Roman"/>
          <w:i/>
          <w:caps w:val="false"/>
          <w:smallCaps w:val="false"/>
          <w:sz w:val="20"/>
        </w:rPr>
        <w:t>Kirchensteuer</w:t>
      </w:r>
      <w:r>
        <w:rPr>
          <w:rFonts w:ascii="Times New Roman" w:hAnsi="Times New Roman"/>
          <w:caps w:val="false"/>
          <w:smallCaps w:val="false"/>
          <w:sz w:val="20"/>
        </w:rPr>
        <w:t>) of the gross dividend approved by the ordinary shareholders’ meeting. Withholding tax is to be withheld and passed on for the account of the shareholders by a domestic branch of a domestic or foreign credit or financial services institution (</w:t>
      </w:r>
      <w:r>
        <w:rPr>
          <w:rFonts w:ascii="Times New Roman" w:hAnsi="Times New Roman"/>
          <w:i/>
          <w:caps w:val="false"/>
          <w:smallCaps w:val="false"/>
          <w:sz w:val="20"/>
        </w:rPr>
        <w:t>Kredit- und Finanzdienstleistungsinstitut</w:t>
      </w:r>
      <w:r>
        <w:rPr>
          <w:rFonts w:ascii="Times New Roman" w:hAnsi="Times New Roman"/>
          <w:caps w:val="false"/>
          <w:smallCaps w:val="false"/>
          <w:sz w:val="20"/>
        </w:rPr>
        <w:t>) or a domestic securities institution (</w:t>
      </w:r>
      <w:r>
        <w:rPr>
          <w:rFonts w:ascii="Times New Roman" w:hAnsi="Times New Roman"/>
          <w:i/>
          <w:caps w:val="false"/>
          <w:smallCaps w:val="false"/>
          <w:sz w:val="20"/>
        </w:rPr>
        <w:t>inl</w:t>
      </w:r>
      <w:r>
        <w:rPr>
          <w:rFonts w:ascii="Times New Roman" w:hAnsi="Times New Roman"/>
          <w:caps w:val="false"/>
          <w:smallCaps w:val="false"/>
          <w:sz w:val="20"/>
        </w:rPr>
        <w:t>ä</w:t>
      </w:r>
      <w:r>
        <w:rPr>
          <w:rFonts w:ascii="Times New Roman" w:hAnsi="Times New Roman"/>
          <w:i/>
          <w:caps w:val="false"/>
          <w:smallCaps w:val="false"/>
          <w:sz w:val="20"/>
        </w:rPr>
        <w:t>ndisches Wertpapierinstitut</w:t>
      </w:r>
      <w:r>
        <w:rPr>
          <w:rFonts w:ascii="Times New Roman" w:hAnsi="Times New Roman"/>
          <w:caps w:val="false"/>
          <w:smallCaps w:val="false"/>
          <w:sz w:val="20"/>
        </w:rPr>
        <w:t>) which keeps and administers the shares and disburses or credits the dividends or disburses the dividends to a foreign agent, or by the securities custodian bank (</w:t>
      </w:r>
      <w:r>
        <w:rPr>
          <w:rFonts w:ascii="Times New Roman" w:hAnsi="Times New Roman"/>
          <w:i/>
          <w:caps w:val="false"/>
          <w:smallCaps w:val="false"/>
          <w:sz w:val="20"/>
        </w:rPr>
        <w:t>Wertpapiersammelbank</w:t>
      </w:r>
      <w:r>
        <w:rPr>
          <w:rFonts w:ascii="Times New Roman" w:hAnsi="Times New Roman"/>
          <w:caps w:val="false"/>
          <w:smallCaps w:val="false"/>
          <w:sz w:val="20"/>
        </w:rPr>
        <w:t>) to which the shares were entrusted for collective custody if the dividends are distributed to a foreign agent by such securities custodian bank (which is referred to as the “Dividend Paying Agent”). In case the shares are not held in collective deposit with a Dividend Paying Agent, the company is responsible for withholding and remitting the tax to the competent tax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Such withholding tax is levied and withheld irrespective of whether and to what extent the dividend distribution is taxable at the level of the shareholder and whether the shareholder is a person residing in Germany or in a foreign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case of dividends distributed to a parent company within the meaning of Art. 3 of the amended EU Directive 2011/96/EU of the Council of November 30, 2011 (the “EU Parent Subsidiary Directive”) domiciled in another member state of the EU, an exemption from withholding tax will be granted upon request if further prerequisites are satisfied (</w:t>
      </w:r>
      <w:r>
        <w:rPr>
          <w:rFonts w:ascii="Times New Roman" w:hAnsi="Times New Roman"/>
          <w:i/>
          <w:caps w:val="false"/>
          <w:smallCaps w:val="false"/>
          <w:sz w:val="20"/>
        </w:rPr>
        <w:t>Freistellung im Steuerabzugsverfahren</w:t>
      </w:r>
      <w:r>
        <w:rPr>
          <w:rFonts w:ascii="Times New Roman" w:hAnsi="Times New Roman"/>
          <w:caps w:val="false"/>
          <w:smallCaps w:val="false"/>
          <w:sz w:val="20"/>
        </w:rPr>
        <w:t>). This also applies to dividends distributed to a permanent establishment located in another member state of the EU of such a parent company or of a parent company tax resident in Germany if the participation in the company is attributable to this permanent establishment. The key prerequisite for the application of the EU Parent Subsidiary Directive is that the shareholder has held a direct participation in the share capital of the company of at least 10% for at least twelve months. If such a twelve month period is only completed after the receipt of the dividends, an exemption is not possible based on the EU Parent Subsidiary Directive. Rather, only a refund of withholding tax might be possible, subject to further prerequisites.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withholding tax on distributions to other foreign resident shareholders might be reduced fully or partly in accordance with a double taxation treaty if Germany has concluded such double taxation treaty with the country of residence of the shareholder and if the shareholder does not hold his shares either as part of the assets of a permanent establishment or a fixed place of business in Germany or as business assets for which a permanent representative has been appointed in Germany. If the requirements for such a reduction are fulfilled, the reduction of the withholding tax would procedurally be granted in such a manner that the difference between the total amount withheld, including the solidarity surcharge, and the tax liability determined on the basis of the tax rate set forth in the applicable double taxation treaty (generally 15% unless further qualifications are met) is refunded by the German tax administration upon request (Federal Central Office for Taxes (</w:t>
      </w:r>
      <w:r>
        <w:rPr>
          <w:rFonts w:ascii="Times New Roman" w:hAnsi="Times New Roman"/>
          <w:i/>
          <w:caps w:val="false"/>
          <w:smallCaps w:val="false"/>
          <w:sz w:val="20"/>
        </w:rPr>
        <w:t>Bundeszentralamt f</w:t>
      </w:r>
      <w:r>
        <w:rPr>
          <w:rFonts w:ascii="Times New Roman" w:hAnsi="Times New Roman"/>
          <w:caps w:val="false"/>
          <w:smallCaps w:val="false"/>
          <w:sz w:val="20"/>
        </w:rPr>
        <w:t>ü</w:t>
      </w:r>
      <w:r>
        <w:rPr>
          <w:rFonts w:ascii="Times New Roman" w:hAnsi="Times New Roman"/>
          <w:i/>
          <w:caps w:val="false"/>
          <w:smallCaps w:val="false"/>
          <w:sz w:val="20"/>
        </w:rPr>
        <w:t>r Steuern</w:t>
      </w:r>
      <w:r>
        <w:rPr>
          <w:rFonts w:ascii="Times New Roman" w:hAnsi="Times New Roman"/>
          <w:caps w:val="false"/>
          <w:smallCaps w:val="false"/>
          <w:sz w:val="20"/>
        </w:rPr>
        <w:t>), main office in Bonn-Beuel, An der Küppe 1, 53225 Bonn, Germany) subject to the treaty and German anti-abuse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the case of dividends received by corporations whose statutory seat and effective place of management are not located in Germany and who are therefore not tax resident in Germany, two-fifths of the withholding tax deducted and remitted are refunded without the need to fulfill all prerequisites required for such refund under the EU Parent Subsidiary Directive or under a double taxation treaty or if no double taxation treaty has been concluded with the state of residence of the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order to receive a refund pursuant to a double taxation treaty or the aforementioned option for foreign corporations, the shareholder has to submit a completed form for refund (available at the Federal Central Office for Taxes (http://www.bzst.de) as well as at the German embassies and consulates) together with a withholding tax certificate (</w:t>
      </w:r>
      <w:r>
        <w:rPr>
          <w:rFonts w:ascii="Times New Roman" w:hAnsi="Times New Roman"/>
          <w:i/>
          <w:caps w:val="false"/>
          <w:smallCaps w:val="false"/>
          <w:sz w:val="20"/>
        </w:rPr>
        <w:t>Kapitalertragsteuerbescheinigung</w:t>
      </w:r>
      <w:r>
        <w:rPr>
          <w:rFonts w:ascii="Times New Roman" w:hAnsi="Times New Roman"/>
          <w:caps w:val="false"/>
          <w:smallCaps w:val="false"/>
          <w:sz w:val="20"/>
        </w:rPr>
        <w:t>) issued by the institution that withheld the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exemption from withholding tax in accordance with the EU Parent Subsidiary Directive or a double tax treaty and the aforementioned options for a refund of the withholding tax (with or without protection under a double taxation treaty) depend on whether certain additional prerequisites (in particular so-called substance requirements) are fulfilled. The applicable withholding ˚tax relief will only be granted if the preconditions of the German anti avoidance rules (so called Directive Override or Treaty Override), in particular Section 50d, paragraph 3, German Income Tax Act (</w:t>
      </w:r>
      <w:r>
        <w:rPr>
          <w:rFonts w:ascii="Times New Roman" w:hAnsi="Times New Roman"/>
          <w:i/>
          <w:caps w:val="false"/>
          <w:smallCaps w:val="false"/>
          <w:sz w:val="20"/>
        </w:rPr>
        <w:t>Einkommensteuergesetz</w:t>
      </w:r>
      <w:r>
        <w:rPr>
          <w:rFonts w:ascii="Times New Roman" w:hAnsi="Times New Roman"/>
          <w:caps w:val="false"/>
          <w:smallCaps w:val="false"/>
          <w:sz w:val="20"/>
        </w:rPr>
        <w:t>) upon receipt of the dividends are fulfilled. In addition, e. g. Article 28 of the Convention between the Federal Republic of Germany and the United States of ˚America for the Avoidance of Double Taxation and the Prevention of Fiscal Evasion with respect to Taxes on Income and Capital and to certain other Taxes of August 29, 1989 in the amended version of June 4, 2008 (</w:t>
      </w:r>
      <w:r>
        <w:rPr>
          <w:rFonts w:ascii="Times New Roman" w:hAnsi="Times New Roman"/>
          <w:i/>
          <w:caps w:val="false"/>
          <w:smallCaps w:val="false"/>
          <w:sz w:val="20"/>
        </w:rPr>
        <w:t>Bundesgesetzblatt II 2008, p. 611</w:t>
      </w:r>
      <w:r>
        <w:rPr>
          <w:rFonts w:ascii="Times New Roman" w:hAnsi="Times New Roman"/>
          <w:caps w:val="false"/>
          <w:smallCaps w:val="false"/>
          <w:sz w:val="20"/>
        </w:rPr>
        <w:t>) provides for further prerequisites that need to be fulfilled in the case of a shareholder who is resident of the United States. Other treaties might provide for additional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aforementioned reductions of (or exemptions from) withholding tax are further restricted if (i) the applicable double taxation treaty provides for a tax reduction resulting in an applicable tax rate of less than 15% and (ii) the shareholder is not a corporation that directly holds at least 10% in the equity capital of the distributing company and is subject to tax on its income and profits in its state of residence without being exempt. In this case, the reduction of (or exemption from) withholding tax is subject to the following three cumulative prerequisites: (i) the shareholder must qualify as beneficial owner of the shares in the distributing company for a minimum holding period of 45 consecutive days occurring within a period of 45 days prior and 45 days after the due date of the dividends, (ii) the shareholder has to bear at least 70% of the change in value risk related to the shares in the distributing company during the minimum holding period without being directly or indirectly hedged and (iii) the shareholder must not be required to fully or largely compensate directly or indirectly the dividends to third parties. However, these further prerequisites do not apply if the shareholder has been the beneficial owner of the shares in the distributing company for at least one uninterrupted year upon receipt of the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individual or corporate shareholders tax resident outside Germany not holding the shares through a permanent establishment (</w:t>
      </w:r>
      <w:r>
        <w:rPr>
          <w:rFonts w:ascii="Times New Roman" w:hAnsi="Times New Roman"/>
          <w:i/>
          <w:caps w:val="false"/>
          <w:smallCaps w:val="false"/>
          <w:sz w:val="20"/>
        </w:rPr>
        <w:t>Betriebsst</w:t>
      </w:r>
      <w:r>
        <w:rPr>
          <w:rFonts w:ascii="Times New Roman" w:hAnsi="Times New Roman"/>
          <w:caps w:val="false"/>
          <w:smallCaps w:val="false"/>
          <w:sz w:val="20"/>
        </w:rPr>
        <w:t>ä</w:t>
      </w:r>
      <w:r>
        <w:rPr>
          <w:rFonts w:ascii="Times New Roman" w:hAnsi="Times New Roman"/>
          <w:i/>
          <w:caps w:val="false"/>
          <w:smallCaps w:val="false"/>
          <w:sz w:val="20"/>
        </w:rPr>
        <w:t>tte</w:t>
      </w:r>
      <w:r>
        <w:rPr>
          <w:rFonts w:ascii="Times New Roman" w:hAnsi="Times New Roman"/>
          <w:caps w:val="false"/>
          <w:smallCaps w:val="false"/>
          <w:sz w:val="20"/>
        </w:rPr>
        <w:t>) in Germany or as business assets (</w:t>
      </w:r>
      <w:r>
        <w:rPr>
          <w:rFonts w:ascii="Times New Roman" w:hAnsi="Times New Roman"/>
          <w:i/>
          <w:caps w:val="false"/>
          <w:smallCaps w:val="false"/>
          <w:sz w:val="20"/>
        </w:rPr>
        <w:t>Betriebsverm</w:t>
      </w:r>
      <w:r>
        <w:rPr>
          <w:rFonts w:ascii="Times New Roman" w:hAnsi="Times New Roman"/>
          <w:caps w:val="false"/>
          <w:smallCaps w:val="false"/>
          <w:sz w:val="20"/>
        </w:rPr>
        <w:t>ö</w:t>
      </w:r>
      <w:r>
        <w:rPr>
          <w:rFonts w:ascii="Times New Roman" w:hAnsi="Times New Roman"/>
          <w:i/>
          <w:caps w:val="false"/>
          <w:smallCaps w:val="false"/>
          <w:sz w:val="20"/>
        </w:rPr>
        <w:t>gen</w:t>
      </w:r>
      <w:r>
        <w:rPr>
          <w:rFonts w:ascii="Times New Roman" w:hAnsi="Times New Roman"/>
          <w:caps w:val="false"/>
          <w:smallCaps w:val="false"/>
          <w:sz w:val="20"/>
        </w:rPr>
        <w:t>) for which a permanent representative (</w:t>
      </w:r>
      <w:r>
        <w:rPr>
          <w:rFonts w:ascii="Times New Roman" w:hAnsi="Times New Roman"/>
          <w:i/>
          <w:caps w:val="false"/>
          <w:smallCaps w:val="false"/>
          <w:sz w:val="20"/>
        </w:rPr>
        <w:t>st</w:t>
      </w:r>
      <w:r>
        <w:rPr>
          <w:rFonts w:ascii="Times New Roman" w:hAnsi="Times New Roman"/>
          <w:caps w:val="false"/>
          <w:smallCaps w:val="false"/>
          <w:sz w:val="20"/>
        </w:rPr>
        <w:t>ä</w:t>
      </w:r>
      <w:r>
        <w:rPr>
          <w:rFonts w:ascii="Times New Roman" w:hAnsi="Times New Roman"/>
          <w:i/>
          <w:caps w:val="false"/>
          <w:smallCaps w:val="false"/>
          <w:sz w:val="20"/>
        </w:rPr>
        <w:t>ndiger</w:t>
      </w:r>
      <w:r>
        <w:rPr>
          <w:rFonts w:ascii="Times New Roman" w:hAnsi="Times New Roman"/>
          <w:caps w:val="false"/>
          <w:smallCaps w:val="false"/>
          <w:sz w:val="20"/>
        </w:rPr>
        <w:t xml:space="preserve"> </w:t>
      </w:r>
      <w:r>
        <w:rPr>
          <w:rFonts w:ascii="Times New Roman" w:hAnsi="Times New Roman"/>
          <w:i/>
          <w:caps w:val="false"/>
          <w:smallCaps w:val="false"/>
          <w:sz w:val="20"/>
        </w:rPr>
        <w:t>Vertreter</w:t>
      </w:r>
      <w:r>
        <w:rPr>
          <w:rFonts w:ascii="Times New Roman" w:hAnsi="Times New Roman"/>
          <w:caps w:val="false"/>
          <w:smallCaps w:val="false"/>
          <w:sz w:val="20"/>
        </w:rPr>
        <w:t>) has been appointed in Germany, any non-refundable part of any paid withholding tax (if any) is final (i.e., not creditable or otherwise refundable in respect of such shareholder’s income tax liability) and settles the shareholder’s limited tax liability in Germany. For individual or corporate shareholders tax resident in Germany (that are, for example, shareholders whose residence, domicile, registered office or place of management is located in Germany) holding their shares as business assets, as well as for shareholders tax resident outside of Germany holding their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is refunded. For individual shareholders tax resident in Germany holding the company’s shares as private assets, the withholding tax is generally a final tax (</w:t>
      </w:r>
      <w:r>
        <w:rPr>
          <w:rFonts w:ascii="Times New Roman" w:hAnsi="Times New Roman"/>
          <w:i/>
          <w:caps w:val="false"/>
          <w:smallCaps w:val="false"/>
          <w:sz w:val="20"/>
        </w:rPr>
        <w:t>Abgeltungsteuer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Pursuant to special rules on the restriction of the aforementioned withholding tax credit, the credit of withholding tax is subject to the following three cumulative prerequisites: (i) the shareholder must qualify as beneficial owner of the shares in the distributing company for a minimum holding period of 45 consecutive days occurring within a period of 45 days prior and 45 days after the due date of the dividends, (ii) the shareholder has to bear at least 70% of the change in value risk related to the shares in the distributing company during the minimum holding period without being directly or indirectly hedged and (iii) the shareholder must not be required to fully or largely compensate directly or indirectly the dividends to third parties. Absent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A shareholder that has received gross dividends without any deduction of withholding tax in particular due to a tax exemption or to whom a withholding tax deduction has been refunded without qualifying for a full tax credit has to notify the competent local tax office accordingly, has to file withholding tax returns subject to specific filing requirements and has to make a payment in the amount of 15% withholding tax. The special rules on the restriction of withholding tax credit do not apply to a shareholder whose overall dividend earnings within an assessment period do not exceed €20,000 or that has been the beneficial owner of the shares in the company for at least one uninterrupted year upon receipt of the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i/>
          <w:caps w:val="false"/>
          <w:smallCaps w:val="false"/>
          <w:sz w:val="20"/>
        </w:rPr>
        <w:t>Taxation of Dividend Income of Shareholders Tax Resident in Germany Holding the Company</w:t>
      </w:r>
      <w:r>
        <w:rPr>
          <w:rFonts w:ascii="Times New Roman" w:hAnsi="Times New Roman"/>
          <w:caps w:val="false"/>
          <w:smallCaps w:val="false"/>
          <w:sz w:val="20"/>
        </w:rPr>
        <w:t>’</w:t>
      </w:r>
      <w:r>
        <w:rPr>
          <w:rFonts w:ascii="Times New Roman" w:hAnsi="Times New Roman"/>
          <w:i/>
          <w:caps w:val="false"/>
          <w:smallCaps w:val="false"/>
          <w:sz w:val="20"/>
        </w:rPr>
        <w:t>s Shares as Private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individual shareholders (individuals) resident in Germany holding the Company’s shares as private assets, dividends are subject to a flat tax rate which is satisfied by the withholding tax actually withheld (</w:t>
      </w:r>
      <w:r>
        <w:rPr>
          <w:rFonts w:ascii="Times New Roman" w:hAnsi="Times New Roman"/>
          <w:i/>
          <w:caps w:val="false"/>
          <w:smallCaps w:val="false"/>
          <w:sz w:val="20"/>
        </w:rPr>
        <w:t>Abgeltungsteuer</w:t>
      </w:r>
      <w:r>
        <w:rPr>
          <w:rFonts w:ascii="Times New Roman" w:hAnsi="Times New Roman"/>
          <w:caps w:val="false"/>
          <w:smallCaps w:val="false"/>
          <w:sz w:val="20"/>
        </w:rPr>
        <w:t>). Accordingly, dividend income will be taxed at a flat tax rate of 25% plus 5.5% solidarity surcharge thereon (in total 26.375%) and church tax (</w:t>
      </w:r>
      <w:r>
        <w:rPr>
          <w:rFonts w:ascii="Times New Roman" w:hAnsi="Times New Roman"/>
          <w:i/>
          <w:caps w:val="false"/>
          <w:smallCaps w:val="false"/>
          <w:sz w:val="20"/>
        </w:rPr>
        <w:t>Kirchensteuer</w:t>
      </w:r>
      <w:r>
        <w:rPr>
          <w:rFonts w:ascii="Times New Roman" w:hAnsi="Times New Roman"/>
          <w:caps w:val="false"/>
          <w:smallCaps w:val="false"/>
          <w:sz w:val="20"/>
        </w:rPr>
        <w:t>) in case the shareholder is subject to church tax because of his individual circumstances. An automatic procedure for deduction of church tax by way of withholding will apply to shareholders being subject to church tax unless the shareholder has filed a blocking notice (</w:t>
      </w:r>
      <w:r>
        <w:rPr>
          <w:rFonts w:ascii="Times New Roman" w:hAnsi="Times New Roman"/>
          <w:i/>
          <w:caps w:val="false"/>
          <w:smallCaps w:val="false"/>
          <w:sz w:val="20"/>
        </w:rPr>
        <w:t>Sperrvermerk</w:t>
      </w:r>
      <w:r>
        <w:rPr>
          <w:rFonts w:ascii="Times New Roman" w:hAnsi="Times New Roman"/>
          <w:caps w:val="false"/>
          <w:smallCaps w:val="false"/>
          <w:sz w:val="20"/>
        </w:rPr>
        <w:t>) with the German Federal Tax Office (details related to the computation of the concrete tax rate including church tax are to be discussed with the individual tax adviser of the relevant shareholder). Except for an annual lump sum savings allowance (</w:t>
      </w:r>
      <w:r>
        <w:rPr>
          <w:rFonts w:ascii="Times New Roman" w:hAnsi="Times New Roman"/>
          <w:i/>
          <w:caps w:val="false"/>
          <w:smallCaps w:val="false"/>
          <w:sz w:val="20"/>
        </w:rPr>
        <w:t>Sparer-Pauschbetrag</w:t>
      </w:r>
      <w:r>
        <w:rPr>
          <w:rFonts w:ascii="Times New Roman" w:hAnsi="Times New Roman"/>
          <w:caps w:val="false"/>
          <w:smallCaps w:val="false"/>
          <w:sz w:val="20"/>
        </w:rPr>
        <w:t>) of up to €1,000 (for individual filers) or up to €2,000 (for married couples and for partners in accordance with the registered partnership law (</w:t>
      </w:r>
      <w:r>
        <w:rPr>
          <w:rFonts w:ascii="Times New Roman" w:hAnsi="Times New Roman"/>
          <w:i/>
          <w:caps w:val="false"/>
          <w:smallCaps w:val="false"/>
          <w:sz w:val="20"/>
        </w:rPr>
        <w:t xml:space="preserve">Gesetz </w:t>
      </w:r>
      <w:r>
        <w:rPr>
          <w:rFonts w:ascii="Times New Roman" w:hAnsi="Times New Roman"/>
          <w:caps w:val="false"/>
          <w:smallCaps w:val="false"/>
          <w:sz w:val="20"/>
        </w:rPr>
        <w:t>ü</w:t>
      </w:r>
      <w:r>
        <w:rPr>
          <w:rFonts w:ascii="Times New Roman" w:hAnsi="Times New Roman"/>
          <w:i/>
          <w:caps w:val="false"/>
          <w:smallCaps w:val="false"/>
          <w:sz w:val="20"/>
        </w:rPr>
        <w:t>ber die Eingetragene Lebenspartnerschaft</w:t>
      </w:r>
      <w:r>
        <w:rPr>
          <w:rFonts w:ascii="Times New Roman" w:hAnsi="Times New Roman"/>
          <w:caps w:val="false"/>
          <w:smallCaps w:val="false"/>
          <w:sz w:val="20"/>
        </w:rPr>
        <w:t>) filing jointly), private individual shareholders will not be entitled to deduct expenses incurred in connection with the capital investment from their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income tax owed for the dividend income is satisfied by the withholding tax withheld by the Dividend Paying Agent. However, if the flat tax results in a higher tax burden as opposed to the private shareholder’s individual tax rate (Günstigerprüfung), the private shareholder can opt for taxation at his individual personal income tax rate. In that case, the final withholding tax will be credited against the income tax. However, pursuant to the German tax authorities and a court ruling,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partners in accordance with the registered partnership law filing jointly may only jointly exercise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Exceptions from the flat tax rate (satisfied by withholding at source) (</w:t>
      </w:r>
      <w:r>
        <w:rPr>
          <w:rFonts w:ascii="Times New Roman" w:hAnsi="Times New Roman"/>
          <w:i/>
          <w:caps w:val="false"/>
          <w:smallCaps w:val="false"/>
          <w:sz w:val="20"/>
        </w:rPr>
        <w:t>Abgeltungsteuer</w:t>
      </w:r>
      <w:r>
        <w:rPr>
          <w:rFonts w:ascii="Times New Roman" w:hAnsi="Times New Roman"/>
          <w:caps w:val="false"/>
          <w:smallCaps w:val="false"/>
          <w:sz w:val="20"/>
        </w:rPr>
        <w:t>) may apply - that is, only upon application - for shareholders who have a shareholding of at least 25% in the company and for shareholders who have a shareholding of at least 1% in the company and work for a company in a professional capacity through which the shareholder can exert significant entrepreneurial influence on the Company’s economic activity. In such a case, the same rules apply as for sole proprietors holding the shares as business assets. See “—</w:t>
      </w:r>
      <w:r>
        <w:rPr>
          <w:rFonts w:ascii="Times New Roman" w:hAnsi="Times New Roman"/>
          <w:i/>
          <w:caps w:val="false"/>
          <w:smallCaps w:val="false"/>
          <w:sz w:val="20"/>
        </w:rPr>
        <w:t>Taxation of Dividend Income of Shareholders Tax Resident in Germany Holding the Company</w:t>
      </w:r>
      <w:r>
        <w:rPr>
          <w:rFonts w:ascii="Times New Roman" w:hAnsi="Times New Roman"/>
          <w:caps w:val="false"/>
          <w:smallCaps w:val="false"/>
          <w:sz w:val="20"/>
        </w:rPr>
        <w:t>’</w:t>
      </w:r>
      <w:r>
        <w:rPr>
          <w:rFonts w:ascii="Times New Roman" w:hAnsi="Times New Roman"/>
          <w:i/>
          <w:caps w:val="false"/>
          <w:smallCaps w:val="false"/>
          <w:sz w:val="20"/>
        </w:rPr>
        <w:t>s Shares as Business Assets</w:t>
      </w:r>
      <w:r>
        <w:rPr>
          <w:rFonts w:ascii="Times New Roman" w:hAnsi="Times New Roman"/>
          <w:caps w:val="false"/>
          <w:smallCaps w:val="false"/>
          <w:sz w:val="20"/>
        </w:rPr>
        <w:t>—</w:t>
      </w:r>
      <w:r>
        <w:rPr>
          <w:rFonts w:ascii="Times New Roman" w:hAnsi="Times New Roman"/>
          <w:i/>
          <w:caps w:val="false"/>
          <w:smallCaps w:val="false"/>
          <w:sz w:val="20"/>
        </w:rPr>
        <w:t>Sole Proprietors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i/>
          <w:caps w:val="false"/>
          <w:smallCaps w:val="false"/>
          <w:sz w:val="20"/>
        </w:rPr>
        <w:t>Taxation of Dividend Income of Shareholders Tax Resident in Germany Holding the Company</w:t>
      </w:r>
      <w:r>
        <w:rPr>
          <w:rFonts w:ascii="Times New Roman" w:hAnsi="Times New Roman"/>
          <w:caps w:val="false"/>
          <w:smallCaps w:val="false"/>
          <w:sz w:val="20"/>
        </w:rPr>
        <w:t>’</w:t>
      </w:r>
      <w:r>
        <w:rPr>
          <w:rFonts w:ascii="Times New Roman" w:hAnsi="Times New Roman"/>
          <w:i/>
          <w:caps w:val="false"/>
          <w:smallCaps w:val="false"/>
          <w:sz w:val="20"/>
        </w:rPr>
        <w:t>s Shares as Business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a shareholder holds the company’s shares as business assets, the taxation of the dividend income depends on whether the respective shareholder is a corporation, a sole proprietor or a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Dividend income of corporate shareholders is exempt from corporate income tax, provided that the incorporated entity holds a direct participation of at least 10% in the share capital of a company at the beginning of the calendar year in which the dividends are paid. The acquisition of a participation of at least 10% in the course of a calendar year is deemed to have occurred at the beginning of such calendar year for the purpose of this rule. Participations in the share capital of the company which a corporate shareholder holds through a partnership, including co-entrepreneurships (</w:t>
      </w:r>
      <w:r>
        <w:rPr>
          <w:rFonts w:ascii="Times New Roman" w:hAnsi="Times New Roman"/>
          <w:i/>
          <w:caps w:val="false"/>
          <w:smallCaps w:val="false"/>
          <w:sz w:val="20"/>
        </w:rPr>
        <w:t>Mitunternehmerschaften</w:t>
      </w:r>
      <w:r>
        <w:rPr>
          <w:rFonts w:ascii="Times New Roman" w:hAnsi="Times New Roman"/>
          <w:caps w:val="false"/>
          <w:smallCaps w:val="false"/>
          <w:sz w:val="20"/>
        </w:rPr>
        <w:t>),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subject to corporate income tax (plus solidarity surcharge) and trade tax, i.e., tax exemption of 95%. Business expenses incurred in connection with the dividends received are generally entirely tax-deductible.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trade tax purposes the entire dividend income is subject to trade tax (i.e., the tax-exempt dividends must be added back when determining the trade taxable income), unless the corporation shareholder holds at least 15% of the company’s registered share capital at the beginning of the relevant tax assessment period (</w:t>
      </w:r>
      <w:r>
        <w:rPr>
          <w:rFonts w:ascii="Times New Roman" w:hAnsi="Times New Roman"/>
          <w:i/>
          <w:caps w:val="false"/>
          <w:smallCaps w:val="false"/>
          <w:sz w:val="20"/>
        </w:rPr>
        <w:t>Erhebungszeitraum</w:t>
      </w:r>
      <w:r>
        <w:rPr>
          <w:rFonts w:ascii="Times New Roman" w:hAnsi="Times New Roman"/>
          <w:caps w:val="false"/>
          <w:smallCaps w:val="false"/>
          <w:sz w:val="20"/>
        </w:rPr>
        <w:t>). In case of an indirect participation via a partnership please refer to the section “—</w:t>
      </w:r>
      <w:r>
        <w:rPr>
          <w:rFonts w:ascii="Times New Roman" w:hAnsi="Times New Roman"/>
          <w:i/>
          <w:caps w:val="false"/>
          <w:smallCaps w:val="false"/>
          <w:sz w:val="20"/>
        </w:rPr>
        <w:t>Partnerships</w:t>
      </w:r>
      <w:r>
        <w:rPr>
          <w:rFonts w:ascii="Times New Roman" w:hAnsi="Times New Roman"/>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the shareholding is below 10% in the share capital, dividends are taxable at the applicable corporate income tax rate of 15% plus 5.5% solidarity surcharge thereon and trade tax (the rate of which depends on the municipalities the corporate shareholder resides 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Special regulations apply which abolish the 95% tax exemption if the company’s shares are held as trading portfolio assets in the meaning of Section 340e of the German commercial code (</w:t>
      </w:r>
      <w:r>
        <w:rPr>
          <w:rFonts w:ascii="Times New Roman" w:hAnsi="Times New Roman"/>
          <w:i/>
          <w:caps w:val="false"/>
          <w:smallCaps w:val="false"/>
          <w:sz w:val="20"/>
        </w:rPr>
        <w:t>Handelsgesetzbuch</w:t>
      </w:r>
      <w:r>
        <w:rPr>
          <w:rFonts w:ascii="Times New Roman" w:hAnsi="Times New Roman"/>
          <w:caps w:val="false"/>
          <w:smallCaps w:val="false"/>
          <w:sz w:val="20"/>
        </w:rPr>
        <w:t>) by (i) a credit institution (</w:t>
      </w:r>
      <w:r>
        <w:rPr>
          <w:rFonts w:ascii="Times New Roman" w:hAnsi="Times New Roman"/>
          <w:i/>
          <w:caps w:val="false"/>
          <w:smallCaps w:val="false"/>
          <w:sz w:val="20"/>
        </w:rPr>
        <w:t>Kreditinstitut</w:t>
      </w:r>
      <w:r>
        <w:rPr>
          <w:rFonts w:ascii="Times New Roman" w:hAnsi="Times New Roman"/>
          <w:caps w:val="false"/>
          <w:smallCaps w:val="false"/>
          <w:sz w:val="20"/>
        </w:rPr>
        <w:t>) or (ii) a securities institution (</w:t>
      </w:r>
      <w:r>
        <w:rPr>
          <w:rFonts w:ascii="Times New Roman" w:hAnsi="Times New Roman"/>
          <w:i/>
          <w:caps w:val="false"/>
          <w:smallCaps w:val="false"/>
          <w:sz w:val="20"/>
        </w:rPr>
        <w:t>Wertpapierinstitut</w:t>
      </w:r>
      <w:r>
        <w:rPr>
          <w:rFonts w:ascii="Times New Roman" w:hAnsi="Times New Roman"/>
          <w:caps w:val="false"/>
          <w:smallCaps w:val="false"/>
          <w:sz w:val="20"/>
        </w:rPr>
        <w:t>) or (iii) a financial service institution (</w:t>
      </w:r>
      <w:r>
        <w:rPr>
          <w:rFonts w:ascii="Times New Roman" w:hAnsi="Times New Roman"/>
          <w:i/>
          <w:caps w:val="false"/>
          <w:smallCaps w:val="false"/>
          <w:sz w:val="20"/>
        </w:rPr>
        <w:t>Finanzdienstleistungsinstitut</w:t>
      </w:r>
      <w:r>
        <w:rPr>
          <w:rFonts w:ascii="Times New Roman" w:hAnsi="Times New Roman"/>
          <w:caps w:val="false"/>
          <w:smallCaps w:val="false"/>
          <w:sz w:val="20"/>
        </w:rPr>
        <w:t>). The 95% tax exemption is also abolished if the company’s shares have to be shown as current assets at the time of acquisition by a financial enterprise within the meaning of the German Banking Act (</w:t>
      </w:r>
      <w:r>
        <w:rPr>
          <w:rFonts w:ascii="Times New Roman" w:hAnsi="Times New Roman"/>
          <w:i/>
          <w:caps w:val="false"/>
          <w:smallCaps w:val="false"/>
          <w:sz w:val="20"/>
        </w:rPr>
        <w:t>Kreditwesengesetz</w:t>
      </w:r>
      <w:r>
        <w:rPr>
          <w:rFonts w:ascii="Times New Roman" w:hAnsi="Times New Roman"/>
          <w:caps w:val="false"/>
          <w:smallCaps w:val="false"/>
          <w:sz w:val="20"/>
        </w:rPr>
        <w:t>), in case more than 50% of the shares of such financial enterprise are held directly or indirectly by a credit institution or a securities institution or a financial service institution, as well as if the company’s shares are held by a life insurance company, a health insurance company or a pension fund in case the shares are attributable to the capital investments, resulting in fully taxable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Sole Proprietors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sole proprietors (individuals) resident in Germany holding shares as business assets dividends are subject to the partial income rule (</w:t>
      </w:r>
      <w:r>
        <w:rPr>
          <w:rFonts w:ascii="Times New Roman" w:hAnsi="Times New Roman"/>
          <w:i/>
          <w:caps w:val="false"/>
          <w:smallCaps w:val="false"/>
          <w:sz w:val="20"/>
        </w:rPr>
        <w:t>Teileink</w:t>
      </w:r>
      <w:r>
        <w:rPr>
          <w:rFonts w:ascii="Times New Roman" w:hAnsi="Times New Roman"/>
          <w:caps w:val="false"/>
          <w:smallCaps w:val="false"/>
          <w:sz w:val="20"/>
        </w:rPr>
        <w:t>ü</w:t>
      </w:r>
      <w:r>
        <w:rPr>
          <w:rFonts w:ascii="Times New Roman" w:hAnsi="Times New Roman"/>
          <w:i/>
          <w:caps w:val="false"/>
          <w:smallCaps w:val="false"/>
          <w:sz w:val="20"/>
        </w:rPr>
        <w:t>nfteverfahren</w:t>
      </w:r>
      <w:r>
        <w:rPr>
          <w:rFonts w:ascii="Times New Roman" w:hAnsi="Times New Roman"/>
          <w:caps w:val="false"/>
          <w:smallCaps w:val="false"/>
          <w:sz w:val="20"/>
        </w:rPr>
        <w:t>). Accordingly, only (i) 60% of the dividend income will be taxed at his/her individual personal income tax rate plus 5.5% solidarity surcharge thereon and church tax (if applicable) and (ii) 60% of the business expenses related to the dividend income are deductible for tax purposes. In addition, the dividend income is entirely subject to trade tax if the shares are held as business assets of a permanent establishment in Germany within the meaning of the German Trade Tax Act (</w:t>
      </w:r>
      <w:r>
        <w:rPr>
          <w:rFonts w:ascii="Times New Roman" w:hAnsi="Times New Roman"/>
          <w:i/>
          <w:caps w:val="false"/>
          <w:smallCaps w:val="false"/>
          <w:sz w:val="20"/>
        </w:rPr>
        <w:t>Gewerbesteuergesetz</w:t>
      </w:r>
      <w:r>
        <w:rPr>
          <w:rFonts w:ascii="Times New Roman" w:hAnsi="Times New Roman"/>
          <w:caps w:val="false"/>
          <w:smallCaps w:val="false"/>
          <w:sz w:val="20"/>
        </w:rPr>
        <w:t>), unless the shareholder holds at least 15% of the company’s registered share capital at the beginning of the relevant tax assessment period. The trade tax levied is generally eligible for credit against the shareholder’s personal income tax liability based on the applicable municipal trade tax rate (but limited to a maximum rate) and the individual tax situation of the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case shares are held by a partnership, the partnership itself is not subject to corporate income tax or personal income tax. In this regard, corporate income tax or personal income tax (and church tax, if applicable) as well as solidarity surcharge, are levied only at the level of the partner with respect to their relevant part of the profit and depending on their individual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the partner is a corporation, the dividend income will be subject to corporate income tax plus solidarity surcharge. See “—</w:t>
      </w:r>
      <w:r>
        <w:rPr>
          <w:rFonts w:ascii="Times New Roman" w:hAnsi="Times New Roman"/>
          <w:i/>
          <w:caps w:val="false"/>
          <w:smallCaps w:val="false"/>
          <w:sz w:val="20"/>
        </w:rPr>
        <w:t>Corporations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the partner is an individual, the dividend income will be subject to the partial income rule. See “—</w:t>
      </w:r>
      <w:r>
        <w:rPr>
          <w:rFonts w:ascii="Times New Roman" w:hAnsi="Times New Roman"/>
          <w:i/>
          <w:caps w:val="false"/>
          <w:smallCaps w:val="false"/>
          <w:sz w:val="20"/>
        </w:rPr>
        <w:t>Sole Proprietors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dividend income is subject to trade tax at the level of the partnership (provided that the partnership is liable to trade tax), unless the partnership holds at least 15% of a company’s registered share capital at the beginning of the relevant assessment period, in which case the dividend income is exempt from trade tax. There are no explicit statutory provisions concerning the taxation of dividends with regard to a corporate shareholder of the partnership. However, trade tax should be levied on 5% of the dividends to the extent they are attributable to the shares of such corporate partners to whom at least 10% of the shares of the company are attributable on a look-through basis, since such portion of the dividends should be deemed to be non-deductible business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a partner is an individual, depending on the applicable municipal trade tax rate and the individual tax situation, the trade tax paid at the level of the partnership is generally partly or entirely be credited against the partner’s personal income tax liability, if further prerequisites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Special regulations apply if the shares are held as trading portfolio assets by a partnership that qualifies as a credit institution, a securities institution, a financial service institution or a financial enterprise within the meaning of the German Banking Act (</w:t>
      </w:r>
      <w:r>
        <w:rPr>
          <w:rFonts w:ascii="Times New Roman" w:hAnsi="Times New Roman"/>
          <w:i/>
          <w:caps w:val="false"/>
          <w:smallCaps w:val="false"/>
          <w:sz w:val="20"/>
        </w:rPr>
        <w:t>Kreditwesengesetz</w:t>
      </w:r>
      <w:r>
        <w:rPr>
          <w:rFonts w:ascii="Times New Roman" w:hAnsi="Times New Roman"/>
          <w:caps w:val="false"/>
          <w:smallCaps w:val="false"/>
          <w:sz w:val="20"/>
        </w:rPr>
        <w:t>). In that case the partial income rule (</w:t>
      </w:r>
      <w:r>
        <w:rPr>
          <w:rFonts w:ascii="Times New Roman" w:hAnsi="Times New Roman"/>
          <w:i/>
          <w:caps w:val="false"/>
          <w:smallCaps w:val="false"/>
          <w:sz w:val="20"/>
        </w:rPr>
        <w:t>Teileink</w:t>
      </w:r>
      <w:r>
        <w:rPr>
          <w:rFonts w:ascii="Times New Roman" w:hAnsi="Times New Roman"/>
          <w:caps w:val="false"/>
          <w:smallCaps w:val="false"/>
          <w:sz w:val="20"/>
        </w:rPr>
        <w:t>ü</w:t>
      </w:r>
      <w:r>
        <w:rPr>
          <w:rFonts w:ascii="Times New Roman" w:hAnsi="Times New Roman"/>
          <w:i/>
          <w:caps w:val="false"/>
          <w:smallCaps w:val="false"/>
          <w:sz w:val="20"/>
        </w:rPr>
        <w:t>nfteverfahren</w:t>
      </w:r>
      <w:r>
        <w:rPr>
          <w:rFonts w:ascii="Times New Roman" w:hAnsi="Times New Roman"/>
          <w:caps w:val="false"/>
          <w:smallCaps w:val="false"/>
          <w:sz w:val="20"/>
        </w:rPr>
        <w:t>) is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case of a corporation being a partner, special regulations apply with respect to trading portfolio assets of credit institutions, securities institutions, financial service institutions or financial enterprises within the meaning of the German Banking Act (</w:t>
      </w:r>
      <w:r>
        <w:rPr>
          <w:rFonts w:ascii="Times New Roman" w:hAnsi="Times New Roman"/>
          <w:i/>
          <w:caps w:val="false"/>
          <w:smallCaps w:val="false"/>
          <w:sz w:val="20"/>
        </w:rPr>
        <w:t>Kreditwesengesetz</w:t>
      </w:r>
      <w:r>
        <w:rPr>
          <w:rFonts w:ascii="Times New Roman" w:hAnsi="Times New Roman"/>
          <w:caps w:val="false"/>
          <w:smallCaps w:val="false"/>
          <w:sz w:val="20"/>
        </w:rPr>
        <w:t>) or life insurance companies, health insurance companies or pension funds. See “—</w:t>
      </w:r>
      <w:r>
        <w:rPr>
          <w:rFonts w:ascii="Times New Roman" w:hAnsi="Times New Roman"/>
          <w:i/>
          <w:caps w:val="false"/>
          <w:smallCaps w:val="false"/>
          <w:sz w:val="20"/>
        </w:rPr>
        <w:t>Corporations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actual trade tax charge, if any, at the level of the partnership depends on the shareholding quota of the partnership and the nature of the partners (e.g., individual 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Taxation of Dividend Income of Shareholders Tax Resident Outside of Germany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foreign individual or corporate shareholders tax resident outside of Germany not holding the shares through a permanent establishment in Germany or as business assets for which a permanent representative has been appointed in Germany, the deducted withholding tax (possibly reduced by way of a tax relief under a double tax treaty or domestic tax law, such as in connection with the EU Parent Subsidiary Directive) is final (that is, not refundable) and settles the shareholder’s limited tax liability in Germany, unless the shareholder is entitled to apply for a withholding tax refund or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contrast, individual or corporate shareholders tax resident outside of Germany holding the company’s shares through a permanent establishment in Germany or as business assets for which a permanent representative has been appointed in Germany are subject to the same rules as applicable (and described above) to shareholders resident in Germany holding the shares as business assets. The withholding tax withheld (including solidarity surcharge) is credited against the shareholder’s personal income tax or corporate income tax liability in Germany.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Taxation of Capital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Withholding tax on capital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Capital gains realized on the disposal of shares are subject to withholding tax if a German branch of a German or foreign credit or financial institution, a German securities trading company or a German securities trading bank stores or administrates or carries out the sale of the shares and pays or credits the capital gains. In those cases, the institution (and not the company) is required to deduct the withholding tax at the time of payment for the account of the shareholder and has to pay the withholding tax to the competent tax authority. In case the shares are held (i) as business assets by a sole proprietor, a partnership or a corporation and such shares are attributable to a German business or (ii) in case of a corporation being subject to unlimited corporate income tax liability in Germany, the capital gains are not subject to withholding tax. In case of clause (i), the withholding tax exemption is subject to the condition that the paying agent has been notified by the beneficiary (</w:t>
      </w:r>
      <w:r>
        <w:rPr>
          <w:rFonts w:ascii="Times New Roman" w:hAnsi="Times New Roman"/>
          <w:i/>
          <w:caps w:val="false"/>
          <w:smallCaps w:val="false"/>
          <w:sz w:val="20"/>
        </w:rPr>
        <w:t>Gl</w:t>
      </w:r>
      <w:r>
        <w:rPr>
          <w:rFonts w:ascii="Times New Roman" w:hAnsi="Times New Roman"/>
          <w:caps w:val="false"/>
          <w:smallCaps w:val="false"/>
          <w:sz w:val="20"/>
        </w:rPr>
        <w:t>ä</w:t>
      </w:r>
      <w:r>
        <w:rPr>
          <w:rFonts w:ascii="Times New Roman" w:hAnsi="Times New Roman"/>
          <w:i/>
          <w:caps w:val="false"/>
          <w:smallCaps w:val="false"/>
          <w:sz w:val="20"/>
        </w:rPr>
        <w:t>ubiger</w:t>
      </w:r>
      <w:r>
        <w:rPr>
          <w:rFonts w:ascii="Times New Roman" w:hAnsi="Times New Roman"/>
          <w:caps w:val="false"/>
          <w:smallCaps w:val="false"/>
          <w:sz w:val="20"/>
        </w:rPr>
        <w:t>) that the capital gains are exempt from withholding tax. The respective notification has to be filed by using the officially prescribed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Taxation of Capital Gains Realized by Shareholders Tax Resident in Germany Holding Shares as Private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For individual shareholders (individuals) resident in Germany holding shares as private assets, capital gains realized on the disposal of shares are subject to final withholding tax. Accordingly, capital gains will be taxed at a flat tax rate of 25% plus a 5.5% solidarity surcharge thereon (in total 26.375%) and church tax, in case the shareholder is subject to church tax because of his individual circumstances. An automatic procedure for deduction of church tax by way of withholding will apply to shareholders being subject to church tax unless the shareholder has filed a blocking notice (</w:t>
      </w:r>
      <w:r>
        <w:rPr>
          <w:rFonts w:ascii="Times New Roman" w:hAnsi="Times New Roman"/>
          <w:i/>
          <w:caps w:val="false"/>
          <w:smallCaps w:val="false"/>
          <w:sz w:val="20"/>
        </w:rPr>
        <w:t>Sperrvermerk</w:t>
      </w:r>
      <w:r>
        <w:rPr>
          <w:rFonts w:ascii="Times New Roman" w:hAnsi="Times New Roman"/>
          <w:caps w:val="false"/>
          <w:smallCaps w:val="false"/>
          <w:sz w:val="20"/>
        </w:rPr>
        <w:t>) with the German Central Federal Tax Office (details related to the computation of the concrete tax rate including church tax are to be discussed with the individual tax adviser of the relevant shareholder). The taxable capital gain is calculated by deducting the acquisition costs of the shares and the expenses directly related to the disposal from the proceeds of the disposal. Apart from that, except for an annual lump sum savings allowance (</w:t>
      </w:r>
      <w:r>
        <w:rPr>
          <w:rFonts w:ascii="Times New Roman" w:hAnsi="Times New Roman"/>
          <w:i/>
          <w:caps w:val="false"/>
          <w:smallCaps w:val="false"/>
          <w:sz w:val="20"/>
        </w:rPr>
        <w:t>Sparer-Pauschbetrag</w:t>
      </w:r>
      <w:r>
        <w:rPr>
          <w:rFonts w:ascii="Times New Roman" w:hAnsi="Times New Roman"/>
          <w:caps w:val="false"/>
          <w:smallCaps w:val="false"/>
          <w:sz w:val="20"/>
        </w:rPr>
        <w:t>) of up to €1,000 (for individual filers) or up to €2,000 (for married couples and for partners in accordance with the registered partnership law (</w:t>
      </w:r>
      <w:r>
        <w:rPr>
          <w:rFonts w:ascii="Times New Roman" w:hAnsi="Times New Roman"/>
          <w:i/>
          <w:caps w:val="false"/>
          <w:smallCaps w:val="false"/>
          <w:sz w:val="20"/>
        </w:rPr>
        <w:t xml:space="preserve">Gesetz </w:t>
      </w:r>
      <w:r>
        <w:rPr>
          <w:rFonts w:ascii="Times New Roman" w:hAnsi="Times New Roman"/>
          <w:caps w:val="false"/>
          <w:smallCaps w:val="false"/>
          <w:sz w:val="20"/>
        </w:rPr>
        <w:t>ü</w:t>
      </w:r>
      <w:r>
        <w:rPr>
          <w:rFonts w:ascii="Times New Roman" w:hAnsi="Times New Roman"/>
          <w:i/>
          <w:caps w:val="false"/>
          <w:smallCaps w:val="false"/>
          <w:sz w:val="20"/>
        </w:rPr>
        <w:t>ber die Eingetragene Lebenspartnerschaft</w:t>
      </w:r>
      <w:r>
        <w:rPr>
          <w:rFonts w:ascii="Times New Roman" w:hAnsi="Times New Roman"/>
          <w:caps w:val="false"/>
          <w:smallCaps w:val="false"/>
          <w:sz w:val="20"/>
        </w:rPr>
        <w:t>) filing jointly), private individual shareholders will not be entitled to deduct expenses incurred in connection with the capital investment from their capital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case the flat tax results in a higher tax burden as opposed to the private shareholder’s individual tax rate, the private shareholder can opt for taxation at his or her individual personal income tax rate (</w:t>
      </w:r>
      <w:r>
        <w:rPr>
          <w:rFonts w:ascii="Times New Roman" w:hAnsi="Times New Roman"/>
          <w:i/>
          <w:caps w:val="false"/>
          <w:smallCaps w:val="false"/>
          <w:sz w:val="20"/>
        </w:rPr>
        <w:t>G</w:t>
      </w:r>
      <w:r>
        <w:rPr>
          <w:rFonts w:ascii="Times New Roman" w:hAnsi="Times New Roman"/>
          <w:caps w:val="false"/>
          <w:smallCaps w:val="false"/>
          <w:sz w:val="20"/>
        </w:rPr>
        <w:t>ü</w:t>
      </w:r>
      <w:r>
        <w:rPr>
          <w:rFonts w:ascii="Times New Roman" w:hAnsi="Times New Roman"/>
          <w:i/>
          <w:caps w:val="false"/>
          <w:smallCaps w:val="false"/>
          <w:sz w:val="20"/>
        </w:rPr>
        <w:t>nstigerpr</w:t>
      </w:r>
      <w:r>
        <w:rPr>
          <w:rFonts w:ascii="Times New Roman" w:hAnsi="Times New Roman"/>
          <w:caps w:val="false"/>
          <w:smallCaps w:val="false"/>
          <w:sz w:val="20"/>
        </w:rPr>
        <w:t>ü</w:t>
      </w:r>
      <w:r>
        <w:rPr>
          <w:rFonts w:ascii="Times New Roman" w:hAnsi="Times New Roman"/>
          <w:i/>
          <w:caps w:val="false"/>
          <w:smallCaps w:val="false"/>
          <w:sz w:val="20"/>
        </w:rPr>
        <w:t>fung</w:t>
      </w:r>
      <w:r>
        <w:rPr>
          <w:rFonts w:ascii="Times New Roman" w:hAnsi="Times New Roman"/>
          <w:caps w:val="false"/>
          <w:smallCaps w:val="false"/>
          <w:sz w:val="20"/>
        </w:rPr>
        <w:t>). In that case, the withholding tax (including solidarity surcharge) withheld will be credited against the income tax. However, pursuant to the German tax authorities and case law the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Capital losses arising from the sale of the shares can only be offset against other capital gains resulting from the disposition of the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sale of shares in stock corporations in future years. In case of a derecognition or transfer of worthless shares (or other capital assets), the utilization of such loss is further restricted and can only be offset up to the amount of €20,000 per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final withholding tax would not apply if the seller of the shares or, in the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Times New Roman" w:hAnsi="Times New Roman"/>
          <w:i/>
          <w:caps w:val="false"/>
          <w:smallCaps w:val="false"/>
          <w:sz w:val="20"/>
        </w:rPr>
        <w:t>Teileink</w:t>
      </w:r>
      <w:r>
        <w:rPr>
          <w:rFonts w:ascii="Times New Roman" w:hAnsi="Times New Roman"/>
          <w:caps w:val="false"/>
          <w:smallCaps w:val="false"/>
          <w:sz w:val="20"/>
        </w:rPr>
        <w:t>ü</w:t>
      </w:r>
      <w:r>
        <w:rPr>
          <w:rFonts w:ascii="Times New Roman" w:hAnsi="Times New Roman"/>
          <w:i/>
          <w:caps w:val="false"/>
          <w:smallCaps w:val="false"/>
          <w:sz w:val="20"/>
        </w:rPr>
        <w:t>nfteverfahren</w:t>
      </w:r>
      <w:r>
        <w:rPr>
          <w:rFonts w:ascii="Times New Roman" w:hAnsi="Times New Roman"/>
          <w:caps w:val="false"/>
          <w:smallCaps w:val="false"/>
          <w:sz w:val="20"/>
        </w:rPr>
        <w:t>). Accordingly, only (i) 60% of the capital gains would be taxed at his/her individual personal income tax rate plus a 5.5% solidarity surcharge thereon and church tax (if applicable) and (ii) 60% of the business expenses related to the capital gains are deductible for tax purposes. The withholding tax withheld (including solidarity surcharge) would be credited against the shareholder’s personal income tax liability in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i/>
          <w:caps w:val="false"/>
          <w:smallCaps w:val="false"/>
          <w:sz w:val="20"/>
        </w:rPr>
        <w:t>Taxation of Capital Gains Realized by Shareholders Tax Resident in Germany Holding the Company</w:t>
      </w:r>
      <w:r>
        <w:rPr>
          <w:rFonts w:ascii="Times New Roman" w:hAnsi="Times New Roman"/>
          <w:caps w:val="false"/>
          <w:smallCaps w:val="false"/>
          <w:sz w:val="20"/>
        </w:rPr>
        <w:t>’</w:t>
      </w:r>
      <w:r>
        <w:rPr>
          <w:rFonts w:ascii="Times New Roman" w:hAnsi="Times New Roman"/>
          <w:i/>
          <w:caps w:val="false"/>
          <w:smallCaps w:val="false"/>
          <w:sz w:val="20"/>
        </w:rPr>
        <w:t>s Shares as Business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a shareholder holds shares as business assets, the taxation of capital gains realized on the disposal of such shares depends on whether the respective shareholder is a corporation, a sole proprietor or a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Capital gains realized on the disposal of shares by a corporate shareholder are generally exempt from corporate income tax and trade tax. However, 5% of the tax-exempt capital gains are deemed to be non-deductible business expenses for tax purposes and therefore are subject to corporate income tax (plus solidarity surcharge) and trade tax, i.e., tax exemption of 95%. Business expenses incurred in connection with the capital gains are entirely tax-deductible.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Capital losses incurred upon the disposal of shares or other impairments of the share value are not tax-deductible.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Special regulations apply if the shares are held as trading portfolio assets by a credit institution, a securities institution, a financial service institution or a financial enterprise within the meaning of the German Banking Act (</w:t>
      </w:r>
      <w:r>
        <w:rPr>
          <w:rFonts w:ascii="Times New Roman" w:hAnsi="Times New Roman"/>
          <w:i/>
          <w:caps w:val="false"/>
          <w:smallCaps w:val="false"/>
          <w:sz w:val="20"/>
        </w:rPr>
        <w:t>Kreditwesengesetz</w:t>
      </w:r>
      <w:r>
        <w:rPr>
          <w:rFonts w:ascii="Times New Roman" w:hAnsi="Times New Roman"/>
          <w:caps w:val="false"/>
          <w:smallCaps w:val="false"/>
          <w:sz w:val="20"/>
        </w:rPr>
        <w:t>) as well as by a life insurance company, a health insurance company or a pension fund. See “—</w:t>
      </w:r>
      <w:r>
        <w:rPr>
          <w:rFonts w:ascii="Times New Roman" w:hAnsi="Times New Roman"/>
          <w:i/>
          <w:caps w:val="false"/>
          <w:smallCaps w:val="false"/>
          <w:sz w:val="20"/>
        </w:rPr>
        <w:t>Taxation of Dividend Income of Shareholders Tax Resident in Germany Holding the Company</w:t>
      </w:r>
      <w:r>
        <w:rPr>
          <w:rFonts w:ascii="Times New Roman" w:hAnsi="Times New Roman"/>
          <w:caps w:val="false"/>
          <w:smallCaps w:val="false"/>
          <w:sz w:val="20"/>
        </w:rPr>
        <w:t>’</w:t>
      </w:r>
      <w:r>
        <w:rPr>
          <w:rFonts w:ascii="Times New Roman" w:hAnsi="Times New Roman"/>
          <w:i/>
          <w:caps w:val="false"/>
          <w:smallCaps w:val="false"/>
          <w:sz w:val="20"/>
        </w:rPr>
        <w:t>s Shares as Business Assets</w:t>
      </w:r>
      <w:r>
        <w:rPr>
          <w:rFonts w:ascii="Times New Roman" w:hAnsi="Times New Roman"/>
          <w:caps w:val="false"/>
          <w:smallCaps w:val="false"/>
          <w:sz w:val="20"/>
        </w:rPr>
        <w:t>—</w:t>
      </w:r>
      <w:r>
        <w:rPr>
          <w:rFonts w:ascii="Times New Roman" w:hAnsi="Times New Roman"/>
          <w:i/>
          <w:caps w:val="false"/>
          <w:smallCaps w:val="false"/>
          <w:sz w:val="20"/>
        </w:rPr>
        <w:t>Corporations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Sole Proprietors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the shares are held by a sole proprietor, capital gains realized on the disposal of the shares are subject to the partial income rule (</w:t>
      </w:r>
      <w:r>
        <w:rPr>
          <w:rFonts w:ascii="Times New Roman" w:hAnsi="Times New Roman"/>
          <w:i/>
          <w:caps w:val="false"/>
          <w:smallCaps w:val="false"/>
          <w:sz w:val="20"/>
        </w:rPr>
        <w:t>Teileink</w:t>
      </w:r>
      <w:r>
        <w:rPr>
          <w:rFonts w:ascii="Times New Roman" w:hAnsi="Times New Roman"/>
          <w:caps w:val="false"/>
          <w:smallCaps w:val="false"/>
          <w:sz w:val="20"/>
        </w:rPr>
        <w:t>ü</w:t>
      </w:r>
      <w:r>
        <w:rPr>
          <w:rFonts w:ascii="Times New Roman" w:hAnsi="Times New Roman"/>
          <w:i/>
          <w:caps w:val="false"/>
          <w:smallCaps w:val="false"/>
          <w:sz w:val="20"/>
        </w:rPr>
        <w:t>nfteverfahren</w:t>
      </w:r>
      <w:r>
        <w:rPr>
          <w:rFonts w:ascii="Times New Roman" w:hAnsi="Times New Roman"/>
          <w:caps w:val="false"/>
          <w:smallCaps w:val="false"/>
          <w:sz w:val="20"/>
        </w:rPr>
        <w:t>). Accordingly, only (i) 60% of the capital gains will be taxed at his/her individual personal income tax rate plus a 5.5% solidarity surcharge thereon and church tax (if applicable) and (ii) 60% of the business expenses related to the capital gains are deductible for tax purposes. In addition, 60% of the capital gains are subject to trade tax if the shares are held as business assets of a permanent establishment in Germany within the meaning of the German Trade Tax Act (</w:t>
      </w:r>
      <w:r>
        <w:rPr>
          <w:rFonts w:ascii="Times New Roman" w:hAnsi="Times New Roman"/>
          <w:i/>
          <w:caps w:val="false"/>
          <w:smallCaps w:val="false"/>
          <w:sz w:val="20"/>
        </w:rPr>
        <w:t>Gewerbesteuergesetz</w:t>
      </w:r>
      <w:r>
        <w:rPr>
          <w:rFonts w:ascii="Times New Roman" w:hAnsi="Times New Roman"/>
          <w:caps w:val="false"/>
          <w:smallCaps w:val="false"/>
          <w:sz w:val="20"/>
        </w:rPr>
        <w:t>). The trade tax levied, depending on the applicable municipal trade tax rate and the individual tax situation, is generally partly or entirely credited (but limited to a maximum rate) against the shareholder’s personal income tax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case the shares are held by a partnership, the partnership itself is not subject to corporate income tax or personal income tax as well as a solidarity surcharge (and church tax) since partnerships qualify as transparent for German tax purposes. In this regard, corporate income tax or personal income tax as well as a solidarity surcharge (and church tax, if applicable), are levied only at the level of the partner with respect to their relevant part of the profit and depending on their individual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the partner is a corporation, the capital gains will be subject to corporate income tax plus a solidarity surcharge at the level of the partner. See “—</w:t>
      </w:r>
      <w:r>
        <w:rPr>
          <w:rFonts w:ascii="Times New Roman" w:hAnsi="Times New Roman"/>
          <w:i/>
          <w:caps w:val="false"/>
          <w:smallCaps w:val="false"/>
          <w:sz w:val="20"/>
        </w:rPr>
        <w:t>Corporations</w:t>
      </w:r>
      <w:r>
        <w:rPr>
          <w:rFonts w:ascii="Times New Roman" w:hAnsi="Times New Roman"/>
          <w:caps w:val="false"/>
          <w:smallCaps w:val="false"/>
          <w:sz w:val="20"/>
        </w:rPr>
        <w:t>”. Trade tax will be levied at the level of the partnership. With respect to both corporate income and trade tax, the 95% exemption rule as described above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the partner is an individual, the capital gains are subject to the partial income rule. See “—</w:t>
      </w:r>
      <w:r>
        <w:rPr>
          <w:rFonts w:ascii="Times New Roman" w:hAnsi="Times New Roman"/>
          <w:i/>
          <w:caps w:val="false"/>
          <w:smallCaps w:val="false"/>
          <w:sz w:val="20"/>
        </w:rPr>
        <w:t>Sole Proprietors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if the partnership is liable to trade tax, 60% of the capital gains are subject to trade tax at the level of the partnership, to the extent the partners are individuals, and 5% of the capital gains are subject to trade tax, to the extent the partners are corporations. However, if a partner is an individual, depending on the applicable municipal trade tax rate and the individual tax situation, the trade tax paid at the level of the partnership is generally partly or entirely credited against the partner’s personal income tax liability (but limited to a maximum rate), if further prerequisites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Special regulations apply if the shares are held as trading portfolio assets by a partnership that qualifies as a credit institution, a securities institution, a financial service institution or a financial enterprise within the meaning of the German Banking Act (</w:t>
      </w:r>
      <w:r>
        <w:rPr>
          <w:rFonts w:ascii="Times New Roman" w:hAnsi="Times New Roman"/>
          <w:i/>
          <w:caps w:val="false"/>
          <w:smallCaps w:val="false"/>
          <w:sz w:val="20"/>
        </w:rPr>
        <w:t>Kreditwesengesetz</w:t>
      </w:r>
      <w:r>
        <w:rPr>
          <w:rFonts w:ascii="Times New Roman" w:hAnsi="Times New Roman"/>
          <w:caps w:val="false"/>
          <w:smallCaps w:val="false"/>
          <w:sz w:val="20"/>
        </w:rPr>
        <w:t>). In that case the partial income rule (</w:t>
      </w:r>
      <w:r>
        <w:rPr>
          <w:rFonts w:ascii="Times New Roman" w:hAnsi="Times New Roman"/>
          <w:i/>
          <w:caps w:val="false"/>
          <w:smallCaps w:val="false"/>
          <w:sz w:val="20"/>
        </w:rPr>
        <w:t>Teileink</w:t>
      </w:r>
      <w:r>
        <w:rPr>
          <w:rFonts w:ascii="Times New Roman" w:hAnsi="Times New Roman"/>
          <w:caps w:val="false"/>
          <w:smallCaps w:val="false"/>
          <w:sz w:val="20"/>
        </w:rPr>
        <w:t>ü</w:t>
      </w:r>
      <w:r>
        <w:rPr>
          <w:rFonts w:ascii="Times New Roman" w:hAnsi="Times New Roman"/>
          <w:i/>
          <w:caps w:val="false"/>
          <w:smallCaps w:val="false"/>
          <w:sz w:val="20"/>
        </w:rPr>
        <w:t>nfteverfahren</w:t>
      </w:r>
      <w:r>
        <w:rPr>
          <w:rFonts w:ascii="Times New Roman" w:hAnsi="Times New Roman"/>
          <w:caps w:val="false"/>
          <w:smallCaps w:val="false"/>
          <w:sz w:val="20"/>
        </w:rPr>
        <w:t>) is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With regard to corporate partners, special regulations apply if they are held as trading portfolio assets by credit institutions, securities institutions, financial service institutions or financial enterprises within the meaning of the German Banking Act or life insurance companies, health insurance companies or pension funds,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Taxation of Capital Gains Realized by Shareholders Tax Resident Outside of Germany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Capital gains realized on the disposal of the shares by a shareholder tax resident outside of Germany are subject to German taxation provided that (i) the company’s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shares capital at any time during a five-year period prior to the disposal. In these cases, capital gains are generally subject to the same rules as described above for shareholders resident in Germany. However, in case the shares held by a non-German tax resident corporation are not attributable to a German permanent establishment or permanent representative, the 5% taxation (see “—</w:t>
      </w:r>
      <w:r>
        <w:rPr>
          <w:rFonts w:ascii="Times New Roman" w:hAnsi="Times New Roman"/>
          <w:i/>
          <w:caps w:val="false"/>
          <w:smallCaps w:val="false"/>
          <w:sz w:val="20"/>
        </w:rPr>
        <w:t>Taxation of Capital Gains Realized by Shareholders Tax Resident in Germany Holding the Company</w:t>
      </w:r>
      <w:r>
        <w:rPr>
          <w:rFonts w:ascii="Times New Roman" w:hAnsi="Times New Roman"/>
          <w:caps w:val="false"/>
          <w:smallCaps w:val="false"/>
          <w:sz w:val="20"/>
        </w:rPr>
        <w:t>’</w:t>
      </w:r>
      <w:r>
        <w:rPr>
          <w:rFonts w:ascii="Times New Roman" w:hAnsi="Times New Roman"/>
          <w:i/>
          <w:caps w:val="false"/>
          <w:smallCaps w:val="false"/>
          <w:sz w:val="20"/>
        </w:rPr>
        <w:t>s Shares as Business Assets</w:t>
      </w:r>
      <w:r>
        <w:rPr>
          <w:rFonts w:ascii="Times New Roman" w:hAnsi="Times New Roman"/>
          <w:caps w:val="false"/>
          <w:smallCaps w:val="false"/>
          <w:sz w:val="20"/>
        </w:rPr>
        <w:t>”) as a consequence of deemed non-deductible business expenses shall not apply to such non- German tax resident shareholders and such capital gains are consequently fully exempt from German corporate income and trade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However, except for the cases referred to in clause (i) above, some of the double tax treaties concluded with Germany provide for a full exemption from German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Inheritance and Gift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transfer of the shares in the Company to another person by way of succession or donation is subject to German inheritance and gift tax (</w:t>
      </w:r>
      <w:r>
        <w:rPr>
          <w:rFonts w:ascii="Times New Roman" w:hAnsi="Times New Roman"/>
          <w:i/>
          <w:caps w:val="false"/>
          <w:smallCaps w:val="false"/>
          <w:sz w:val="20"/>
        </w:rPr>
        <w:t>Erbschaft- und Schenkungsteuer</w:t>
      </w:r>
      <w:r>
        <w:rPr>
          <w:rFonts w:ascii="Times New Roman" w:hAnsi="Times New Roman"/>
          <w:caps w:val="false"/>
          <w:smallCaps w:val="false"/>
          <w:sz w:val="20"/>
        </w:rPr>
        <w:t>)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1"/>
        <w:gridCol w:w="9854"/>
      </w:tblGrid>
      <w:tr>
        <w:trPr/>
        <w:tc>
          <w:tcPr>
            <w:tcW w:w="60" w:type="dxa"/>
            <w:tcBorders/>
            <w:vAlign w:val="center"/>
          </w:tcPr>
          <w:p>
            <w:pPr>
              <w:pStyle w:val="TableContents"/>
              <w:bidi w:val="0"/>
              <w:spacing w:before="0" w:after="283"/>
              <w:jc w:val="both"/>
              <w:rPr/>
            </w:pPr>
            <w:r>
              <w:rPr/>
              <w:t> </w:t>
            </w:r>
          </w:p>
        </w:tc>
        <w:tc>
          <w:tcPr>
            <w:tcW w:w="291"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w:t>
            </w:r>
          </w:p>
        </w:tc>
        <w:tc>
          <w:tcPr>
            <w:tcW w:w="9854"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decedent, the donor, the heir, the donee or any other beneficiary has his/her/its residence, domicile, registered office or place of management in Germany at the time of the transfer, or is a German citizen who has not stayed abroad for more than five consecutive years without having a residence in Germany, or is a non-resident German citizen employed by a legal entity organized under German public law or is a dependent having German citizenship and living in the household of such citizen, if further prerequisites are satisfied; or</w:t>
            </w:r>
          </w:p>
        </w:tc>
      </w:tr>
      <w:tr>
        <w:trPr/>
        <w:tc>
          <w:tcPr>
            <w:tcW w:w="60" w:type="dxa"/>
            <w:tcBorders/>
            <w:vAlign w:val="center"/>
          </w:tcPr>
          <w:p>
            <w:pPr>
              <w:pStyle w:val="TableContents"/>
              <w:bidi w:val="0"/>
              <w:spacing w:before="0" w:after="283"/>
              <w:jc w:val="both"/>
              <w:rPr/>
            </w:pPr>
            <w:r>
              <w:rPr/>
              <w:t> </w:t>
            </w:r>
          </w:p>
        </w:tc>
        <w:tc>
          <w:tcPr>
            <w:tcW w:w="29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91"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(ii)</w:t>
            </w:r>
          </w:p>
        </w:tc>
        <w:tc>
          <w:tcPr>
            <w:tcW w:w="9854"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irrespective of the personal circumstances the shares are held by the decedent or donor as business assets for which a permanent establishment in Germany is maintained or a permanent representative is appointed in Germany; or</w:t>
            </w:r>
          </w:p>
        </w:tc>
      </w:tr>
      <w:tr>
        <w:trPr/>
        <w:tc>
          <w:tcPr>
            <w:tcW w:w="60" w:type="dxa"/>
            <w:tcBorders/>
            <w:vAlign w:val="center"/>
          </w:tcPr>
          <w:p>
            <w:pPr>
              <w:pStyle w:val="TableContents"/>
              <w:bidi w:val="0"/>
              <w:spacing w:before="0" w:after="283"/>
              <w:jc w:val="both"/>
              <w:rPr/>
            </w:pPr>
            <w:r>
              <w:rPr/>
              <w:t> </w:t>
            </w:r>
          </w:p>
        </w:tc>
        <w:tc>
          <w:tcPr>
            <w:tcW w:w="29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91"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(iii)</w:t>
            </w:r>
          </w:p>
        </w:tc>
        <w:tc>
          <w:tcPr>
            <w:tcW w:w="9854"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irrespective of the personal circumstances at least 10% of the shares are held, directly or indirectly by the decedent or donor, himself or together with a related party in terms of Section 1 para. 2 Foreign Tax Act (</w:t>
            </w:r>
            <w:r>
              <w:rPr>
                <w:rFonts w:ascii="Times New Roman" w:hAnsi="Times New Roman"/>
                <w:i/>
                <w:caps w:val="false"/>
                <w:smallCaps w:val="false"/>
                <w:sz w:val="20"/>
              </w:rPr>
              <w:t>Au</w:t>
            </w:r>
            <w:r>
              <w:rPr>
                <w:rFonts w:ascii="Times New Roman" w:hAnsi="Times New Roman"/>
                <w:caps w:val="false"/>
                <w:smallCaps w:val="false"/>
                <w:sz w:val="20"/>
              </w:rPr>
              <w:t>ß</w:t>
            </w:r>
            <w:r>
              <w:rPr>
                <w:rFonts w:ascii="Times New Roman" w:hAnsi="Times New Roman"/>
                <w:i/>
                <w:caps w:val="false"/>
                <w:smallCaps w:val="false"/>
                <w:sz w:val="20"/>
              </w:rPr>
              <w:t>ensteuergesetz</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Special regulations apply to qualified German citizens who maintain neither a residence nor their domicile in Germany but in a low tax jurisdiction, and to former German citizens, also resulting in inheritance and gift tax provided that certain conditions are met. The few double tax treaties on inheritance and gift tax which Germany has entered seek to prevent or mitigate a double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Abolishment of Solidarity Surcharge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solidarity surcharge (</w:t>
      </w:r>
      <w:r>
        <w:rPr>
          <w:rFonts w:ascii="Times New Roman" w:hAnsi="Times New Roman"/>
          <w:i/>
          <w:caps w:val="false"/>
          <w:smallCaps w:val="false"/>
          <w:sz w:val="20"/>
        </w:rPr>
        <w:t>Solidarit</w:t>
      </w:r>
      <w:r>
        <w:rPr>
          <w:rFonts w:ascii="Times New Roman" w:hAnsi="Times New Roman"/>
          <w:caps w:val="false"/>
          <w:smallCaps w:val="false"/>
          <w:sz w:val="20"/>
        </w:rPr>
        <w:t>ä</w:t>
      </w:r>
      <w:r>
        <w:rPr>
          <w:rFonts w:ascii="Times New Roman" w:hAnsi="Times New Roman"/>
          <w:i/>
          <w:caps w:val="false"/>
          <w:smallCaps w:val="false"/>
          <w:sz w:val="20"/>
        </w:rPr>
        <w:t>tszuschlag</w:t>
      </w:r>
      <w:r>
        <w:rPr>
          <w:rFonts w:ascii="Times New Roman" w:hAnsi="Times New Roman"/>
          <w:caps w:val="false"/>
          <w:smallCaps w:val="false"/>
          <w:sz w:val="20"/>
        </w:rPr>
        <w:t>) has been partially abolished as of the assessment period 2021 for certain individuals. The solidarity surcharge shall, however, continue to apply for capital investment in general and, thus, on final withholding taxes levied. If, however, the withholding tax is not final or not levied at all, as the respective shares are held as business assets, solidarity surcharge may not be levied or levied at a reduced amount, depending on the circumstances of the individual. In addition, the solidarity surcharge continues to apply to 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left"/>
        <w:rPr>
          <w:rFonts w:ascii="Times New Roman" w:hAnsi="Times New Roman"/>
          <w:b/>
          <w:i/>
          <w:caps w:val="false"/>
          <w:smallCaps w:val="false"/>
          <w:sz w:val="20"/>
        </w:rPr>
      </w:pPr>
      <w:r>
        <w:rPr>
          <w:rFonts w:ascii="Times New Roman" w:hAnsi="Times New Roman"/>
          <w:b/>
          <w:i/>
          <w:caps w:val="false"/>
          <w:smallCaps w:val="false"/>
          <w:sz w:val="20"/>
        </w:rPr>
        <w:t>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 German capital transfer tax (</w:t>
      </w:r>
      <w:r>
        <w:rPr>
          <w:rFonts w:ascii="Times New Roman" w:hAnsi="Times New Roman"/>
          <w:i/>
          <w:caps w:val="false"/>
          <w:smallCaps w:val="false"/>
          <w:sz w:val="20"/>
        </w:rPr>
        <w:t>Kapitalverkehrsteuer</w:t>
      </w:r>
      <w:r>
        <w:rPr>
          <w:rFonts w:ascii="Times New Roman" w:hAnsi="Times New Roman"/>
          <w:caps w:val="false"/>
          <w:smallCaps w:val="false"/>
          <w:sz w:val="20"/>
        </w:rPr>
        <w:t>), value-added tax (</w:t>
      </w:r>
      <w:r>
        <w:rPr>
          <w:rFonts w:ascii="Times New Roman" w:hAnsi="Times New Roman"/>
          <w:i/>
          <w:caps w:val="false"/>
          <w:smallCaps w:val="false"/>
          <w:sz w:val="20"/>
        </w:rPr>
        <w:t>Umsatzsteuer</w:t>
      </w:r>
      <w:r>
        <w:rPr>
          <w:rFonts w:ascii="Times New Roman" w:hAnsi="Times New Roman"/>
          <w:caps w:val="false"/>
          <w:smallCaps w:val="false"/>
          <w:sz w:val="20"/>
        </w:rPr>
        <w:t>), stamp duty (</w:t>
      </w:r>
      <w:r>
        <w:rPr>
          <w:rFonts w:ascii="Times New Roman" w:hAnsi="Times New Roman"/>
          <w:i/>
          <w:caps w:val="false"/>
          <w:smallCaps w:val="false"/>
          <w:sz w:val="20"/>
        </w:rPr>
        <w:t>Stempelgeb</w:t>
      </w:r>
      <w:r>
        <w:rPr>
          <w:rFonts w:ascii="Times New Roman" w:hAnsi="Times New Roman"/>
          <w:caps w:val="false"/>
          <w:smallCaps w:val="false"/>
          <w:sz w:val="20"/>
        </w:rPr>
        <w:t>ü</w:t>
      </w:r>
      <w:r>
        <w:rPr>
          <w:rFonts w:ascii="Times New Roman" w:hAnsi="Times New Roman"/>
          <w:i/>
          <w:caps w:val="false"/>
          <w:smallCaps w:val="false"/>
          <w:sz w:val="20"/>
        </w:rPr>
        <w:t>hr</w:t>
      </w:r>
      <w:r>
        <w:rPr>
          <w:rFonts w:ascii="Times New Roman" w:hAnsi="Times New Roman"/>
          <w:caps w:val="false"/>
          <w:smallCaps w:val="false"/>
          <w:sz w:val="20"/>
        </w:rPr>
        <w:t>) or similar taxes are levied when acquiring, holding or transferring shares in a company. No value-added tax will be levied unless the shareholder validly opts for it. Net wealth tax (</w:t>
      </w:r>
      <w:r>
        <w:rPr>
          <w:rFonts w:ascii="Times New Roman" w:hAnsi="Times New Roman"/>
          <w:i/>
          <w:caps w:val="false"/>
          <w:smallCaps w:val="false"/>
          <w:sz w:val="20"/>
        </w:rPr>
        <w:t>Verm</w:t>
      </w:r>
      <w:r>
        <w:rPr>
          <w:rFonts w:ascii="Times New Roman" w:hAnsi="Times New Roman"/>
          <w:caps w:val="false"/>
          <w:smallCaps w:val="false"/>
          <w:sz w:val="20"/>
        </w:rPr>
        <w:t>ö</w:t>
      </w:r>
      <w:r>
        <w:rPr>
          <w:rFonts w:ascii="Times New Roman" w:hAnsi="Times New Roman"/>
          <w:i/>
          <w:caps w:val="false"/>
          <w:smallCaps w:val="false"/>
          <w:sz w:val="20"/>
        </w:rPr>
        <w:t>gensteuer</w:t>
      </w:r>
      <w:r>
        <w:rPr>
          <w:rFonts w:ascii="Times New Roman" w:hAnsi="Times New Roman"/>
          <w:caps w:val="false"/>
          <w:smallCaps w:val="false"/>
          <w:sz w:val="20"/>
        </w:rPr>
        <w:t>) is currently not levied in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January 22, 2013, the Council of the EU approved the resolution of the ministers of finance from 11 EU member states (including Germany) to introduce a Financial Transaction Tax (“FTT”) within the framework of enhanced cooperation. On February 14, 2013, the European Commission published a proposal for a Council Directive implementing enhanced cooperation in the area of financial transaction tax. The plan focuses on levying a tax of 0.1% (0.01% for derivatives) on the purchase and sale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December 9, 2019, the German Federal Finance Minister announced another proposal for a directive for a financial transaction tax by way of an enhanced cooperation mechanism with 9 other participating EU member states (“New FTT”). Such proposal was revised again in April 2020. In addition, the German Federal Finance Ministry further prepared the implementation of the FTT or the New FTT by the creation of a new department (</w:t>
      </w:r>
      <w:r>
        <w:rPr>
          <w:rFonts w:ascii="Times New Roman" w:hAnsi="Times New Roman"/>
          <w:i/>
          <w:caps w:val="false"/>
          <w:smallCaps w:val="false"/>
          <w:sz w:val="20"/>
        </w:rPr>
        <w:t>Referat</w:t>
      </w:r>
      <w:r>
        <w:rPr>
          <w:rFonts w:ascii="Times New Roman" w:hAnsi="Times New Roman"/>
          <w:caps w:val="false"/>
          <w:smallCaps w:val="false"/>
          <w:sz w:val="20"/>
        </w:rPr>
        <w:t>) within the German Federal Finance Ministry. Such new department is referred to as “</w:t>
      </w:r>
      <w:r>
        <w:rPr>
          <w:rFonts w:ascii="Times New Roman" w:hAnsi="Times New Roman"/>
          <w:i/>
          <w:caps w:val="false"/>
          <w:smallCaps w:val="false"/>
          <w:sz w:val="20"/>
        </w:rPr>
        <w:t>Finanztransaktionssteuer</w:t>
      </w:r>
      <w:r>
        <w:rPr>
          <w:rFonts w:ascii="Times New Roman" w:hAnsi="Times New Roman"/>
          <w:caps w:val="false"/>
          <w:smallCaps w:val="false"/>
          <w:sz w:val="20"/>
        </w:rPr>
        <w:t>” (financial transaction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February 2021, the Portuguese Presidency of the Council of the EU proposed an inclusive discussion among all EU member states on tax design issues of the FTT at EU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FTT and the New FTT proposal remain subject to negotiation between the participating EU member states and are subject to political discussion. They may, therefore, be altered prior to the implementation, the timing of which remains unclear. Additional EU member states may decide to participate.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Prospective holders of the shares are advised to seek their own professional advice in relation to FTT.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b/>
          <w:caps w:val="false"/>
          <w:smallCaps w:val="false"/>
          <w:sz w:val="20"/>
        </w:rPr>
        <w:t>U.S. Federal Income Tax Considerations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This section describes United States federal income tax considerations generally applicable to owning ordinary shares. It applies to you only if you are a U.S. holder, as defined below, and you hold your ordinary shares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apply to you if you are a member of a special class of holders subject to special rules,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broker or dealer in securities,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trader in securities that elects to use a mark-to-market method of accounting for securities holdings,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tax-exempt organization or governmental organization,</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tax-qualified retirement plan,</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bank, insurance company or other financial institution,</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real estate investment trust or regulated investment company,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person that actually or constructively owns 10% or more of the combined voting power of our voting stock or of the total value of our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person that holds ordinary shares as part of a straddle or a hedging or conversion transaction,</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person that purchases or sells ordinary shares as part of a wash sale for tax purposes,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U.S. holder (as defined below) whose functional currency is not the U.S. dollar,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U.S. expatriate or former citizen or long-term resident of the United States,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corporation that accumulates earnings to avoid U.S. federal income tax,</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an S corporation, partnership or other entity or arrangement treated as a partnership for U.S. federal income tax purposes (and investors therein), or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person deemed to sell ordinary shares under the constructive sale provisions of the Internal Revenue Code of 1986.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This section is based on the Internal Revenue Code of 1986, as amended, its legislative history, existing and proposed regulations, published rulings and court decisions, all as currently in effect, as well as on the Convention Between the United States of America and Germany (the “Treaty”). These laws are subject to change, possibly on a retroactive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an entity or arrangement that is treated as a partnership for United States federal income tax purposes holds the ordinary shares, the United States federal income tax treatment of a partner will generally depend on the status of the partner and the tax treatment of the partnership. A partner in a partnership holding the ordinary shares should consult its tax advisor with regard to the United States federal income tax treatment of an investment in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You are a U.S. holder if you are a beneficial owner of ordinary shares and you are,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citizen or resident of the United States,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domestic corporation,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an estate whose income is subject to United States federal income tax regardless of its source,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trust if a United States court can exercise primary supervision over the trust’s administration and one or more United States persons are authorized to control all substantial decisions of the trust.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10205"/>
      </w:tblGrid>
      <w:tr>
        <w:trPr/>
        <w:tc>
          <w:tcPr>
            <w:tcW w:w="102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firstLine="20"/>
              <w:jc w:val="both"/>
              <w:rPr>
                <w:rFonts w:ascii="Times New Roman" w:hAnsi="Times New Roman"/>
                <w:i/>
                <w:caps w:val="false"/>
                <w:smallCaps w:val="false"/>
                <w:sz w:val="20"/>
              </w:rPr>
            </w:pPr>
            <w:r>
              <w:rPr>
                <w:rFonts w:ascii="Times New Roman" w:hAnsi="Times New Roman"/>
                <w:i/>
                <w:caps w:val="false"/>
                <w:smallCaps w:val="false"/>
                <w:sz w:val="20"/>
              </w:rPr>
              <w:t>You should consult your own tax advisor regarding the United States federal, state and local tax consequences of owning and disposing of shares and ordinary shares in your particular circumstances.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Except as described below under “</w:t>
      </w:r>
      <w:r>
        <w:rPr>
          <w:rFonts w:ascii="Times New Roman" w:hAnsi="Times New Roman"/>
          <w:i/>
          <w:caps w:val="false"/>
          <w:smallCaps w:val="false"/>
          <w:sz w:val="20"/>
        </w:rPr>
        <w:t>PFIC Rules</w:t>
      </w:r>
      <w:r>
        <w:rPr>
          <w:rFonts w:ascii="Times New Roman" w:hAnsi="Times New Roman"/>
          <w:caps w:val="false"/>
          <w:smallCaps w:val="false"/>
          <w:sz w:val="20"/>
        </w:rPr>
        <w:t>,” this discussion assumes that we are not, and will not become, a PFIC for United States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gross amount of any distribution we pay out of our current or accumulated earnings and profits (as determined for United States federal income tax purposes), other than certain pro-rata distributions of our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ordinary shares for more than 60 days during the 121-day period beginning 60 days before the ex-dividend date and other requirements are met. Dividends we pay with respect to the ordinary shares generally will be qualified dividend income provided that, in the year that you receive the dividend, either we are eligible for the benefits of the Treaty or the ordinary shares are readily tradable on an established securities market in the United States. Our ordinary shares are not currently readily tradable on an established securities market in the United States and we cannot predict whether we will qualify for the benefits of the Treaty in any taxable year in which we distribute a dividend. It is therefore possible that any dividends that we may distribute in the future on the ordinary shares will not be treated as qualified dividend income that is subject to tax at preferential tax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You must include any German tax withheld from the dividend payment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convert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ordinary shares and thereafter as capital gain. However, we do not expect to calculate earnings and profits in accordance with United States federal income tax principles. Accordingly, you should expect to generally treat distributions we make as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Subject to certain limitations, the German tax withheld in accordance with the Treaty and paid over to Germany will be creditable or deductible against your United States federal income tax liability. However, under Treasury regulations, it is possible that such withholding taxes will not be creditable unless you are eligible to claim the benefits of the Treaty and elect to apply the Treaty.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w:t>
      </w:r>
      <w:r>
        <w:rPr>
          <w:rFonts w:ascii="Times New Roman" w:hAnsi="Times New Roman"/>
          <w:i/>
          <w:caps w:val="false"/>
          <w:smallCaps w:val="false"/>
          <w:sz w:val="20"/>
        </w:rPr>
        <w:t>Material German Tax Considerations</w:t>
      </w:r>
      <w:r>
        <w:rPr>
          <w:rFonts w:ascii="Times New Roman" w:hAnsi="Times New Roman"/>
          <w:caps w:val="false"/>
          <w:smallCaps w:val="false"/>
          <w:sz w:val="20"/>
        </w:rPr>
        <w:t>—</w:t>
      </w:r>
      <w:r>
        <w:rPr>
          <w:rFonts w:ascii="Times New Roman" w:hAnsi="Times New Roman"/>
          <w:i/>
          <w:caps w:val="false"/>
          <w:smallCaps w:val="false"/>
          <w:sz w:val="20"/>
        </w:rPr>
        <w:t>Dividends Tax</w:t>
      </w:r>
      <w:r>
        <w:rPr>
          <w:rFonts w:ascii="Times New Roman" w:hAnsi="Times New Roman"/>
          <w:caps w:val="false"/>
          <w:smallCaps w:val="false"/>
          <w:sz w:val="20"/>
        </w:rPr>
        <w:t>—</w:t>
      </w:r>
      <w:r>
        <w:rPr>
          <w:rFonts w:ascii="Times New Roman" w:hAnsi="Times New Roman"/>
          <w:i/>
          <w:caps w:val="false"/>
          <w:smallCaps w:val="false"/>
          <w:sz w:val="20"/>
        </w:rPr>
        <w:t>Withholding Tax on Dividends</w:t>
      </w:r>
      <w:r>
        <w:rPr>
          <w:rFonts w:ascii="Times New Roman" w:hAnsi="Times New Roman"/>
          <w:caps w:val="false"/>
          <w:smallCaps w:val="false"/>
          <w:sz w:val="20"/>
        </w:rPr>
        <w:t>,” above, for the procedures for obtaining a tax refund.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Sale or Disposition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you sell or otherwise dispose of your ordinary shares, you will recognize capital gain or loss for United States federal income tax purposes equal to the difference between the amount that you realize and your tax basis in your ordinary shares.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PFIC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Based on the composition of our income and valuation of our assets, including goodwill, we believe that we were not a PFIC in our taxable year ended December 31, 2022. However, this conclusion is a factual determination that is made annually and thus may be subject to change. Our position that we were not a PFIC in the 2022 taxable year was in part based on the market value of our goodwill. As the value of our ordinary shares, and thus the market value of our goodwill, has declined in 2023, it is possible that we could be a PFIC in our 2023 taxable year or in a future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general we will be a PFIC in a taxable year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at least 75% of our gross income for the taxable year is passive income,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at least 50% of the value, determined on the basis of a quarterly average, of our assets is attributable to assets that produce or are held for the production of passive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caps w:val="false"/>
          <w:smallCaps w:val="false"/>
        </w:rPr>
      </w:pPr>
      <w:r>
        <w:rPr>
          <w:caps w:val="false"/>
          <w:smallCaps w:val="false"/>
        </w:rPr>
        <w:t>“</w:t>
      </w:r>
      <w:r>
        <w:rPr>
          <w:rFonts w:ascii="Times New Roman" w:hAnsi="Times New Roman"/>
          <w:caps w:val="false"/>
          <w:smallCaps w:val="false"/>
          <w:sz w:val="20"/>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treated as a PFIC, and you did not make a mark-to-market election, as described below, you will generally be subject to special rules with respect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any gain you realize on the sale or other disposition of your ordinary shares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any excess distribution that we make to you (generally, any distributions to you during a single taxable year, other than the taxable year in which your holding period in the ordinary shares begins, that are greater than 125% of the average annual distributions received by you in respect of the ordinary shares during the three preceding taxable years or, if shorter, your holding period for the ordinary shares that preceded the taxable year in which you receive the distribution).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Under these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gain or excess distribution will be allocated ratably over your holding period for the ordinary shares,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amount allocated to the taxable year in which you realized the gain or excess distribution or to prior years before the first year in which we were a PFIC with respect to you will be taxed as ordinary income,</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amount allocated to each other prior year will be taxed at the highest tax rate in effect for that year,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the interest charge generally applicable to underpayments of tax will be imposed in respect of the tax attributable to each such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Special rules apply for calculating the amount of the foreign tax credit with respect to excess distributions by a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 PFIC in a taxable year and our ordinary shares are treated as “marketable stock” in such year, you may make a mark-to-market election with respect to your ordinary shares. If you make this election, you will not be subject to the PFIC rules described above. Instead, in general, you will include as ordinary income each year the excess, if any, of the fair market value of your ordinary shares at the end of the taxable year over your adjusted basis in your ordinary shares. You will also be allowed to take an ordinary loss in respect of the excess, if any, of the adjusted basis of your ordinary shares over their fair market value at the end of the taxable year (but only to the extent of the net amount of previously included income as a result of the mark-to-market election). Your basis in the ordinary shares will be adjusted to reflect any such income or loss amounts. Any gain that you recognize on the sale or other disposition of your ordinary shares would be ordinary income and any loss would be an ordinary loss to the extent of the net amount of previously included income as a result of the mark-to-market election and, thereafter, a capital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Because we do not intend to provide the information necessary for a U.S. holder to comply with the requirements of a “qualified electing fund” election, such election will not be available to you with respect to your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Your ordinary shares will generally be treated as stock in a PFIC if we were a PFIC at any time during your holding period in your ordinary shares, even if we are not currently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In addition, notwithstanding any election you make with regard to the ordinary shares,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If you own ordinary shares during any year that we are a PFIC with respect to you, you may be required to file U.S. Internal Revenue Service Form 8621.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b/>
          <w:i/>
          <w:caps w:val="false"/>
          <w:smallCaps w:val="false"/>
          <w:sz w:val="20"/>
        </w:rPr>
      </w:pPr>
      <w:r>
        <w:rPr>
          <w:rFonts w:ascii="Times New Roman" w:hAnsi="Times New Roman"/>
          <w:b/>
          <w:i/>
          <w:caps w:val="false"/>
          <w:smallCaps w:val="false"/>
          <w:sz w:val="20"/>
        </w:rPr>
        <w:t>Shareholder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U.S. Holders are urged to contact their tax advisors regarding the application of these filing requirements to their ownership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b/>
          <w:caps w:val="false"/>
          <w:smallCaps w:val="false"/>
          <w:sz w:val="20"/>
        </w:rPr>
        <w:t>THE DISCUSSION ABOVE IS A GENERAL SUMMARY. IT DOES NOT COVER ALL TAX MATTERS THAT MAY BE IMPORTANT TO YOU. EACH PROSPECTIVE PURCHASER SHOULD CONSULT ITS OWN TAX ADVISOR ABOUT THE TAX CONSEQUENCES OF AN INVESTMENT IN SHARES UNDER THE INVESTOR</w:t>
      </w:r>
      <w:r>
        <w:rPr>
          <w:rFonts w:ascii="Times New Roman" w:hAnsi="Times New Roman"/>
          <w:caps w:val="false"/>
          <w:smallCaps w:val="false"/>
          <w:sz w:val="20"/>
        </w:rPr>
        <w:t>’</w:t>
      </w:r>
      <w:r>
        <w:rPr>
          <w:rFonts w:ascii="Times New Roman" w:hAnsi="Times New Roman"/>
          <w:b/>
          <w:caps w:val="false"/>
          <w:smallCaps w:val="false"/>
          <w:sz w:val="20"/>
        </w:rPr>
        <w:t>S OWN CIRCUMSTANCES.</w:t>
      </w:r>
    </w:p>
    <w:p>
      <w:pPr>
        <w:pStyle w:val="TextBody"/>
        <w:bidi w:val="0"/>
        <w:spacing w:before="0" w:after="0"/>
        <w:ind w:left="0" w:right="0" w:hanging="0"/>
        <w:jc w:val="left"/>
        <w:rPr>
          <w:caps w:val="false"/>
          <w:smallCaps w:val="false"/>
        </w:rPr>
      </w:pPr>
      <w:r>
        <w:rPr>
          <w:caps w:val="false"/>
          <w:smallCaps w:val="false"/>
        </w:rPr>
        <w:t> </w:t>
      </w:r>
    </w:p>
    <w:tbl>
      <w:tblPr>
        <w:tblW w:w="2705" w:type="dxa"/>
        <w:jc w:val="left"/>
        <w:tblInd w:w="0" w:type="dxa"/>
        <w:tblLayout w:type="fixed"/>
        <w:tblCellMar>
          <w:top w:w="0" w:type="dxa"/>
          <w:left w:w="0" w:type="dxa"/>
          <w:bottom w:w="0" w:type="dxa"/>
          <w:right w:w="0" w:type="dxa"/>
        </w:tblCellMar>
      </w:tblPr>
      <w:tblGrid>
        <w:gridCol w:w="205"/>
        <w:gridCol w:w="2500"/>
      </w:tblGrid>
      <w:tr>
        <w:trPr/>
        <w:tc>
          <w:tcPr>
            <w:tcW w:w="20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55" w:name="P1I10F"/>
            <w:bookmarkEnd w:id="55"/>
            <w:r>
              <w:rPr>
                <w:rFonts w:ascii="Times New Roman" w:hAnsi="Times New Roman"/>
                <w:b/>
                <w:caps w:val="false"/>
                <w:smallCaps w:val="false"/>
                <w:sz w:val="20"/>
              </w:rPr>
              <w:t>F.</w:t>
            </w:r>
          </w:p>
        </w:tc>
        <w:tc>
          <w:tcPr>
            <w:tcW w:w="250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Dividends and Paying Agents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235"/>
        <w:gridCol w:w="1840"/>
      </w:tblGrid>
      <w:tr>
        <w:trPr/>
        <w:tc>
          <w:tcPr>
            <w:tcW w:w="23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56" w:name="P1I10G"/>
            <w:bookmarkEnd w:id="56"/>
            <w:r>
              <w:rPr>
                <w:rFonts w:ascii="Times New Roman" w:hAnsi="Times New Roman"/>
                <w:b/>
                <w:caps w:val="false"/>
                <w:smallCaps w:val="false"/>
                <w:sz w:val="20"/>
              </w:rPr>
              <w:t>G.</w:t>
            </w:r>
          </w:p>
        </w:tc>
        <w:tc>
          <w:tcPr>
            <w:tcW w:w="184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Statement by Experts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150" w:type="dxa"/>
        <w:jc w:val="left"/>
        <w:tblInd w:w="0" w:type="dxa"/>
        <w:tblLayout w:type="fixed"/>
        <w:tblCellMar>
          <w:top w:w="0" w:type="dxa"/>
          <w:left w:w="0" w:type="dxa"/>
          <w:bottom w:w="0" w:type="dxa"/>
          <w:right w:w="0" w:type="dxa"/>
        </w:tblCellMar>
      </w:tblPr>
      <w:tblGrid>
        <w:gridCol w:w="235"/>
        <w:gridCol w:w="1915"/>
      </w:tblGrid>
      <w:tr>
        <w:trPr/>
        <w:tc>
          <w:tcPr>
            <w:tcW w:w="23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57" w:name="P1I10H"/>
            <w:bookmarkEnd w:id="57"/>
            <w:r>
              <w:rPr>
                <w:rFonts w:ascii="Times New Roman" w:hAnsi="Times New Roman"/>
                <w:b/>
                <w:caps w:val="false"/>
                <w:smallCaps w:val="false"/>
                <w:sz w:val="20"/>
              </w:rPr>
              <w:t>H.</w:t>
            </w:r>
          </w:p>
        </w:tc>
        <w:tc>
          <w:tcPr>
            <w:tcW w:w="191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Documents on Display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also make available on our investor relations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https://ir.sonomotors.com/. The information contained on our website is not incorporated by reference in this Annual Report and our website address is included in this Annual Report as an inactive textual reference only.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Statements contained in this Annual Report regarding the contents of any contract or other document are not necessarily complete, and, where the contract or other document is an exhibit to the Annual Report, each of these statements is qualified in all respects by the provisions of the actual contract or other documents.</w:t>
      </w:r>
    </w:p>
    <w:p>
      <w:pPr>
        <w:pStyle w:val="TextBody"/>
        <w:bidi w:val="0"/>
        <w:spacing w:before="0" w:after="0"/>
        <w:ind w:left="0" w:right="0" w:hanging="0"/>
        <w:jc w:val="left"/>
        <w:rPr>
          <w:caps w:val="false"/>
          <w:smallCaps w:val="false"/>
        </w:rPr>
      </w:pPr>
      <w:r>
        <w:rPr>
          <w:caps w:val="false"/>
          <w:smallCaps w:val="false"/>
        </w:rPr>
        <w:t> </w:t>
      </w:r>
    </w:p>
    <w:tbl>
      <w:tblPr>
        <w:tblW w:w="2240" w:type="dxa"/>
        <w:jc w:val="left"/>
        <w:tblInd w:w="0" w:type="dxa"/>
        <w:tblLayout w:type="fixed"/>
        <w:tblCellMar>
          <w:top w:w="0" w:type="dxa"/>
          <w:left w:w="0" w:type="dxa"/>
          <w:bottom w:w="0" w:type="dxa"/>
          <w:right w:w="0" w:type="dxa"/>
        </w:tblCellMar>
      </w:tblPr>
      <w:tblGrid>
        <w:gridCol w:w="160"/>
        <w:gridCol w:w="2080"/>
      </w:tblGrid>
      <w:tr>
        <w:trPr/>
        <w:tc>
          <w:tcPr>
            <w:tcW w:w="16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58" w:name="P1I10I"/>
            <w:bookmarkEnd w:id="58"/>
            <w:r>
              <w:rPr>
                <w:rFonts w:ascii="Times New Roman" w:hAnsi="Times New Roman"/>
                <w:b/>
                <w:caps w:val="false"/>
                <w:smallCaps w:val="false"/>
                <w:sz w:val="20"/>
              </w:rPr>
              <w:t>I.</w:t>
            </w:r>
          </w:p>
        </w:tc>
        <w:tc>
          <w:tcPr>
            <w:tcW w:w="208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Subsidiary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7850" w:type="dxa"/>
        <w:jc w:val="left"/>
        <w:tblInd w:w="0" w:type="dxa"/>
        <w:tblLayout w:type="fixed"/>
        <w:tblCellMar>
          <w:top w:w="0" w:type="dxa"/>
          <w:left w:w="0" w:type="dxa"/>
          <w:bottom w:w="0" w:type="dxa"/>
          <w:right w:w="0" w:type="dxa"/>
        </w:tblCellMar>
      </w:tblPr>
      <w:tblGrid>
        <w:gridCol w:w="865"/>
        <w:gridCol w:w="6985"/>
      </w:tblGrid>
      <w:tr>
        <w:trPr/>
        <w:tc>
          <w:tcPr>
            <w:tcW w:w="8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59" w:name="P1I11"/>
            <w:bookmarkEnd w:id="59"/>
            <w:r>
              <w:rPr>
                <w:rFonts w:ascii="Times New Roman" w:hAnsi="Times New Roman"/>
                <w:b/>
                <w:caps w:val="false"/>
                <w:smallCaps w:val="false"/>
                <w:sz w:val="20"/>
              </w:rPr>
              <w:t>ITEM 11.</w:t>
            </w:r>
          </w:p>
        </w:tc>
        <w:tc>
          <w:tcPr>
            <w:tcW w:w="698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 xml:space="preserve">We are exposed to a variety of risks in the ordinary course of our business, including, but not limited to, credit risk, liquidity risk and interest rate risk. We regularly assess each of these risks to minimize any adverse effects on our business as a result of those factors. For discussion and sensitivity analyses of our exposure to these risks, see “Note </w:t>
      </w:r>
      <w:r>
        <w:rPr>
          <w:rFonts w:ascii="Times New Roman" w:hAnsi="Times New Roman"/>
          <w:i/>
          <w:caps w:val="false"/>
          <w:smallCaps w:val="false"/>
          <w:sz w:val="20"/>
        </w:rPr>
        <w:t>8.1 Type and management of financial risks</w:t>
      </w:r>
      <w:r>
        <w:rPr>
          <w:rFonts w:ascii="Times New Roman" w:hAnsi="Times New Roman"/>
          <w:caps w:val="false"/>
          <w:smallCaps w:val="false"/>
          <w:sz w:val="20"/>
        </w:rPr>
        <w:t>” to the consolidated financial statements included in this Annual Report. For a discussion of the risks associated with our difficult liquidity situation due to need for substantial external financing, including the material risk that we may be unable to continue as a going concern and prevent insolvency, see “</w:t>
      </w:r>
      <w:r>
        <w:rPr>
          <w:rFonts w:ascii="Times New Roman" w:hAnsi="Times New Roman"/>
          <w:i/>
          <w:caps w:val="false"/>
          <w:smallCaps w:val="false"/>
          <w:sz w:val="20"/>
        </w:rPr>
        <w:t>Note 8.1.3 Liquidity risk</w:t>
      </w:r>
      <w:r>
        <w:rPr>
          <w:rFonts w:ascii="Times New Roman" w:hAnsi="Times New Roman"/>
          <w:caps w:val="false"/>
          <w:smallCaps w:val="false"/>
          <w:sz w:val="20"/>
        </w:rPr>
        <w:t>” and “</w:t>
      </w:r>
      <w:r>
        <w:rPr>
          <w:rFonts w:ascii="Times New Roman" w:hAnsi="Times New Roman"/>
          <w:i/>
          <w:caps w:val="false"/>
          <w:smallCaps w:val="false"/>
          <w:sz w:val="20"/>
        </w:rPr>
        <w:t>Note 4.12.1 Going concern</w:t>
      </w:r>
      <w:r>
        <w:rPr>
          <w:rFonts w:ascii="Times New Roman" w:hAnsi="Times New Roman"/>
          <w:caps w:val="false"/>
          <w:smallCaps w:val="false"/>
          <w:sz w:val="20"/>
        </w:rPr>
        <w:t>” to the consolidated financial statements included in this Annual Report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Our Business and Operations</w:t>
      </w:r>
      <w:r>
        <w:rPr>
          <w:rFonts w:ascii="Times New Roman" w:hAnsi="Times New Roman"/>
          <w:caps w:val="false"/>
          <w:smallCaps w:val="false"/>
          <w:sz w:val="20"/>
        </w:rPr>
        <w:t>—</w:t>
      </w:r>
      <w:r>
        <w:rPr>
          <w:rFonts w:ascii="Times New Roman" w:hAnsi="Times New Roman"/>
          <w:i/>
          <w:caps w:val="false"/>
          <w:smallCaps w:val="false"/>
          <w:sz w:val="20"/>
        </w:rPr>
        <w:t>We are an early-stage company with a history of significant losses that recently adapted its business model and expects continuing losses for the foreseeable future, which means that our ability to prevent insolvency and continue as a going concern and, if we are successful in doing so, to accomplish any of our business plans depends on our ability to imminently raise significant external financing</w:t>
      </w:r>
      <w:r>
        <w:rPr>
          <w:rFonts w:ascii="Times New Roman" w:hAnsi="Times New Roman"/>
          <w:caps w:val="false"/>
          <w:smallCaps w:val="false"/>
          <w:sz w:val="20"/>
        </w:rPr>
        <w:t>” and “</w:t>
      </w:r>
      <w:r>
        <w:rPr>
          <w:rFonts w:ascii="Times New Roman" w:hAnsi="Times New Roman"/>
          <w:i/>
          <w:caps w:val="false"/>
          <w:smallCaps w:val="false"/>
          <w:sz w:val="20"/>
        </w:rPr>
        <w:t>Item 3. Key Information</w:t>
      </w:r>
      <w:r>
        <w:rPr>
          <w:rFonts w:ascii="Times New Roman" w:hAnsi="Times New Roman"/>
          <w:caps w:val="false"/>
          <w:smallCaps w:val="false"/>
          <w:sz w:val="20"/>
        </w:rPr>
        <w:t>—</w:t>
      </w:r>
      <w:r>
        <w:rPr>
          <w:rFonts w:ascii="Times New Roman" w:hAnsi="Times New Roman"/>
          <w:i/>
          <w:caps w:val="false"/>
          <w:smallCaps w:val="false"/>
          <w:sz w:val="20"/>
        </w:rPr>
        <w:t>D. Risk Factors</w:t>
      </w:r>
      <w:r>
        <w:rPr>
          <w:rFonts w:ascii="Times New Roman" w:hAnsi="Times New Roman"/>
          <w:caps w:val="false"/>
          <w:smallCaps w:val="false"/>
          <w:sz w:val="20"/>
        </w:rPr>
        <w:t>—</w:t>
      </w:r>
      <w:r>
        <w:rPr>
          <w:rFonts w:ascii="Times New Roman" w:hAnsi="Times New Roman"/>
          <w:i/>
          <w:caps w:val="false"/>
          <w:smallCaps w:val="false"/>
          <w:sz w:val="20"/>
        </w:rPr>
        <w:t>Risks Related to Our Business and Operations</w:t>
      </w:r>
      <w:r>
        <w:rPr>
          <w:rFonts w:ascii="Times New Roman" w:hAnsi="Times New Roman"/>
          <w:caps w:val="false"/>
          <w:smallCaps w:val="false"/>
          <w:sz w:val="20"/>
        </w:rPr>
        <w:t>—</w:t>
      </w:r>
      <w:r>
        <w:rPr>
          <w:rFonts w:ascii="Times New Roman" w:hAnsi="Times New Roman"/>
          <w:i/>
          <w:caps w:val="false"/>
          <w:smallCaps w:val="false"/>
          <w:sz w:val="20"/>
        </w:rPr>
        <w:t>Management has concluded that there is substantial doubt about our ability to continue as a going concern in our financial reporting for past periods and if we are unable to successfully emerge from the pending Self-Administration Proceedings there is a material risk that we may be liquidated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145" w:type="dxa"/>
        <w:jc w:val="left"/>
        <w:tblInd w:w="0" w:type="dxa"/>
        <w:tblLayout w:type="fixed"/>
        <w:tblCellMar>
          <w:top w:w="0" w:type="dxa"/>
          <w:left w:w="0" w:type="dxa"/>
          <w:bottom w:w="0" w:type="dxa"/>
          <w:right w:w="0" w:type="dxa"/>
        </w:tblCellMar>
      </w:tblPr>
      <w:tblGrid>
        <w:gridCol w:w="865"/>
        <w:gridCol w:w="6280"/>
      </w:tblGrid>
      <w:tr>
        <w:trPr/>
        <w:tc>
          <w:tcPr>
            <w:tcW w:w="8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60" w:name="P1I12"/>
            <w:bookmarkEnd w:id="60"/>
            <w:r>
              <w:rPr>
                <w:rFonts w:ascii="Times New Roman" w:hAnsi="Times New Roman"/>
                <w:b/>
                <w:caps w:val="false"/>
                <w:smallCaps w:val="false"/>
                <w:sz w:val="20"/>
              </w:rPr>
              <w:t>ITEM 12.</w:t>
            </w:r>
          </w:p>
        </w:tc>
        <w:tc>
          <w:tcPr>
            <w:tcW w:w="628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DESCRIPTION OF SECURITIES OTHER THAN EQUITY SECURITIES</w:t>
            </w:r>
          </w:p>
        </w:tc>
      </w:tr>
    </w:tbl>
    <w:p>
      <w:pPr>
        <w:pStyle w:val="TextBody"/>
        <w:bidi w:val="0"/>
        <w:spacing w:before="0" w:after="0"/>
        <w:ind w:left="0" w:right="0" w:hanging="0"/>
        <w:jc w:val="left"/>
        <w:rPr>
          <w:caps w:val="false"/>
          <w:smallCaps w:val="false"/>
        </w:rPr>
      </w:pPr>
      <w:r>
        <w:rPr>
          <w:caps w:val="false"/>
          <w:smallCaps w:val="false"/>
        </w:rPr>
        <w:t> </w:t>
      </w:r>
    </w:p>
    <w:tbl>
      <w:tblPr>
        <w:tblW w:w="1565" w:type="dxa"/>
        <w:jc w:val="left"/>
        <w:tblInd w:w="0" w:type="dxa"/>
        <w:tblLayout w:type="fixed"/>
        <w:tblCellMar>
          <w:top w:w="0" w:type="dxa"/>
          <w:left w:w="0" w:type="dxa"/>
          <w:bottom w:w="0" w:type="dxa"/>
          <w:right w:w="0" w:type="dxa"/>
        </w:tblCellMar>
      </w:tblPr>
      <w:tblGrid>
        <w:gridCol w:w="220"/>
        <w:gridCol w:w="1345"/>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61" w:name="P1I12A"/>
            <w:bookmarkEnd w:id="61"/>
            <w:r>
              <w:rPr>
                <w:rFonts w:ascii="Times New Roman" w:hAnsi="Times New Roman"/>
                <w:b/>
                <w:caps w:val="false"/>
                <w:smallCaps w:val="false"/>
                <w:sz w:val="20"/>
              </w:rPr>
              <w:t>A.</w:t>
            </w:r>
          </w:p>
        </w:tc>
        <w:tc>
          <w:tcPr>
            <w:tcW w:w="134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220"/>
        <w:gridCol w:w="181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62" w:name="P1I12B"/>
            <w:bookmarkEnd w:id="62"/>
            <w:r>
              <w:rPr>
                <w:rFonts w:ascii="Times New Roman" w:hAnsi="Times New Roman"/>
                <w:b/>
                <w:caps w:val="false"/>
                <w:smallCaps w:val="false"/>
                <w:sz w:val="20"/>
              </w:rPr>
              <w:t>B.</w:t>
            </w:r>
          </w:p>
        </w:tc>
        <w:tc>
          <w:tcPr>
            <w:tcW w:w="181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Warrants and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670" w:type="dxa"/>
        <w:jc w:val="left"/>
        <w:tblInd w:w="0" w:type="dxa"/>
        <w:tblLayout w:type="fixed"/>
        <w:tblCellMar>
          <w:top w:w="0" w:type="dxa"/>
          <w:left w:w="0" w:type="dxa"/>
          <w:bottom w:w="0" w:type="dxa"/>
          <w:right w:w="0" w:type="dxa"/>
        </w:tblCellMar>
      </w:tblPr>
      <w:tblGrid>
        <w:gridCol w:w="220"/>
        <w:gridCol w:w="145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63" w:name="P1I12C"/>
            <w:bookmarkEnd w:id="63"/>
            <w:r>
              <w:rPr>
                <w:rFonts w:ascii="Times New Roman" w:hAnsi="Times New Roman"/>
                <w:b/>
                <w:caps w:val="false"/>
                <w:smallCaps w:val="false"/>
                <w:sz w:val="20"/>
              </w:rPr>
              <w:t>C.</w:t>
            </w:r>
          </w:p>
        </w:tc>
        <w:tc>
          <w:tcPr>
            <w:tcW w:w="145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Other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690" w:type="dxa"/>
        <w:jc w:val="left"/>
        <w:tblInd w:w="0" w:type="dxa"/>
        <w:tblLayout w:type="fixed"/>
        <w:tblCellMar>
          <w:top w:w="0" w:type="dxa"/>
          <w:left w:w="0" w:type="dxa"/>
          <w:bottom w:w="0" w:type="dxa"/>
          <w:right w:w="0" w:type="dxa"/>
        </w:tblCellMar>
      </w:tblPr>
      <w:tblGrid>
        <w:gridCol w:w="220"/>
        <w:gridCol w:w="247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64" w:name="P1I12D"/>
            <w:bookmarkEnd w:id="64"/>
            <w:r>
              <w:rPr>
                <w:rFonts w:ascii="Times New Roman" w:hAnsi="Times New Roman"/>
                <w:b/>
                <w:caps w:val="false"/>
                <w:smallCaps w:val="false"/>
                <w:sz w:val="20"/>
              </w:rPr>
              <w:t>D.</w:t>
            </w:r>
          </w:p>
        </w:tc>
        <w:tc>
          <w:tcPr>
            <w:tcW w:w="247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American Depositary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5" w:name="P2"/>
      <w:bookmarkEnd w:id="65"/>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tbl>
      <w:tblPr>
        <w:tblW w:w="6530" w:type="dxa"/>
        <w:jc w:val="left"/>
        <w:tblInd w:w="0" w:type="dxa"/>
        <w:tblLayout w:type="fixed"/>
        <w:tblCellMar>
          <w:top w:w="0" w:type="dxa"/>
          <w:left w:w="0" w:type="dxa"/>
          <w:bottom w:w="0" w:type="dxa"/>
          <w:right w:w="0" w:type="dxa"/>
        </w:tblCellMar>
      </w:tblPr>
      <w:tblGrid>
        <w:gridCol w:w="910"/>
        <w:gridCol w:w="5620"/>
      </w:tblGrid>
      <w:tr>
        <w:trPr/>
        <w:tc>
          <w:tcPr>
            <w:tcW w:w="910"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bookmarkStart w:id="66" w:name="P2I13"/>
            <w:bookmarkEnd w:id="66"/>
            <w:r>
              <w:rPr>
                <w:rFonts w:ascii="Times New Roman" w:hAnsi="Times New Roman"/>
                <w:b/>
                <w:caps w:val="false"/>
                <w:smallCaps w:val="false"/>
                <w:sz w:val="20"/>
              </w:rPr>
              <w:t>ITEM 13.</w:t>
            </w:r>
            <w:r>
              <w:rPr>
                <w:rFonts w:ascii="Times New Roman" w:hAnsi="Times New Roman"/>
                <w:caps w:val="false"/>
                <w:smallCaps w:val="false"/>
                <w:sz w:val="20"/>
              </w:rPr>
              <w:t> </w:t>
            </w:r>
          </w:p>
        </w:tc>
        <w:tc>
          <w:tcPr>
            <w:tcW w:w="56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DEFAULTS, DIVIDEND ARREARAGES AND DELINQUENCIES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On May 15, 2023, with the filing of the preliminary insolvency, we defaulted under the Existing Convertible Debentures.</w:t>
      </w:r>
    </w:p>
    <w:p>
      <w:pPr>
        <w:pStyle w:val="TextBody"/>
        <w:bidi w:val="0"/>
        <w:spacing w:before="0" w:after="0"/>
        <w:ind w:left="0" w:right="0" w:hanging="0"/>
        <w:jc w:val="left"/>
        <w:rPr>
          <w:caps w:val="false"/>
          <w:smallCaps w:val="false"/>
        </w:rPr>
      </w:pPr>
      <w:r>
        <w:rPr>
          <w:caps w:val="false"/>
          <w:smallCaps w:val="false"/>
        </w:rPr>
        <w:t> </w:t>
      </w:r>
    </w:p>
    <w:tbl>
      <w:tblPr>
        <w:tblW w:w="9875" w:type="dxa"/>
        <w:jc w:val="left"/>
        <w:tblInd w:w="0" w:type="dxa"/>
        <w:tblLayout w:type="fixed"/>
        <w:tblCellMar>
          <w:top w:w="0" w:type="dxa"/>
          <w:left w:w="0" w:type="dxa"/>
          <w:bottom w:w="0" w:type="dxa"/>
          <w:right w:w="0" w:type="dxa"/>
        </w:tblCellMar>
      </w:tblPr>
      <w:tblGrid>
        <w:gridCol w:w="910"/>
        <w:gridCol w:w="8965"/>
      </w:tblGrid>
      <w:tr>
        <w:trPr/>
        <w:tc>
          <w:tcPr>
            <w:tcW w:w="910"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bookmarkStart w:id="67" w:name="P2I14"/>
            <w:bookmarkEnd w:id="67"/>
            <w:r>
              <w:rPr>
                <w:rFonts w:ascii="Times New Roman" w:hAnsi="Times New Roman"/>
                <w:b/>
                <w:caps w:val="false"/>
                <w:smallCaps w:val="false"/>
                <w:sz w:val="20"/>
              </w:rPr>
              <w:t>ITEM 14.</w:t>
            </w:r>
            <w:r>
              <w:rPr>
                <w:rFonts w:ascii="Times New Roman" w:hAnsi="Times New Roman"/>
                <w:caps w:val="false"/>
                <w:smallCaps w:val="false"/>
                <w:sz w:val="20"/>
              </w:rPr>
              <w:t> </w:t>
            </w:r>
          </w:p>
        </w:tc>
        <w:tc>
          <w:tcPr>
            <w:tcW w:w="89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MATERIAL MODIFICATIONS TO THE RIGHTS OF SECURITY HOLDERS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Material Modifications to the Rights of Securities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w:t>
      </w:r>
      <w:r>
        <w:rPr>
          <w:rFonts w:ascii="Times New Roman" w:hAnsi="Times New Roman"/>
          <w:i/>
          <w:caps w:val="false"/>
          <w:smallCaps w:val="false"/>
          <w:sz w:val="20"/>
        </w:rPr>
        <w:t>Item 10.</w:t>
      </w:r>
      <w:r>
        <w:rPr>
          <w:rFonts w:ascii="Times New Roman" w:hAnsi="Times New Roman"/>
          <w:caps w:val="false"/>
          <w:smallCaps w:val="false"/>
          <w:sz w:val="20"/>
        </w:rPr>
        <w:t> </w:t>
      </w:r>
      <w:r>
        <w:rPr>
          <w:rFonts w:ascii="Times New Roman" w:hAnsi="Times New Roman"/>
          <w:i/>
          <w:caps w:val="false"/>
          <w:smallCaps w:val="false"/>
          <w:sz w:val="20"/>
        </w:rPr>
        <w:t>Additional Information</w:t>
      </w:r>
      <w:r>
        <w:rPr>
          <w:rFonts w:ascii="Times New Roman" w:hAnsi="Times New Roman"/>
          <w:caps w:val="false"/>
          <w:smallCaps w:val="false"/>
          <w:sz w:val="20"/>
        </w:rPr>
        <w:t>” for a description of the rights of securities holders, which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“Use of Proceeds” information relates to the registration statement on Form F-1, as amended (File No. 333-260432) (the “F-1 Registration Statement”) in relation to our IPO of 10,000,000 ordinary shares at an initial offering price of US$15.00 per common share. Our IPO closed in November 2021. Berenberg Capital Markets, LLC and Craig-Hallum Capital Group LLC were the underwriters for our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F-1 Registration Statement was declared effective by the SEC on November 16, 2021. For the period from the effective date of the F-1 Registration Statement to December 31, 2021, the total expenses incurred for our company’s account in connection with our IPO were approximately US$16.3 million, which included approximately US$12.1 million in underwriting discounts and commissions for the IPO and approximately US$4.3 million in other costs and expenses for our IPO. Including the ordinary shares sold upon the exercise of the over-allotment option by our underwriters, we offered and sold an aggregate of 11,500,000 ordinary shares at an IPO price of US$15.00 per common share. We received approximately US$156.1 million in net proceeds from our IPO, after deducting underwriting commissions and discounts and the offering expenses payable by us. None of the transaction expenses included payments to directors or officers of our company or their associates, persons owning more than 10% or more of our equity securities or our affiliates. None of the net proceeds from the IPO were paid, directly or indirectly, to any of our directors or officers or their associates, persons owning 10% or more of our equity securities or our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period from November 16, 2021, the date that the F-1 Registration Statement was declared effective by the SEC, to December 31, 2022, we applied all the proceeds received from our initial public offering to finance our operations as described in our final prospectus filed with the SEC on November 18, 2021.</w:t>
      </w:r>
    </w:p>
    <w:p>
      <w:pPr>
        <w:pStyle w:val="TextBody"/>
        <w:bidi w:val="0"/>
        <w:spacing w:before="0" w:after="0"/>
        <w:ind w:left="0" w:right="0" w:hanging="0"/>
        <w:jc w:val="left"/>
        <w:rPr>
          <w:caps w:val="false"/>
          <w:smallCaps w:val="false"/>
        </w:rPr>
      </w:pPr>
      <w:r>
        <w:rPr>
          <w:caps w:val="false"/>
          <w:smallCaps w:val="false"/>
        </w:rPr>
        <w:t> </w:t>
      </w:r>
    </w:p>
    <w:tbl>
      <w:tblPr>
        <w:tblW w:w="3845" w:type="dxa"/>
        <w:jc w:val="left"/>
        <w:tblInd w:w="0" w:type="dxa"/>
        <w:tblLayout w:type="fixed"/>
        <w:tblCellMar>
          <w:top w:w="0" w:type="dxa"/>
          <w:left w:w="0" w:type="dxa"/>
          <w:bottom w:w="0" w:type="dxa"/>
          <w:right w:w="0" w:type="dxa"/>
        </w:tblCellMar>
      </w:tblPr>
      <w:tblGrid>
        <w:gridCol w:w="910"/>
        <w:gridCol w:w="2935"/>
      </w:tblGrid>
      <w:tr>
        <w:trPr/>
        <w:tc>
          <w:tcPr>
            <w:tcW w:w="910"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bookmarkStart w:id="68" w:name="P2I15"/>
            <w:bookmarkEnd w:id="68"/>
            <w:r>
              <w:rPr>
                <w:rFonts w:ascii="Times New Roman" w:hAnsi="Times New Roman"/>
                <w:b/>
                <w:caps w:val="false"/>
                <w:smallCaps w:val="false"/>
                <w:sz w:val="20"/>
              </w:rPr>
              <w:t>ITEM 15.</w:t>
            </w:r>
            <w:r>
              <w:rPr>
                <w:rFonts w:ascii="Times New Roman" w:hAnsi="Times New Roman"/>
                <w:caps w:val="false"/>
                <w:smallCaps w:val="false"/>
                <w:sz w:val="20"/>
              </w:rPr>
              <w:t> </w:t>
            </w:r>
          </w:p>
        </w:tc>
        <w:tc>
          <w:tcPr>
            <w:tcW w:w="293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tbl>
      <w:tblPr>
        <w:tblW w:w="3290" w:type="dxa"/>
        <w:jc w:val="left"/>
        <w:tblInd w:w="0" w:type="dxa"/>
        <w:tblLayout w:type="fixed"/>
        <w:tblCellMar>
          <w:top w:w="0" w:type="dxa"/>
          <w:left w:w="0" w:type="dxa"/>
          <w:bottom w:w="0" w:type="dxa"/>
          <w:right w:w="0" w:type="dxa"/>
        </w:tblCellMar>
      </w:tblPr>
      <w:tblGrid>
        <w:gridCol w:w="220"/>
        <w:gridCol w:w="3070"/>
      </w:tblGrid>
      <w:tr>
        <w:trPr/>
        <w:tc>
          <w:tcPr>
            <w:tcW w:w="22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69" w:name="P2I15A"/>
            <w:bookmarkEnd w:id="69"/>
            <w:r>
              <w:rPr>
                <w:rFonts w:ascii="Times New Roman" w:hAnsi="Times New Roman"/>
                <w:b/>
                <w:caps w:val="false"/>
                <w:smallCaps w:val="false"/>
                <w:sz w:val="20"/>
              </w:rPr>
              <w:t>A.</w:t>
            </w:r>
          </w:p>
        </w:tc>
        <w:tc>
          <w:tcPr>
            <w:tcW w:w="307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Disclosure 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including our CEOs and our CFO, evaluated the effectiveness of our disclosure controls and procedures (as defined in Rules 13a-15(e) and 15d-15(e) under the Exchange Act) as of December 31, 2022. Based on that evaluation, our CEOs and CFO concluded that, as a result of the material weaknesses in our internal control over financial reporting as described below, as of December 31, 2022, our disclosure controls and procedures were not effective to provide reasonable assurance that the information required to be disclosed by us in the reports that we file or submit under the Exchange Act was being recorded, processed, summarized and reported within the time periods specified in the SEC rules and forms, and that such information was being communicated to our management, including our CEOs and CFO, as appropriate, to allow for timely decisions regarding the required disclosures under the Exchange Act. Notwithstanding the identified material weaknesses, the CEOs and CFO have concluded that the consolidated financial statements in this Annual Report on Form 20-F fairly present, in all material respects, our financial condition, results of operations and cash flows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6725" w:type="dxa"/>
        <w:jc w:val="left"/>
        <w:tblInd w:w="0" w:type="dxa"/>
        <w:tblLayout w:type="fixed"/>
        <w:tblCellMar>
          <w:top w:w="0" w:type="dxa"/>
          <w:left w:w="0" w:type="dxa"/>
          <w:bottom w:w="0" w:type="dxa"/>
          <w:right w:w="0" w:type="dxa"/>
        </w:tblCellMar>
      </w:tblPr>
      <w:tblGrid>
        <w:gridCol w:w="265"/>
        <w:gridCol w:w="6460"/>
      </w:tblGrid>
      <w:tr>
        <w:trPr/>
        <w:tc>
          <w:tcPr>
            <w:tcW w:w="2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70" w:name="P2I15B"/>
            <w:bookmarkEnd w:id="70"/>
            <w:r>
              <w:rPr>
                <w:rFonts w:ascii="Times New Roman" w:hAnsi="Times New Roman"/>
                <w:b/>
                <w:caps w:val="false"/>
                <w:smallCaps w:val="false"/>
                <w:sz w:val="20"/>
              </w:rPr>
              <w:t xml:space="preserve">B. </w:t>
            </w:r>
          </w:p>
        </w:tc>
        <w:tc>
          <w:tcPr>
            <w:tcW w:w="646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Management's Annual Report on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such term is defined in Rule 13a-15(f) and 15d-15(f) under the Exchange Act. Internal control over financial reporting is a process designed to provide reasonable assurance regarding the reliability of financial reporting and the preparation of financial statements in accordance with IFRS was issued by the IASB. Because of its inherent limitations, internal control over financial reporting may not prevent or detect misstatements. Our management assessed the effectiveness of our internal control over financial reporting based on the criteria set forth in “</w:t>
      </w:r>
      <w:r>
        <w:rPr>
          <w:rFonts w:ascii="Times New Roman" w:hAnsi="Times New Roman"/>
          <w:i/>
          <w:caps w:val="false"/>
          <w:smallCaps w:val="false"/>
          <w:sz w:val="20"/>
        </w:rPr>
        <w:t>Internal Control - Integrated Framework</w:t>
      </w:r>
      <w:r>
        <w:rPr>
          <w:rFonts w:ascii="Times New Roman" w:hAnsi="Times New Roman"/>
          <w:caps w:val="false"/>
          <w:smallCaps w:val="false"/>
          <w:sz w:val="20"/>
        </w:rPr>
        <w:t xml:space="preserve"> (2013)” issued by the Committee of Sponsoring Organizations of the Treadway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disclosed in our annual report on Form 20-F for the year ended December 31, 2021, in connection with the audits of our consolidated financial statements for the years ended December 31, 2019, 2020 and 2021, we identified multiple material weaknesses in our internal control over financial reporting, which were, with respect to the material weaknesses identified in connection with the audits of our consolidated financial statements for the years ended December 31, 2019 and 2020, previously reported in our Registration Statement on Form F-1 (No. 333-260432) filed on November 8, 2021.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material weaknesses that were identified relate to (i) a lack of consistent and proper application of processes and procedures; (ii) 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and (v) clearly defined control processes, roles and segregation of duties within our finance and accounting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taken measures and plan to continue to take measures to remedy such material weaknesses. These remedial measures include centralizing and increasing controls around access control, hiring additional employees with experience in public company accounting, taking steps to improve our controls and procedures including incorporating automated and software-based accounting tools, engaging third parties to support our internal resources related to accounting and internal controls, implementing additional internal training for our accounting and finance teams and investing in our finance IT systems. However, as of December 31, 2022, we are still in the process of remediating the  previously identified material weaknesses. Recent changes to our business model, such as discontinuation of the Sion passenger car program and the current Self-Administration Proceedings, will necessitate a further review of the applicability of current processes and associated risks and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upon the above evaluation, management, including our CEOs and CFO, concluded that our internal control over financial reporting was not effective as of December 31, 2022, due to the presence of multiple material weaknesses as described above.  Notwithstanding these material weaknesses, our management, based on the substantial work performed, concluded that our consolidated financial statements for the periods covered by and included in this Annual Report are fairly stated in all material respects in accordance with IFRS.</w:t>
      </w:r>
    </w:p>
    <w:p>
      <w:pPr>
        <w:pStyle w:val="TextBody"/>
        <w:bidi w:val="0"/>
        <w:spacing w:before="0" w:after="0"/>
        <w:ind w:left="0" w:right="0" w:hanging="0"/>
        <w:jc w:val="left"/>
        <w:rPr>
          <w:caps w:val="false"/>
          <w:smallCaps w:val="false"/>
        </w:rPr>
      </w:pPr>
      <w:r>
        <w:rPr>
          <w:caps w:val="false"/>
          <w:smallCaps w:val="false"/>
        </w:rPr>
        <w:t> </w:t>
      </w:r>
    </w:p>
    <w:tbl>
      <w:tblPr>
        <w:tblW w:w="5375" w:type="dxa"/>
        <w:jc w:val="left"/>
        <w:tblInd w:w="0" w:type="dxa"/>
        <w:tblLayout w:type="fixed"/>
        <w:tblCellMar>
          <w:top w:w="0" w:type="dxa"/>
          <w:left w:w="0" w:type="dxa"/>
          <w:bottom w:w="0" w:type="dxa"/>
          <w:right w:w="0" w:type="dxa"/>
        </w:tblCellMar>
      </w:tblPr>
      <w:tblGrid>
        <w:gridCol w:w="265"/>
        <w:gridCol w:w="5110"/>
      </w:tblGrid>
      <w:tr>
        <w:trPr/>
        <w:tc>
          <w:tcPr>
            <w:tcW w:w="2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71" w:name="P2I15C"/>
            <w:bookmarkEnd w:id="71"/>
            <w:r>
              <w:rPr>
                <w:rFonts w:ascii="Times New Roman" w:hAnsi="Times New Roman"/>
                <w:b/>
                <w:caps w:val="false"/>
                <w:smallCaps w:val="false"/>
                <w:sz w:val="20"/>
              </w:rPr>
              <w:t xml:space="preserve">C. </w:t>
            </w:r>
          </w:p>
        </w:tc>
        <w:tc>
          <w:tcPr>
            <w:tcW w:w="511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Attestation Report of the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Annual Report does not include an attestation report of our independent registered public accounting firm. Our independent registered public accounting firm will not be required to opine on the effectiveness of our internal control over financial reporting until we are no longer an emerging growth company.</w:t>
      </w:r>
    </w:p>
    <w:p>
      <w:pPr>
        <w:pStyle w:val="TextBody"/>
        <w:bidi w:val="0"/>
        <w:spacing w:before="0" w:after="0"/>
        <w:ind w:left="0" w:right="0" w:hanging="0"/>
        <w:jc w:val="left"/>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265"/>
        <w:gridCol w:w="4600"/>
      </w:tblGrid>
      <w:tr>
        <w:trPr/>
        <w:tc>
          <w:tcPr>
            <w:tcW w:w="2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72" w:name="P2I15D"/>
            <w:bookmarkEnd w:id="72"/>
            <w:r>
              <w:rPr>
                <w:rFonts w:ascii="Times New Roman" w:hAnsi="Times New Roman"/>
                <w:b/>
                <w:caps w:val="false"/>
                <w:smallCaps w:val="false"/>
                <w:sz w:val="20"/>
              </w:rPr>
              <w:t xml:space="preserve">D. </w:t>
            </w:r>
          </w:p>
        </w:tc>
        <w:tc>
          <w:tcPr>
            <w:tcW w:w="460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described above, there were no changes in our internal controls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1000"/>
        <w:gridCol w:w="3925"/>
      </w:tblGrid>
      <w:tr>
        <w:trPr/>
        <w:tc>
          <w:tcPr>
            <w:tcW w:w="100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73" w:name="Item16A"/>
            <w:bookmarkEnd w:id="73"/>
            <w:r>
              <w:rPr>
                <w:rFonts w:ascii="Times New Roman" w:hAnsi="Times New Roman"/>
                <w:b/>
                <w:caps w:val="false"/>
                <w:smallCaps w:val="false"/>
                <w:sz w:val="20"/>
              </w:rPr>
              <w:t>ITEM 16A.</w:t>
            </w:r>
          </w:p>
        </w:tc>
        <w:tc>
          <w:tcPr>
            <w:tcW w:w="392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AUDIT COMMITTEE FINANCIAL EXPERT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w:t>
      </w:r>
      <w:r>
        <w:rPr>
          <w:rFonts w:ascii="Times New Roman" w:hAnsi="Times New Roman"/>
          <w:i/>
          <w:caps w:val="false"/>
          <w:smallCaps w:val="false"/>
          <w:sz w:val="20"/>
        </w:rPr>
        <w:t>Item 6. Directors, Senior Management and Employees</w:t>
      </w:r>
      <w:r>
        <w:rPr>
          <w:rFonts w:ascii="Times New Roman" w:hAnsi="Times New Roman"/>
          <w:caps w:val="false"/>
          <w:smallCaps w:val="false"/>
          <w:sz w:val="20"/>
        </w:rPr>
        <w:t>—</w:t>
      </w:r>
      <w:r>
        <w:rPr>
          <w:rFonts w:ascii="Times New Roman" w:hAnsi="Times New Roman"/>
          <w:i/>
          <w:caps w:val="false"/>
          <w:smallCaps w:val="false"/>
          <w:sz w:val="20"/>
        </w:rPr>
        <w:t>C.</w:t>
      </w:r>
      <w:r>
        <w:rPr>
          <w:rFonts w:ascii="Times New Roman" w:hAnsi="Times New Roman"/>
          <w:caps w:val="false"/>
          <w:smallCaps w:val="false"/>
          <w:sz w:val="20"/>
        </w:rPr>
        <w:t> </w:t>
      </w:r>
      <w:r>
        <w:rPr>
          <w:rFonts w:ascii="Times New Roman" w:hAnsi="Times New Roman"/>
          <w:i/>
          <w:caps w:val="false"/>
          <w:smallCaps w:val="false"/>
          <w:sz w:val="20"/>
        </w:rPr>
        <w:t>Board Practices</w:t>
      </w:r>
      <w:r>
        <w:rPr>
          <w:rFonts w:ascii="Times New Roman" w:hAnsi="Times New Roman"/>
          <w:caps w:val="false"/>
          <w:smallCaps w:val="false"/>
          <w:sz w:val="20"/>
        </w:rPr>
        <w:t>—</w:t>
      </w:r>
      <w:r>
        <w:rPr>
          <w:rFonts w:ascii="Times New Roman" w:hAnsi="Times New Roman"/>
          <w:i/>
          <w:caps w:val="false"/>
          <w:smallCaps w:val="false"/>
          <w:sz w:val="20"/>
        </w:rPr>
        <w:t>Audit Committee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735" w:type="dxa"/>
        <w:jc w:val="left"/>
        <w:tblInd w:w="0" w:type="dxa"/>
        <w:tblLayout w:type="fixed"/>
        <w:tblCellMar>
          <w:top w:w="0" w:type="dxa"/>
          <w:left w:w="0" w:type="dxa"/>
          <w:bottom w:w="0" w:type="dxa"/>
          <w:right w:w="0" w:type="dxa"/>
        </w:tblCellMar>
      </w:tblPr>
      <w:tblGrid>
        <w:gridCol w:w="1045"/>
        <w:gridCol w:w="1690"/>
      </w:tblGrid>
      <w:tr>
        <w:trPr/>
        <w:tc>
          <w:tcPr>
            <w:tcW w:w="1045"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bookmarkStart w:id="74" w:name="Item16B"/>
            <w:bookmarkEnd w:id="74"/>
            <w:r>
              <w:rPr>
                <w:rFonts w:ascii="Times New Roman" w:hAnsi="Times New Roman"/>
                <w:b/>
                <w:caps w:val="false"/>
                <w:smallCaps w:val="false"/>
                <w:sz w:val="20"/>
              </w:rPr>
              <w:t>ITEM 16B.</w:t>
            </w:r>
            <w:r>
              <w:rPr>
                <w:rFonts w:ascii="Times New Roman" w:hAnsi="Times New Roman"/>
                <w:caps w:val="false"/>
                <w:smallCaps w:val="false"/>
                <w:sz w:val="20"/>
              </w:rPr>
              <w:t> </w:t>
            </w:r>
          </w:p>
        </w:tc>
        <w:tc>
          <w:tcPr>
            <w:tcW w:w="169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CODE OF ETHICS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adopted a written code of business conduct and ethics, or code of conduct, which outlines the principles of legal and ethical business conduct under which we do business. The code of conduct applies to all of our management board members, supervisory board members and employees. Upon the closing of our IPO, the full text of the code of conduct was made available on our website at https://ir.sonomotors.com/. The information and other content appearing on our website are not part of this Annual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have rolled-out a compliance management policy which describes the compliance management system implemented at the Subsidiary, which is designed to ensure compliance with all legal requirements, while at the same time imposing high ethical standards that are mandatory for both management and each employee. The overall responsibility for the compliance management system lies with the compliance circle, which includes members of our management board and which reports regularly to the audit committee. In the performance of its compliance responsibilities, the management board has delegated the corresponding tasks to various functions at the Subsidiary.</w:t>
      </w:r>
    </w:p>
    <w:p>
      <w:pPr>
        <w:pStyle w:val="TextBody"/>
        <w:bidi w:val="0"/>
        <w:spacing w:before="0" w:after="0"/>
        <w:ind w:left="0" w:right="0" w:hanging="0"/>
        <w:jc w:val="left"/>
        <w:rPr>
          <w:caps w:val="false"/>
          <w:smallCaps w:val="false"/>
        </w:rPr>
      </w:pPr>
      <w:r>
        <w:rPr>
          <w:caps w:val="false"/>
          <w:smallCaps w:val="false"/>
        </w:rPr>
        <w:t> </w:t>
      </w:r>
    </w:p>
    <w:tbl>
      <w:tblPr>
        <w:tblW w:w="5510" w:type="dxa"/>
        <w:jc w:val="left"/>
        <w:tblInd w:w="0" w:type="dxa"/>
        <w:tblLayout w:type="fixed"/>
        <w:tblCellMar>
          <w:top w:w="0" w:type="dxa"/>
          <w:left w:w="0" w:type="dxa"/>
          <w:bottom w:w="0" w:type="dxa"/>
          <w:right w:w="0" w:type="dxa"/>
        </w:tblCellMar>
      </w:tblPr>
      <w:tblGrid>
        <w:gridCol w:w="1000"/>
        <w:gridCol w:w="4510"/>
      </w:tblGrid>
      <w:tr>
        <w:trPr/>
        <w:tc>
          <w:tcPr>
            <w:tcW w:w="100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75" w:name="Item16C"/>
            <w:bookmarkEnd w:id="75"/>
            <w:r>
              <w:rPr>
                <w:rFonts w:ascii="Times New Roman" w:hAnsi="Times New Roman"/>
                <w:b/>
                <w:caps w:val="false"/>
                <w:smallCaps w:val="false"/>
                <w:sz w:val="20"/>
              </w:rPr>
              <w:t>ITEM 16C.</w:t>
            </w:r>
          </w:p>
        </w:tc>
        <w:tc>
          <w:tcPr>
            <w:tcW w:w="451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PRINCIPAL ACCOUNTANT FEES AND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financial statements have been prepared in accordance with IFRS as issued by the IASB and are audited by PricewaterhouseCoopers GmbH Wirtschaftsprüfungsgesellschaft (“PwC”), acting as our independent registered public accounting firm registered with the Public Company Accounting Oversight Board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PwC has served as our independent registered public accounting firm for each of the three years ended December 31, 2020, 2021 and 2022, for which audited financial statements appear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Audit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PwC billed us approximately €4.0 million and €2.5 million for audit services for fiscal year 2022 and 2021, respectively, including fees associated with the annual audit, consultations on various accounting issues, performance of local statutory audits and comfort letters and review of offering documents filed with the SEC.</w:t>
      </w:r>
    </w:p>
    <w:p>
      <w:pPr>
        <w:pStyle w:val="TextBody"/>
        <w:bidi w:val="0"/>
        <w:spacing w:before="0" w:after="0"/>
        <w:ind w:left="0" w:right="0" w:hanging="0"/>
        <w:jc w:val="both"/>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Audit-Related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Tax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All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PwC billed us zero for services other than those categorized in “—Audit Fees”, as described above for fiscal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2022, our Audit Committee approved all of the services provided by PwC.    </w:t>
      </w:r>
    </w:p>
    <w:p>
      <w:pPr>
        <w:pStyle w:val="TextBody"/>
        <w:bidi w:val="0"/>
        <w:spacing w:before="0" w:after="0"/>
        <w:ind w:left="0" w:right="0" w:hanging="0"/>
        <w:jc w:val="left"/>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1000"/>
        <w:gridCol w:w="7015"/>
      </w:tblGrid>
      <w:tr>
        <w:trPr/>
        <w:tc>
          <w:tcPr>
            <w:tcW w:w="100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76" w:name="Item_16D"/>
            <w:bookmarkEnd w:id="76"/>
            <w:r>
              <w:rPr>
                <w:rFonts w:ascii="Times New Roman" w:hAnsi="Times New Roman"/>
                <w:b/>
                <w:caps w:val="false"/>
                <w:smallCaps w:val="false"/>
                <w:sz w:val="20"/>
              </w:rPr>
              <w:t>ITEM 16D.</w:t>
            </w:r>
          </w:p>
        </w:tc>
        <w:tc>
          <w:tcPr>
            <w:tcW w:w="701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EXEMPTIONS FROM THE LISTING STANDARDS FOR AUDIT COMMITTEES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9080" w:type="dxa"/>
        <w:jc w:val="left"/>
        <w:tblInd w:w="0" w:type="dxa"/>
        <w:tblLayout w:type="fixed"/>
        <w:tblCellMar>
          <w:top w:w="0" w:type="dxa"/>
          <w:left w:w="0" w:type="dxa"/>
          <w:bottom w:w="0" w:type="dxa"/>
          <w:right w:w="0" w:type="dxa"/>
        </w:tblCellMar>
      </w:tblPr>
      <w:tblGrid>
        <w:gridCol w:w="1000"/>
        <w:gridCol w:w="8080"/>
      </w:tblGrid>
      <w:tr>
        <w:trPr/>
        <w:tc>
          <w:tcPr>
            <w:tcW w:w="100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77" w:name="Item_16E"/>
            <w:bookmarkEnd w:id="77"/>
            <w:r>
              <w:rPr>
                <w:rFonts w:ascii="Times New Roman" w:hAnsi="Times New Roman"/>
                <w:b/>
                <w:caps w:val="false"/>
                <w:smallCaps w:val="false"/>
                <w:sz w:val="20"/>
              </w:rPr>
              <w:t>ITEM 16E.</w:t>
            </w:r>
          </w:p>
        </w:tc>
        <w:tc>
          <w:tcPr>
            <w:tcW w:w="808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PURCHASES OF EQUITY SECURITIES BY THE ISSUER AND AFFILIATED PURCHASERS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6290" w:type="dxa"/>
        <w:jc w:val="left"/>
        <w:tblInd w:w="0" w:type="dxa"/>
        <w:tblLayout w:type="fixed"/>
        <w:tblCellMar>
          <w:top w:w="0" w:type="dxa"/>
          <w:left w:w="0" w:type="dxa"/>
          <w:bottom w:w="0" w:type="dxa"/>
          <w:right w:w="0" w:type="dxa"/>
        </w:tblCellMar>
      </w:tblPr>
      <w:tblGrid>
        <w:gridCol w:w="985"/>
        <w:gridCol w:w="5305"/>
      </w:tblGrid>
      <w:tr>
        <w:trPr/>
        <w:tc>
          <w:tcPr>
            <w:tcW w:w="98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78" w:name="Item_16F"/>
            <w:bookmarkEnd w:id="78"/>
            <w:r>
              <w:rPr>
                <w:rFonts w:ascii="Times New Roman" w:hAnsi="Times New Roman"/>
                <w:b/>
                <w:caps w:val="false"/>
                <w:smallCaps w:val="false"/>
                <w:sz w:val="20"/>
              </w:rPr>
              <w:t>ITEM 16F.</w:t>
            </w:r>
          </w:p>
        </w:tc>
        <w:tc>
          <w:tcPr>
            <w:tcW w:w="5305" w:type="dxa"/>
            <w:tcBorders/>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b/>
                <w:caps w:val="false"/>
                <w:smallCaps w:val="false"/>
                <w:sz w:val="20"/>
              </w:rPr>
              <w:t>CHANGE IN REGISTRANT</w:t>
            </w:r>
            <w:r>
              <w:rPr>
                <w:rFonts w:ascii="Times New Roman" w:hAnsi="Times New Roman"/>
                <w:caps w:val="false"/>
                <w:smallCaps w:val="false"/>
                <w:sz w:val="20"/>
              </w:rPr>
              <w:t>’</w:t>
            </w:r>
            <w:r>
              <w:rPr>
                <w:rFonts w:ascii="Times New Roman" w:hAnsi="Times New Roman"/>
                <w:b/>
                <w:caps w:val="false"/>
                <w:smallCaps w:val="false"/>
                <w:sz w:val="20"/>
              </w:rPr>
              <w:t>S CERTIFYING ACCOUNTANT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710" w:type="dxa"/>
        <w:jc w:val="left"/>
        <w:tblInd w:w="0" w:type="dxa"/>
        <w:tblLayout w:type="fixed"/>
        <w:tblCellMar>
          <w:top w:w="0" w:type="dxa"/>
          <w:left w:w="0" w:type="dxa"/>
          <w:bottom w:w="0" w:type="dxa"/>
          <w:right w:w="0" w:type="dxa"/>
        </w:tblCellMar>
      </w:tblPr>
      <w:tblGrid>
        <w:gridCol w:w="1015"/>
        <w:gridCol w:w="2695"/>
      </w:tblGrid>
      <w:tr>
        <w:trPr/>
        <w:tc>
          <w:tcPr>
            <w:tcW w:w="101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79" w:name="Item_16G"/>
            <w:bookmarkEnd w:id="79"/>
            <w:r>
              <w:rPr>
                <w:rFonts w:ascii="Times New Roman" w:hAnsi="Times New Roman"/>
                <w:b/>
                <w:caps w:val="false"/>
                <w:smallCaps w:val="false"/>
                <w:sz w:val="20"/>
              </w:rPr>
              <w:t>ITEM 16G.</w:t>
            </w:r>
          </w:p>
        </w:tc>
        <w:tc>
          <w:tcPr>
            <w:tcW w:w="269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CORPORATE GOVERNANCE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“foreign private issuer”, as defined by the SEC, we are permitted to rely on home country governance requirements and certain exemptions thereunder rather than on the corporate governance requirements of Nasdaq. For example, in accordance with Dutch law and generally accepted business practices, our articles of association currently do not provide quorum requirements generally applicable to general meetings. To this extent, our practice varies from the requirement of Nasdaq Listing Rule 5620(c), which requires an issuer to provide in its bylaws for a generally applicable quorum, and that such quorum may not be less than one-third of the outstanding voting shares. Although we must provide shareholders with an agenda and other relevant documents for the general meeting,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5605(d), which requires, among other things, an issuer to have a compensation committee that consists entirely of independent directors, Nasdaq Listing Rule 5605(e), which requires independent director oversight of director nominations, and Nasdaq Listing Rule 5605(b)(1), which requires an issuer to have a majority of independent directors on its board.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our Company and certain private placements. To this extent, our practice varies from the requirements of Nasdaq Rule 5635, which generally requires an issuer to obtain shareholder approval for the issuance of securities in connection with such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3680" w:type="dxa"/>
        <w:jc w:val="left"/>
        <w:tblInd w:w="0" w:type="dxa"/>
        <w:tblLayout w:type="fixed"/>
        <w:tblCellMar>
          <w:top w:w="0" w:type="dxa"/>
          <w:left w:w="0" w:type="dxa"/>
          <w:bottom w:w="0" w:type="dxa"/>
          <w:right w:w="0" w:type="dxa"/>
        </w:tblCellMar>
      </w:tblPr>
      <w:tblGrid>
        <w:gridCol w:w="1015"/>
        <w:gridCol w:w="2665"/>
      </w:tblGrid>
      <w:tr>
        <w:trPr/>
        <w:tc>
          <w:tcPr>
            <w:tcW w:w="101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80" w:name="Item_16H"/>
            <w:bookmarkEnd w:id="80"/>
            <w:r>
              <w:rPr>
                <w:rFonts w:ascii="Times New Roman" w:hAnsi="Times New Roman"/>
                <w:b/>
                <w:caps w:val="false"/>
                <w:smallCaps w:val="false"/>
                <w:sz w:val="20"/>
              </w:rPr>
              <w:t>ITEM 16H.</w:t>
            </w:r>
          </w:p>
        </w:tc>
        <w:tc>
          <w:tcPr>
            <w:tcW w:w="26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MINE SAFETY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8870" w:type="dxa"/>
        <w:jc w:val="left"/>
        <w:tblInd w:w="0" w:type="dxa"/>
        <w:tblLayout w:type="fixed"/>
        <w:tblCellMar>
          <w:top w:w="0" w:type="dxa"/>
          <w:left w:w="0" w:type="dxa"/>
          <w:bottom w:w="0" w:type="dxa"/>
          <w:right w:w="0" w:type="dxa"/>
        </w:tblCellMar>
      </w:tblPr>
      <w:tblGrid>
        <w:gridCol w:w="940"/>
        <w:gridCol w:w="7930"/>
      </w:tblGrid>
      <w:tr>
        <w:trPr/>
        <w:tc>
          <w:tcPr>
            <w:tcW w:w="94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81" w:name="Item_16I"/>
            <w:bookmarkEnd w:id="81"/>
            <w:r>
              <w:rPr>
                <w:rFonts w:ascii="Times New Roman" w:hAnsi="Times New Roman"/>
                <w:b/>
                <w:caps w:val="false"/>
                <w:smallCaps w:val="false"/>
                <w:sz w:val="20"/>
              </w:rPr>
              <w:t>ITEM 16I.</w:t>
            </w:r>
          </w:p>
        </w:tc>
        <w:tc>
          <w:tcPr>
            <w:tcW w:w="793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DISCLOSURE REGARDING FOREIGN JURISDICTIONS THAT PREVENT INSPECTIONS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2" w:name="P3"/>
      <w:bookmarkEnd w:id="82"/>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0" w:type="dxa"/>
          <w:left w:w="0" w:type="dxa"/>
          <w:bottom w:w="0" w:type="dxa"/>
          <w:right w:w="0" w:type="dxa"/>
        </w:tblCellMar>
      </w:tblPr>
      <w:tblGrid>
        <w:gridCol w:w="865"/>
        <w:gridCol w:w="2500"/>
      </w:tblGrid>
      <w:tr>
        <w:trPr/>
        <w:tc>
          <w:tcPr>
            <w:tcW w:w="8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83" w:name="P3I17"/>
            <w:bookmarkEnd w:id="83"/>
            <w:r>
              <w:rPr>
                <w:rFonts w:ascii="Times New Roman" w:hAnsi="Times New Roman"/>
                <w:b/>
                <w:caps w:val="false"/>
                <w:smallCaps w:val="false"/>
                <w:sz w:val="20"/>
              </w:rPr>
              <w:t>ITEM 17.</w:t>
            </w:r>
          </w:p>
        </w:tc>
        <w:tc>
          <w:tcPr>
            <w:tcW w:w="250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elected to provide financial statements and related information pursuant to Item 18. Financial Statements.</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0" w:type="dxa"/>
          <w:left w:w="0" w:type="dxa"/>
          <w:bottom w:w="0" w:type="dxa"/>
          <w:right w:w="0" w:type="dxa"/>
        </w:tblCellMar>
      </w:tblPr>
      <w:tblGrid>
        <w:gridCol w:w="865"/>
        <w:gridCol w:w="2500"/>
      </w:tblGrid>
      <w:tr>
        <w:trPr/>
        <w:tc>
          <w:tcPr>
            <w:tcW w:w="8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84" w:name="P3I18"/>
            <w:bookmarkEnd w:id="84"/>
            <w:r>
              <w:rPr>
                <w:rFonts w:ascii="Times New Roman" w:hAnsi="Times New Roman"/>
                <w:b/>
                <w:caps w:val="false"/>
                <w:smallCaps w:val="false"/>
                <w:sz w:val="20"/>
              </w:rPr>
              <w:t>ITEM 18.</w:t>
            </w:r>
          </w:p>
        </w:tc>
        <w:tc>
          <w:tcPr>
            <w:tcW w:w="250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audited consolidated financial statements as required under Item 18 are attached hereto starting on page F-1 of this Form 20-F.</w:t>
      </w:r>
    </w:p>
    <w:p>
      <w:pPr>
        <w:pStyle w:val="TextBody"/>
        <w:bidi w:val="0"/>
        <w:spacing w:before="0" w:after="0"/>
        <w:ind w:left="280" w:right="0" w:firstLine="20"/>
        <w:jc w:val="both"/>
        <w:rPr>
          <w:caps w:val="false"/>
          <w:smallCaps w:val="false"/>
        </w:rPr>
      </w:pPr>
      <w:r>
        <w:rPr>
          <w:caps w:val="false"/>
          <w:smallCaps w:val="false"/>
        </w:rPr>
        <w:t> </w:t>
      </w:r>
    </w:p>
    <w:p>
      <w:pPr>
        <w:pStyle w:val="TextBody"/>
        <w:bidi w:val="0"/>
        <w:spacing w:before="0" w:after="0"/>
        <w:ind w:left="280" w:right="0" w:firstLine="20"/>
        <w:jc w:val="both"/>
        <w:rPr>
          <w:caps w:val="false"/>
          <w:smallCaps w:val="false"/>
        </w:rPr>
      </w:pPr>
      <w:r>
        <w:rPr>
          <w:caps w:val="false"/>
          <w:smallCaps w:val="false"/>
        </w:rPr>
        <w:t> </w:t>
      </w:r>
    </w:p>
    <w:p>
      <w:pPr>
        <w:pStyle w:val="TextBody"/>
        <w:bidi w:val="0"/>
        <w:spacing w:before="0" w:after="0"/>
        <w:ind w:left="28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865"/>
        <w:gridCol w:w="1030"/>
      </w:tblGrid>
      <w:tr>
        <w:trPr/>
        <w:tc>
          <w:tcPr>
            <w:tcW w:w="865"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bookmarkStart w:id="85" w:name="P3I19"/>
            <w:bookmarkEnd w:id="85"/>
            <w:r>
              <w:rPr>
                <w:rFonts w:ascii="Times New Roman" w:hAnsi="Times New Roman"/>
                <w:b/>
                <w:caps w:val="false"/>
                <w:smallCaps w:val="false"/>
                <w:sz w:val="20"/>
              </w:rPr>
              <w:t>ITEM 19.</w:t>
            </w:r>
          </w:p>
        </w:tc>
        <w:tc>
          <w:tcPr>
            <w:tcW w:w="1030" w:type="dxa"/>
            <w:tcBorders/>
            <w:vAlign w:val="center"/>
          </w:tcPr>
          <w:p>
            <w:pPr>
              <w:pStyle w:val="TableContents"/>
              <w:bidi w:val="0"/>
              <w:spacing w:before="0" w:after="0"/>
              <w:ind w:left="0" w:right="0" w:firstLine="20"/>
              <w:jc w:val="left"/>
              <w:rPr>
                <w:rFonts w:ascii="Times New Roman" w:hAnsi="Times New Roman"/>
                <w:b/>
                <w:caps w:val="false"/>
                <w:smallCaps w:val="false"/>
                <w:sz w:val="20"/>
              </w:rPr>
            </w:pPr>
            <w:r>
              <w:rPr>
                <w:rFonts w:ascii="Times New Roman" w:hAnsi="Times New Roman"/>
                <w:b/>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9480"/>
      </w:tblGrid>
      <w:tr>
        <w:trPr/>
        <w:tc>
          <w:tcPr>
            <w:tcW w:w="7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Exhibits</w:t>
            </w:r>
          </w:p>
        </w:tc>
        <w:tc>
          <w:tcPr>
            <w:tcW w:w="9480" w:type="dxa"/>
            <w:tcBorders>
              <w:bottom w:val="single" w:sz="2" w:space="0" w:color="000000"/>
            </w:tcBorders>
            <w:vAlign w:val="center"/>
          </w:tcPr>
          <w:p>
            <w:pPr>
              <w:pStyle w:val="TableContents"/>
              <w:bidi w:val="0"/>
              <w:spacing w:before="0" w:after="0"/>
              <w:ind w:left="0" w:right="0" w:firstLine="20"/>
              <w:jc w:val="both"/>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w:anchor="ex_608863.htm">
              <w:r>
                <w:rPr>
                  <w:rStyle w:val="InternetLink"/>
                  <w:rFonts w:ascii="Times New Roman" w:hAnsi="Times New Roman"/>
                  <w:caps w:val="false"/>
                  <w:smallCaps w:val="false"/>
                  <w:sz w:val="20"/>
                </w:rPr>
                <w:t>1.1*</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firstLine="20"/>
              <w:jc w:val="left"/>
              <w:rPr/>
            </w:pPr>
            <w:hyperlink w:anchor="ex_608863.htm">
              <w:r>
                <w:rPr>
                  <w:rStyle w:val="InternetLink"/>
                  <w:rFonts w:ascii="Times New Roman" w:hAnsi="Times New Roman"/>
                  <w:caps w:val="false"/>
                  <w:smallCaps w:val="false"/>
                  <w:sz w:val="20"/>
                </w:rPr>
                <w:t>Articles of Association of Sono Group N.V. (translated into English)</w:t>
              </w:r>
            </w:hyperlink>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r:id="rId6">
              <w:r>
                <w:rPr>
                  <w:rStyle w:val="InternetLink"/>
                  <w:rFonts w:ascii="Times New Roman" w:hAnsi="Times New Roman"/>
                  <w:caps w:val="false"/>
                  <w:smallCaps w:val="false"/>
                  <w:sz w:val="20"/>
                </w:rPr>
                <w:t>1.2</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firstLine="20"/>
              <w:jc w:val="left"/>
              <w:rPr/>
            </w:pPr>
            <w:hyperlink r:id="rId7">
              <w:r>
                <w:rPr>
                  <w:rStyle w:val="InternetLink"/>
                  <w:rFonts w:ascii="Times New Roman" w:hAnsi="Times New Roman"/>
                  <w:caps w:val="false"/>
                  <w:smallCaps w:val="false"/>
                  <w:sz w:val="20"/>
                </w:rPr>
                <w:t>Form of internal rules of the Management Board of Sono Group N.V. (incorporated by reference to Exhibit 3.2 to the Company’s Registration Statement on Form F-1 (File No. 333-260432) filed with the SEC on November 8, 2021</w:t>
              </w:r>
            </w:hyperlink>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r:id="rId8">
              <w:r>
                <w:rPr>
                  <w:rStyle w:val="InternetLink"/>
                  <w:rFonts w:ascii="Times New Roman" w:hAnsi="Times New Roman"/>
                  <w:caps w:val="false"/>
                  <w:smallCaps w:val="false"/>
                  <w:sz w:val="20"/>
                </w:rPr>
                <w:t>1.3</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firstLine="20"/>
              <w:jc w:val="left"/>
              <w:rPr/>
            </w:pPr>
            <w:hyperlink r:id="rId9">
              <w:r>
                <w:rPr>
                  <w:rStyle w:val="InternetLink"/>
                  <w:rFonts w:ascii="Times New Roman" w:hAnsi="Times New Roman"/>
                  <w:caps w:val="false"/>
                  <w:smallCaps w:val="false"/>
                  <w:sz w:val="20"/>
                </w:rPr>
                <w:t>Form of internal rules of the Supervisory Board of Sono Group N.V. (incorporated by reference to Exhibit 3.3 to the Company’s Registration Statement on Form F-1 (File No. 333-260432) filed with the SEC on November 8, 2021</w:t>
              </w:r>
            </w:hyperlink>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r:id="rId10">
              <w:r>
                <w:rPr>
                  <w:rStyle w:val="InternetLink"/>
                  <w:rFonts w:ascii="Times New Roman" w:hAnsi="Times New Roman"/>
                  <w:caps w:val="false"/>
                  <w:smallCaps w:val="false"/>
                  <w:sz w:val="20"/>
                </w:rPr>
                <w:t>2.1</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firstLine="20"/>
              <w:jc w:val="left"/>
              <w:rPr/>
            </w:pPr>
            <w:hyperlink r:id="rId11">
              <w:r>
                <w:rPr>
                  <w:rStyle w:val="InternetLink"/>
                  <w:rFonts w:ascii="Times New Roman" w:hAnsi="Times New Roman"/>
                  <w:caps w:val="false"/>
                  <w:smallCaps w:val="false"/>
                  <w:sz w:val="20"/>
                </w:rPr>
                <w:t>Form of Registration Rights Agreement (incorporated by reference to Exhibit 4.1 to the Company’s Registration Statement on Form F-1 (File No. 333-260432) filed with the SEC on November 8, 2021</w:t>
              </w:r>
            </w:hyperlink>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w:anchor="ex_607672.htm">
              <w:r>
                <w:rPr>
                  <w:rStyle w:val="InternetLink"/>
                  <w:rFonts w:ascii="Times New Roman" w:hAnsi="Times New Roman"/>
                  <w:caps w:val="false"/>
                  <w:smallCaps w:val="false"/>
                  <w:sz w:val="20"/>
                </w:rPr>
                <w:t>2.2*</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firstLine="20"/>
              <w:jc w:val="left"/>
              <w:rPr/>
            </w:pPr>
            <w:hyperlink w:anchor="ex_607672.htm">
              <w:r>
                <w:rPr>
                  <w:rStyle w:val="InternetLink"/>
                  <w:rFonts w:ascii="Times New Roman" w:hAnsi="Times New Roman"/>
                  <w:caps w:val="false"/>
                  <w:smallCaps w:val="false"/>
                  <w:sz w:val="20"/>
                </w:rPr>
                <w:t>Description of the rights of each class of securities registered under Section 12 of the Securities Exchange Act of 1934</w:t>
              </w:r>
            </w:hyperlink>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r:id="rId12">
              <w:r>
                <w:rPr>
                  <w:rStyle w:val="InternetLink"/>
                  <w:rFonts w:ascii="Times New Roman" w:hAnsi="Times New Roman"/>
                  <w:caps w:val="false"/>
                  <w:smallCaps w:val="false"/>
                  <w:sz w:val="20"/>
                </w:rPr>
                <w:t>4.1</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firstLine="20"/>
              <w:jc w:val="left"/>
              <w:rPr/>
            </w:pPr>
            <w:hyperlink r:id="rId13">
              <w:r>
                <w:rPr>
                  <w:rStyle w:val="InternetLink"/>
                  <w:rFonts w:ascii="Times New Roman" w:hAnsi="Times New Roman"/>
                  <w:caps w:val="false"/>
                  <w:smallCaps w:val="false"/>
                  <w:sz w:val="20"/>
                </w:rPr>
                <w:t>Form of Long-Term Incentive Plan of Sono Group N.V. (incorporated herein by reference to Exhibit 10.1 of the Company's Registration Statement on Form F-1 (File No. 333-260432) filed on with the SEC October 22, 2021)</w:t>
              </w:r>
            </w:hyperlink>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r:id="rId14">
              <w:r>
                <w:rPr>
                  <w:rStyle w:val="InternetLink"/>
                  <w:rFonts w:ascii="Times New Roman" w:hAnsi="Times New Roman"/>
                  <w:caps w:val="false"/>
                  <w:smallCaps w:val="false"/>
                  <w:sz w:val="20"/>
                </w:rPr>
                <w:t>4.2</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firstLine="20"/>
              <w:jc w:val="left"/>
              <w:rPr/>
            </w:pPr>
            <w:hyperlink r:id="rId15">
              <w:r>
                <w:rPr>
                  <w:rStyle w:val="InternetLink"/>
                  <w:rFonts w:ascii="Times New Roman" w:hAnsi="Times New Roman"/>
                  <w:caps w:val="false"/>
                  <w:smallCaps w:val="false"/>
                  <w:sz w:val="20"/>
                </w:rPr>
                <w:t>Conversion Stock Option Program 2020 (incorporated herein by reference to Exhibit 10.2 of the Company’s Registration Statement on Form F-1 (File No. 333-260432) filed with the SEC on October 22, 2021)</w:t>
              </w:r>
            </w:hyperlink>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r:id="rId16">
              <w:r>
                <w:rPr>
                  <w:rStyle w:val="InternetLink"/>
                  <w:rFonts w:ascii="Times New Roman" w:hAnsi="Times New Roman"/>
                  <w:caps w:val="false"/>
                  <w:smallCaps w:val="false"/>
                  <w:sz w:val="20"/>
                </w:rPr>
                <w:t>4.3</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firstLine="20"/>
              <w:jc w:val="both"/>
              <w:rPr/>
            </w:pPr>
            <w:hyperlink r:id="rId17">
              <w:r>
                <w:rPr>
                  <w:rStyle w:val="InternetLink"/>
                  <w:rFonts w:ascii="Times New Roman" w:hAnsi="Times New Roman"/>
                  <w:caps w:val="false"/>
                  <w:smallCaps w:val="false"/>
                  <w:sz w:val="20"/>
                </w:rPr>
                <w:t>Form of Indemnification Agreement between Sono Group N.V. and members of the management board (incorporated herein by reference to Exhibit 10.3 of the Company’s Registration Statement on Form F-1 (File No. 333-260432) filed with the SEC on October 22, 2021)</w:t>
              </w:r>
            </w:hyperlink>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r:id="rId18">
              <w:r>
                <w:rPr>
                  <w:rStyle w:val="InternetLink"/>
                  <w:rFonts w:ascii="Times New Roman" w:hAnsi="Times New Roman"/>
                  <w:caps w:val="false"/>
                  <w:smallCaps w:val="false"/>
                  <w:sz w:val="20"/>
                </w:rPr>
                <w:t>4.4</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firstLine="20"/>
              <w:jc w:val="both"/>
              <w:rPr/>
            </w:pPr>
            <w:hyperlink r:id="rId19">
              <w:r>
                <w:rPr>
                  <w:rStyle w:val="InternetLink"/>
                  <w:rFonts w:ascii="Times New Roman" w:hAnsi="Times New Roman"/>
                  <w:caps w:val="false"/>
                  <w:smallCaps w:val="false"/>
                  <w:sz w:val="20"/>
                </w:rPr>
                <w:t>Form of Indemnification Agreement between Sono Group N.V. and members of the supervisory board (incorporated herein by reference to Exhibit 10.4 of the Company’s Registration Statement on Form F-1 (File No. 333-260432) filed with the SEC on October 22, 2021)</w:t>
              </w:r>
            </w:hyperlink>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r:id="rId20">
              <w:r>
                <w:rPr>
                  <w:rStyle w:val="InternetLink"/>
                  <w:rFonts w:ascii="Times New Roman" w:hAnsi="Times New Roman"/>
                  <w:caps w:val="false"/>
                  <w:smallCaps w:val="false"/>
                  <w:sz w:val="20"/>
                </w:rPr>
                <w:t>4.5</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firstLine="20"/>
              <w:jc w:val="both"/>
              <w:rPr/>
            </w:pPr>
            <w:hyperlink r:id="rId21">
              <w:r>
                <w:rPr>
                  <w:rStyle w:val="InternetLink"/>
                  <w:rFonts w:ascii="Times New Roman" w:hAnsi="Times New Roman"/>
                  <w:caps w:val="false"/>
                  <w:smallCaps w:val="false"/>
                  <w:sz w:val="20"/>
                </w:rPr>
                <w:t>Registration Rights Agreement by and between Sono Group N.V. and YA II PN, Ltd., dated December 7, 2022 (incorporated herein by reference to Exhibit 4.1 of the Company’s Registration Statement on Form F-3 (File No. 333-268709 filed with the SEC on December 8, 2022)</w:t>
              </w:r>
            </w:hyperlink>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r:id="rId22">
              <w:r>
                <w:rPr>
                  <w:rStyle w:val="InternetLink"/>
                  <w:rFonts w:ascii="Times New Roman" w:hAnsi="Times New Roman"/>
                  <w:caps w:val="false"/>
                  <w:smallCaps w:val="false"/>
                  <w:sz w:val="20"/>
                </w:rPr>
                <w:t>4.6</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firstLine="20"/>
              <w:jc w:val="both"/>
              <w:rPr/>
            </w:pPr>
            <w:hyperlink r:id="rId23">
              <w:r>
                <w:rPr>
                  <w:rStyle w:val="InternetLink"/>
                  <w:rFonts w:ascii="Times New Roman" w:hAnsi="Times New Roman"/>
                  <w:caps w:val="false"/>
                  <w:smallCaps w:val="false"/>
                  <w:sz w:val="20"/>
                </w:rPr>
                <w:t>Securities Purchase Agreement by and between Sono Group N.V. and YA II PN, Ltd., dated December 7, 2022 (incorporated herein by reference to Exhibit 10.1 of the Company’s Registration Statement on Form F-3 (File No. 333-268709) filed with the SEC on December 8, 2022)</w:t>
              </w:r>
            </w:hyperlink>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r:id="rId24">
              <w:r>
                <w:rPr>
                  <w:rStyle w:val="InternetLink"/>
                  <w:rFonts w:ascii="Times New Roman" w:hAnsi="Times New Roman"/>
                  <w:caps w:val="false"/>
                  <w:smallCaps w:val="false"/>
                  <w:sz w:val="20"/>
                </w:rPr>
                <w:t>4.7</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both"/>
              <w:rPr/>
            </w:pPr>
            <w:hyperlink r:id="rId25">
              <w:r>
                <w:rPr>
                  <w:rStyle w:val="InternetLink"/>
                  <w:rFonts w:ascii="Times New Roman" w:hAnsi="Times New Roman"/>
                  <w:caps w:val="false"/>
                  <w:smallCaps w:val="false"/>
                  <w:sz w:val="20"/>
                </w:rPr>
                <w:t>Form of Convertible Debenture issued to YA II PN, Ltd. (incorporated herein by reference to Exhibit 10.2 of the Company’s Registration Statement on Form F-3 (File No. 333-268709) filed with the SEC on December 8, 2022)</w:t>
              </w:r>
            </w:hyperlink>
          </w:p>
        </w:tc>
      </w:tr>
      <w:tr>
        <w:trPr/>
        <w:tc>
          <w:tcPr>
            <w:tcW w:w="72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firstLine="20"/>
              <w:jc w:val="left"/>
              <w:rPr/>
            </w:pPr>
            <w:hyperlink w:anchor="ex_607674.htm">
              <w:r>
                <w:rPr>
                  <w:rStyle w:val="InternetLink"/>
                  <w:rFonts w:ascii="Times New Roman" w:hAnsi="Times New Roman"/>
                  <w:caps w:val="false"/>
                  <w:smallCaps w:val="false"/>
                  <w:sz w:val="20"/>
                </w:rPr>
                <w:t>4.8*</w:t>
              </w:r>
            </w:hyperlink>
          </w:p>
        </w:tc>
        <w:tc>
          <w:tcPr>
            <w:tcW w:w="9480" w:type="dxa"/>
            <w:tcBorders>
              <w:bottom w:val="single" w:sz="2" w:space="0" w:color="000000"/>
              <w:right w:val="single" w:sz="2" w:space="0" w:color="000000"/>
            </w:tcBorders>
            <w:tcMar>
              <w:right w:w="28" w:type="dxa"/>
            </w:tcMar>
            <w:vAlign w:val="center"/>
          </w:tcPr>
          <w:p>
            <w:pPr>
              <w:pStyle w:val="TableContents"/>
              <w:bidi w:val="0"/>
              <w:spacing w:before="0" w:after="0"/>
              <w:ind w:left="0" w:right="0" w:firstLine="20"/>
              <w:jc w:val="left"/>
              <w:rPr/>
            </w:pPr>
            <w:hyperlink w:anchor="ex_607674.htm">
              <w:r>
                <w:rPr>
                  <w:rStyle w:val="InternetLink"/>
                  <w:rFonts w:ascii="Times New Roman" w:hAnsi="Times New Roman"/>
                  <w:caps w:val="false"/>
                  <w:smallCaps w:val="false"/>
                  <w:sz w:val="20"/>
                </w:rPr>
                <w:t>Restructuring Agreement between Sono Group N.V. and YA II PN, Ltd, dated 17 November 2023 and effective as of 20 November 2023</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7" w:type="dxa"/>
        <w:tblLayout w:type="fixed"/>
        <w:tblCellMar>
          <w:top w:w="28" w:type="dxa"/>
          <w:left w:w="28" w:type="dxa"/>
          <w:bottom w:w="28" w:type="dxa"/>
          <w:right w:w="28" w:type="dxa"/>
        </w:tblCellMar>
      </w:tblPr>
      <w:tblGrid>
        <w:gridCol w:w="593"/>
        <w:gridCol w:w="9612"/>
      </w:tblGrid>
      <w:tr>
        <w:trPr/>
        <w:tc>
          <w:tcPr>
            <w:tcW w:w="59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firstLine="20"/>
              <w:jc w:val="left"/>
              <w:rPr/>
            </w:pPr>
            <w:hyperlink w:anchor="ex_607675.htm">
              <w:r>
                <w:rPr>
                  <w:rStyle w:val="InternetLink"/>
                  <w:rFonts w:ascii="Times New Roman" w:hAnsi="Times New Roman"/>
                  <w:caps w:val="false"/>
                  <w:smallCaps w:val="false"/>
                  <w:sz w:val="20"/>
                </w:rPr>
                <w:t>4.9*</w:t>
              </w:r>
            </w:hyperlink>
          </w:p>
        </w:tc>
        <w:tc>
          <w:tcPr>
            <w:tcW w:w="9612"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20"/>
              <w:jc w:val="left"/>
              <w:rPr/>
            </w:pPr>
            <w:hyperlink w:anchor="ex_607675.htm">
              <w:r>
                <w:rPr>
                  <w:rStyle w:val="InternetLink"/>
                  <w:rFonts w:ascii="Times New Roman" w:hAnsi="Times New Roman"/>
                  <w:caps w:val="false"/>
                  <w:smallCaps w:val="false"/>
                  <w:sz w:val="20"/>
                </w:rPr>
                <w:t>Continuation Agreement between Sono Group N.V. and Sono Motors GmbH, dated November 20, 2023</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pPr>
            <w:hyperlink w:anchor="ex_607676.htm">
              <w:r>
                <w:rPr>
                  <w:rStyle w:val="InternetLink"/>
                  <w:rFonts w:ascii="Times New Roman" w:hAnsi="Times New Roman"/>
                  <w:caps w:val="false"/>
                  <w:smallCaps w:val="false"/>
                  <w:sz w:val="20"/>
                </w:rPr>
                <w:t>4.10*</w:t>
              </w:r>
            </w:hyperlink>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pPr>
            <w:hyperlink w:anchor="ex_607676.htm">
              <w:r>
                <w:rPr>
                  <w:rStyle w:val="InternetLink"/>
                  <w:rFonts w:ascii="Times New Roman" w:hAnsi="Times New Roman"/>
                  <w:caps w:val="false"/>
                  <w:smallCaps w:val="false"/>
                  <w:sz w:val="20"/>
                </w:rPr>
                <w:t>Funding Commitment Letter issued by YA II PN, Ltd. and agreed to and acknowledged by Sono Group N.V., dated November 17, 2023 and effective as of November 20, 2023</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pPr>
            <w:hyperlink w:anchor="ex_607677.htm">
              <w:r>
                <w:rPr>
                  <w:rStyle w:val="InternetLink"/>
                  <w:rFonts w:ascii="Times New Roman" w:hAnsi="Times New Roman"/>
                  <w:caps w:val="false"/>
                  <w:smallCaps w:val="false"/>
                  <w:sz w:val="20"/>
                </w:rPr>
                <w:t>4.11*</w:t>
              </w:r>
            </w:hyperlink>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pPr>
            <w:hyperlink w:anchor="ex_607677.htm">
              <w:r>
                <w:rPr>
                  <w:rStyle w:val="InternetLink"/>
                  <w:rFonts w:ascii="Times New Roman" w:hAnsi="Times New Roman"/>
                  <w:caps w:val="false"/>
                  <w:smallCaps w:val="false"/>
                  <w:sz w:val="20"/>
                </w:rPr>
                <w:t>Shareholders Commitment Letter issued by Laurin Hahn and Jona Christians and agreed to and acknowledged by Sono Group N.V. and Sono Motors GmbH, dated November 17, 2023 and effective as of November 20, 2023</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pPr>
            <w:hyperlink w:anchor="ex_607678.htm">
              <w:r>
                <w:rPr>
                  <w:rStyle w:val="InternetLink"/>
                  <w:rFonts w:ascii="Times New Roman" w:hAnsi="Times New Roman"/>
                  <w:caps w:val="false"/>
                  <w:smallCaps w:val="false"/>
                  <w:sz w:val="20"/>
                </w:rPr>
                <w:t>4.12*</w:t>
              </w:r>
            </w:hyperlink>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pPr>
            <w:hyperlink w:anchor="ex_607678.htm">
              <w:r>
                <w:rPr>
                  <w:rStyle w:val="InternetLink"/>
                  <w:rFonts w:ascii="Times New Roman" w:hAnsi="Times New Roman"/>
                  <w:caps w:val="false"/>
                  <w:smallCaps w:val="false"/>
                  <w:sz w:val="20"/>
                </w:rPr>
                <w:t>Settlement Agreement between Sono Group N.V. and Sono Motors GmbH</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pPr>
            <w:hyperlink w:anchor="ex_607679.htm">
              <w:r>
                <w:rPr>
                  <w:rStyle w:val="InternetLink"/>
                  <w:rFonts w:ascii="Times New Roman" w:hAnsi="Times New Roman"/>
                  <w:caps w:val="false"/>
                  <w:smallCaps w:val="false"/>
                  <w:sz w:val="20"/>
                </w:rPr>
                <w:t>4.13*</w:t>
              </w:r>
            </w:hyperlink>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pPr>
            <w:hyperlink w:anchor="ex_607679.htm">
              <w:r>
                <w:rPr>
                  <w:rStyle w:val="InternetLink"/>
                  <w:rFonts w:ascii="Times New Roman" w:hAnsi="Times New Roman"/>
                  <w:caps w:val="false"/>
                  <w:smallCaps w:val="false"/>
                  <w:sz w:val="20"/>
                </w:rPr>
                <w:t>Back-to-Back Letter of Comfort between Sono Group N.V. and Sono Motors GmbH</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pPr>
            <w:hyperlink w:anchor="ex_607680.htm">
              <w:r>
                <w:rPr>
                  <w:rStyle w:val="InternetLink"/>
                  <w:rFonts w:ascii="Times New Roman" w:hAnsi="Times New Roman"/>
                  <w:caps w:val="false"/>
                  <w:smallCaps w:val="false"/>
                  <w:sz w:val="20"/>
                </w:rPr>
                <w:t>4.14*</w:t>
              </w:r>
            </w:hyperlink>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pPr>
            <w:hyperlink w:anchor="ex_607680.htm">
              <w:r>
                <w:rPr>
                  <w:rStyle w:val="InternetLink"/>
                  <w:rFonts w:ascii="Times New Roman" w:hAnsi="Times New Roman"/>
                  <w:caps w:val="false"/>
                  <w:smallCaps w:val="false"/>
                  <w:sz w:val="20"/>
                </w:rPr>
                <w:t>Prolongation Agreement between YA II PN, Ltd. and Sono Group N.V. , dated November 17, 2023 and effective as of November 20, 2023</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pPr>
            <w:hyperlink r:id="rId26">
              <w:r>
                <w:rPr>
                  <w:rStyle w:val="InternetLink"/>
                  <w:rFonts w:ascii="Times New Roman" w:hAnsi="Times New Roman"/>
                  <w:caps w:val="false"/>
                  <w:smallCaps w:val="false"/>
                  <w:sz w:val="20"/>
                </w:rPr>
                <w:t>8.1</w:t>
              </w:r>
            </w:hyperlink>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pPr>
            <w:hyperlink r:id="rId27">
              <w:r>
                <w:rPr>
                  <w:rStyle w:val="InternetLink"/>
                  <w:rFonts w:ascii="Times New Roman" w:hAnsi="Times New Roman"/>
                  <w:caps w:val="false"/>
                  <w:smallCaps w:val="false"/>
                  <w:sz w:val="20"/>
                </w:rPr>
                <w:t>List of Significant Subsidiaries (incorporated herein by reference to Exhibit 21.1 of the Company’s Registration Statement on Form F-1 (File No. 333-260432) filed on October 22, 2021)</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pPr>
            <w:hyperlink w:anchor="ex_605204.htm">
              <w:r>
                <w:rPr>
                  <w:rStyle w:val="InternetLink"/>
                  <w:rFonts w:ascii="Times New Roman" w:hAnsi="Times New Roman"/>
                  <w:caps w:val="false"/>
                  <w:smallCaps w:val="false"/>
                  <w:sz w:val="20"/>
                </w:rPr>
                <w:t>12.1*</w:t>
              </w:r>
            </w:hyperlink>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pPr>
            <w:hyperlink w:anchor="ex_605204.htm">
              <w:r>
                <w:rPr>
                  <w:rStyle w:val="InternetLink"/>
                  <w:rFonts w:ascii="Times New Roman" w:hAnsi="Times New Roman"/>
                  <w:caps w:val="false"/>
                  <w:smallCaps w:val="false"/>
                  <w:sz w:val="20"/>
                </w:rPr>
                <w:t>Co-CEO Certification Pursuant to Section 302 of the Sarbanes-Oxley Act of 2002</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pPr>
            <w:hyperlink w:anchor="ex_605205.htm">
              <w:r>
                <w:rPr>
                  <w:rStyle w:val="InternetLink"/>
                  <w:rFonts w:ascii="Times New Roman" w:hAnsi="Times New Roman"/>
                  <w:caps w:val="false"/>
                  <w:smallCaps w:val="false"/>
                  <w:sz w:val="20"/>
                </w:rPr>
                <w:t>12.2*</w:t>
              </w:r>
            </w:hyperlink>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pPr>
            <w:hyperlink w:anchor="ex_605205.htm">
              <w:r>
                <w:rPr>
                  <w:rStyle w:val="InternetLink"/>
                  <w:rFonts w:ascii="Times New Roman" w:hAnsi="Times New Roman"/>
                  <w:caps w:val="false"/>
                  <w:smallCaps w:val="false"/>
                  <w:sz w:val="20"/>
                </w:rPr>
                <w:t>Co-CEO Certification Pursuant to Section 302 of the Sarbanes-Oxley Act of 2002</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pPr>
            <w:hyperlink w:anchor="ex_605206.htm">
              <w:r>
                <w:rPr>
                  <w:rStyle w:val="InternetLink"/>
                  <w:rFonts w:ascii="Times New Roman" w:hAnsi="Times New Roman"/>
                  <w:caps w:val="false"/>
                  <w:smallCaps w:val="false"/>
                  <w:sz w:val="20"/>
                </w:rPr>
                <w:t>12.3*</w:t>
              </w:r>
            </w:hyperlink>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pPr>
            <w:hyperlink w:anchor="ex_605206.htm">
              <w:r>
                <w:rPr>
                  <w:rStyle w:val="InternetLink"/>
                  <w:rFonts w:ascii="Times New Roman" w:hAnsi="Times New Roman"/>
                  <w:caps w:val="false"/>
                  <w:smallCaps w:val="false"/>
                  <w:sz w:val="20"/>
                </w:rPr>
                <w:t>CFO Certification Pursuant to Section 302 of the Sarbanes-Oxley Act of 2002</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pPr>
            <w:hyperlink w:anchor="ex_605207.htm">
              <w:r>
                <w:rPr>
                  <w:rStyle w:val="InternetLink"/>
                  <w:rFonts w:ascii="Times New Roman" w:hAnsi="Times New Roman"/>
                  <w:caps w:val="false"/>
                  <w:smallCaps w:val="false"/>
                  <w:sz w:val="20"/>
                </w:rPr>
                <w:t>13.1**</w:t>
              </w:r>
            </w:hyperlink>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pPr>
            <w:hyperlink w:anchor="ex_605207.htm">
              <w:r>
                <w:rPr>
                  <w:rStyle w:val="InternetLink"/>
                  <w:rFonts w:ascii="Times New Roman" w:hAnsi="Times New Roman"/>
                  <w:caps w:val="false"/>
                  <w:smallCaps w:val="false"/>
                  <w:sz w:val="20"/>
                </w:rPr>
                <w:t>Certification Pursuant to Section 906 of the Sarbanes-Oxley Act of 2002</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pPr>
            <w:hyperlink w:anchor="ex_605208.htm">
              <w:r>
                <w:rPr>
                  <w:rStyle w:val="InternetLink"/>
                  <w:rFonts w:ascii="Times New Roman" w:hAnsi="Times New Roman"/>
                  <w:caps w:val="false"/>
                  <w:smallCaps w:val="false"/>
                  <w:sz w:val="20"/>
                </w:rPr>
                <w:t>15.1*</w:t>
              </w:r>
            </w:hyperlink>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pPr>
            <w:hyperlink w:anchor="ex_605208.htm">
              <w:r>
                <w:rPr>
                  <w:rStyle w:val="InternetLink"/>
                  <w:rFonts w:ascii="Times New Roman" w:hAnsi="Times New Roman"/>
                  <w:caps w:val="false"/>
                  <w:smallCaps w:val="false"/>
                  <w:sz w:val="20"/>
                </w:rPr>
                <w:t>Consent of PricewaterhouseCoopers GmbH Wirtschaftsprüfungsgesellschaft</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pPr>
            <w:hyperlink w:anchor="ex_607673.htm">
              <w:r>
                <w:rPr>
                  <w:rStyle w:val="InternetLink"/>
                  <w:rFonts w:ascii="Times New Roman" w:hAnsi="Times New Roman"/>
                  <w:caps w:val="false"/>
                  <w:smallCaps w:val="false"/>
                  <w:sz w:val="20"/>
                </w:rPr>
                <w:t>97</w:t>
              </w:r>
            </w:hyperlink>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pPr>
            <w:hyperlink w:anchor="ex_607673.htm">
              <w:r>
                <w:rPr>
                  <w:rStyle w:val="InternetLink"/>
                  <w:rFonts w:ascii="Times New Roman" w:hAnsi="Times New Roman"/>
                  <w:caps w:val="false"/>
                  <w:smallCaps w:val="false"/>
                  <w:sz w:val="20"/>
                </w:rPr>
                <w:t>Clawback Policy</w:t>
              </w:r>
            </w:hyperlink>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Inline XBRL Schema Documents</w:t>
            </w:r>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Inline XBRL Calculation Linkbase Document</w:t>
            </w:r>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Inline XBRL Label Linkbase Document</w:t>
            </w:r>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Inline XBRL Presentation Linkbase Document</w:t>
            </w:r>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Inline XBRL Definition Linkbase Document</w:t>
            </w:r>
          </w:p>
        </w:tc>
      </w:tr>
      <w:tr>
        <w:trPr/>
        <w:tc>
          <w:tcPr>
            <w:tcW w:w="59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104</w:t>
            </w:r>
          </w:p>
        </w:tc>
        <w:tc>
          <w:tcPr>
            <w:tcW w:w="961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XBRL and contained in Exhibit 101)</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400" w:type="dxa"/>
        <w:jc w:val="left"/>
        <w:tblInd w:w="0" w:type="dxa"/>
        <w:tblLayout w:type="fixed"/>
        <w:tblCellMar>
          <w:top w:w="0" w:type="dxa"/>
          <w:left w:w="0" w:type="dxa"/>
          <w:bottom w:w="0" w:type="dxa"/>
          <w:right w:w="0" w:type="dxa"/>
        </w:tblCellMar>
      </w:tblPr>
      <w:tblGrid>
        <w:gridCol w:w="145"/>
        <w:gridCol w:w="1255"/>
      </w:tblGrid>
      <w:tr>
        <w:trPr/>
        <w:tc>
          <w:tcPr>
            <w:tcW w:w="14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t>
            </w:r>
          </w:p>
        </w:tc>
        <w:tc>
          <w:tcPr>
            <w:tcW w:w="125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Filed herewith.</w:t>
            </w:r>
          </w:p>
        </w:tc>
      </w:tr>
    </w:tbl>
    <w:p>
      <w:pPr>
        <w:pStyle w:val="TextBody"/>
        <w:bidi w:val="0"/>
        <w:spacing w:before="0" w:after="0"/>
        <w:ind w:left="0" w:right="0" w:hanging="0"/>
        <w:jc w:val="left"/>
        <w:rPr/>
      </w:pPr>
      <w:r>
        <w:rPr/>
        <w:t> </w:t>
      </w:r>
    </w:p>
    <w:tbl>
      <w:tblPr>
        <w:tblW w:w="1850" w:type="dxa"/>
        <w:jc w:val="left"/>
        <w:tblInd w:w="0" w:type="dxa"/>
        <w:tblLayout w:type="fixed"/>
        <w:tblCellMar>
          <w:top w:w="0" w:type="dxa"/>
          <w:left w:w="0" w:type="dxa"/>
          <w:bottom w:w="0" w:type="dxa"/>
          <w:right w:w="0" w:type="dxa"/>
        </w:tblCellMar>
      </w:tblPr>
      <w:tblGrid>
        <w:gridCol w:w="250"/>
        <w:gridCol w:w="1600"/>
      </w:tblGrid>
      <w:tr>
        <w:trPr/>
        <w:tc>
          <w:tcPr>
            <w:tcW w:w="250"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t>
            </w:r>
          </w:p>
        </w:tc>
        <w:tc>
          <w:tcPr>
            <w:tcW w:w="1600"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pPr>
      <w:r>
        <w:rPr/>
        <w:t> </w:t>
      </w:r>
    </w:p>
    <w:tbl>
      <w:tblPr>
        <w:tblW w:w="7875" w:type="dxa"/>
        <w:jc w:val="left"/>
        <w:tblInd w:w="0" w:type="dxa"/>
        <w:tblLayout w:type="fixed"/>
        <w:tblCellMar>
          <w:top w:w="0" w:type="dxa"/>
          <w:left w:w="0" w:type="dxa"/>
          <w:bottom w:w="0" w:type="dxa"/>
          <w:right w:w="0" w:type="dxa"/>
        </w:tblCellMar>
      </w:tblPr>
      <w:tblGrid>
        <w:gridCol w:w="140"/>
        <w:gridCol w:w="7735"/>
      </w:tblGrid>
      <w:tr>
        <w:trPr/>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35" w:type="dxa"/>
            <w:tcBorders/>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Certain information has been omitted in accordance with Instruction 4 to Item 19 of Form 20-F.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 certifies that it meets all of the requirements for filing on Form 20-F and has duly caused this Annual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60"/>
        <w:gridCol w:w="320"/>
        <w:gridCol w:w="575"/>
        <w:gridCol w:w="5375"/>
      </w:tblGrid>
      <w:tr>
        <w:trPr/>
        <w:tc>
          <w:tcPr>
            <w:tcW w:w="60" w:type="dxa"/>
            <w:tcBorders/>
            <w:vAlign w:val="center"/>
          </w:tcPr>
          <w:p>
            <w:pPr>
              <w:pStyle w:val="TableContents"/>
              <w:bidi w:val="0"/>
              <w:spacing w:before="0" w:after="283"/>
              <w:jc w:val="left"/>
              <w:rPr/>
            </w:pPr>
            <w:r>
              <w:rPr/>
              <w:t> </w:t>
            </w:r>
          </w:p>
        </w:tc>
        <w:tc>
          <w:tcPr>
            <w:tcW w:w="6270"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SONO GROUP N.V.</w:t>
            </w:r>
          </w:p>
        </w:tc>
      </w:tr>
      <w:tr>
        <w:trPr/>
        <w:tc>
          <w:tcPr>
            <w:tcW w:w="60" w:type="dxa"/>
            <w:tcBorders/>
            <w:vAlign w:val="center"/>
          </w:tcPr>
          <w:p>
            <w:pPr>
              <w:pStyle w:val="TableContents"/>
              <w:bidi w:val="0"/>
              <w:spacing w:before="0" w:after="283"/>
              <w:jc w:val="left"/>
              <w:rPr/>
            </w:pPr>
            <w:r>
              <w:rPr/>
              <w:t> </w:t>
            </w:r>
          </w:p>
        </w:tc>
        <w:tc>
          <w:tcPr>
            <w:tcW w:w="6270"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5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By:</w:t>
            </w:r>
          </w:p>
        </w:tc>
        <w:tc>
          <w:tcPr>
            <w:tcW w:w="595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/s/ Jona Christians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5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Jona Christians</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w:t>
            </w:r>
          </w:p>
        </w:tc>
        <w:tc>
          <w:tcPr>
            <w:tcW w:w="5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Executive Officer and Member of the Management Board</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5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By:</w:t>
            </w:r>
          </w:p>
        </w:tc>
        <w:tc>
          <w:tcPr>
            <w:tcW w:w="595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/s/ Torsten Kiedel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5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Torsten Kiedel</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w:t>
            </w:r>
          </w:p>
        </w:tc>
        <w:tc>
          <w:tcPr>
            <w:tcW w:w="5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Financial Officer and Member of the Management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108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DECEMBER 31, 2022,</w:t>
      </w:r>
      <w:r>
        <w:rPr>
          <w:rFonts w:ascii="Times New Roman" w:hAnsi="Times New Roman"/>
          <w:caps w:val="false"/>
          <w:smallCaps w:val="false"/>
          <w:sz w:val="20"/>
        </w:rPr>
        <w:t> </w:t>
      </w:r>
      <w:r>
        <w:rPr>
          <w:rFonts w:ascii="Times New Roman" w:hAnsi="Times New Roman"/>
          <w:b/>
          <w:caps w:val="false"/>
          <w:smallCaps w:val="false"/>
          <w:sz w:val="20"/>
        </w:rPr>
        <w:t>AND</w:t>
      </w:r>
      <w:r>
        <w:rPr>
          <w:rFonts w:ascii="Times New Roman" w:hAnsi="Times New Roman"/>
          <w:caps w:val="false"/>
          <w:smallCaps w:val="false"/>
          <w:sz w:val="20"/>
        </w:rPr>
        <w:t> </w:t>
      </w:r>
      <w:r>
        <w:rPr>
          <w:rFonts w:ascii="Times New Roman" w:hAnsi="Times New Roman"/>
          <w:b/>
          <w:caps w:val="false"/>
          <w:smallCaps w:val="false"/>
          <w:sz w:val="20"/>
        </w:rPr>
        <w:t>2021 AND FOR EACH OF THE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YEARS IN THE PERIOD ENDED DECEMBER 31,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10"/>
        <w:gridCol w:w="695"/>
      </w:tblGrid>
      <w:tr>
        <w:trPr/>
        <w:tc>
          <w:tcPr>
            <w:tcW w:w="951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b/>
              </w:rPr>
            </w:pPr>
            <w:r>
              <w:rPr>
                <w:b/>
              </w:rPr>
              <w:t>PAGE</w:t>
            </w:r>
          </w:p>
        </w:tc>
      </w:tr>
      <w:tr>
        <w:trPr/>
        <w:tc>
          <w:tcPr>
            <w:tcW w:w="951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tcBorders/>
            <w:vAlign w:val="center"/>
          </w:tcPr>
          <w:p>
            <w:pPr>
              <w:pStyle w:val="TableContents"/>
              <w:bidi w:val="0"/>
              <w:spacing w:before="0" w:after="0"/>
              <w:ind w:left="0" w:right="0" w:hanging="0"/>
              <w:jc w:val="left"/>
              <w:rPr/>
            </w:pPr>
            <w:hyperlink w:anchor="Report">
              <w:r>
                <w:rPr>
                  <w:rStyle w:val="InternetLink"/>
                  <w:rFonts w:ascii="Times New Roman" w:hAnsi="Times New Roman"/>
                  <w:caps w:val="false"/>
                  <w:smallCaps w:val="false"/>
                  <w:sz w:val="20"/>
                  <w:u w:val="single"/>
                </w:rPr>
                <w:t>REPORT OF INDEPENDENT REGISTERED PUBLIC ACCOUNTING FIRM </w:t>
              </w:r>
            </w:hyperlink>
            <w:hyperlink w:anchor="Report">
              <w:r>
                <w:rPr>
                  <w:rStyle w:val="InternetLink"/>
                  <w:rFonts w:ascii="Times New Roman" w:hAnsi="Times New Roman"/>
                  <w:caps w:val="false"/>
                  <w:smallCaps w:val="false"/>
                  <w:sz w:val="20"/>
                  <w:u w:val="single"/>
                  <w:shd w:fill="FFFFFF" w:val="clear"/>
                </w:rPr>
                <w:t>(PCAOB ID: 1275)</w:t>
              </w:r>
            </w:hyperlink>
          </w:p>
        </w:tc>
        <w:tc>
          <w:tcPr>
            <w:tcW w:w="695" w:type="dxa"/>
            <w:tcBorders/>
            <w:vAlign w:val="center"/>
          </w:tcPr>
          <w:p>
            <w:pPr>
              <w:pStyle w:val="TableContents"/>
              <w:bidi w:val="0"/>
              <w:spacing w:before="0" w:after="0"/>
              <w:ind w:left="0" w:right="0" w:hanging="0"/>
              <w:jc w:val="right"/>
              <w:rPr/>
            </w:pPr>
            <w:hyperlink w:anchor="Report">
              <w:r>
                <w:rPr>
                  <w:rStyle w:val="InternetLink"/>
                  <w:rFonts w:ascii="Times New Roman" w:hAnsi="Times New Roman"/>
                  <w:caps w:val="false"/>
                  <w:smallCaps w:val="false"/>
                  <w:sz w:val="20"/>
                </w:rPr>
                <w:t>F-2</w:t>
              </w:r>
            </w:hyperlink>
          </w:p>
        </w:tc>
      </w:tr>
      <w:tr>
        <w:trPr/>
        <w:tc>
          <w:tcPr>
            <w:tcW w:w="951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695" w:type="dxa"/>
            <w:tcBorders/>
            <w:vAlign w:val="center"/>
          </w:tcPr>
          <w:p>
            <w:pPr>
              <w:pStyle w:val="TableContents"/>
              <w:bidi w:val="0"/>
              <w:spacing w:before="0" w:after="283"/>
              <w:jc w:val="left"/>
              <w:rPr/>
            </w:pPr>
            <w:r>
              <w:rPr/>
              <w:t> </w:t>
            </w:r>
          </w:p>
        </w:tc>
      </w:tr>
      <w:tr>
        <w:trPr/>
        <w:tc>
          <w:tcPr>
            <w:tcW w:w="951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tcBorders/>
            <w:vAlign w:val="center"/>
          </w:tcPr>
          <w:p>
            <w:pPr>
              <w:pStyle w:val="TableContents"/>
              <w:bidi w:val="0"/>
              <w:spacing w:before="0" w:after="0"/>
              <w:ind w:left="0" w:right="0" w:hanging="0"/>
              <w:jc w:val="left"/>
              <w:rPr/>
            </w:pPr>
            <w:hyperlink w:anchor="Comprehensive_income">
              <w:r>
                <w:rPr>
                  <w:rStyle w:val="InternetLink"/>
                  <w:rFonts w:ascii="Times New Roman" w:hAnsi="Times New Roman"/>
                  <w:caps w:val="false"/>
                  <w:smallCaps w:val="false"/>
                  <w:sz w:val="20"/>
                  <w:u w:val="single"/>
                </w:rPr>
                <w:t>CONSOLIDATED STATEMENTS OF INCOME (LOSS) AND STATEMENTS OF COMPREHENSIVE INCOME (LOSS)</w:t>
              </w:r>
            </w:hyperlink>
          </w:p>
        </w:tc>
        <w:tc>
          <w:tcPr>
            <w:tcW w:w="695" w:type="dxa"/>
            <w:tcBorders/>
            <w:vAlign w:val="center"/>
          </w:tcPr>
          <w:p>
            <w:pPr>
              <w:pStyle w:val="TableContents"/>
              <w:bidi w:val="0"/>
              <w:spacing w:before="0" w:after="0"/>
              <w:ind w:left="0" w:right="0" w:hanging="0"/>
              <w:jc w:val="right"/>
              <w:rPr/>
            </w:pPr>
            <w:hyperlink w:anchor="Comprehensive_income">
              <w:r>
                <w:rPr>
                  <w:rStyle w:val="InternetLink"/>
                  <w:rFonts w:ascii="Times New Roman" w:hAnsi="Times New Roman"/>
                  <w:caps w:val="false"/>
                  <w:smallCaps w:val="false"/>
                  <w:sz w:val="20"/>
                </w:rPr>
                <w:t>F-4</w:t>
              </w:r>
            </w:hyperlink>
          </w:p>
        </w:tc>
      </w:tr>
      <w:tr>
        <w:trPr/>
        <w:tc>
          <w:tcPr>
            <w:tcW w:w="951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tcBorders/>
            <w:vAlign w:val="center"/>
          </w:tcPr>
          <w:p>
            <w:pPr>
              <w:pStyle w:val="TableContents"/>
              <w:bidi w:val="0"/>
              <w:spacing w:before="0" w:after="0"/>
              <w:ind w:left="0" w:right="0" w:hanging="0"/>
              <w:jc w:val="left"/>
              <w:rPr/>
            </w:pPr>
            <w:hyperlink w:anchor="Balance_sheets">
              <w:r>
                <w:rPr>
                  <w:rStyle w:val="InternetLink"/>
                  <w:rFonts w:ascii="Times New Roman" w:hAnsi="Times New Roman"/>
                  <w:caps w:val="false"/>
                  <w:smallCaps w:val="false"/>
                  <w:sz w:val="20"/>
                  <w:u w:val="single"/>
                </w:rPr>
                <w:t>CONSOLIDATED BALANCE SHEETS</w:t>
              </w:r>
            </w:hyperlink>
          </w:p>
        </w:tc>
        <w:tc>
          <w:tcPr>
            <w:tcW w:w="695" w:type="dxa"/>
            <w:tcBorders/>
            <w:vAlign w:val="center"/>
          </w:tcPr>
          <w:p>
            <w:pPr>
              <w:pStyle w:val="TableContents"/>
              <w:bidi w:val="0"/>
              <w:spacing w:before="0" w:after="0"/>
              <w:ind w:left="0" w:right="0" w:hanging="0"/>
              <w:jc w:val="right"/>
              <w:rPr/>
            </w:pPr>
            <w:hyperlink w:anchor="Balance_sheets">
              <w:r>
                <w:rPr>
                  <w:rStyle w:val="InternetLink"/>
                  <w:rFonts w:ascii="Times New Roman" w:hAnsi="Times New Roman"/>
                  <w:caps w:val="false"/>
                  <w:smallCaps w:val="false"/>
                  <w:sz w:val="20"/>
                </w:rPr>
                <w:t>F-5</w:t>
              </w:r>
            </w:hyperlink>
          </w:p>
        </w:tc>
      </w:tr>
      <w:tr>
        <w:trPr/>
        <w:tc>
          <w:tcPr>
            <w:tcW w:w="951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u w:val="single"/>
                </w:rPr>
                <w:t>CONSOLIDATED STATEMENTS OF CHANGES IN EQUITY</w:t>
              </w:r>
            </w:hyperlink>
          </w:p>
        </w:tc>
        <w:tc>
          <w:tcPr>
            <w:tcW w:w="695"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F-6</w:t>
              </w:r>
            </w:hyperlink>
          </w:p>
        </w:tc>
      </w:tr>
      <w:tr>
        <w:trPr/>
        <w:tc>
          <w:tcPr>
            <w:tcW w:w="951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tcBorders/>
            <w:vAlign w:val="center"/>
          </w:tcPr>
          <w:p>
            <w:pPr>
              <w:pStyle w:val="TableContents"/>
              <w:bidi w:val="0"/>
              <w:spacing w:before="0" w:after="0"/>
              <w:ind w:left="0" w:right="0" w:hanging="0"/>
              <w:jc w:val="left"/>
              <w:rPr/>
            </w:pPr>
            <w:hyperlink w:anchor="Cash_flows">
              <w:r>
                <w:rPr>
                  <w:rStyle w:val="InternetLink"/>
                  <w:rFonts w:ascii="Times New Roman" w:hAnsi="Times New Roman"/>
                  <w:caps w:val="false"/>
                  <w:smallCaps w:val="false"/>
                  <w:sz w:val="20"/>
                  <w:u w:val="single"/>
                </w:rPr>
                <w:t>CONSOLIDATED STATEMENTS OF CASH FLOWS</w:t>
              </w:r>
            </w:hyperlink>
          </w:p>
        </w:tc>
        <w:tc>
          <w:tcPr>
            <w:tcW w:w="695" w:type="dxa"/>
            <w:tcBorders/>
            <w:vAlign w:val="center"/>
          </w:tcPr>
          <w:p>
            <w:pPr>
              <w:pStyle w:val="TableContents"/>
              <w:bidi w:val="0"/>
              <w:spacing w:before="0" w:after="0"/>
              <w:ind w:left="0" w:right="0" w:hanging="0"/>
              <w:jc w:val="right"/>
              <w:rPr/>
            </w:pPr>
            <w:hyperlink w:anchor="Cash_flows">
              <w:r>
                <w:rPr>
                  <w:rStyle w:val="InternetLink"/>
                  <w:rFonts w:ascii="Times New Roman" w:hAnsi="Times New Roman"/>
                  <w:caps w:val="false"/>
                  <w:smallCaps w:val="false"/>
                  <w:sz w:val="20"/>
                </w:rPr>
                <w:t>F-7</w:t>
              </w:r>
            </w:hyperlink>
          </w:p>
        </w:tc>
      </w:tr>
      <w:tr>
        <w:trPr/>
        <w:tc>
          <w:tcPr>
            <w:tcW w:w="951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u w:val="single"/>
                </w:rPr>
                <w:t>NOTES TO THE CONSOLIDATED FINANCIAL STATEMENTS</w:t>
              </w:r>
            </w:hyperlink>
          </w:p>
        </w:tc>
        <w:tc>
          <w:tcPr>
            <w:tcW w:w="695"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F-8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6" w:name="Report"/>
      <w:bookmarkEnd w:id="86"/>
      <w:r>
        <w:rPr>
          <w:rFonts w:ascii="Times New Roman" w:hAnsi="Times New Roman"/>
          <w:b/>
          <w:caps w:val="false"/>
          <w:smallCaps w:val="false"/>
          <w:sz w:val="20"/>
        </w:rPr>
        <w:t xml:space="preserve">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Supervisory Board and Shareholders of Sono Group N.V.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Sono Group N.V. and its subsidiary (the “Company”) as of December 31, 2022 and 2021, and the related consolidated statements of income (loss), comprehensive income (loss), changes in equity and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International Financial Reporting Standards as issued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Substantial Doubt about the Company</w:t>
      </w:r>
      <w:r>
        <w:rPr>
          <w:rFonts w:ascii="Times New Roman" w:hAnsi="Times New Roman"/>
          <w:caps w:val="false"/>
          <w:smallCaps w:val="false"/>
          <w:sz w:val="20"/>
        </w:rPr>
        <w:t>’</w:t>
      </w:r>
      <w:r>
        <w:rPr>
          <w:rFonts w:ascii="Times New Roman" w:hAnsi="Times New Roman"/>
          <w:i/>
          <w:caps w:val="false"/>
          <w:smallCaps w:val="false"/>
          <w:sz w:val="20"/>
        </w:rPr>
        <w: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have been prepared assuming that the Company will continue as a going concern. As discussed in Note 4.12.1 to the consolidated financial statements, the Company (i) incurred recurring losses and cash outflows from operations, (ii) has an accumulated deficit and negative equity, (iii) initiated insolvency proceedings for itself and its sole subsidiary, Sono Motors GmbH, with the insolvency court of the local court of Munich, Germany on May 15, 2023 and has yet to emerge from the insolvency proceedings and (iv) is dependent on the closing of certain investment related agreements and the related cash inflows as well as additional financing to run the restructured business. These events and conditions raise substantial doubt about the Company’s ability to continue as a going concern. Management's plans in regard to these matters are also described in Note 4.12.1.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Munich, Germany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PricewaterhouseCoopers GmbH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Wirtschaftsprüfungsgesellschaft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015"/>
        <w:gridCol w:w="2015"/>
      </w:tblGrid>
      <w:tr>
        <w:trPr/>
        <w:tc>
          <w:tcPr>
            <w:tcW w:w="2015" w:type="dxa"/>
            <w:tcBorders/>
            <w:vAlign w:val="center"/>
          </w:tcPr>
          <w:p>
            <w:pPr>
              <w:pStyle w:val="TableContents"/>
              <w:bidi w:val="0"/>
              <w:spacing w:before="0" w:after="283"/>
              <w:jc w:val="left"/>
              <w:rPr/>
            </w:pPr>
            <w:r>
              <w:rPr/>
              <w:t>/s/Alexander Fiedler</w:t>
            </w:r>
          </w:p>
        </w:tc>
        <w:tc>
          <w:tcPr>
            <w:tcW w:w="2015" w:type="dxa"/>
            <w:tcBorders/>
            <w:vAlign w:val="center"/>
          </w:tcPr>
          <w:p>
            <w:pPr>
              <w:pStyle w:val="TableContents"/>
              <w:bidi w:val="0"/>
              <w:spacing w:before="0" w:after="283"/>
              <w:jc w:val="left"/>
              <w:rPr/>
            </w:pPr>
            <w:r>
              <w:rPr/>
              <w:t>/s/Sylvia Eichler</w:t>
            </w:r>
          </w:p>
        </w:tc>
      </w:tr>
      <w:tr>
        <w:trPr/>
        <w:tc>
          <w:tcPr>
            <w:tcW w:w="2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Wirtschaftsprüfer</w:t>
            </w:r>
          </w:p>
        </w:tc>
        <w:tc>
          <w:tcPr>
            <w:tcW w:w="2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Wirtschaftsprüferin</w:t>
            </w:r>
          </w:p>
        </w:tc>
      </w:tr>
      <w:tr>
        <w:trPr/>
        <w:tc>
          <w:tcPr>
            <w:tcW w:w="2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 Public Auditor)</w:t>
            </w:r>
          </w:p>
        </w:tc>
        <w:tc>
          <w:tcPr>
            <w:tcW w:w="2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 Public Auditor)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2020.</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Consolidated Financial Statements</w:t>
        <w:br/>
        <w:t>as of</w:t>
        <w:br/>
        <w:t>December 31, 2022 and 2021 and for each of the three years in the</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period ended December 31,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In accordance with</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International Financial Reporting Standards</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(IFRS), as issued by the IASB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Sono Group N.V.</w:t>
      </w:r>
    </w:p>
    <w:p>
      <w:pPr>
        <w:pStyle w:val="TextBody"/>
        <w:bidi w:val="0"/>
        <w:spacing w:before="0" w:after="0"/>
        <w:ind w:left="160" w:right="0" w:hanging="0"/>
        <w:jc w:val="center"/>
        <w:rPr>
          <w:smallCaps/>
        </w:rPr>
      </w:pPr>
      <w:r>
        <w:rPr>
          <w:smallCaps/>
        </w:rPr>
        <w:t> </w:t>
      </w:r>
    </w:p>
    <w:p>
      <w:pPr>
        <w:pStyle w:val="TextBody"/>
        <w:bidi w:val="0"/>
        <w:spacing w:before="0" w:after="0"/>
        <w:ind w:left="160" w:right="0" w:hanging="0"/>
        <w:jc w:val="center"/>
        <w:rPr>
          <w:smallCaps/>
        </w:rPr>
      </w:pPr>
      <w:r>
        <w:rPr>
          <w:smallCaps/>
        </w:rPr>
        <w:t> </w:t>
      </w:r>
    </w:p>
    <w:p>
      <w:pPr>
        <w:pStyle w:val="TextBody"/>
        <w:bidi w:val="0"/>
        <w:spacing w:before="0" w:after="0"/>
        <w:ind w:left="160" w:right="0" w:hanging="0"/>
        <w:jc w:val="center"/>
        <w:rPr>
          <w:smallCaps/>
        </w:rPr>
      </w:pPr>
      <w:r>
        <w:rPr>
          <w:smallCaps/>
        </w:rPr>
        <w:t> </w:t>
      </w:r>
    </w:p>
    <w:p>
      <w:pPr>
        <w:pStyle w:val="TextBody"/>
        <w:bidi w:val="0"/>
        <w:spacing w:before="0" w:after="0"/>
        <w:ind w:left="160" w:right="0" w:hanging="0"/>
        <w:jc w:val="center"/>
        <w:rPr>
          <w:smallCaps/>
        </w:rPr>
      </w:pPr>
      <w:r>
        <w:rPr>
          <w:smallCaps/>
        </w:rPr>
        <w:t> </w:t>
      </w:r>
    </w:p>
    <w:p>
      <w:pPr>
        <w:pStyle w:val="TextBody"/>
        <w:bidi w:val="0"/>
        <w:spacing w:before="0" w:after="0"/>
        <w:ind w:left="160" w:right="0" w:hanging="0"/>
        <w:jc w:val="center"/>
        <w:rPr>
          <w:smallCaps/>
        </w:rPr>
      </w:pPr>
      <w:r>
        <w:rPr>
          <w:smallCaps/>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8"/>
        </w:rPr>
      </w:pPr>
      <w:bookmarkStart w:id="87" w:name="Comprehensive_income"/>
      <w:bookmarkEnd w:id="87"/>
      <w:r>
        <w:rPr>
          <w:rFonts w:ascii="Times New Roman;Times;serif" w:hAnsi="Times New Roman;Times;serif"/>
          <w:sz w:val="28"/>
        </w:rPr>
        <w:t>Consolidated Statements of Income (loss) and</w:t>
        <w:br/>
        <w:t>Statements of Comprehensive Income (loss)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42"/>
        <w:gridCol w:w="60"/>
        <w:gridCol w:w="73"/>
        <w:gridCol w:w="337"/>
        <w:gridCol w:w="60"/>
        <w:gridCol w:w="60"/>
        <w:gridCol w:w="60"/>
        <w:gridCol w:w="976"/>
        <w:gridCol w:w="80"/>
        <w:gridCol w:w="60"/>
        <w:gridCol w:w="60"/>
        <w:gridCol w:w="976"/>
        <w:gridCol w:w="80"/>
        <w:gridCol w:w="60"/>
        <w:gridCol w:w="60"/>
        <w:gridCol w:w="976"/>
        <w:gridCol w:w="85"/>
      </w:tblGrid>
      <w:tr>
        <w:trPr/>
        <w:tc>
          <w:tcPr>
            <w:tcW w:w="6142"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85" w:type="dxa"/>
            <w:tcBorders>
              <w:bottom w:val="single" w:sz="2" w:space="0" w:color="000000"/>
            </w:tcBorders>
            <w:vAlign w:val="center"/>
          </w:tcPr>
          <w:p>
            <w:pPr>
              <w:pStyle w:val="TableContents"/>
              <w:bidi w:val="0"/>
              <w:spacing w:before="0" w:after="283"/>
              <w:jc w:val="left"/>
              <w:rPr/>
            </w:pPr>
            <w:r>
              <w:rPr/>
              <w:t> </w:t>
            </w:r>
          </w:p>
        </w:tc>
      </w:tr>
      <w:tr>
        <w:trPr/>
        <w:tc>
          <w:tcPr>
            <w:tcW w:w="6142"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3" w:type="dxa"/>
            <w:tcBorders>
              <w:bottom w:val="single" w:sz="2" w:space="0" w:color="000000"/>
            </w:tcBorders>
            <w:vAlign w:val="center"/>
          </w:tcPr>
          <w:p>
            <w:pPr>
              <w:pStyle w:val="TableContents"/>
              <w:bidi w:val="0"/>
              <w:spacing w:before="0" w:after="283"/>
              <w:jc w:val="left"/>
              <w:rPr/>
            </w:pPr>
            <w:r>
              <w:rPr/>
              <w:t> </w:t>
            </w:r>
          </w:p>
        </w:tc>
        <w:tc>
          <w:tcPr>
            <w:tcW w:w="337"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5" w:type="dxa"/>
            <w:tcBorders>
              <w:bottom w:val="single" w:sz="2" w:space="0" w:color="000000"/>
            </w:tcBorders>
            <w:vAlign w:val="center"/>
          </w:tcPr>
          <w:p>
            <w:pPr>
              <w:pStyle w:val="TableContents"/>
              <w:bidi w:val="0"/>
              <w:spacing w:before="0" w:after="283"/>
              <w:jc w:val="left"/>
              <w:rPr/>
            </w:pPr>
            <w:r>
              <w:rPr/>
              <w:t> </w:t>
            </w:r>
          </w:p>
        </w:tc>
      </w:tr>
      <w:tr>
        <w:trPr/>
        <w:tc>
          <w:tcPr>
            <w:tcW w:w="614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6"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6"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6" w:type="dxa"/>
            <w:tcBorders/>
            <w:tcMar>
              <w:bottom w:w="0" w:type="dxa"/>
            </w:tcMar>
            <w:vAlign w:val="center"/>
          </w:tcPr>
          <w:p>
            <w:pPr>
              <w:pStyle w:val="TableContents"/>
              <w:bidi w:val="0"/>
              <w:spacing w:before="0" w:after="283"/>
              <w:jc w:val="left"/>
              <w:rPr/>
            </w:pPr>
            <w:r>
              <w:rPr/>
              <w:t> </w:t>
            </w:r>
          </w:p>
        </w:tc>
        <w:tc>
          <w:tcPr>
            <w:tcW w:w="85" w:type="dxa"/>
            <w:tcBorders/>
            <w:tcMar>
              <w:bottom w:w="0" w:type="dxa"/>
            </w:tcMar>
            <w:vAlign w:val="center"/>
          </w:tcPr>
          <w:p>
            <w:pPr>
              <w:pStyle w:val="TableContents"/>
              <w:bidi w:val="0"/>
              <w:spacing w:before="0" w:after="283"/>
              <w:jc w:val="left"/>
              <w:rPr/>
            </w:pPr>
            <w:r>
              <w:rPr/>
              <w:t> </w:t>
            </w:r>
          </w:p>
        </w:tc>
      </w:tr>
      <w:tr>
        <w:trPr/>
        <w:tc>
          <w:tcPr>
            <w:tcW w:w="614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ind w:left="0" w:right="0" w:hanging="0"/>
              <w:jc w:val="left"/>
              <w:rPr/>
            </w:pPr>
            <w:r>
              <w:rPr/>
              <w:t> </w:t>
            </w:r>
          </w:p>
        </w:tc>
        <w:tc>
          <w:tcPr>
            <w:tcW w:w="337"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6142"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7" w:type="dxa"/>
            <w:tcBorders>
              <w:bottom w:val="single" w:sz="2" w:space="0" w:color="000000"/>
            </w:tcBorders>
            <w:shd w:fill="FFFFFF" w:val="clear"/>
            <w:vAlign w:val="center"/>
          </w:tcPr>
          <w:p>
            <w:pPr>
              <w:pStyle w:val="TableContents"/>
              <w:bidi w:val="0"/>
              <w:spacing w:before="0" w:after="283"/>
              <w:ind w:left="0" w:right="0" w:hanging="0"/>
              <w:jc w:val="center"/>
              <w:rPr/>
            </w:pPr>
            <w:r>
              <w:rPr>
                <w:rStyle w:val="Emphasis"/>
                <w:rFonts w:ascii="Times New Roman" w:hAnsi="Times New Roman"/>
                <w:sz w:val="20"/>
              </w:rPr>
              <w:t>6.1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42"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Gross loss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(163</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(42</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w:t>
            </w:r>
          </w:p>
        </w:tc>
        <w:tc>
          <w:tcPr>
            <w:tcW w:w="8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14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development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ind w:left="0" w:right="0" w:hanging="0"/>
              <w:jc w:val="left"/>
              <w:rPr/>
            </w:pPr>
            <w:r>
              <w:rPr/>
              <w:t> </w:t>
            </w:r>
          </w:p>
        </w:tc>
        <w:tc>
          <w:tcPr>
            <w:tcW w:w="337"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(158,479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(40,609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(30,469</w:t>
            </w:r>
          </w:p>
        </w:tc>
        <w:tc>
          <w:tcPr>
            <w:tcW w:w="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14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and distribution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ind w:left="0" w:right="0" w:hanging="0"/>
              <w:jc w:val="left"/>
              <w:rPr/>
            </w:pPr>
            <w:r>
              <w:rPr/>
              <w:t> </w:t>
            </w:r>
          </w:p>
        </w:tc>
        <w:tc>
          <w:tcPr>
            <w:tcW w:w="337"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(3,558</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(9,100</w:t>
            </w:r>
          </w:p>
        </w:tc>
        <w:tc>
          <w:tcPr>
            <w:tcW w:w="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14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ind w:left="0" w:right="0" w:hanging="0"/>
              <w:jc w:val="left"/>
              <w:rPr/>
            </w:pPr>
            <w:r>
              <w:rPr/>
              <w:t> </w:t>
            </w:r>
          </w:p>
        </w:tc>
        <w:tc>
          <w:tcPr>
            <w:tcW w:w="337"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(20,023</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(15,094</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(14,404</w:t>
            </w:r>
          </w:p>
        </w:tc>
        <w:tc>
          <w:tcPr>
            <w:tcW w:w="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14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operating income/(expenses)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ind w:left="0" w:right="0" w:hanging="0"/>
              <w:jc w:val="left"/>
              <w:rPr/>
            </w:pPr>
            <w:r>
              <w:rPr/>
              <w:t> </w:t>
            </w:r>
          </w:p>
        </w:tc>
        <w:tc>
          <w:tcPr>
            <w:tcW w:w="337"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4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vAlign w:val="center"/>
          </w:tcPr>
          <w:p>
            <w:pPr>
              <w:pStyle w:val="TableContents"/>
              <w:bidi w:val="0"/>
              <w:spacing w:before="0" w:after="283"/>
              <w:jc w:val="left"/>
              <w:rPr/>
            </w:pPr>
            <w:r>
              <w:rPr/>
              <w:t> </w:t>
            </w:r>
          </w:p>
        </w:tc>
        <w:tc>
          <w:tcPr>
            <w:tcW w:w="337"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76"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76"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76" w:type="dxa"/>
            <w:tcBorders>
              <w:bottom w:val="single" w:sz="2" w:space="0" w:color="000000"/>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42"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 reversals/(losses) on financial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5"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42"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loss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vAlign w:val="center"/>
          </w:tcPr>
          <w:p>
            <w:pPr>
              <w:pStyle w:val="TableContents"/>
              <w:bidi w:val="0"/>
              <w:spacing w:before="0" w:after="283"/>
              <w:jc w:val="left"/>
              <w:rPr/>
            </w:pPr>
            <w:r>
              <w:rPr/>
              <w:t> </w:t>
            </w:r>
          </w:p>
        </w:tc>
        <w:tc>
          <w:tcPr>
            <w:tcW w:w="337"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(181,376</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(59,154</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(53,994</w:t>
            </w:r>
          </w:p>
        </w:tc>
        <w:tc>
          <w:tcPr>
            <w:tcW w:w="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614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and similar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ind w:left="0" w:right="0" w:hanging="0"/>
              <w:jc w:val="left"/>
              <w:rPr/>
            </w:pPr>
            <w:r>
              <w:rPr/>
              <w:t> </w:t>
            </w:r>
          </w:p>
        </w:tc>
        <w:tc>
          <w:tcPr>
            <w:tcW w:w="337"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6142"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and similar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7" w:type="dxa"/>
            <w:tcBorders>
              <w:bottom w:val="single" w:sz="2" w:space="0" w:color="000000"/>
            </w:tcBorders>
            <w:shd w:fill="FFFFFF" w:val="clear"/>
            <w:vAlign w:val="center"/>
          </w:tcPr>
          <w:p>
            <w:pPr>
              <w:pStyle w:val="TableContents"/>
              <w:bidi w:val="0"/>
              <w:spacing w:before="0" w:after="283"/>
              <w:ind w:left="0" w:right="0" w:hanging="0"/>
              <w:jc w:val="center"/>
              <w:rPr/>
            </w:pPr>
            <w:r>
              <w:rPr>
                <w:rStyle w:val="Emphasis"/>
                <w:rFonts w:ascii="Times New Roman" w:hAnsi="Times New Roman"/>
                <w:sz w:val="20"/>
              </w:rPr>
              <w:t>6.8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(3,321</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(4,781</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(2,040</w:t>
            </w:r>
          </w:p>
        </w:tc>
        <w:tc>
          <w:tcPr>
            <w:tcW w:w="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142"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tax</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(183,698</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(63,935</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(56,032</w:t>
            </w:r>
          </w:p>
        </w:tc>
        <w:tc>
          <w:tcPr>
            <w:tcW w:w="8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614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Taxes on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ind w:left="0" w:right="0" w:hanging="0"/>
              <w:jc w:val="left"/>
              <w:rPr/>
            </w:pPr>
            <w:r>
              <w:rPr/>
              <w:t> </w:t>
            </w:r>
          </w:p>
        </w:tc>
        <w:tc>
          <w:tcPr>
            <w:tcW w:w="337"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6142"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taxes expense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7" w:type="dxa"/>
            <w:tcBorders>
              <w:bottom w:val="single" w:sz="2" w:space="0" w:color="000000"/>
            </w:tcBorders>
            <w:shd w:fill="CCEEFF" w:val="clear"/>
            <w:vAlign w:val="center"/>
          </w:tcPr>
          <w:p>
            <w:pPr>
              <w:pStyle w:val="TableContents"/>
              <w:bidi w:val="0"/>
              <w:spacing w:before="0" w:after="283"/>
              <w:ind w:left="0" w:right="0" w:hanging="0"/>
              <w:jc w:val="center"/>
              <w:rPr/>
            </w:pPr>
            <w:r>
              <w:rPr>
                <w:rStyle w:val="Emphasis"/>
                <w:rFonts w:ascii="Times New Roman" w:hAnsi="Times New Roman"/>
                <w:sz w:val="20"/>
              </w:rPr>
              <w:t>6.9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142"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for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vAlign w:val="center"/>
          </w:tcPr>
          <w:p>
            <w:pPr>
              <w:pStyle w:val="TableContents"/>
              <w:bidi w:val="0"/>
              <w:spacing w:before="0" w:after="283"/>
              <w:jc w:val="left"/>
              <w:rPr/>
            </w:pPr>
            <w:r>
              <w:rPr/>
              <w:t> </w:t>
            </w:r>
          </w:p>
        </w:tc>
        <w:tc>
          <w:tcPr>
            <w:tcW w:w="337"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(183,698</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(63,953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(56,032</w:t>
            </w:r>
          </w:p>
        </w:tc>
        <w:tc>
          <w:tcPr>
            <w:tcW w:w="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6142"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 that will not be reclassified to profit or loss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85"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42"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comprehensive loss for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vAlign w:val="center"/>
          </w:tcPr>
          <w:p>
            <w:pPr>
              <w:pStyle w:val="TableContents"/>
              <w:bidi w:val="0"/>
              <w:spacing w:before="0" w:after="283"/>
              <w:jc w:val="left"/>
              <w:rPr/>
            </w:pPr>
            <w:r>
              <w:rPr/>
              <w:t> </w:t>
            </w:r>
          </w:p>
        </w:tc>
        <w:tc>
          <w:tcPr>
            <w:tcW w:w="337"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(183,698</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(63,937</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(56,053</w:t>
            </w:r>
          </w:p>
        </w:tc>
        <w:tc>
          <w:tcPr>
            <w:tcW w:w="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614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614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per share in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ind w:left="0" w:right="0" w:hanging="0"/>
              <w:jc w:val="left"/>
              <w:rPr/>
            </w:pPr>
            <w:r>
              <w:rPr/>
              <w:t> </w:t>
            </w:r>
          </w:p>
        </w:tc>
        <w:tc>
          <w:tcPr>
            <w:tcW w:w="337"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center"/>
              <w:rPr/>
            </w:pPr>
            <w:r>
              <w:rPr>
                <w:rStyle w:val="Emphasis"/>
              </w:rPr>
              <w:t> </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6142"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36" w:type="dxa"/>
            <w:gridSpan w:val="2"/>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(2.21)/(2.21)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36" w:type="dxa"/>
            <w:gridSpan w:val="2"/>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(1.07)/(1.07)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36" w:type="dxa"/>
            <w:gridSpan w:val="2"/>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(0.97)/(0.97)</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614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 average number of shares for calculation of earnings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6142" w:type="dxa"/>
            <w:tcBorders>
              <w:bottom w:val="single" w:sz="2" w:space="0" w:color="000000"/>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Basic/diluted</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83,055,318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59,836,824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57,684,220</w:t>
            </w:r>
          </w:p>
        </w:tc>
        <w:tc>
          <w:tcPr>
            <w:tcW w:w="85"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bookmarkStart w:id="88" w:name="Balance_sheets"/>
      <w:bookmarkEnd w:id="88"/>
      <w:r>
        <w:rPr>
          <w:rFonts w:ascii="Times New Roman" w:hAnsi="Times New Roman"/>
          <w:caps w:val="false"/>
          <w:smallCaps w:val="false"/>
          <w:sz w:val="28"/>
        </w:rPr>
        <w:t>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6808" w:type="dxa"/>
        <w:jc w:val="left"/>
        <w:tblInd w:w="0" w:type="dxa"/>
        <w:tblLayout w:type="fixed"/>
        <w:tblCellMar>
          <w:top w:w="0" w:type="dxa"/>
          <w:left w:w="0" w:type="dxa"/>
          <w:bottom w:w="28" w:type="dxa"/>
          <w:right w:w="0" w:type="dxa"/>
        </w:tblCellMar>
      </w:tblPr>
      <w:tblGrid>
        <w:gridCol w:w="3575"/>
        <w:gridCol w:w="60"/>
        <w:gridCol w:w="60"/>
        <w:gridCol w:w="380"/>
        <w:gridCol w:w="60"/>
        <w:gridCol w:w="60"/>
        <w:gridCol w:w="84"/>
        <w:gridCol w:w="1060"/>
        <w:gridCol w:w="80"/>
        <w:gridCol w:w="60"/>
        <w:gridCol w:w="92"/>
        <w:gridCol w:w="1157"/>
        <w:gridCol w:w="80"/>
      </w:tblGrid>
      <w:tr>
        <w:trPr/>
        <w:tc>
          <w:tcPr>
            <w:tcW w:w="35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5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380"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0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1157"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15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157"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15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15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15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15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non-financial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57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1,691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4,888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15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 in progress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15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15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6,233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24,215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15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vAlign w:val="center"/>
          </w:tcPr>
          <w:p>
            <w:pPr>
              <w:pStyle w:val="TableContents"/>
              <w:bidi w:val="0"/>
              <w:spacing w:before="0" w:after="283"/>
              <w:ind w:left="0" w:right="0" w:hanging="0"/>
              <w:jc w:val="center"/>
              <w:rPr/>
            </w:pPr>
            <w:r>
              <w:rPr>
                <w:rStyle w:val="Emphasis"/>
                <w:rFonts w:ascii="Times New Roman" w:hAnsi="Times New Roman"/>
                <w:sz w:val="20"/>
              </w:rPr>
              <w:t>7.7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30,357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132,939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57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55,779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142,408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57,470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147,296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157"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AND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15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157"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Subscribed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15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 and other reserves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277,308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15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221,785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(330,778</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(147,081</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57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(43,513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83,439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15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Advance payments received from customers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49,288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15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44,756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15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non-financial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vAlign w:val="center"/>
          </w:tcPr>
          <w:p>
            <w:pPr>
              <w:pStyle w:val="TableContents"/>
              <w:bidi w:val="0"/>
              <w:spacing w:before="0" w:after="283"/>
              <w:ind w:left="0" w:right="0" w:hanging="0"/>
              <w:jc w:val="center"/>
              <w:rPr/>
            </w:pPr>
            <w:r>
              <w:rPr>
                <w:rStyle w:val="Emphasis"/>
                <w:rFonts w:ascii="Times New Roman" w:hAnsi="Times New Roman"/>
                <w:sz w:val="20"/>
              </w:rPr>
              <w:t>7.11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54,406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51,109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157"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Advance payments received from customers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15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30,225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15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15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15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vAlign w:val="center"/>
          </w:tcPr>
          <w:p>
            <w:pPr>
              <w:pStyle w:val="TableContents"/>
              <w:bidi w:val="0"/>
              <w:spacing w:before="0" w:after="283"/>
              <w:ind w:left="0" w:right="0" w:hanging="0"/>
              <w:jc w:val="center"/>
              <w:rPr/>
            </w:pPr>
            <w:r>
              <w:rPr>
                <w:rStyle w:val="Emphasis"/>
                <w:rFonts w:ascii="Times New Roman" w:hAnsi="Times New Roman"/>
                <w:sz w:val="20"/>
              </w:rPr>
              <w:t>7.14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57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8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46,577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12,748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equity and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57,470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147,296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Certain amounts have been reclassified to conform to the 2022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8"/>
        </w:rPr>
      </w:pPr>
      <w:bookmarkStart w:id="89" w:name="Equity"/>
      <w:bookmarkEnd w:id="89"/>
      <w:r>
        <w:rPr>
          <w:rFonts w:ascii="Times New Roman;Times;serif" w:hAnsi="Times New Roman;Times;serif"/>
          <w:sz w:val="28"/>
        </w:rPr>
        <w:t>Consolidated Statements of Changes in Equity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29"/>
        <w:gridCol w:w="60"/>
        <w:gridCol w:w="60"/>
        <w:gridCol w:w="530"/>
        <w:gridCol w:w="60"/>
        <w:gridCol w:w="60"/>
        <w:gridCol w:w="148"/>
        <w:gridCol w:w="1211"/>
        <w:gridCol w:w="80"/>
        <w:gridCol w:w="60"/>
        <w:gridCol w:w="60"/>
        <w:gridCol w:w="590"/>
        <w:gridCol w:w="80"/>
        <w:gridCol w:w="60"/>
        <w:gridCol w:w="94"/>
        <w:gridCol w:w="933"/>
        <w:gridCol w:w="80"/>
        <w:gridCol w:w="60"/>
        <w:gridCol w:w="126"/>
        <w:gridCol w:w="1391"/>
        <w:gridCol w:w="80"/>
        <w:gridCol w:w="60"/>
        <w:gridCol w:w="60"/>
        <w:gridCol w:w="650"/>
        <w:gridCol w:w="83"/>
      </w:tblGrid>
      <w:tr>
        <w:trPr/>
        <w:tc>
          <w:tcPr>
            <w:tcW w:w="3529"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5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Subscribed capital</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Capital</w:t>
              <w:br/>
              <w:t>reserve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Other reserves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17"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br/>
              <w:t>equity</w:t>
            </w:r>
          </w:p>
        </w:tc>
        <w:tc>
          <w:tcPr>
            <w:tcW w:w="83" w:type="dxa"/>
            <w:tcBorders>
              <w:bottom w:val="single" w:sz="2" w:space="0" w:color="000000"/>
            </w:tcBorders>
            <w:vAlign w:val="center"/>
          </w:tcPr>
          <w:p>
            <w:pPr>
              <w:pStyle w:val="TableContents"/>
              <w:bidi w:val="0"/>
              <w:spacing w:before="0" w:after="283"/>
              <w:jc w:val="left"/>
              <w:rPr/>
            </w:pPr>
            <w:r>
              <w:rPr/>
              <w:t> </w:t>
            </w:r>
          </w:p>
        </w:tc>
      </w:tr>
      <w:tr>
        <w:trPr/>
        <w:tc>
          <w:tcPr>
            <w:tcW w:w="3529"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30"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5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17"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3" w:type="dxa"/>
            <w:tcBorders>
              <w:bottom w:val="single" w:sz="2" w:space="0" w:color="000000"/>
            </w:tcBorders>
            <w:vAlign w:val="center"/>
          </w:tcPr>
          <w:p>
            <w:pPr>
              <w:pStyle w:val="TableContents"/>
              <w:bidi w:val="0"/>
              <w:spacing w:before="0" w:after="283"/>
              <w:jc w:val="left"/>
              <w:rPr/>
            </w:pPr>
            <w:r>
              <w:rPr/>
              <w:t> </w:t>
            </w:r>
          </w:p>
        </w:tc>
      </w:tr>
      <w:tr>
        <w:trPr/>
        <w:tc>
          <w:tcPr>
            <w:tcW w:w="352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1211"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83" w:type="dxa"/>
            <w:tcBorders/>
            <w:tcMar>
              <w:bottom w:w="0" w:type="dxa"/>
            </w:tcMar>
            <w:vAlign w:val="center"/>
          </w:tcPr>
          <w:p>
            <w:pPr>
              <w:pStyle w:val="TableContents"/>
              <w:bidi w:val="0"/>
              <w:spacing w:before="0" w:after="283"/>
              <w:jc w:val="left"/>
              <w:rPr/>
            </w:pPr>
            <w:r>
              <w:rPr/>
              <w:t> </w:t>
            </w:r>
          </w:p>
        </w:tc>
      </w:tr>
      <w:tr>
        <w:trPr/>
        <w:tc>
          <w:tcPr>
            <w:tcW w:w="352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on January 1,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121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93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39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(27,091</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(18,568</w:t>
            </w:r>
          </w:p>
        </w:tc>
        <w:tc>
          <w:tcPr>
            <w:tcW w:w="8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52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 contribution of the GmbH shares into the N.V.</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3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121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933"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39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352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 split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121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(1,835</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93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39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352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Conversion of high voting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3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121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(4,500</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93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39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352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 increase*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121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93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39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36,008</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352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Settlement agreement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121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93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39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1,427</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352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121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93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32,160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39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32,160</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352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Measurement Convertible Bond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3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121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93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39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8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529"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for the period</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3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9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(56,032</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(56,032</w:t>
            </w:r>
          </w:p>
        </w:tc>
        <w:tc>
          <w:tcPr>
            <w:tcW w:w="8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529"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on December 31, 2020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3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1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39,490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32,139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9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(83,123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(5,026</w:t>
            </w:r>
          </w:p>
        </w:tc>
        <w:tc>
          <w:tcPr>
            <w:tcW w:w="83"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88"/>
        <w:gridCol w:w="60"/>
        <w:gridCol w:w="60"/>
        <w:gridCol w:w="530"/>
        <w:gridCol w:w="60"/>
        <w:gridCol w:w="60"/>
        <w:gridCol w:w="156"/>
        <w:gridCol w:w="1278"/>
        <w:gridCol w:w="60"/>
        <w:gridCol w:w="60"/>
        <w:gridCol w:w="60"/>
        <w:gridCol w:w="695"/>
        <w:gridCol w:w="80"/>
        <w:gridCol w:w="60"/>
        <w:gridCol w:w="99"/>
        <w:gridCol w:w="990"/>
        <w:gridCol w:w="80"/>
        <w:gridCol w:w="60"/>
        <w:gridCol w:w="115"/>
        <w:gridCol w:w="1474"/>
        <w:gridCol w:w="80"/>
        <w:gridCol w:w="60"/>
        <w:gridCol w:w="60"/>
        <w:gridCol w:w="695"/>
        <w:gridCol w:w="85"/>
      </w:tblGrid>
      <w:tr>
        <w:trPr/>
        <w:tc>
          <w:tcPr>
            <w:tcW w:w="3188"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43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Subscribed capital</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Capital</w:t>
              <w:br/>
              <w:t>reserve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Other reserves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br/>
              <w:t>equity</w:t>
            </w:r>
          </w:p>
        </w:tc>
        <w:tc>
          <w:tcPr>
            <w:tcW w:w="85" w:type="dxa"/>
            <w:tcBorders>
              <w:bottom w:val="single" w:sz="2" w:space="0" w:color="000000"/>
            </w:tcBorders>
            <w:vAlign w:val="center"/>
          </w:tcPr>
          <w:p>
            <w:pPr>
              <w:pStyle w:val="TableContents"/>
              <w:bidi w:val="0"/>
              <w:spacing w:before="0" w:after="283"/>
              <w:jc w:val="left"/>
              <w:rPr/>
            </w:pPr>
            <w:r>
              <w:rPr/>
              <w:t> </w:t>
            </w:r>
          </w:p>
        </w:tc>
      </w:tr>
      <w:tr>
        <w:trPr/>
        <w:tc>
          <w:tcPr>
            <w:tcW w:w="3188"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30"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43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5" w:type="dxa"/>
            <w:tcBorders>
              <w:bottom w:val="single" w:sz="2" w:space="0" w:color="000000"/>
            </w:tcBorders>
            <w:vAlign w:val="center"/>
          </w:tcPr>
          <w:p>
            <w:pPr>
              <w:pStyle w:val="TableContents"/>
              <w:bidi w:val="0"/>
              <w:spacing w:before="0" w:after="283"/>
              <w:jc w:val="left"/>
              <w:rPr/>
            </w:pPr>
            <w:r>
              <w:rPr/>
              <w:t> </w:t>
            </w:r>
          </w:p>
        </w:tc>
      </w:tr>
      <w:tr>
        <w:trPr/>
        <w:tc>
          <w:tcPr>
            <w:tcW w:w="31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2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99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 w:type="dxa"/>
            <w:tcBorders/>
            <w:tcMar>
              <w:bottom w:w="0" w:type="dxa"/>
            </w:tcMar>
            <w:vAlign w:val="center"/>
          </w:tcPr>
          <w:p>
            <w:pPr>
              <w:pStyle w:val="TableContents"/>
              <w:bidi w:val="0"/>
              <w:spacing w:before="0" w:after="283"/>
              <w:jc w:val="left"/>
              <w:rPr/>
            </w:pPr>
            <w:r>
              <w:rPr/>
              <w:t> </w:t>
            </w:r>
          </w:p>
        </w:tc>
        <w:tc>
          <w:tcPr>
            <w:tcW w:w="1474"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85" w:type="dxa"/>
            <w:tcBorders/>
            <w:tcMar>
              <w:bottom w:w="0" w:type="dxa"/>
            </w:tcMar>
            <w:vAlign w:val="center"/>
          </w:tcPr>
          <w:p>
            <w:pPr>
              <w:pStyle w:val="TableContents"/>
              <w:bidi w:val="0"/>
              <w:spacing w:before="0" w:after="283"/>
              <w:jc w:val="left"/>
              <w:rPr/>
            </w:pPr>
            <w:r>
              <w:rPr/>
              <w:t> </w:t>
            </w:r>
          </w:p>
        </w:tc>
      </w:tr>
      <w:tr>
        <w:trPr/>
        <w:tc>
          <w:tcPr>
            <w:tcW w:w="318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on January 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7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147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(83,123</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(5,026</w:t>
            </w:r>
          </w:p>
        </w:tc>
        <w:tc>
          <w:tcPr>
            <w:tcW w:w="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18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 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47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3188"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Institutional investors**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7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147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1,483</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3188"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Issue of bonus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3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7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9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ind w:left="0" w:right="0" w:hanging="0"/>
              <w:jc w:val="left"/>
              <w:rPr/>
            </w:pPr>
            <w:r>
              <w:rPr/>
              <w:t> </w:t>
            </w:r>
          </w:p>
        </w:tc>
        <w:tc>
          <w:tcPr>
            <w:tcW w:w="147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3188"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IPO***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7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138,837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147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139,527</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318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Measurement Convertible Bond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3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7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9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ind w:left="0" w:right="0" w:hanging="0"/>
              <w:jc w:val="left"/>
              <w:rPr/>
            </w:pPr>
            <w:r>
              <w:rPr/>
              <w:t> </w:t>
            </w:r>
          </w:p>
        </w:tc>
        <w:tc>
          <w:tcPr>
            <w:tcW w:w="147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318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Conversion of Convertible Bond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7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147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9,661</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318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30"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7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9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ind w:left="0" w:right="0" w:hanging="0"/>
              <w:jc w:val="left"/>
              <w:rPr/>
            </w:pPr>
            <w:r>
              <w:rPr/>
              <w:t> </w:t>
            </w:r>
          </w:p>
        </w:tc>
        <w:tc>
          <w:tcPr>
            <w:tcW w:w="147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1,981</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318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Settlement payment to owner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 w:hAnsi="Times New Roman"/>
                <w:sz w:val="20"/>
              </w:rPr>
              <w:t>7.10.1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7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9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147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w:t>
            </w:r>
          </w:p>
        </w:tc>
        <w:tc>
          <w:tcPr>
            <w:tcW w:w="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18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for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30"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7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7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(63,953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(63,953</w:t>
            </w:r>
          </w:p>
        </w:tc>
        <w:tc>
          <w:tcPr>
            <w:tcW w:w="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188"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on December 31, 2021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30" w:type="dxa"/>
            <w:tcBorders>
              <w:bottom w:val="single" w:sz="2" w:space="0" w:color="000000"/>
            </w:tcBorders>
            <w:shd w:fill="CCEE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7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187,894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33,891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7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(147,080</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83,439</w:t>
            </w:r>
          </w:p>
        </w:tc>
        <w:tc>
          <w:tcPr>
            <w:tcW w:w="85"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037" w:type="dxa"/>
        <w:jc w:val="left"/>
        <w:tblInd w:w="0" w:type="dxa"/>
        <w:tblLayout w:type="fixed"/>
        <w:tblCellMar>
          <w:top w:w="0" w:type="dxa"/>
          <w:left w:w="0" w:type="dxa"/>
          <w:bottom w:w="28" w:type="dxa"/>
          <w:right w:w="0" w:type="dxa"/>
        </w:tblCellMar>
      </w:tblPr>
      <w:tblGrid>
        <w:gridCol w:w="2930"/>
        <w:gridCol w:w="60"/>
        <w:gridCol w:w="73"/>
        <w:gridCol w:w="337"/>
        <w:gridCol w:w="60"/>
        <w:gridCol w:w="60"/>
        <w:gridCol w:w="166"/>
        <w:gridCol w:w="1353"/>
        <w:gridCol w:w="60"/>
        <w:gridCol w:w="60"/>
        <w:gridCol w:w="60"/>
        <w:gridCol w:w="695"/>
        <w:gridCol w:w="60"/>
        <w:gridCol w:w="60"/>
        <w:gridCol w:w="106"/>
        <w:gridCol w:w="1053"/>
        <w:gridCol w:w="80"/>
        <w:gridCol w:w="60"/>
        <w:gridCol w:w="121"/>
        <w:gridCol w:w="1548"/>
        <w:gridCol w:w="80"/>
        <w:gridCol w:w="60"/>
        <w:gridCol w:w="60"/>
        <w:gridCol w:w="755"/>
        <w:gridCol w:w="80"/>
      </w:tblGrid>
      <w:tr>
        <w:trPr/>
        <w:tc>
          <w:tcPr>
            <w:tcW w:w="29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4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51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Subscribed capital</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Capital</w:t>
              <w:br/>
              <w:t>reserve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5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Other reserves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66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br/>
              <w:t>equity</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3" w:type="dxa"/>
            <w:tcBorders>
              <w:bottom w:val="single" w:sz="2" w:space="0" w:color="000000"/>
            </w:tcBorders>
            <w:vAlign w:val="center"/>
          </w:tcPr>
          <w:p>
            <w:pPr>
              <w:pStyle w:val="TableContents"/>
              <w:bidi w:val="0"/>
              <w:spacing w:before="0" w:after="283"/>
              <w:jc w:val="left"/>
              <w:rPr/>
            </w:pPr>
            <w:r>
              <w:rPr/>
              <w:t> </w:t>
            </w:r>
          </w:p>
        </w:tc>
        <w:tc>
          <w:tcPr>
            <w:tcW w:w="337"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51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5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66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 w:type="dxa"/>
            <w:tcBorders/>
            <w:tcMar>
              <w:bottom w:w="0" w:type="dxa"/>
            </w:tcMar>
            <w:vAlign w:val="center"/>
          </w:tcPr>
          <w:p>
            <w:pPr>
              <w:pStyle w:val="TableContents"/>
              <w:bidi w:val="0"/>
              <w:spacing w:before="0" w:after="283"/>
              <w:jc w:val="left"/>
              <w:rPr/>
            </w:pPr>
            <w:r>
              <w:rPr/>
              <w:t> </w:t>
            </w:r>
          </w:p>
        </w:tc>
        <w:tc>
          <w:tcPr>
            <w:tcW w:w="33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 w:type="dxa"/>
            <w:tcBorders/>
            <w:tcMar>
              <w:bottom w:w="0" w:type="dxa"/>
            </w:tcMar>
            <w:vAlign w:val="center"/>
          </w:tcPr>
          <w:p>
            <w:pPr>
              <w:pStyle w:val="TableContents"/>
              <w:bidi w:val="0"/>
              <w:spacing w:before="0" w:after="283"/>
              <w:jc w:val="left"/>
              <w:rPr/>
            </w:pPr>
            <w:r>
              <w:rPr/>
              <w:t> </w:t>
            </w:r>
          </w:p>
        </w:tc>
        <w:tc>
          <w:tcPr>
            <w:tcW w:w="13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1053"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5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on January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8,735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187,894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33,891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(147,080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83,439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 increase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0"/>
              <w:ind w:left="180" w:right="0" w:hanging="0"/>
              <w:jc w:val="left"/>
              <w:rPr>
                <w:caps w:val="false"/>
                <w:smallCaps w:val="false"/>
              </w:rPr>
            </w:pPr>
            <w:r>
              <w:rPr>
                <w:caps w:val="false"/>
                <w:smallCaps w:val="false"/>
              </w:rPr>
              <w:t> </w:t>
            </w:r>
            <w:r>
              <w:rPr>
                <w:rFonts w:ascii="Times New Roman" w:hAnsi="Times New Roman"/>
                <w:caps w:val="false"/>
                <w:smallCaps w:val="false"/>
                <w:sz w:val="20"/>
              </w:rPr>
              <w:t>Public offering****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37,849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38,504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0"/>
              <w:ind w:left="180" w:right="0" w:hanging="0"/>
              <w:jc w:val="left"/>
              <w:rPr>
                <w:caps w:val="false"/>
                <w:smallCaps w:val="false"/>
              </w:rPr>
            </w:pPr>
            <w:r>
              <w:rPr>
                <w:caps w:val="false"/>
                <w:smallCaps w:val="false"/>
              </w:rPr>
              <w:t> </w:t>
            </w:r>
            <w:r>
              <w:rPr>
                <w:rFonts w:ascii="Times New Roman" w:hAnsi="Times New Roman"/>
                <w:caps w:val="false"/>
                <w:smallCaps w:val="false"/>
                <w:sz w:val="20"/>
              </w:rPr>
              <w:t>Committed equity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15,958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16,483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0"/>
              <w:ind w:left="180" w:right="0" w:hanging="0"/>
              <w:jc w:val="left"/>
              <w:rPr>
                <w:caps w:val="false"/>
                <w:smallCaps w:val="false"/>
              </w:rPr>
            </w:pPr>
            <w:r>
              <w:rPr>
                <w:caps w:val="false"/>
                <w:smallCaps w:val="false"/>
              </w:rPr>
              <w:t> </w:t>
            </w:r>
            <w:r>
              <w:rPr>
                <w:rFonts w:ascii="Times New Roman" w:hAnsi="Times New Roman"/>
                <w:caps w:val="false"/>
                <w:smallCaps w:val="false"/>
                <w:sz w:val="20"/>
              </w:rPr>
              <w:t>Convertible debentures conversion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0"/>
              <w:ind w:left="180" w:right="0" w:hanging="0"/>
              <w:jc w:val="left"/>
              <w:rPr>
                <w:caps w:val="false"/>
                <w:smallCaps w:val="false"/>
              </w:rPr>
            </w:pPr>
            <w:r>
              <w:rPr>
                <w:caps w:val="false"/>
                <w:smallCaps w:val="false"/>
              </w:rPr>
              <w:t> </w:t>
            </w:r>
            <w:r>
              <w:rPr>
                <w:rFonts w:ascii="Times New Roman" w:hAnsi="Times New Roman"/>
                <w:caps w:val="false"/>
                <w:smallCaps w:val="false"/>
                <w:sz w:val="20"/>
              </w:rPr>
              <w:t>Exercise of share options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(4,549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1,447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1,447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for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vAlign w:val="center"/>
          </w:tcPr>
          <w:p>
            <w:pPr>
              <w:pStyle w:val="TableContents"/>
              <w:bidi w:val="0"/>
              <w:spacing w:before="0" w:after="283"/>
              <w:jc w:val="left"/>
              <w:rPr/>
            </w:pPr>
            <w:r>
              <w:rPr/>
              <w:t> </w:t>
            </w:r>
          </w:p>
        </w:tc>
        <w:tc>
          <w:tcPr>
            <w:tcW w:w="337" w:type="dxa"/>
            <w:tcBorders>
              <w:bottom w:val="single" w:sz="2" w:space="0" w:color="000000"/>
            </w:tcBorders>
            <w:shd w:fill="FFFFFF" w:val="cle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vAlign w:val="center"/>
          </w:tcPr>
          <w:p>
            <w:pPr>
              <w:pStyle w:val="TableContents"/>
              <w:bidi w:val="0"/>
              <w:spacing w:before="0" w:after="283"/>
              <w:jc w:val="left"/>
              <w:rPr/>
            </w:pPr>
            <w:r>
              <w:rPr/>
              <w:t> </w:t>
            </w:r>
          </w:p>
        </w:tc>
        <w:tc>
          <w:tcPr>
            <w:tcW w:w="135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9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jc w:val="left"/>
              <w:rPr/>
            </w:pPr>
            <w:r>
              <w:rPr/>
              <w:t> </w:t>
            </w:r>
          </w:p>
        </w:tc>
        <w:tc>
          <w:tcPr>
            <w:tcW w:w="105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jc w:val="left"/>
              <w:rPr/>
            </w:pPr>
            <w:r>
              <w:rPr/>
              <w:t> </w:t>
            </w:r>
          </w:p>
        </w:tc>
        <w:tc>
          <w:tcPr>
            <w:tcW w:w="154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(183,698</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5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(183,698</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93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on December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vAlign w:val="center"/>
          </w:tcPr>
          <w:p>
            <w:pPr>
              <w:pStyle w:val="TableContents"/>
              <w:bidi w:val="0"/>
              <w:spacing w:before="0" w:after="283"/>
              <w:jc w:val="left"/>
              <w:rPr/>
            </w:pPr>
            <w:r>
              <w:rPr>
                <w:rStyle w:val="Emphasis"/>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vAlign w:val="center"/>
          </w:tcPr>
          <w:p>
            <w:pPr>
              <w:pStyle w:val="TableContents"/>
              <w:bidi w:val="0"/>
              <w:spacing w:before="0" w:after="283"/>
              <w:jc w:val="left"/>
              <w:rPr/>
            </w:pPr>
            <w:r>
              <w:rPr/>
              <w:t> </w:t>
            </w:r>
          </w:p>
        </w:tc>
        <w:tc>
          <w:tcPr>
            <w:tcW w:w="135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9,957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9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246,519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jc w:val="left"/>
              <w:rPr/>
            </w:pPr>
            <w:r>
              <w:rPr/>
              <w:t> </w:t>
            </w:r>
          </w:p>
        </w:tc>
        <w:tc>
          <w:tcPr>
            <w:tcW w:w="105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30,789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1" w:type="dxa"/>
            <w:tcBorders>
              <w:bottom w:val="single" w:sz="2" w:space="0" w:color="000000"/>
            </w:tcBorders>
            <w:shd w:fill="CCEEFF" w:val="clear"/>
            <w:vAlign w:val="center"/>
          </w:tcPr>
          <w:p>
            <w:pPr>
              <w:pStyle w:val="TableContents"/>
              <w:bidi w:val="0"/>
              <w:spacing w:before="0" w:after="283"/>
              <w:jc w:val="left"/>
              <w:rPr/>
            </w:pPr>
            <w:r>
              <w:rPr/>
              <w:t> </w:t>
            </w:r>
          </w:p>
        </w:tc>
        <w:tc>
          <w:tcPr>
            <w:tcW w:w="154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(330,778</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5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(43,513</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125"/>
        <w:gridCol w:w="5480"/>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of kEUR 2,192 were deducted from capital reserve</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30"/>
        <w:gridCol w:w="5225"/>
      </w:tblGrid>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of kEUR 17 were deducted from capital reserve</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335"/>
        <w:gridCol w:w="8000"/>
      </w:tblGrid>
      <w:tr>
        <w:trPr/>
        <w:tc>
          <w:tcPr>
            <w:tcW w:w="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of kEUR 2,825 less deferred taxes of kEUR 18 were deducted from capital reserve</w:t>
            </w:r>
          </w:p>
        </w:tc>
      </w:tr>
    </w:tbl>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440"/>
        <w:gridCol w:w="5330"/>
      </w:tblGrid>
      <w:tr>
        <w:trPr/>
        <w:tc>
          <w:tcPr>
            <w:tcW w:w="4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of kEUR 842 were deducted from capital reserve</w:t>
            </w:r>
          </w:p>
        </w:tc>
      </w:tr>
    </w:tbl>
    <w:p>
      <w:pPr>
        <w:pStyle w:val="TextBody"/>
        <w:bidi w:val="0"/>
        <w:spacing w:before="0" w:after="0"/>
        <w:ind w:left="0" w:right="0" w:hanging="0"/>
        <w:jc w:val="left"/>
        <w:rPr/>
      </w:pPr>
      <w:r>
        <w:rPr/>
        <w:t> </w:t>
      </w:r>
    </w:p>
    <w:tbl>
      <w:tblPr>
        <w:tblW w:w="6895" w:type="dxa"/>
        <w:jc w:val="left"/>
        <w:tblInd w:w="0" w:type="dxa"/>
        <w:tblLayout w:type="fixed"/>
        <w:tblCellMar>
          <w:top w:w="0" w:type="dxa"/>
          <w:left w:w="0" w:type="dxa"/>
          <w:bottom w:w="0" w:type="dxa"/>
          <w:right w:w="0" w:type="dxa"/>
        </w:tblCellMar>
      </w:tblPr>
      <w:tblGrid>
        <w:gridCol w:w="620"/>
        <w:gridCol w:w="6275"/>
      </w:tblGrid>
      <w:tr>
        <w:trPr/>
        <w:tc>
          <w:tcPr>
            <w:tcW w:w="62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left"/>
              <w:rPr/>
            </w:pPr>
            <w:r>
              <w:rPr/>
              <w:t>transaction costs of kEUR 771 were deducted from capital reserve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8"/>
        </w:rPr>
      </w:pPr>
      <w:bookmarkStart w:id="90" w:name="Cash_flows"/>
      <w:bookmarkEnd w:id="90"/>
      <w:r>
        <w:rPr>
          <w:rFonts w:ascii="Times New Roman" w:hAnsi="Times New Roman"/>
          <w:caps w:val="false"/>
          <w:smallCaps w:val="false"/>
          <w:sz w:val="28"/>
        </w:rPr>
        <w:t>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8120" w:type="dxa"/>
        <w:jc w:val="left"/>
        <w:tblInd w:w="0" w:type="dxa"/>
        <w:tblLayout w:type="fixed"/>
        <w:tblCellMar>
          <w:top w:w="0" w:type="dxa"/>
          <w:left w:w="0" w:type="dxa"/>
          <w:bottom w:w="28" w:type="dxa"/>
          <w:right w:w="0" w:type="dxa"/>
        </w:tblCellMar>
      </w:tblPr>
      <w:tblGrid>
        <w:gridCol w:w="5420"/>
        <w:gridCol w:w="60"/>
        <w:gridCol w:w="60"/>
        <w:gridCol w:w="755"/>
        <w:gridCol w:w="80"/>
        <w:gridCol w:w="60"/>
        <w:gridCol w:w="60"/>
        <w:gridCol w:w="695"/>
        <w:gridCol w:w="80"/>
        <w:gridCol w:w="60"/>
        <w:gridCol w:w="60"/>
        <w:gridCol w:w="650"/>
        <w:gridCol w:w="80"/>
      </w:tblGrid>
      <w:tr>
        <w:trPr/>
        <w:tc>
          <w:tcPr>
            <w:tcW w:w="542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542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5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for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(183,698</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(63,953</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(56,032</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for: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of 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Impairment of property, plant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of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Impairment of 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Impairment of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Expenses for share-based payment transactions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32,160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non-cash (income)/expenses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and similar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and similar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Movements in provisions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Increase in other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(6,773</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(5,766</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42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Increase in trade and 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Increase in advance payments received from customers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26,448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bottom w:val="single" w:sz="2" w:space="0" w:color="000000"/>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paid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42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cash used in operating activities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(139,587</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(47,141</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(1,186</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 of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 of property, plant and equipment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(47,203</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(1,429</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42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cash used in investing activities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(47,238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(1,652</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(42</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on issue of shares to institutional investors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(2,192</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issue of shares to institutional investors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38,229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on issue of shares in IPO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issue of shares in IPO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142,334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on issue of shares from public offering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(842</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issue of shares on public offering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39,346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on issue of shares from committed equity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issue of shares on committed equity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issue of shares on stock option scheme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convertible debentures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28,453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for convertible debentures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Repayments of 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(2,187</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(2,327</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4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principal portion of lease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42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cash from financing activities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83,008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138,562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44,085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4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Net (decrease) increase</w:t>
            </w:r>
            <w:r>
              <w:rPr>
                <w:rFonts w:ascii="Times New Roman" w:hAnsi="Times New Roman"/>
                <w:caps w:val="false"/>
                <w:smallCaps w:val="false"/>
                <w:sz w:val="20"/>
              </w:rPr>
              <w:t xml:space="preserve"> </w:t>
            </w:r>
            <w:r>
              <w:rPr>
                <w:rFonts w:ascii="Times New Roman" w:hAnsi="Times New Roman"/>
                <w:b/>
                <w:caps w:val="false"/>
                <w:smallCaps w:val="false"/>
                <w:sz w:val="20"/>
              </w:rPr>
              <w:t>in cash and cash equivalents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(103,817</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89,769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42,857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currency translation on 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at the beginning of the financial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132,939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43,264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407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at end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30,357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132,939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43,264</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8"/>
        </w:rPr>
      </w:pPr>
      <w:bookmarkStart w:id="91" w:name="Notes"/>
      <w:bookmarkEnd w:id="91"/>
      <w:r>
        <w:rPr>
          <w:rFonts w:ascii="Times New Roman;Times;serif" w:hAnsi="Times New Roman;Times;serif"/>
          <w:sz w:val="28"/>
        </w:rPr>
        <w:t>Notes to the Consolidated</w:t>
        <w:b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945" w:type="dxa"/>
        <w:jc w:val="left"/>
        <w:tblInd w:w="0" w:type="dxa"/>
        <w:tblLayout w:type="fixed"/>
        <w:tblCellMar>
          <w:top w:w="0" w:type="dxa"/>
          <w:left w:w="0" w:type="dxa"/>
          <w:bottom w:w="0" w:type="dxa"/>
          <w:right w:w="0" w:type="dxa"/>
        </w:tblCellMar>
      </w:tblPr>
      <w:tblGrid>
        <w:gridCol w:w="170"/>
        <w:gridCol w:w="177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w:t>
            </w:r>
          </w:p>
        </w:tc>
        <w:tc>
          <w:tcPr>
            <w:tcW w:w="17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Sono Group N.V. (“Sono N.V.” or the “Company”) is registered in the business register (Netherlands Chamber of Commerce) and its corporate seat is in Amsterdam.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 Company successfully completed an initial public offering (IPO) and became listed on the Nasdaq Stock Market (“Nasdaq”), traded under the ticker symbol “SEV” since </w:t>
      </w:r>
      <w:r>
        <w:rPr>
          <w:rStyle w:val="Emphasis"/>
          <w:rFonts w:ascii="Times New Roman" w:hAnsi="Times New Roman"/>
          <w:caps w:val="false"/>
          <w:smallCaps w:val="false"/>
          <w:sz w:val="20"/>
        </w:rPr>
        <w:t xml:space="preserve">November 17, 2021.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11, 2023, </w:t>
      </w:r>
      <w:r>
        <w:rPr>
          <w:rFonts w:ascii="Times New Roman" w:hAnsi="Times New Roman"/>
          <w:caps w:val="false"/>
          <w:smallCaps w:val="false"/>
          <w:sz w:val="20"/>
        </w:rPr>
        <w:t xml:space="preserve">Sono N.V. received notice from the Nasdaq Hearings Panel that the Company’s ordinary shares will be delisted from the Nasdaq. See note </w:t>
      </w:r>
      <w:r>
        <w:rPr>
          <w:rStyle w:val="Emphasis"/>
          <w:rFonts w:ascii="Times New Roman" w:hAnsi="Times New Roman"/>
          <w:caps w:val="false"/>
          <w:smallCaps w:val="false"/>
          <w:sz w:val="20"/>
        </w:rPr>
        <w:t>9.7.6</w:t>
      </w:r>
      <w:r>
        <w:rPr>
          <w:rFonts w:ascii="Times New Roman" w:hAnsi="Times New Roman"/>
          <w:caps w:val="false"/>
          <w:smallCaps w:val="false"/>
          <w:sz w:val="20"/>
        </w:rPr>
        <w:t xml:space="preserve"> Nasdaq suspension of trading of shares and delisting. The Company has its business exclusively in Germany as the management is located there and the business address is Waldmeisterstraße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80935</w:t>
      </w:r>
      <w:r>
        <w:rPr>
          <w:rFonts w:ascii="Times New Roman" w:hAnsi="Times New Roman"/>
          <w:caps w:val="false"/>
          <w:smallCaps w:val="false"/>
          <w:sz w:val="20"/>
        </w:rPr>
        <w:t xml:space="preserve"> Munich, Germany (trade register number: </w:t>
      </w:r>
      <w:r>
        <w:rPr>
          <w:rStyle w:val="Emphasis"/>
          <w:rFonts w:ascii="Times New Roman" w:hAnsi="Times New Roman"/>
          <w:caps w:val="false"/>
          <w:smallCaps w:val="false"/>
          <w:sz w:val="20"/>
        </w:rPr>
        <w:t>80683568</w:t>
      </w:r>
      <w:r>
        <w:rPr>
          <w:rFonts w:ascii="Times New Roman" w:hAnsi="Times New Roman"/>
          <w:caps w:val="false"/>
          <w:smallCaps w:val="false"/>
          <w:sz w:val="20"/>
        </w:rPr>
        <w:t>). Sono N.V.’s sole and wholly-owned subsidiary, Sono Motors GmbH (“Sono Motors”), is registered in the commercial register (</w:t>
      </w:r>
      <w:r>
        <w:rPr>
          <w:rFonts w:ascii="Times New Roman" w:hAnsi="Times New Roman"/>
          <w:i/>
          <w:caps w:val="false"/>
          <w:smallCaps w:val="false"/>
          <w:sz w:val="20"/>
        </w:rPr>
        <w:t>Handelsregister</w:t>
      </w:r>
      <w:r>
        <w:rPr>
          <w:rFonts w:ascii="Times New Roman" w:hAnsi="Times New Roman"/>
          <w:caps w:val="false"/>
          <w:smallCaps w:val="false"/>
          <w:sz w:val="20"/>
        </w:rPr>
        <w:t>) at the local court (</w:t>
      </w:r>
      <w:r>
        <w:rPr>
          <w:rFonts w:ascii="Times New Roman" w:hAnsi="Times New Roman"/>
          <w:i/>
          <w:caps w:val="false"/>
          <w:smallCaps w:val="false"/>
          <w:sz w:val="20"/>
        </w:rPr>
        <w:t>Amtsgericht</w:t>
      </w:r>
      <w:r>
        <w:rPr>
          <w:rFonts w:ascii="Times New Roman" w:hAnsi="Times New Roman"/>
          <w:caps w:val="false"/>
          <w:smallCaps w:val="false"/>
          <w:sz w:val="20"/>
        </w:rPr>
        <w:t xml:space="preserve">) of Munich, Germany, under HRB </w:t>
      </w:r>
      <w:r>
        <w:rPr>
          <w:rStyle w:val="Emphasis"/>
          <w:rFonts w:ascii="Times New Roman" w:hAnsi="Times New Roman"/>
          <w:caps w:val="false"/>
          <w:smallCaps w:val="false"/>
          <w:sz w:val="20"/>
        </w:rPr>
        <w:t>224131.</w:t>
      </w:r>
      <w:r>
        <w:rPr>
          <w:rFonts w:ascii="Times New Roman" w:hAnsi="Times New Roman"/>
          <w:caps w:val="false"/>
          <w:smallCaps w:val="false"/>
          <w:sz w:val="20"/>
        </w:rPr>
        <w:t xml:space="preserve"> Sono Motors’ registered headquarters is Waldmeisterstraße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80935</w:t>
      </w:r>
      <w:r>
        <w:rPr>
          <w:rFonts w:ascii="Times New Roman" w:hAnsi="Times New Roman"/>
          <w:caps w:val="false"/>
          <w:smallCaps w:val="false"/>
          <w:sz w:val="20"/>
        </w:rPr>
        <w:t xml:space="preserve"> Munich, Germany. Sono N.V. is the ultimate parent of the Group. Hereinafter, Sono N.V. and its consolidated subsidiary collectively are referred to as the “Sono Group”, or the “Group”, “Management”, “we” and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intended to develop and manufacture electric vehicles with integrated solar panels (the “Sion passenger car program). In addition, it planned to license its solar technology to other Original Equipment Manufacturers (OEMs). However, 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Sono Group announced the decision to terminate the Sion passenger car program and to pivot the business model to exclusively retrofitting and integrating Sono Group’s solar technology onto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vehicles due to lack of available funding. As this decision was only made 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the restructuring constitutes a non-adjusting subsequent event. For further information on this please see note </w:t>
      </w:r>
      <w:r>
        <w:rPr>
          <w:rStyle w:val="Emphasis"/>
          <w:rFonts w:ascii="Times New Roman" w:hAnsi="Times New Roman"/>
          <w:caps w:val="false"/>
          <w:smallCaps w:val="false"/>
          <w:sz w:val="20"/>
        </w:rPr>
        <w:t>9.7.1.</w:t>
      </w:r>
      <w:r>
        <w:rPr>
          <w:rFonts w:ascii="Times New Roman" w:hAnsi="Times New Roman"/>
          <w:caps w:val="false"/>
          <w:smallCaps w:val="false"/>
          <w:sz w:val="20"/>
        </w:rPr>
        <w:t xml:space="preserve"> Termination of the Sion passenger car program. On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 xml:space="preserve">Sono Group filed for self-administered insolvency, see note </w:t>
      </w:r>
      <w:r>
        <w:rPr>
          <w:rStyle w:val="Emphasis"/>
          <w:rFonts w:ascii="Times New Roman" w:hAnsi="Times New Roman"/>
          <w:caps w:val="false"/>
          <w:smallCaps w:val="false"/>
          <w:sz w:val="20"/>
        </w:rPr>
        <w:t>9.7.2</w:t>
      </w:r>
      <w:r>
        <w:rPr>
          <w:rFonts w:ascii="Times New Roman" w:hAnsi="Times New Roman"/>
          <w:caps w:val="false"/>
          <w:smallCaps w:val="false"/>
          <w:sz w:val="20"/>
        </w:rPr>
        <w:t xml:space="preserve"> Filing for insolvency.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4960" w:type="dxa"/>
        <w:jc w:val="left"/>
        <w:tblInd w:w="0" w:type="dxa"/>
        <w:tblLayout w:type="fixed"/>
        <w:tblCellMar>
          <w:top w:w="0" w:type="dxa"/>
          <w:left w:w="0" w:type="dxa"/>
          <w:bottom w:w="0" w:type="dxa"/>
          <w:right w:w="0" w:type="dxa"/>
        </w:tblCellMar>
      </w:tblPr>
      <w:tblGrid>
        <w:gridCol w:w="170"/>
        <w:gridCol w:w="4790"/>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w:t>
            </w:r>
          </w:p>
        </w:tc>
        <w:tc>
          <w:tcPr>
            <w:tcW w:w="47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preparation of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of Sono Group have been prepared in accordance with International Financial Reporting Standards (IFRS) as issued by the International Accounting Standards Board (IASB), and are presented in euro, which is also the Group’s functional currency. Unless otherwise stated, all amounts are presented in thousands of euros (“kEUR”).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consolidated balance sheet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was derived from audited financial statements although certain amounts have been reclassified to conform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significant accounting policies adopted in the preparation of these consolidated financial statements are described below. These accounting policies have been consistently applied to all years presented except for the reclassification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Group determines the functional currency of each entity, and items included in the financial statements of each entity are measured using that functional currency. Foreign currency transactions are initially translated at the spot rate applicable between the functional currency and the foreign currency on the date of the transaction. Monetary assets and liabilities in foreign currencies are translated to the functional currency using the prevailing rate at the reporting date. Foreign currency exchange differences are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preparation of consolidated financial statements requires the use of certain accounting estimates. The areas that require a higher degree of judgment or complexity, or areas where assumptions and estimates are significant to the consolidated financial statements, are disclosed below. The statements of income or loss were prepared using the cost of sales method. All figures shown are rounded, so minor discrepancies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arise from addition of these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These consolidated financial statements are prepared on a historical cost basis, except where certain assets or liabilities are held at amortized cost or at fair value as described in the accounting policies, and under the going concern assumption. The going concern assumption contemplates the realization of assets and the settlement of liabilities and commitments in the normal course of business. The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 any adjustments relating to the recoverability and classification of assets or the amounts and classification of liabilities that might be necessary if the Group is unable to continue as a going concern. For the significant accounting judgments, estimates and assumptions made by Management regarding the going concern, see note </w:t>
      </w:r>
      <w:r>
        <w:rPr>
          <w:rStyle w:val="Emphasis"/>
          <w:rFonts w:ascii="Times New Roman" w:hAnsi="Times New Roman"/>
          <w:caps w:val="false"/>
          <w:smallCaps w:val="false"/>
          <w:sz w:val="20"/>
        </w:rPr>
        <w:t>4.12.1</w:t>
      </w:r>
      <w:r>
        <w:rPr>
          <w:rFonts w:ascii="Times New Roman" w:hAnsi="Times New Roman"/>
          <w:caps w:val="false"/>
          <w:smallCaps w:val="false"/>
          <w:sz w:val="20"/>
        </w:rPr>
        <w:t xml:space="preserve">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The consolidated financial statements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have been authorized by the management board on </w:t>
      </w:r>
      <w:r>
        <w:rPr>
          <w:rStyle w:val="Emphasis"/>
          <w:rFonts w:ascii="Times New Roman" w:hAnsi="Times New Roman"/>
          <w:caps w:val="false"/>
          <w:smallCaps w:val="false"/>
          <w:sz w:val="20"/>
        </w:rPr>
        <w:t>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Standards issued but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Certain new accounting standards and interpretations have been published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mandatory for the consolidated financial statements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early adopted by Sono Group. These standards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impact on Sono Group’s consolidated financial statements in the current or future reporting periods and on foreseeable future transactions.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8132"/>
        <w:gridCol w:w="2073"/>
      </w:tblGrid>
      <w:tr>
        <w:trPr/>
        <w:tc>
          <w:tcPr>
            <w:tcW w:w="8132"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2073"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Mandatory for fiscal years</w:t>
              <w:br/>
              <w:t>beginning on or after</w:t>
            </w:r>
          </w:p>
        </w:tc>
      </w:tr>
      <w:tr>
        <w:trPr/>
        <w:tc>
          <w:tcPr>
            <w:tcW w:w="81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IAS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Non-current liabilities with covenants (Amendments)</w:t>
            </w:r>
          </w:p>
        </w:tc>
        <w:tc>
          <w:tcPr>
            <w:tcW w:w="20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January 1, 2023 </w:t>
            </w:r>
          </w:p>
        </w:tc>
      </w:tr>
      <w:tr>
        <w:trPr/>
        <w:tc>
          <w:tcPr>
            <w:tcW w:w="81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IAS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IFRS Practice Statement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Disclosure of accounting policies (Amendments)</w:t>
            </w:r>
          </w:p>
        </w:tc>
        <w:tc>
          <w:tcPr>
            <w:tcW w:w="20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January 1, 2023 </w:t>
            </w:r>
          </w:p>
        </w:tc>
      </w:tr>
      <w:tr>
        <w:trPr/>
        <w:tc>
          <w:tcPr>
            <w:tcW w:w="81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IAS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Definition of accounting estimates (Amendments)</w:t>
            </w:r>
          </w:p>
        </w:tc>
        <w:tc>
          <w:tcPr>
            <w:tcW w:w="20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January 1, 2023 </w:t>
            </w:r>
          </w:p>
        </w:tc>
      </w:tr>
      <w:tr>
        <w:trPr/>
        <w:tc>
          <w:tcPr>
            <w:tcW w:w="81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IAS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Deferred Tax related to Assets and Liabilities arising from a Single Transaction       (Amendments)</w:t>
            </w:r>
          </w:p>
        </w:tc>
        <w:tc>
          <w:tcPr>
            <w:tcW w:w="20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January 1, 2023 </w:t>
            </w:r>
          </w:p>
        </w:tc>
      </w:tr>
      <w:tr>
        <w:trPr/>
        <w:tc>
          <w:tcPr>
            <w:tcW w:w="81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IFRS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Insurance contracts</w:t>
            </w:r>
          </w:p>
        </w:tc>
        <w:tc>
          <w:tcPr>
            <w:tcW w:w="20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January 1, 2023</w:t>
            </w:r>
          </w:p>
        </w:tc>
      </w:tr>
      <w:tr>
        <w:trPr/>
        <w:tc>
          <w:tcPr>
            <w:tcW w:w="81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IAS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Classification of liabilities as current or non-current (Amendments)</w:t>
            </w:r>
          </w:p>
        </w:tc>
        <w:tc>
          <w:tcPr>
            <w:tcW w:w="20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January 1, 2024      </w:t>
            </w:r>
          </w:p>
        </w:tc>
      </w:tr>
      <w:tr>
        <w:trPr/>
        <w:tc>
          <w:tcPr>
            <w:tcW w:w="81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IAS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IFRS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supplier finance arrangements (Amendments)</w:t>
            </w:r>
          </w:p>
        </w:tc>
        <w:tc>
          <w:tcPr>
            <w:tcW w:w="20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January 1, 2024</w:t>
            </w:r>
          </w:p>
        </w:tc>
      </w:tr>
      <w:tr>
        <w:trPr/>
        <w:tc>
          <w:tcPr>
            <w:tcW w:w="8132"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IFRS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Leases on sale and leaseback (Amendments)</w:t>
            </w:r>
          </w:p>
        </w:tc>
        <w:tc>
          <w:tcPr>
            <w:tcW w:w="207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January 1, 2024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Standards adopted in </w:t>
      </w:r>
      <w:r>
        <w:rPr>
          <w:rStyle w:val="Emphasis"/>
          <w:rFonts w:ascii="Times New Roman" w:hAnsi="Times New Roman"/>
          <w:b/>
          <w:caps w:val="false"/>
          <w:smallCaps w:val="false"/>
          <w:sz w:val="20"/>
        </w:rPr>
        <w:t>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All Standards or amendments made to the existing Standards that have been issued by the International Accounting Standards Board and which were effective by </w:t>
      </w:r>
      <w:r>
        <w:rPr>
          <w:rStyle w:val="Emphasis"/>
          <w:rFonts w:ascii="Times New Roman" w:hAnsi="Times New Roman"/>
          <w:caps w:val="false"/>
          <w:smallCaps w:val="false"/>
          <w:sz w:val="20"/>
        </w:rPr>
        <w:t xml:space="preserve">January 1, 2022, </w:t>
      </w:r>
      <w:r>
        <w:rPr>
          <w:rFonts w:ascii="Times New Roman" w:hAnsi="Times New Roman"/>
          <w:caps w:val="false"/>
          <w:smallCaps w:val="false"/>
          <w:sz w:val="20"/>
        </w:rPr>
        <w:t xml:space="preserve">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applicable or material to the consolidated financial statements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035" w:type="dxa"/>
        <w:jc w:val="left"/>
        <w:tblInd w:w="0" w:type="dxa"/>
        <w:tblLayout w:type="fixed"/>
        <w:tblCellMar>
          <w:top w:w="0" w:type="dxa"/>
          <w:left w:w="0" w:type="dxa"/>
          <w:bottom w:w="0" w:type="dxa"/>
          <w:right w:w="0" w:type="dxa"/>
        </w:tblCellMar>
      </w:tblPr>
      <w:tblGrid>
        <w:gridCol w:w="170"/>
        <w:gridCol w:w="186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3.</w:t>
            </w:r>
          </w:p>
        </w:tc>
        <w:tc>
          <w:tcPr>
            <w:tcW w:w="18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of consolidation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consolidated financial statements reflect the assets, liabilities and results of operations of Sono N.V. and its wholly-owned subsidiary Sono Motors, over which Sono N.V. has control. Control over an entity exists when Sono N.V. is exposed to, or has rights to, variable returns from its involvement with the entity and has the ability to affect those returns through its power to direct the activities of the entity. The controlled subsidiary, Sono Motors, is fully consolidated from the date on which control is transferred to Sono N.V. On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 xml:space="preserve">Sono N.V. lost control of Sono Motors due to the opening of the self-administration proceedings and the appointment of a custodian (Sachwalter). After this event, Sono N.V.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had the power to direct the activities of Sono Motors.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results of the Sono Motors will be consolidated up until the loss of control and a deemed disposal of Sono Motors investment will be recognized in Sono N.V. For further detail on the loss of control see note </w:t>
      </w:r>
      <w:r>
        <w:rPr>
          <w:rStyle w:val="Emphasis"/>
          <w:rFonts w:ascii="Times New Roman" w:hAnsi="Times New Roman"/>
          <w:caps w:val="false"/>
          <w:smallCaps w:val="false"/>
          <w:sz w:val="20"/>
        </w:rPr>
        <w:t>9.7.3</w:t>
      </w:r>
      <w:r>
        <w:rPr>
          <w:rFonts w:ascii="Times New Roman" w:hAnsi="Times New Roman"/>
          <w:caps w:val="false"/>
          <w:smallCaps w:val="false"/>
          <w:sz w:val="20"/>
        </w:rPr>
        <w:t xml:space="preserve"> Loss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fiscal year of both Group entities corresponds to the calendar year ending </w:t>
      </w:r>
      <w:r>
        <w:rPr>
          <w:rStyle w:val="Emphasis"/>
          <w:rFonts w:ascii="Times New Roman" w:hAnsi="Times New Roman"/>
          <w:caps w:val="false"/>
          <w:smallCaps w:val="false"/>
          <w:sz w:val="20"/>
        </w:rPr>
        <w:t>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assets and liabilities of both companies included in the consolidated financial statements are recognized in accordance with the uniform accounting policies used within the Sono Group, which complies with IFRS as issued by the IASB.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consolidation process involves adjusting the items in the separate financial statements of the parent and its subsidiary and presenting them as if they were those of a single economic entity. Therefore, all intra-group assets and liabilities, equity, income, expenses and cash flows relating to transactions between members of the Sono Group are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taxes, if any, are recognized for consolidation adjustments, and deferred tax assets and liabilities are offset where taxes are levied by the same tax authority and have the same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770" w:type="dxa"/>
        <w:jc w:val="left"/>
        <w:tblInd w:w="0" w:type="dxa"/>
        <w:tblLayout w:type="fixed"/>
        <w:tblCellMar>
          <w:top w:w="0" w:type="dxa"/>
          <w:left w:w="0" w:type="dxa"/>
          <w:bottom w:w="0" w:type="dxa"/>
          <w:right w:w="0" w:type="dxa"/>
        </w:tblCellMar>
      </w:tblPr>
      <w:tblGrid>
        <w:gridCol w:w="170"/>
        <w:gridCol w:w="2600"/>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w:t>
            </w:r>
          </w:p>
        </w:tc>
        <w:tc>
          <w:tcPr>
            <w:tcW w:w="26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Significant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015" w:type="dxa"/>
        <w:jc w:val="left"/>
        <w:tblInd w:w="0" w:type="dxa"/>
        <w:tblLayout w:type="fixed"/>
        <w:tblCellMar>
          <w:top w:w="0" w:type="dxa"/>
          <w:left w:w="0" w:type="dxa"/>
          <w:bottom w:w="0" w:type="dxa"/>
          <w:right w:w="0" w:type="dxa"/>
        </w:tblCellMar>
      </w:tblPr>
      <w:tblGrid>
        <w:gridCol w:w="275"/>
        <w:gridCol w:w="74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4.1</w:t>
            </w:r>
          </w:p>
        </w:tc>
        <w:tc>
          <w:tcPr>
            <w:tcW w:w="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recognizes revenues primarily from the integration of Sono Motors patented solar technology across other transportation platforms and from the Sono app, which provides an in-app booking and payment system and optional additional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are recognized when control of the goods and services is transferred to the customer, being generally when the customer gains the ability to direct the use of the goods and services and obtains substantially all of the remaining benefits from them. The amount of revenue recognized equals the amount of consideration the Group expects to receive in exchange for the goods and services. Sono Group acts as a principal in all sales transactions because it has control over the goods and services before transferring control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receivable is recognized when the goods and services are delivered or are ready for use as this is the point in time that the consideration is unconditional because only the passage of time is required before payment is due. Goods and services transferred are accounted for as separate performance obligations if they are distinct (i.e., the customer can benefit from the goods or services on its own or together with other resources readily available to the customer and the promise to transfer the good or service is separately identifiable from other promises in the contract). Performance obligations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satisfied over time or at a point in time. Performance obligations are satisfied over time when the customer simultaneously receives and consumes the benefits resulting from the Group’s performance as the Group performs, when the Group creates or enhances an asset while the customer controls it or when the Group’s performance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create an asset with an alternative use to the Group and the Group has an enforceable right to payment for performance completed to date. For such performance obligations, the Group recognizes revenue in line with the progress towards complete satisfaction of the performance obligation. While the information required to measure directly and faithfully the output transferred to the customer to date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available, the work required to satisfy the Group’s performance obligations usually has a direct relation to satisfaction progress. Therefore, progress is measured based on the Group’s input in relation to the total amount of input the Group expects is necessary to fulfill the performance obligation, (i.e., on a cost-to-cost basis). Performance obligations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satisfied over time are satisfied at a point in time. Such obligations are satisfied when the customer obtains control of the asset or service, typically when the customer accepts delivery of the integrated asset or in-app services are ready for use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Contract liabilities are the obligations of the Company to transfer goods to a customer for which the Company has received consideration from the customer. If a customer pays consideration before the Company transfers goods, a contract liability is recognized. Contract liabilities are recognized as revenue when the Company performs its performance obligations under the contract.  Sono Group N.V. expects to recognize revenue within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therefore, it is classified as a current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Transaction prices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variable amounts or significant financing components. Payment generally is due within </w:t>
      </w:r>
      <w:r>
        <w:rPr>
          <w:rStyle w:val="Emphasis"/>
          <w:rFonts w:ascii="Times New Roman" w:hAnsi="Times New Roman"/>
          <w:caps w:val="false"/>
          <w:smallCaps w:val="false"/>
          <w:sz w:val="20"/>
        </w:rPr>
        <w:t>30</w:t>
      </w:r>
      <w:r>
        <w:rPr>
          <w:rFonts w:ascii="Times New Roman" w:hAnsi="Times New Roman"/>
          <w:caps w:val="false"/>
          <w:smallCaps w:val="false"/>
          <w:sz w:val="20"/>
        </w:rPr>
        <w:t> days after Sono Group has fulfilled its performance obligation. Regarding the treatment of advance payments from customers, please refer to note </w:t>
      </w:r>
      <w:r>
        <w:rPr>
          <w:rStyle w:val="Emphasis"/>
          <w:rFonts w:ascii="Times New Roman" w:hAnsi="Times New Roman"/>
          <w:caps w:val="false"/>
          <w:smallCaps w:val="false"/>
          <w:sz w:val="20"/>
        </w:rPr>
        <w:t>4.8</w:t>
      </w:r>
      <w:r>
        <w:rPr>
          <w:rFonts w:ascii="Times New Roman" w:hAnsi="Times New Roman"/>
          <w:caps w:val="false"/>
          <w:smallCaps w:val="false"/>
          <w:sz w:val="20"/>
        </w:rPr>
        <w:t> Advance payments received from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judgment is required to assess the timing of satisfaction of the Group’s performance obligations, the transaction price or the amounts allocated to distinct performance obligations. Obligations regarding returns or warranties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arise from revenues.</w:t>
      </w:r>
    </w:p>
    <w:p>
      <w:pPr>
        <w:pStyle w:val="TextBody"/>
        <w:bidi w:val="0"/>
        <w:spacing w:before="0" w:after="0"/>
        <w:ind w:left="0" w:right="0" w:hanging="0"/>
        <w:jc w:val="left"/>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4780" w:type="dxa"/>
        <w:jc w:val="left"/>
        <w:tblInd w:w="0" w:type="dxa"/>
        <w:tblLayout w:type="fixed"/>
        <w:tblCellMar>
          <w:top w:w="0" w:type="dxa"/>
          <w:left w:w="0" w:type="dxa"/>
          <w:bottom w:w="0" w:type="dxa"/>
          <w:right w:w="0" w:type="dxa"/>
        </w:tblCellMar>
      </w:tblPr>
      <w:tblGrid>
        <w:gridCol w:w="275"/>
        <w:gridCol w:w="450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4.2</w:t>
            </w:r>
          </w:p>
        </w:tc>
        <w:tc>
          <w:tcPr>
            <w:tcW w:w="45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Grants from government agencies and similar bodies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receives grants from government agencies and similar bodies like the European Union for participation in specific development projects. The grants are recognized when there is reasonable assurance that the grant will be received, and all grant conditions will be met. If grant funds are received prior to qualifying expenses being incurred or assets purchased, they are deferred and recognized in other liabilities. If the funds reimburse expenses and have been received, the liability is amortized into other operating income on a systematic basis over the period in which the Group incurs the corresponding expenses. If the funds reimburse purchased assets, the liability is reduced with a corresponding amount deducted from the asset’s carrying amount upon recording of the qualified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185" w:type="dxa"/>
        <w:jc w:val="left"/>
        <w:tblInd w:w="0" w:type="dxa"/>
        <w:tblLayout w:type="fixed"/>
        <w:tblCellMar>
          <w:top w:w="0" w:type="dxa"/>
          <w:left w:w="0" w:type="dxa"/>
          <w:bottom w:w="0" w:type="dxa"/>
          <w:right w:w="0" w:type="dxa"/>
        </w:tblCellMar>
      </w:tblPr>
      <w:tblGrid>
        <w:gridCol w:w="275"/>
        <w:gridCol w:w="191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4.3</w:t>
            </w:r>
          </w:p>
        </w:tc>
        <w:tc>
          <w:tcPr>
            <w:tcW w:w="191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Financial instruments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Initial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financial instrument is any contract that gives rise to a financial asset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entity and a financial liability or equity instrument of another entity. Sono Group initially recognizes financial instruments when it becomes party to the contractual provisions of the instrument. Regular way purchases and sales of financial assets are recognized on settlement date (i.e., the date that an asset is delivered to or by an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Offsetting of financial assets and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Financial assets and liabilities are only offset if offsetting the amounts is legally enforceable at the current time and if there is an actual intention to offset. In general, the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offset financial assets and liabilities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offsetting potential exists.</w:t>
      </w:r>
    </w:p>
    <w:p>
      <w:pPr>
        <w:pStyle w:val="TextBody"/>
        <w:bidi w:val="0"/>
        <w:spacing w:before="0" w:after="0"/>
        <w:ind w:left="0" w:right="0" w:hanging="0"/>
        <w:jc w:val="both"/>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780" w:type="dxa"/>
        <w:jc w:val="left"/>
        <w:tblInd w:w="0" w:type="dxa"/>
        <w:tblLayout w:type="fixed"/>
        <w:tblCellMar>
          <w:top w:w="0" w:type="dxa"/>
          <w:left w:w="0" w:type="dxa"/>
          <w:bottom w:w="0" w:type="dxa"/>
          <w:right w:w="0" w:type="dxa"/>
        </w:tblCellMar>
      </w:tblPr>
      <w:tblGrid>
        <w:gridCol w:w="425"/>
        <w:gridCol w:w="135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4.3.1</w:t>
            </w:r>
          </w:p>
        </w:tc>
        <w:tc>
          <w:tcPr>
            <w:tcW w:w="135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Initial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Group’s financial assets include cash and cash equivalents, security deposits and other financial receivables. At initial recognition, Sono Group measures a financial asset at its fair value plus, in the case of a financial asset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at fair value through profit or loss, transaction costs that are directly attributable to the acquisition of the financial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Subsequent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After the initial measurement, financial assets are subsequently classified into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following categories:</w:t>
      </w:r>
    </w:p>
    <w:p>
      <w:pPr>
        <w:pStyle w:val="TextBody"/>
        <w:bidi w:val="0"/>
        <w:spacing w:before="0" w:after="0"/>
        <w:ind w:left="0" w:right="0" w:hanging="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0"/>
        <w:gridCol w:w="125"/>
        <w:gridCol w:w="4820"/>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&gt;</w:t>
            </w:r>
          </w:p>
        </w:tc>
        <w:tc>
          <w:tcPr>
            <w:tcW w:w="48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assets at fair value through profit or loss (FVTPL);</w:t>
            </w:r>
          </w:p>
        </w:tc>
      </w:tr>
    </w:tbl>
    <w:p>
      <w:pPr>
        <w:pStyle w:val="TextBody"/>
        <w:bidi w:val="0"/>
        <w:spacing w:before="0" w:after="0"/>
        <w:ind w:left="0" w:right="0" w:hanging="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60"/>
        <w:gridCol w:w="125"/>
        <w:gridCol w:w="7565"/>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&gt;</w:t>
            </w:r>
          </w:p>
        </w:tc>
        <w:tc>
          <w:tcPr>
            <w:tcW w:w="75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assets at fair value through other comprehensive income (FVOCI,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60"/>
        <w:gridCol w:w="125"/>
        <w:gridCol w:w="8075"/>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&gt;</w:t>
            </w:r>
          </w:p>
        </w:tc>
        <w:tc>
          <w:tcPr>
            <w:tcW w:w="80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assets at fair value through other comprehensive income (FVOCI, equity instruments); and</w:t>
            </w:r>
          </w:p>
        </w:tc>
      </w:tr>
    </w:tbl>
    <w:p>
      <w:pPr>
        <w:pStyle w:val="TextBody"/>
        <w:bidi w:val="0"/>
        <w:spacing w:before="0" w:after="0"/>
        <w:ind w:left="0" w:right="0" w:hanging="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60"/>
        <w:gridCol w:w="125"/>
        <w:gridCol w:w="3155"/>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&gt;</w:t>
            </w:r>
          </w:p>
        </w:tc>
        <w:tc>
          <w:tcPr>
            <w:tcW w:w="3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assets at amortized cost (AC).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classification depends on the financial asset’s contractual cash flow characteristics and the business model (‘hold to collect’, ‘hold to collect and sell’ and ‘other’) for managing them. The cash flow characteristics are assessed at an instrument level, whereas the business model is assessed on portfolio level. Under the business model ‘hold to collect’, the Group holds a financial instrument only to collect contractual cash flows. Under the business model ‘hold to collect and sell’, the Group would hold a financial instrument both to collect contractual cash flows and to receive economic benefits from selling these instruments. All other debt instruments would be held under the business model ‘other’. Debt instruments that are held under the business model ‘hold to collect’, where those contractual terms give rise to cash flows that are solely payments of principal and interest (SPPI) on the outstanding principal amount, are measured at amortized cost. Financial assets that are held under the business model ‘hold to collect and sell’, where the SPPI criterion is met, are measured at FVOCI. All other debt instruments are measured at FVTPL. Derivatives are instruments that are always measured at FVTPL Additionally,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allows for optional measurement at FVTPL if using the option significantly reduces a measurement or recognition inconsistency (accounting mismatch). Sono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this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Equity instruments are measured at FVTPL, because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SPPI criterion. However, if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held for trading and the Group uses the FVOCI option upon recognition, equity instruments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measured at FVOCI. The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the FVOCI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reporting date, all financial assets are to be measured at amortized cost as the Group only holds debt instruments and these are held within the business model ‘hold to collect’ and have passed the SPPI-test.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assets at amortized cost are subsequently measured using the effective interest rate (EIR) method and are subject to impairment. Gains and losses from derecognition, modification, and interest income are recognized in profit or loss (interest and similar income/expense). Changes in the loss allowance and any impairments are recognized in profit or loss (impairment reversals/(losses) on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assets are derecognized when the rights to receive cash flows from the financial assets have expired or have been transferred and the Group has transferred substantially all risks and rewards of ownership.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requires recognizing expected credit losses for debt financial assets measured at amortized cost or at FVOCI, lease receivables and contract assets. ECLs are based on the difference between the contractual cash flows due in accordance with the contract and all the cash flows that Sono Group expects to receive, discounted at the original EIR. The expected cash flows will include cash flows from the sale of collateral held or other credit enhancements that are integral to the contractual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calculation of impairment losses,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distinguishes between the general approach and the simplified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general approach, financial assets are allocated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stages. Sono Group generally presumes all financial assets that are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past due to have a significant increase in credit risk and accounts for expected losses over the remaining lifetime of those financial assets. For financial assets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credit-impaired at initial recognition, expected credit losses (ECLs) are provided for credit losses that result from default events that are possible within the next </w:t>
      </w:r>
      <w:r>
        <w:rPr>
          <w:rStyle w:val="Emphasis"/>
          <w:rFonts w:ascii="Times New Roman" w:hAnsi="Times New Roman"/>
          <w:caps w:val="false"/>
          <w:smallCaps w:val="false"/>
          <w:sz w:val="20"/>
        </w:rPr>
        <w:t>12</w:t>
      </w:r>
      <w:r>
        <w:rPr>
          <w:rFonts w:ascii="Times New Roman" w:hAnsi="Times New Roman"/>
          <w:caps w:val="false"/>
          <w:smallCaps w:val="false"/>
          <w:sz w:val="20"/>
        </w:rPr>
        <w:t> months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ECL, Stage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 subsequent measurement, for credit exposures for which there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 significant increase in credit risk since initial recognition,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ECL are provided. For those credit exposures for which there has been a significant increase in credit risk since initial recognition, a loss allowance is required for credit losses expected over the remaining life of the exposure, irrespective of the timing of the default (lifetime ECL, Stage </w:t>
      </w:r>
      <w:r>
        <w:rPr>
          <w:rStyle w:val="Emphasis"/>
          <w:rFonts w:ascii="Times New Roman" w:hAnsi="Times New Roman"/>
          <w:caps w:val="false"/>
          <w:smallCaps w:val="false"/>
          <w:sz w:val="20"/>
        </w:rPr>
        <w:t>2</w:t>
      </w:r>
      <w:r>
        <w:rPr>
          <w:rFonts w:ascii="Times New Roman" w:hAnsi="Times New Roman"/>
          <w:caps w:val="false"/>
          <w:smallCaps w:val="false"/>
          <w:sz w:val="20"/>
        </w:rPr>
        <w:t>). Financial assets with objective evidence of impairment are allocated to Stage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for which also lifetime expected credit losses are calculated.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Sono Group applies the general approach unless the simplified approach is required. The simplified approach is required for trade receivables or contract assets resulting from transactions within the scope of IFRS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 significant financing component. Under the simplified approach, the loss allowance is always measured over the remaining life of the exposure (lifetime ECL, Stage </w:t>
      </w:r>
      <w:r>
        <w:rPr>
          <w:rStyle w:val="Emphasis"/>
          <w:rFonts w:ascii="Times New Roman" w:hAnsi="Times New Roman"/>
          <w:caps w:val="false"/>
          <w:smallCaps w:val="false"/>
          <w:sz w:val="20"/>
        </w:rPr>
        <w:t>2</w:t>
      </w:r>
      <w:r>
        <w:rPr>
          <w:rFonts w:ascii="Times New Roman" w:hAnsi="Times New Roman"/>
          <w:caps w:val="false"/>
          <w:smallCaps w:val="false"/>
          <w:sz w:val="20"/>
        </w:rPr>
        <w:t>). In addition, the simplified approach also requires loss allowances in case an objective indication of default is present (credit-impaired financial assets; Stage </w:t>
      </w:r>
      <w:r>
        <w:rPr>
          <w:rStyle w:val="Emphasis"/>
          <w:rFonts w:ascii="Times New Roman" w:hAnsi="Times New Roman"/>
          <w:caps w:val="false"/>
          <w:smallCaps w:val="false"/>
          <w:sz w:val="20"/>
        </w:rPr>
        <w:t>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Sono Group decided to test all financial assets, regardless of their maturity, individually for expected credit loss, using reasonable and supportable historic and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095" w:type="dxa"/>
        <w:jc w:val="left"/>
        <w:tblInd w:w="0" w:type="dxa"/>
        <w:tblLayout w:type="fixed"/>
        <w:tblCellMar>
          <w:top w:w="0" w:type="dxa"/>
          <w:left w:w="0" w:type="dxa"/>
          <w:bottom w:w="0" w:type="dxa"/>
          <w:right w:w="0" w:type="dxa"/>
        </w:tblCellMar>
      </w:tblPr>
      <w:tblGrid>
        <w:gridCol w:w="425"/>
        <w:gridCol w:w="167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4.3.2</w:t>
            </w:r>
          </w:p>
        </w:tc>
        <w:tc>
          <w:tcPr>
            <w:tcW w:w="16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Initial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Group’s financial liabilities include lease liabilities, loans from private investors, convertible debentures (host contract and embedded derivatives), and trade and other payables. Regarding lease liabilities, please refer to note </w:t>
      </w:r>
      <w:r>
        <w:rPr>
          <w:rStyle w:val="Emphasis"/>
          <w:rFonts w:ascii="Times New Roman" w:hAnsi="Times New Roman"/>
          <w:caps w:val="false"/>
          <w:smallCaps w:val="false"/>
          <w:sz w:val="20"/>
        </w:rPr>
        <w:t>4.6.2</w:t>
      </w:r>
      <w:r>
        <w:rPr>
          <w:rFonts w:ascii="Times New Roman" w:hAnsi="Times New Roman"/>
          <w:caps w:val="false"/>
          <w:smallCaps w:val="false"/>
          <w:sz w:val="20"/>
        </w:rPr>
        <w:t xml:space="preserve">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analyzes all contracts to determine whether the underlying contracts are debt 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All financial liabilities in the scope of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are initially measured at their fair value minus, in the case of financial liabilities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at FVTPL, transaction costs that are directly attributable to the issue of the financial liabilities. In case of financial liabilities at FVTPL, transaction costs are directly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When the fair value of the financial liabilities differs from the transaction price at initial recognition, and the fair value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evidenced by a quoted price or based on a valuation technique that uses data only from observable markets, Sono Group adjusts the measurement to defer this difference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IFRS requires that a compound financial instrument, i.e., a financial instrument containing both equity and debt instruments, shall be split into the equity instrument and the debt instrument upon initial recognition. For a financial instrument that grants a conversion right, classification of any component as equity instrument is only allowed if the conversion features of the loan lead to a conversion of a fixed amount into a fixed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Some contracts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only contain a single debt instrument but both a non-derivative host and a derivative, such that some of the cash flows of the combined instrument vary in a way similar to a standalone derivative (so called “hybrid contracts”). A derivative is a financial instrument or contract within the scope of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whose value changes in response to the change of a specific underlying, that requires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or only a comparably small initial investment, and that is settled at a future date. For hybrid contracts that contain a debt instrument as host, IFRS require that the embedded derivative be separated (“bifurcated”) from the host and accounted for as a separate derivative if (a) the economic characteristics and risks of the embedded derivative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closely related to the economic characteristics of the host, and (b) a separate instrument with the same terms as the embedded derivative would meet the definition of a derivative, and (c) the hybrid contract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measured at FVTPL. Bifurcation takes place at initial recognition and a reassessment of the bifurcation requirement only occurs if there is a change in the terms of the contract that significantly modifies the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Alternatively, IFRS allows for an optional classification of a financial liability measured at FVTPL if a contract contains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embedded derivatives, unless the embedded derivative(s)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significantly modify the contractual cash flows or it is clear with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analysis at the time of the contract’s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recognition that a separation of the embedded derivatives is prohibited (“FVTPL option”). Accordingly, if the FVTPL option is exercised, bifurcation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current and previous financial years, Sono Group has identified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kinds of hybrid financial instruments that contain a debt instrument as the host as well as embedded derivatives: Mandatory Convertible Notes that were issued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convertible debentures that were issued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For each of these contracts, the conversion rights were assessed as a debt instrument, because the conversion rights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grant the right to convert a fixed amount into a fixed number of shares. For the Mandatory Convertible Notes, the Group exercised the FVTPL option. Hence, the whole hybrid contract was accounted for at FVTPL. For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convertible debentures, bifurcation was performed for the host contract, on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hand, and the embedded derivatives, on the other hand. For each tranche, the host contract was accounted for at amortized cost, while the embedded derivatives were accounted for at FVTPL. As the embedded derivatives are interdependent and as such share closely related economic characteristics and the same risk exposure, they were combined for measurement purposes. Furthermore, at initial recognition, the fair value of the convertible debentures differed from their transaction price, so a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 was deferred upon initial recognition to account for this difference.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an explanation of the characteristics of the convertible debentures and the associated accounting estimates, see note </w:t>
      </w:r>
      <w:r>
        <w:rPr>
          <w:rStyle w:val="Emphasis"/>
          <w:rFonts w:ascii="Times New Roman" w:hAnsi="Times New Roman"/>
          <w:caps w:val="false"/>
          <w:smallCaps w:val="false"/>
          <w:sz w:val="20"/>
        </w:rPr>
        <w:t>4.12.2</w:t>
      </w:r>
      <w:r>
        <w:rPr>
          <w:rFonts w:ascii="Times New Roman" w:hAnsi="Times New Roman"/>
          <w:caps w:val="false"/>
          <w:smallCaps w:val="false"/>
          <w:sz w:val="20"/>
        </w:rPr>
        <w:t xml:space="preserve"> Convertible debentures.</w:t>
      </w:r>
    </w:p>
    <w:p>
      <w:pPr>
        <w:pStyle w:val="TextBody"/>
        <w:bidi w:val="0"/>
        <w:spacing w:before="0" w:after="0"/>
        <w:ind w:left="0" w:right="0" w:hanging="0"/>
        <w:jc w:val="both"/>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Subsequent measurement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measurement of financial liabilities of Sono Group depends on their classification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1.</w:t>
            </w:r>
          </w:p>
        </w:tc>
        <w:tc>
          <w:tcPr>
            <w:tcW w:w="100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liabilities at FVTPL: After initial recognition, these liabilities are measured at fair value. Gains and losses are recognized in profit or loss (interest and similar income/expense).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2.</w:t>
            </w:r>
          </w:p>
        </w:tc>
        <w:tc>
          <w:tcPr>
            <w:tcW w:w="100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liabilities measured at amortized cost: After initial recognition, these liabilities are measured at amortized cost using the EIR method. Amortized cost is calculated by considering all fees and points paid or received between parties to the contract that are an integral part of the EIR, transaction costs, and all other premiums or discounts that are an integral part of the EIR. Amortization according to the EIR method is included in interest expenses in profit or loss.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Initial recognition of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is determined individually and matches the time of recognition of the associated financial instrument. The amortization of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takes place to the extent that it arises from a change in a factor (including time) that market participants would consider in setting a price.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from the convertible debentures are amortized pro rata on a straight-line basis over the time horizon of expected conversions. As of the end of the reporting period, conversions were expected until the end of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 xml:space="preserve">According to management's assessment of the facts and circumstances, the main important factor is the timing of the conversions. Based on the assumed conversion schedule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these were assumed to take place constantly until the end of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 xml:space="preserve">As a result, a linear amortization until the end of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was concluded to be most appropriate. The amortization amounts of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are included in interest and similar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financial liability is derecognized when the obligation under the liability is discharged or canceled or expires. When an existing financial liability is replaced by another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from the same lender on substantially different terms, or the terms of an existing liability are substantially modified, such an exchange or modification is treated as the derecognition of the original liability and the recognition of a new liability. The difference between the carrying amount of a financial liability (or part of a financial liability) extinguished or transferred to another party and the consideration paid, including any non-cash assets transferred or liabilities assumed, is recognized in profit or loss. Terms are substantially different if the discounted present value of the cash flows under the new terms, considering the net effect of fees between borrower and lender and discounted using the original effective interest rate, is at least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per cent different from the discounted present value of the remaining cash flows of the original financial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When the expected cash flows of an existing financial liability are renegotiated or otherwise modified and the renegotiation or modification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derecognition of the financial liability, the amortized cost of the liability is recalculated. When Sono Group revises its estimates of payments it adjusts the amortized cost of the financial liability to reflect the actual and revised estimated contractual cash flows. In both cases, amortized cost is recalculated as the present value of the (updated) estimated contractual cash flows, using the original effective interest rate. Any resulting catch-up adjustment is recognized 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4.4</w:t>
            </w:r>
          </w:p>
        </w:tc>
        <w:tc>
          <w:tcPr>
            <w:tcW w:w="14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Intangible assets</w:t>
            </w:r>
          </w:p>
        </w:tc>
      </w:tr>
    </w:tbl>
    <w:p>
      <w:pPr>
        <w:pStyle w:val="TextBody"/>
        <w:bidi w:val="0"/>
        <w:spacing w:before="0" w:after="0"/>
        <w:ind w:left="0" w:right="0" w:hanging="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425"/>
        <w:gridCol w:w="318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4.4.1</w:t>
            </w:r>
          </w:p>
        </w:tc>
        <w:tc>
          <w:tcPr>
            <w:tcW w:w="318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Internally generated intangible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accordance with IAS </w:t>
      </w:r>
      <w:r>
        <w:rPr>
          <w:rStyle w:val="Emphasis"/>
          <w:rFonts w:ascii="Times New Roman" w:hAnsi="Times New Roman"/>
          <w:caps w:val="false"/>
          <w:smallCaps w:val="false"/>
          <w:sz w:val="20"/>
        </w:rPr>
        <w:t>38,</w:t>
      </w:r>
      <w:r>
        <w:rPr>
          <w:rFonts w:ascii="Times New Roman" w:hAnsi="Times New Roman"/>
          <w:caps w:val="false"/>
          <w:smallCaps w:val="false"/>
          <w:sz w:val="20"/>
        </w:rPr>
        <w:t xml:space="preserve"> research activities undertaken with the prospect of gaining new scientific or technical knowledge and understanding are expensed as incurred. In the current and prior periods, Sono Group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undertaken any research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Development costs for future series products and other internally generated intangible assets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capitalized at cost if they are directly attributable to the design and testing of identifiable and unique products controlled by Sono Group and the criteria of IAS </w:t>
      </w:r>
      <w:r>
        <w:rPr>
          <w:rStyle w:val="Emphasis"/>
          <w:rFonts w:ascii="Times New Roman" w:hAnsi="Times New Roman"/>
          <w:caps w:val="false"/>
          <w:smallCaps w:val="false"/>
          <w:sz w:val="20"/>
        </w:rPr>
        <w:t>38.57</w:t>
      </w:r>
      <w:r>
        <w:rPr>
          <w:rFonts w:ascii="Times New Roman" w:hAnsi="Times New Roman"/>
          <w:caps w:val="false"/>
          <w:smallCaps w:val="false"/>
          <w:sz w:val="20"/>
        </w:rPr>
        <w:t xml:space="preserve"> are met. Capitalized development costs then must include all direct costs that are attributable to the development process. If the criteria for recognition of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the expenses are recognized in profit or loss in the year in which they are incurred. As of the end of the reporting period as well as in previous years, the criteria for capitalization of development costs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met. Consequently, all development costs were recognized in profit or loss as incurred.</w:t>
      </w:r>
    </w:p>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425"/>
        <w:gridCol w:w="222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4.4.2</w:t>
            </w:r>
          </w:p>
        </w:tc>
        <w:tc>
          <w:tcPr>
            <w:tcW w:w="222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Acquired intangible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Acquired intangible assets are recognized when received and are initially measured at cost and amortized over their useful life using the straight-line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Subsequent measurement</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Following initial recognition, intangible assets are carried at cost less any accumulated amortization and any accumulated impairment losses. The recognition of impairment losses requires the prior identification of triggering events.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there was a triggering event and hence an impairment test was performed on intangible assets.  For details on the impairment test and triggering event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events identified in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Intangible assets with finite useful lives are amortized over their useful life, generally using the straight-line method. The amortization period and the amortization method for an intangible asset with a finite useful life are reviewed at least annually at each fiscal year end. Changes in the expected useful life or the expected pattern of consumption of future economic benefits are accounted for prospectively. Amortization of an intangible asset is recognized in profit or loss in accordance with the function of the intangible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Intangible assets are amortized using the straight line-method over the useful life as displayed in the below table:</w:t>
      </w:r>
    </w:p>
    <w:p>
      <w:pPr>
        <w:pStyle w:val="TextBody"/>
        <w:bidi w:val="0"/>
        <w:spacing w:before="0" w:after="0"/>
        <w:ind w:left="0" w:right="0" w:hanging="0"/>
        <w:jc w:val="left"/>
        <w:rPr>
          <w:caps w:val="false"/>
          <w:smallCaps w:val="false"/>
        </w:rPr>
      </w:pPr>
      <w:r>
        <w:rPr>
          <w:caps w:val="false"/>
          <w:smallCaps w:val="false"/>
        </w:rPr>
        <w:t> </w:t>
      </w:r>
    </w:p>
    <w:tbl>
      <w:tblPr>
        <w:tblW w:w="3090" w:type="dxa"/>
        <w:jc w:val="left"/>
        <w:tblInd w:w="0" w:type="dxa"/>
        <w:tblLayout w:type="fixed"/>
        <w:tblCellMar>
          <w:top w:w="0" w:type="dxa"/>
          <w:left w:w="0" w:type="dxa"/>
          <w:bottom w:w="28" w:type="dxa"/>
          <w:right w:w="0" w:type="dxa"/>
        </w:tblCellMar>
      </w:tblPr>
      <w:tblGrid>
        <w:gridCol w:w="1445"/>
        <w:gridCol w:w="60"/>
        <w:gridCol w:w="680"/>
        <w:gridCol w:w="60"/>
        <w:gridCol w:w="60"/>
        <w:gridCol w:w="725"/>
        <w:gridCol w:w="60"/>
      </w:tblGrid>
      <w:tr>
        <w:trPr/>
        <w:tc>
          <w:tcPr>
            <w:tcW w:w="144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Website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4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Useful life (years)</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0"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3 - 4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1 - 5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Gains or losses arising from derecognition of an intangible asset are measured as the difference between the net disposal proceeds and the carrying amount of the asset and are recognized in profit or loss in the period in which the asset is derecognized.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920" w:type="dxa"/>
        <w:jc w:val="left"/>
        <w:tblInd w:w="0" w:type="dxa"/>
        <w:tblLayout w:type="fixed"/>
        <w:tblCellMar>
          <w:top w:w="0" w:type="dxa"/>
          <w:left w:w="0" w:type="dxa"/>
          <w:bottom w:w="0" w:type="dxa"/>
          <w:right w:w="0" w:type="dxa"/>
        </w:tblCellMar>
      </w:tblPr>
      <w:tblGrid>
        <w:gridCol w:w="320"/>
        <w:gridCol w:w="2600"/>
      </w:tblGrid>
      <w:tr>
        <w:trPr/>
        <w:tc>
          <w:tcPr>
            <w:tcW w:w="32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4.5</w:t>
            </w:r>
            <w:r>
              <w:rPr>
                <w:rFonts w:ascii="Times New Roman" w:hAnsi="Times New Roman"/>
                <w:b/>
                <w:caps w:val="false"/>
                <w:smallCaps w:val="false"/>
                <w:sz w:val="20"/>
              </w:rPr>
              <w:t xml:space="preserve"> </w:t>
            </w:r>
          </w:p>
        </w:tc>
        <w:tc>
          <w:tcPr>
            <w:tcW w:w="26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Property, plant and equipment are stated at cost less accumulated depreciation and impairments. These costs also comprise the costs for replacement parts, which are recognized at the time they are incurred, providing they meet the recognition criteria. All other repair and maintenance costs are expensed as incurred. Depreciation begins when the asset is available for use. Advance payments to suppliers to produce technical equipment and machinery, that are capitalized,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depreciated until available for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plant and equipment are depreciated using the straight line-method over the useful life as displayed in the below table:</w:t>
      </w:r>
    </w:p>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28" w:type="dxa"/>
          <w:right w:w="0" w:type="dxa"/>
        </w:tblCellMar>
      </w:tblPr>
      <w:tblGrid>
        <w:gridCol w:w="1445"/>
        <w:gridCol w:w="60"/>
        <w:gridCol w:w="1835"/>
        <w:gridCol w:w="60"/>
      </w:tblGrid>
      <w:tr>
        <w:trPr/>
        <w:tc>
          <w:tcPr>
            <w:tcW w:w="144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Equipment / Hardware</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4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Useful life (years)</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35"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3 - 13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Impairment losses on property, plant and equipment are recognized in accordance with IAS </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 if the recoverable amount of the respective asset has fallen below the carrying amount. Recoverable amount is the higher of value in use and fair value less costs to sell. If the reasons for impairments recognized in previous years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apply, the impairment losses are reversed up to a maximum of the amount that would have been determined if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loss had been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The recognition of impairment losses requires the prior identification of triggering events.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Sono Group considered the significant increase in interest rates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among other possible triggering events for impairment, a triggering event and hence an impairment test was performed on property, plant and equipment. For details on the impairment test and triggering event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 For details on recognized impairments or reversals of earlier impairments in the reporting period, please refer to note </w:t>
      </w:r>
      <w:r>
        <w:rPr>
          <w:rStyle w:val="Emphasis"/>
          <w:rFonts w:ascii="Times New Roman" w:hAnsi="Times New Roman"/>
          <w:caps w:val="false"/>
          <w:smallCaps w:val="false"/>
          <w:sz w:val="20"/>
        </w:rPr>
        <w:t>7.2</w:t>
      </w:r>
      <w:r>
        <w:rPr>
          <w:rFonts w:ascii="Times New Roman" w:hAnsi="Times New Roman"/>
          <w:caps w:val="false"/>
          <w:smallCaps w:val="false"/>
          <w:sz w:val="20"/>
        </w:rPr>
        <w:t xml:space="preserve">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Property, plant and equipment are derecognized upon disposal or when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economic benefits are expected from their continued use or sale. The gain or loss on derecognition is determined as the difference between the net disposal proceeds and the carrying amount and recognized in profit or loss in the period in which the item is derecognized.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residual values of the assets, useful lives and depreciation methods are reviewed at the end of each fiscal year and any changes are accounted for prospectively. The residual values of the assets are generally considered to be zero.</w:t>
      </w:r>
    </w:p>
    <w:p>
      <w:pPr>
        <w:pStyle w:val="TextBody"/>
        <w:bidi w:val="0"/>
        <w:spacing w:before="0" w:after="0"/>
        <w:ind w:left="0" w:right="0" w:hanging="0"/>
        <w:jc w:val="left"/>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865" w:type="dxa"/>
        <w:jc w:val="left"/>
        <w:tblInd w:w="0" w:type="dxa"/>
        <w:tblLayout w:type="fixed"/>
        <w:tblCellMar>
          <w:top w:w="0" w:type="dxa"/>
          <w:left w:w="0" w:type="dxa"/>
          <w:bottom w:w="0" w:type="dxa"/>
          <w:right w:w="0" w:type="dxa"/>
        </w:tblCellMar>
      </w:tblPr>
      <w:tblGrid>
        <w:gridCol w:w="275"/>
        <w:gridCol w:w="59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4.6</w:t>
            </w:r>
          </w:p>
        </w:tc>
        <w:tc>
          <w:tcPr>
            <w:tcW w:w="5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Applying IFRS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at inception of a contract, Sono Group assesses whether a contract is, or contains, a lease. A contract is, or contains, a lease if the contract conveys the right to control the use of an identified asset for a period of time in exchange for consideration. For the periods presented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contracts as the lessor.</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425"/>
        <w:gridCol w:w="1565"/>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4.6.1</w:t>
            </w:r>
          </w:p>
        </w:tc>
        <w:tc>
          <w:tcPr>
            <w:tcW w:w="15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Right-of-use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Sono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as well as any estimated costs to be incurred by the lessee for dismantling and removing the underlying asset. Unless Sono Group is reasonably certain to obtain ownership of the leased asset at the end of the lease term, the recognized right-of-use assets are depreciated on a straight-line basis over the shorter of its estimated useful life, and the lease term. Right-of-use assets are subject to impairment according to IAS </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there was a triggering event and hence an impairment test was performed on property, plant and equipment. For details on the impairment test and triggering event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780" w:type="dxa"/>
        <w:jc w:val="left"/>
        <w:tblInd w:w="0" w:type="dxa"/>
        <w:tblLayout w:type="fixed"/>
        <w:tblCellMar>
          <w:top w:w="0" w:type="dxa"/>
          <w:left w:w="0" w:type="dxa"/>
          <w:bottom w:w="0" w:type="dxa"/>
          <w:right w:w="0" w:type="dxa"/>
        </w:tblCellMar>
      </w:tblPr>
      <w:tblGrid>
        <w:gridCol w:w="425"/>
        <w:gridCol w:w="1355"/>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4.6.2</w:t>
            </w:r>
          </w:p>
        </w:tc>
        <w:tc>
          <w:tcPr>
            <w:tcW w:w="135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Lease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the commencement date of the lease, Sono Group recognizes lease liabilities measured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Sono Group and payments of penalties for terminating a lease, if the lease term reflects Sono Group exercising the option to terminate. The variable lease payments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depend on an index or a rate are recognized as expenses in the period in which the event or condition that triggers the payment occurs. To calculate the present value of lease payments, Sono Group uses the incremental borrowing rate at the lease commencement date if the interest rate implicit in the lease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in-substance fixed lease payments or a change in the assessment of whether an option to purchase the underlying asset will be executed with reasonable 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the lease liability is remeasured, a corresponding adjustment is made to the carrying amount for the right-of-use asset or is recorded in profit or loss if the carrying amount of the right-of-use asset has been reduced to zero.</w:t>
      </w:r>
    </w:p>
    <w:p>
      <w:pPr>
        <w:pStyle w:val="TextBody"/>
        <w:bidi w:val="0"/>
        <w:spacing w:before="0" w:after="0"/>
        <w:ind w:left="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425"/>
        <w:gridCol w:w="4040"/>
      </w:tblGrid>
      <w:tr>
        <w:trPr/>
        <w:tc>
          <w:tcPr>
            <w:tcW w:w="42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4.6.3</w:t>
            </w:r>
          </w:p>
        </w:tc>
        <w:tc>
          <w:tcPr>
            <w:tcW w:w="40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Short-term leases and leases of low-value assets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applies the short-term lease recognition exemption to its short-term leases of buildings and cars (i.e., leases that have a lease term of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or less from the commencement date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 purchase option). It also applies the lease of low-value assets recognition exemption to leases of office equipment that are considered of low value. Lease payments on short-term leases (contracts with a term of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or less) and leases of low-value assets (Sono Group threshold of fair value of leased asset &lt; kEUR </w:t>
      </w:r>
      <w:r>
        <w:rPr>
          <w:rStyle w:val="Emphasis"/>
          <w:rFonts w:ascii="Times New Roman" w:hAnsi="Times New Roman"/>
          <w:caps w:val="false"/>
          <w:smallCaps w:val="false"/>
          <w:sz w:val="20"/>
        </w:rPr>
        <w:t>5</w:t>
      </w:r>
      <w:r>
        <w:rPr>
          <w:rFonts w:ascii="Times New Roman" w:hAnsi="Times New Roman"/>
          <w:caps w:val="false"/>
          <w:smallCaps w:val="false"/>
          <w:sz w:val="20"/>
        </w:rPr>
        <w:t>) are recognized as expenses on a straight-line basis over the lease term.</w:t>
      </w:r>
    </w:p>
    <w:p>
      <w:pPr>
        <w:pStyle w:val="TextBody"/>
        <w:bidi w:val="0"/>
        <w:spacing w:before="0" w:after="0"/>
        <w:ind w:left="0" w:right="0" w:hanging="0"/>
        <w:jc w:val="both"/>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500" w:type="dxa"/>
        <w:jc w:val="left"/>
        <w:tblInd w:w="0" w:type="dxa"/>
        <w:tblLayout w:type="fixed"/>
        <w:tblCellMar>
          <w:top w:w="0" w:type="dxa"/>
          <w:left w:w="0" w:type="dxa"/>
          <w:bottom w:w="0" w:type="dxa"/>
          <w:right w:w="0" w:type="dxa"/>
        </w:tblCellMar>
      </w:tblPr>
      <w:tblGrid>
        <w:gridCol w:w="275"/>
        <w:gridCol w:w="2225"/>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4.7</w:t>
            </w:r>
          </w:p>
        </w:tc>
        <w:tc>
          <w:tcPr>
            <w:tcW w:w="222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Cash and cash equivalents include bank balances, deposits and cash in transit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Cash and cash equivalents are measured at amortized cost and are subject to the impairment requirements of IFRS </w:t>
      </w:r>
      <w:r>
        <w:rPr>
          <w:rStyle w:val="Emphasis"/>
          <w:rFonts w:ascii="Times New Roman" w:hAnsi="Times New Roman"/>
          <w:caps w:val="false"/>
          <w:smallCaps w:val="false"/>
          <w:sz w:val="20"/>
        </w:rPr>
        <w:t>9.</w:t>
      </w:r>
    </w:p>
    <w:p>
      <w:pPr>
        <w:pStyle w:val="TextBody"/>
        <w:bidi w:val="0"/>
        <w:spacing w:before="0" w:after="0"/>
        <w:ind w:left="0" w:right="0" w:hanging="0"/>
        <w:jc w:val="both"/>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4015" w:type="dxa"/>
        <w:jc w:val="left"/>
        <w:tblInd w:w="0" w:type="dxa"/>
        <w:tblLayout w:type="fixed"/>
        <w:tblCellMar>
          <w:top w:w="0" w:type="dxa"/>
          <w:left w:w="0" w:type="dxa"/>
          <w:bottom w:w="0" w:type="dxa"/>
          <w:right w:w="0" w:type="dxa"/>
        </w:tblCellMar>
      </w:tblPr>
      <w:tblGrid>
        <w:gridCol w:w="275"/>
        <w:gridCol w:w="374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4.8</w:t>
            </w:r>
          </w:p>
        </w:tc>
        <w:tc>
          <w:tcPr>
            <w:tcW w:w="37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Advance payments received from customers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Advance payments received from customers for Sion electrical vehicles were recognized as liabilities at the time the cash was collected by Sono Group. As of period end, Sono Group intended to begin delivering its Sion electrical vehicles to customers after the start of production, which was expected to be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Therefore, all advance payments are shown as noncurrent, even though customers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able to cancel their contract (depending on the general terms in some cases cancellation is possible within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and demand the money back. Due to an original term of the advance payments which is more than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the advance payments include a significant financing component. The compounding effect is recognized in interest expense and increases the advance payments received from customers. Sales revenues from advance payments received from customers were planned to be recognized in event of delivery of the car. Therefore, the advance payments were accounted for in accordance with IFRS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However, with the termination of the Sion (see note </w:t>
      </w:r>
      <w:r>
        <w:rPr>
          <w:rStyle w:val="Emphasis"/>
          <w:rFonts w:ascii="Times New Roman" w:hAnsi="Times New Roman"/>
          <w:caps w:val="false"/>
          <w:smallCaps w:val="false"/>
          <w:sz w:val="20"/>
        </w:rPr>
        <w:t>9.7.1</w:t>
      </w:r>
      <w:r>
        <w:rPr>
          <w:rFonts w:ascii="Times New Roman" w:hAnsi="Times New Roman"/>
          <w:caps w:val="false"/>
          <w:smallCaps w:val="false"/>
          <w:sz w:val="20"/>
        </w:rPr>
        <w:t xml:space="preserve"> Termination of Sion passenger car program) the advance payments will be accounted for in accordance with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in subsequent periods.</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b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195" w:type="dxa"/>
        <w:jc w:val="left"/>
        <w:tblInd w:w="0" w:type="dxa"/>
        <w:tblLayout w:type="fixed"/>
        <w:tblCellMar>
          <w:top w:w="0" w:type="dxa"/>
          <w:left w:w="0" w:type="dxa"/>
          <w:bottom w:w="0" w:type="dxa"/>
          <w:right w:w="0" w:type="dxa"/>
        </w:tblCellMar>
      </w:tblPr>
      <w:tblGrid>
        <w:gridCol w:w="275"/>
        <w:gridCol w:w="92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4.9</w:t>
            </w:r>
          </w:p>
        </w:tc>
        <w:tc>
          <w:tcPr>
            <w:tcW w:w="92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Provisions for bonus and settlement payments or any other obligations are recognized when the group has a present legal or constructive obligation as a result of past events, if it is probable that an outflow of resources will be required to settle the obligation, and if the amount can be reliably estimated. Provisions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for future operations. Moreover, provisions are recognized when Sono Group determines that it has a contract in which the unavoidable costs of meeting the obligations under the contract exceed the economic benefits expected to be received under it (onerous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Provisions are measured at the present value of management’s best estimate of the expenditure required to settle the present obligation at the end of the reporting period. Provisions for onerous contracts are measured at the present obligation under the contract, (i.e., the lower of the cost of fulfilling the contract and any compensations or penalties arising from failure to fulfill it). Provisions are discounted when the time value of money is material, however, the time value of money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for the provisions recognized.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provisions that were discounted.</w:t>
      </w:r>
    </w:p>
    <w:p>
      <w:pPr>
        <w:pStyle w:val="TextBody"/>
        <w:bidi w:val="0"/>
        <w:spacing w:before="0" w:after="0"/>
        <w:ind w:left="0" w:right="0" w:hanging="0"/>
        <w:jc w:val="both"/>
        <w:rPr>
          <w:caps w:val="false"/>
          <w:smallCaps w:val="false"/>
        </w:rPr>
      </w:pPr>
      <w:r>
        <w:rPr>
          <w:caps w:val="false"/>
          <w:smallCaps w:val="false"/>
        </w:rPr>
        <w:t>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910" w:type="dxa"/>
        <w:jc w:val="left"/>
        <w:tblInd w:w="0" w:type="dxa"/>
        <w:tblLayout w:type="fixed"/>
        <w:tblCellMar>
          <w:top w:w="0" w:type="dxa"/>
          <w:left w:w="0" w:type="dxa"/>
          <w:bottom w:w="0" w:type="dxa"/>
          <w:right w:w="0" w:type="dxa"/>
        </w:tblCellMar>
      </w:tblPr>
      <w:tblGrid>
        <w:gridCol w:w="380"/>
        <w:gridCol w:w="530"/>
      </w:tblGrid>
      <w:tr>
        <w:trPr/>
        <w:tc>
          <w:tcPr>
            <w:tcW w:w="38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4.10</w:t>
            </w:r>
          </w:p>
        </w:tc>
        <w:tc>
          <w:tcPr>
            <w:tcW w:w="53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Taxes</w:t>
            </w:r>
          </w:p>
        </w:tc>
      </w:tr>
    </w:tbl>
    <w:p>
      <w:pPr>
        <w:pStyle w:val="TextBody"/>
        <w:bidi w:val="0"/>
        <w:spacing w:before="0" w:after="0"/>
        <w:ind w:left="0"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530"/>
        <w:gridCol w:w="2735"/>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4.10.1</w:t>
            </w:r>
          </w:p>
        </w:tc>
        <w:tc>
          <w:tcPr>
            <w:tcW w:w="273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Current tax assets and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 tax assets and liabilities are measured at the amount expected to be recovered from or paid to the taxation authorities based on the tax rates and tax laws that are enacted or substantively enacted at the end of the reporting period.</w:t>
      </w:r>
    </w:p>
    <w:p>
      <w:pPr>
        <w:pStyle w:val="TextBody"/>
        <w:bidi w:val="0"/>
        <w:spacing w:before="0" w:after="0"/>
        <w:ind w:left="0" w:right="0" w:hanging="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530"/>
        <w:gridCol w:w="1250"/>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4.10.2</w:t>
            </w:r>
          </w:p>
        </w:tc>
        <w:tc>
          <w:tcPr>
            <w:tcW w:w="125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Deferred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 is recognized using the liability method on temporary differences as of the end of the reporting period between the carrying amounts of assets and liabilities and their tax bases.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Deferred tax liabilities are recognized for all taxable temporary differences. The only exception is if the deferred income tax arises from initial recognition of an asset or liability in a transaction other than a business combination which, at the time of the transaction, affects neither accounting profit or loss nor taxable profit or loss. Deferred tax liabilities are recognized for all taxable temporary differences associated with investments in subsidiaries and associates, except where the Group is able to control the reversal of the temporary differences and it is probable that the temporary difference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reverse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 assets are recognized for deductible temporary differences and to the extent that it is probable that future taxable income will allow the deferred tax asset to be realized.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Deferred tax assets and deferred tax liabilities are measured at the tax rates that are expected to apply in the year when the asset is realized, or the liability is settled based on tax rates (and tax laws) that have been enacted or substantively enacted by the end of the reporting period. Deferred tax assets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only be recognized up to the amount of the deferred tax liabilities as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sufficiently probable that future taxable profit will be available against which they can be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transactions and other events are recognized directly in equity, any related taxes on income are also recognized directly in equity. As transaction costs are recognized in the capital reserve, corresponding (deferred) tax effects are recognized partly due to the loss situation of Sono Group and the fact that deferred taxes for losses carried forward were partly recognized at the level of Sono N.V.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 assets and deferred tax liabilities are offset if there is a legally enforceable right to offset current tax assets and current tax liabilities and these relate to income taxes levied by the same tax jurisdiction.</w:t>
      </w:r>
    </w:p>
    <w:p>
      <w:pPr>
        <w:pStyle w:val="TextBody"/>
        <w:bidi w:val="0"/>
        <w:spacing w:before="0" w:after="0"/>
        <w:ind w:left="0" w:right="0" w:hanging="0"/>
        <w:jc w:val="left"/>
        <w:rPr/>
      </w:pPr>
      <w:r>
        <w:rPr/>
        <w:t> </w:t>
      </w:r>
    </w:p>
    <w:tbl>
      <w:tblPr>
        <w:tblW w:w="2830" w:type="dxa"/>
        <w:jc w:val="left"/>
        <w:tblInd w:w="0" w:type="dxa"/>
        <w:tblLayout w:type="fixed"/>
        <w:tblCellMar>
          <w:top w:w="0" w:type="dxa"/>
          <w:left w:w="0" w:type="dxa"/>
          <w:bottom w:w="0" w:type="dxa"/>
          <w:right w:w="0" w:type="dxa"/>
        </w:tblCellMar>
      </w:tblPr>
      <w:tblGrid>
        <w:gridCol w:w="530"/>
        <w:gridCol w:w="2300"/>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4.10.3</w:t>
            </w:r>
          </w:p>
        </w:tc>
        <w:tc>
          <w:tcPr>
            <w:tcW w:w="230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Tax losses carried forward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Based on management’s estimation, a deferred tax asset is recognized for the tax losses carried forward to the extent that it is probable that future taxable profit will be available against which the unused tax losses and unused tax credits can be utilized. Only up to 60% of the Group’s annual taxable income, to the extent such taxable income exceeds kEUR 1,000,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offset against tax loss carryforwards. The remaining 40% of the taxable income is subject to corporate income and trade tax under the so-called minimum taxation rules. Annual taxable income for corporate income tax and trade tax purposes of up to kEUR 1,000 could fully be offset against tax losses carried forward. For further information regarding the tax losses carried forward see note </w:t>
      </w:r>
      <w:r>
        <w:rPr>
          <w:rStyle w:val="Emphasis"/>
          <w:rFonts w:ascii="Times New Roman" w:hAnsi="Times New Roman"/>
          <w:caps w:val="false"/>
          <w:smallCaps w:val="false"/>
          <w:sz w:val="20"/>
        </w:rPr>
        <w:t>4.12.9</w:t>
      </w:r>
      <w:r>
        <w:rPr>
          <w:rFonts w:ascii="Times New Roman" w:hAnsi="Times New Roman"/>
          <w:caps w:val="false"/>
          <w:smallCaps w:val="false"/>
          <w:sz w:val="20"/>
        </w:rPr>
        <w:t> Recoverability of deferred tax assets in relation to loss carryforwards.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2215" w:type="dxa"/>
        <w:jc w:val="left"/>
        <w:tblInd w:w="0" w:type="dxa"/>
        <w:tblLayout w:type="fixed"/>
        <w:tblCellMar>
          <w:top w:w="0" w:type="dxa"/>
          <w:left w:w="0" w:type="dxa"/>
          <w:bottom w:w="0" w:type="dxa"/>
          <w:right w:w="0" w:type="dxa"/>
        </w:tblCellMar>
      </w:tblPr>
      <w:tblGrid>
        <w:gridCol w:w="380"/>
        <w:gridCol w:w="1835"/>
      </w:tblGrid>
      <w:tr>
        <w:trPr/>
        <w:tc>
          <w:tcPr>
            <w:tcW w:w="38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4.11</w:t>
            </w:r>
          </w:p>
        </w:tc>
        <w:tc>
          <w:tcPr>
            <w:tcW w:w="183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Share-based payment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Group has entered into the following types of share-based transactions, each accounted for in accordance with IFRS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 described below: </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60"/>
        <w:gridCol w:w="170"/>
        <w:gridCol w:w="42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4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equity-settled share-based payment transactions,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9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in which the Group receives or acquires services and the terms of the arrangement provide either the Group or the supplier of those services with a choice of whether the Group settles the transaction in cash (or other assets) or by issuing equity instruments.</w:t>
            </w:r>
          </w:p>
        </w:tc>
      </w:tr>
    </w:tbl>
    <w:p>
      <w:pPr>
        <w:pStyle w:val="TextBody"/>
        <w:bidi w:val="0"/>
        <w:spacing w:before="0" w:after="0"/>
        <w:ind w:left="0"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530"/>
        <w:gridCol w:w="1190"/>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4.11.1</w:t>
            </w:r>
          </w:p>
        </w:tc>
        <w:tc>
          <w:tcPr>
            <w:tcW w:w="119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Equity-settled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equity-settled share-based payment transactions, on grant date, Sono Group initially measures the fair value of the services received by reference to the fair value of the equity instruments granted. Sono Group recognizes the fair value of the services as expenses and a corresponding increase in equity when the services are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Vesting conditions, other than market conditions,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when estimating the fair value of the equity instruments at the measurement date. Instead, vesting conditions, other than market conditions, are considered by adjusting the number of equity instruments included in the measurement of the transaction amount. Market conditions and non-vesting conditions are considered when estimating the fair value of the equity instruments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If Sono Group and the supplier of services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agree on service conditions and the supplier of services is unconditionally entitled to the equity instruments, Sono Group presumes that the services have been received on grant date and recognizes the services received in full, with a corresponding increase in equity. If Sono Group and the supplier of services did agree on service conditions, the Group accounts for the services as they are rendered by the supplier during the vesting period, with a corresponding increase in equity.</w:t>
      </w:r>
    </w:p>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530"/>
        <w:gridCol w:w="2900"/>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4.11.2</w:t>
            </w:r>
          </w:p>
        </w:tc>
        <w:tc>
          <w:tcPr>
            <w:tcW w:w="290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Choice of settlement (Sono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transactions in which the terms of the arrangement provide Sono Group with a choice of settlement, Sono Group determines whether it has a present obligation to settle in cash. Sono would have an obligation to settle in cash if the choice of settlement in equity instruments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commercial substance, or Sono Group had a past practice or a stated policy of settling in cash, or generally settles in cash whenever the counterparty asks for cash settlement. Management determined that Sono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obligation to settle in cash for these types of transactions (i.e., employee participating programs) and therefore accounts for these arrangements as equity-settled share-based payment transactions (refer to note </w:t>
      </w:r>
      <w:r>
        <w:rPr>
          <w:rStyle w:val="Emphasis"/>
          <w:rFonts w:ascii="Times New Roman" w:hAnsi="Times New Roman"/>
          <w:caps w:val="false"/>
          <w:smallCaps w:val="false"/>
          <w:sz w:val="20"/>
        </w:rPr>
        <w:t>4.11.1</w:t>
      </w:r>
      <w:r>
        <w:rPr>
          <w:rFonts w:ascii="Times New Roman" w:hAnsi="Times New Roman"/>
          <w:caps w:val="false"/>
          <w:smallCaps w:val="false"/>
          <w:sz w:val="20"/>
        </w:rPr>
        <w:t xml:space="preserve"> Equity-settled).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settlement: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1"/>
        <w:gridCol w:w="9984"/>
      </w:tblGrid>
      <w:tr>
        <w:trPr/>
        <w:tc>
          <w:tcPr>
            <w:tcW w:w="60" w:type="dxa"/>
            <w:tcBorders/>
            <w:vAlign w:val="center"/>
          </w:tcPr>
          <w:p>
            <w:pPr>
              <w:pStyle w:val="TableContents"/>
              <w:bidi w:val="0"/>
              <w:spacing w:before="0" w:after="283"/>
              <w:jc w:val="both"/>
              <w:rPr/>
            </w:pPr>
            <w:r>
              <w:rPr/>
              <w:t> </w:t>
            </w:r>
          </w:p>
        </w:tc>
        <w:tc>
          <w:tcPr>
            <w:tcW w:w="1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8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Sono Group elects to settle in cash, the cash payment is accounted for as the repurchase of an equity interest, i. e. as a deduction from equity,</w:t>
            </w:r>
          </w:p>
        </w:tc>
      </w:tr>
    </w:tbl>
    <w:p>
      <w:pPr>
        <w:pStyle w:val="TextBody"/>
        <w:bidi w:val="0"/>
        <w:spacing w:before="0" w:after="0"/>
        <w:ind w:left="0" w:right="0" w:hanging="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60"/>
        <w:gridCol w:w="185"/>
        <w:gridCol w:w="7895"/>
      </w:tblGrid>
      <w:tr>
        <w:trPr/>
        <w:tc>
          <w:tcPr>
            <w:tcW w:w="6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789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if Sono Group elects to settle by issuing equity instruments,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accounting is required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Sono Group elects the settlement alternative with the higher fair value, as at the date of settlement, Sono Group recognizes an additional expense for the excess value given, i. e. the difference between the cash paid and the fair value of the equity instruments that would otherwise have been issued, or the difference between the fair value of the equity instruments issued and the amount of cash that would otherwise have been paid, whichever is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further details, please refer to note </w:t>
      </w:r>
      <w:r>
        <w:rPr>
          <w:rStyle w:val="Emphasis"/>
          <w:rFonts w:ascii="Times New Roman" w:hAnsi="Times New Roman"/>
          <w:caps w:val="false"/>
          <w:smallCaps w:val="false"/>
          <w:sz w:val="20"/>
        </w:rPr>
        <w:t>9.3.</w:t>
      </w:r>
      <w:r>
        <w:rPr>
          <w:rFonts w:ascii="Times New Roman" w:hAnsi="Times New Roman"/>
          <w:caps w:val="false"/>
          <w:smallCaps w:val="false"/>
          <w:sz w:val="20"/>
        </w:rPr>
        <w:t xml:space="preserve"> Remuneration based on shares (share-based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5785" w:type="dxa"/>
        <w:jc w:val="left"/>
        <w:tblInd w:w="0" w:type="dxa"/>
        <w:tblLayout w:type="fixed"/>
        <w:tblCellMar>
          <w:top w:w="0" w:type="dxa"/>
          <w:left w:w="0" w:type="dxa"/>
          <w:bottom w:w="0" w:type="dxa"/>
          <w:right w:w="0" w:type="dxa"/>
        </w:tblCellMar>
      </w:tblPr>
      <w:tblGrid>
        <w:gridCol w:w="650"/>
        <w:gridCol w:w="5135"/>
      </w:tblGrid>
      <w:tr>
        <w:trPr/>
        <w:tc>
          <w:tcPr>
            <w:tcW w:w="65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4.12</w:t>
            </w:r>
            <w:r>
              <w:rPr>
                <w:rFonts w:ascii="Times New Roman;Times;serif" w:hAnsi="Times New Roman;Times;serif"/>
                <w:sz w:val="20"/>
              </w:rPr>
              <w:t>      </w:t>
            </w:r>
          </w:p>
        </w:tc>
        <w:tc>
          <w:tcPr>
            <w:tcW w:w="513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 accounting judgments, estimates and 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preparation of consolidated financial statements in accordance with IFRS requires management to make judgments, estimates and assumptions that affect the reported amounts in the financial statements. Management continually evaluates its judgments and estimates in relation to assets, liabilities, contingent liabilities, and expenses. Management bases its judgments and estimates on historical experience and on other various factors it believes to be reasonable under the circumstances, the result of which forms the basis of the carrying values of assets and liabilities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apparent from other sources.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from these estimates under different assumptions and conditions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materially affect the financial results or the financial position reported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process of applying the accounting policies, management has made the following judgments, which have the most significant effect on the amounts recognized in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530"/>
        <w:gridCol w:w="1355"/>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sz w:val="20"/>
              </w:rPr>
              <w:t>4.12.1</w:t>
            </w:r>
          </w:p>
        </w:tc>
        <w:tc>
          <w:tcPr>
            <w:tcW w:w="13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Going concern</w:t>
            </w:r>
            <w:r>
              <w:rPr>
                <w:rFonts w:ascii="Times New Roman;Times;serif" w:hAnsi="Times New Roman;Times;serif"/>
                <w:caps w:val="false"/>
                <w:smallCaps w:val="false"/>
                <w:sz w:val="2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Management assessed Sono Group’s ability to continue as a going concern, evaluating whether there are conditions and events, considered in the aggregate, that raise substantial doubt about its ability to continue as a going concern using all information available about the future, focusing on the </w:t>
      </w:r>
      <w:r>
        <w:rPr>
          <w:rStyle w:val="Emphasis"/>
          <w:rFonts w:ascii="Times New Roman" w:hAnsi="Times New Roman"/>
          <w:caps w:val="false"/>
          <w:smallCaps w:val="false"/>
          <w:sz w:val="20"/>
        </w:rPr>
        <w:t>twelve</w:t>
      </w:r>
      <w:r>
        <w:rPr>
          <w:rFonts w:ascii="Times New Roman" w:hAnsi="Times New Roman"/>
          <w:caps w:val="false"/>
          <w:smallCaps w:val="false"/>
          <w:sz w:val="20"/>
        </w:rPr>
        <w:t>-month period following the issuance date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Historically, Sono Group financed its operations primarily through capital raises and loans from shareholders and private investors (including its IPO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as well as through advance payments received from customers. Since inception, Sono Group has incurred recurring losses and negative cash flows from operations. The accumulated deficit amounts to kEUR </w:t>
      </w:r>
      <w:r>
        <w:rPr>
          <w:rStyle w:val="Emphasis"/>
          <w:rFonts w:ascii="Times New Roman" w:hAnsi="Times New Roman"/>
          <w:caps w:val="false"/>
          <w:smallCaps w:val="false"/>
          <w:sz w:val="20"/>
        </w:rPr>
        <w:t>330,778</w:t>
      </w:r>
      <w:r>
        <w:rPr>
          <w:rFonts w:ascii="Times New Roman" w:hAnsi="Times New Roman"/>
          <w:caps w:val="false"/>
          <w:smallCaps w:val="false"/>
          <w:sz w:val="20"/>
        </w:rPr>
        <w:t xml:space="preserve"> and the negative equity totals kEUR 43,513 as of </w:t>
      </w:r>
      <w:r>
        <w:rPr>
          <w:rStyle w:val="Emphasis"/>
          <w:rFonts w:ascii="Times New Roman" w:hAnsi="Times New Roman"/>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attempts to raise additional financing through equity offerings failed due to deteriorating market conditions, investor sentiment and other factors. On </w:t>
      </w:r>
      <w:r>
        <w:rPr>
          <w:rStyle w:val="Emphasis"/>
          <w:rFonts w:ascii="Times New Roman" w:hAnsi="Times New Roman"/>
          <w:caps w:val="false"/>
          <w:smallCaps w:val="false"/>
          <w:sz w:val="20"/>
        </w:rPr>
        <w:t xml:space="preserve">December 7, 2022, </w:t>
      </w:r>
      <w:r>
        <w:rPr>
          <w:rFonts w:ascii="Times New Roman" w:hAnsi="Times New Roman"/>
          <w:caps w:val="false"/>
          <w:smallCaps w:val="false"/>
          <w:sz w:val="20"/>
        </w:rPr>
        <w:t xml:space="preserve">the Company issued convertible debentures to Yorkville Advisors Global LP (Yorkville) with an aggregate nominal amount of kUSD 31,100 (kEUR 29,485). Given that this amount was insufficient to realize serial production and against the backdrop of otherwise unfavorable market conditions, Sono Group announced a special community campaign on </w:t>
      </w:r>
      <w:r>
        <w:rPr>
          <w:rStyle w:val="Emphasis"/>
          <w:rFonts w:ascii="Times New Roman" w:hAnsi="Times New Roman"/>
          <w:caps w:val="false"/>
          <w:smallCaps w:val="false"/>
          <w:sz w:val="20"/>
        </w:rPr>
        <w:t xml:space="preserve">December 8, 2022, </w:t>
      </w:r>
      <w:r>
        <w:rPr>
          <w:rFonts w:ascii="Times New Roman" w:hAnsi="Times New Roman"/>
          <w:caps w:val="false"/>
          <w:smallCaps w:val="false"/>
          <w:sz w:val="20"/>
        </w:rPr>
        <w:t xml:space="preserve">with the goal of raising approximately kEUR 105,000 principally by means of additional prepayments from customers and/or additional investor financing. The campaign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successful and hence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financing was raised. Consequently, 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management decided to terminate the Sion passenger car program and focus on the development of Sono Group’s solar technology solutions, which requires significantly lower levels of investment than the development of the Sion passenger car. Sono Motors offered its reservation holders a repayment plan to reimburse reservation holders for advance payments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installments (</w:t>
      </w:r>
      <w:r>
        <w:rPr>
          <w:rStyle w:val="Emphasis"/>
          <w:rFonts w:ascii="Times New Roman" w:hAnsi="Times New Roman"/>
          <w:caps w:val="false"/>
          <w:smallCaps w:val="false"/>
          <w:sz w:val="20"/>
        </w:rPr>
        <w:t xml:space="preserve"> May 2023, June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January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 xml:space="preserve">due to the fact that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installment to repay advance payments to customers became due, and Sono Group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succeeded in raising additional funds, the Company’s management ultimately concluded that Sono Motors was over-indebted and faced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xml:space="preserve">) with Sono N.V., in turn, becoming over-indebted and also facing impending illiquidity. As a consequence, management decided to apply for the opening of the self-administration proceedings with respect to Sono Group N.V. and Sono Motors GmbH with the goal of sustainably restructuring both companies. Accordingly, on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Sono N.V. applied to the insolvency court of the local court of Munich, Germany to permit the opening of a self-administration proceeding (</w:t>
      </w:r>
      <w:r>
        <w:rPr>
          <w:rFonts w:ascii="Times New Roman" w:hAnsi="Times New Roman"/>
          <w:i/>
          <w:caps w:val="false"/>
          <w:smallCaps w:val="false"/>
          <w:sz w:val="20"/>
        </w:rPr>
        <w:t>Eigenverwaltung</w:t>
      </w:r>
      <w:r>
        <w:rPr>
          <w:rFonts w:ascii="Times New Roman" w:hAnsi="Times New Roman"/>
          <w:caps w:val="false"/>
          <w:smallCaps w:val="false"/>
          <w:sz w:val="20"/>
        </w:rPr>
        <w:t xml:space="preserve">) pursuant to Section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(b)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On the same day, Sono Motorsapplied to the same Court to permit the opening of a self-administration proceeding in the form of a protective shield proceeding (</w:t>
      </w:r>
      <w:r>
        <w:rPr>
          <w:rFonts w:ascii="Times New Roman" w:hAnsi="Times New Roman"/>
          <w:i/>
          <w:caps w:val="false"/>
          <w:smallCaps w:val="false"/>
          <w:sz w:val="20"/>
        </w:rPr>
        <w:t>Schutzschirmverfahren</w:t>
      </w:r>
      <w:r>
        <w:rPr>
          <w:rFonts w:ascii="Times New Roman" w:hAnsi="Times New Roman"/>
          <w:caps w:val="false"/>
          <w:smallCaps w:val="false"/>
          <w:sz w:val="20"/>
        </w:rPr>
        <w:t xml:space="preserve">) pursuant Section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(d) of the German Insolvency Code (refer to Note </w:t>
      </w:r>
      <w:r>
        <w:rPr>
          <w:rStyle w:val="Emphasis"/>
          <w:rFonts w:ascii="Times New Roman" w:hAnsi="Times New Roman"/>
          <w:caps w:val="false"/>
          <w:smallCaps w:val="false"/>
          <w:sz w:val="20"/>
        </w:rPr>
        <w:t>9.7.2</w:t>
      </w:r>
      <w:r>
        <w:rPr>
          <w:rFonts w:ascii="Times New Roman" w:hAnsi="Times New Roman"/>
          <w:caps w:val="false"/>
          <w:smallCaps w:val="false"/>
          <w:sz w:val="20"/>
        </w:rPr>
        <w:t xml:space="preserve"> Filing for insolvency for detailed description of the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20"/>
        <w:jc w:val="both"/>
        <w:rPr/>
      </w:pPr>
      <w:r>
        <w:rPr>
          <w:rFonts w:ascii="Times New Roman" w:hAnsi="Times New Roman"/>
          <w:caps w:val="false"/>
          <w:smallCaps w:val="false"/>
          <w:sz w:val="20"/>
        </w:rPr>
        <w:t xml:space="preserve">Yorkville, 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largest creditors of Sono N.V., started negotiations in the course of the insolvency proceedings and offered to commit limited financing, which is expected to fund the restructured operations of Sono Group through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 xml:space="preserve">based on a mutually agreed business plan focused on the planned development of the Solar Bus Kit business operations). On </w:t>
      </w:r>
      <w:r>
        <w:rPr>
          <w:rStyle w:val="Emphasis"/>
          <w:rFonts w:ascii="Times New Roman" w:hAnsi="Times New Roman"/>
          <w:caps w:val="false"/>
          <w:smallCaps w:val="false"/>
          <w:sz w:val="20"/>
        </w:rPr>
        <w:t xml:space="preserve">November 20, 2023, </w:t>
      </w:r>
      <w:r>
        <w:rPr>
          <w:rFonts w:ascii="Times New Roman" w:hAnsi="Times New Roman"/>
          <w:caps w:val="false"/>
          <w:smallCaps w:val="false"/>
          <w:sz w:val="20"/>
        </w:rPr>
        <w:t xml:space="preserve">Sono Group entered into certain investment-related agreements with Yorkville (the “Yorkville Agreements”), pursuant to which Yorkville has committed to provide limited financing to the Company subject to the satisfaction of certain conditions precedent (the “Yorkville Investment”). The aim of the Yorkville Agreements and the transactions contemplated therein is the planned restructuring of the Company and its subsidiary Sono Motors GmbH (by means of providing financing based on debentures to the Sono Group which, in turn, will enter into intercompany financing via loans based on a back-to back letter of comfort to the Subsidiary). These arrangements, are intended to enable the Company to withdraw its application for its Preliminary Self-Administration Proceedings and to enable the Subsidiary to exit the Subsidiary Self-Administration Proceedings via an insolvency plan, which was filed with the Court on </w:t>
      </w:r>
      <w:r>
        <w:rPr>
          <w:rStyle w:val="Emphasis"/>
          <w:rFonts w:ascii="Times New Roman" w:hAnsi="Times New Roman"/>
          <w:caps w:val="false"/>
          <w:smallCaps w:val="false"/>
          <w:sz w:val="20"/>
        </w:rPr>
        <w:t xml:space="preserve">December 7, 2023 </w:t>
      </w:r>
      <w:r>
        <w:rPr>
          <w:rFonts w:ascii="Times New Roman" w:hAnsi="Times New Roman"/>
          <w:caps w:val="false"/>
          <w:smallCaps w:val="false"/>
          <w:sz w:val="20"/>
        </w:rPr>
        <w:t xml:space="preserve">for approval by the Subsidiary’s creditors and subsequent confirmation by the Court. Approval by the creditors and confirmation by the Court was obtained in the creditors meeting on </w:t>
      </w:r>
      <w:r>
        <w:rPr>
          <w:rStyle w:val="Emphasis"/>
          <w:rFonts w:ascii="Times New Roman" w:hAnsi="Times New Roman"/>
          <w:caps w:val="false"/>
          <w:smallCaps w:val="false"/>
          <w:sz w:val="20"/>
        </w:rPr>
        <w:t xml:space="preserve">December 21,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-day appeal period started on </w:t>
      </w:r>
      <w:r>
        <w:rPr>
          <w:rStyle w:val="Emphasis"/>
          <w:rFonts w:ascii="Times New Roman" w:hAnsi="Times New Roman"/>
          <w:caps w:val="false"/>
          <w:smallCaps w:val="false"/>
          <w:sz w:val="20"/>
        </w:rPr>
        <w:t xml:space="preserve">December 21, 2023. </w:t>
      </w:r>
      <w:r>
        <w:rPr>
          <w:rFonts w:ascii="Times New Roman" w:hAnsi="Times New Roman"/>
          <w:caps w:val="false"/>
          <w:smallCaps w:val="false"/>
          <w:sz w:val="20"/>
        </w:rPr>
        <w:t xml:space="preserve">Only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creditor with a claim of EUR </w:t>
      </w:r>
      <w:r>
        <w:rPr>
          <w:rStyle w:val="Emphasis"/>
          <w:rFonts w:ascii="Times New Roman" w:hAnsi="Times New Roman"/>
          <w:caps w:val="false"/>
          <w:smallCaps w:val="false"/>
          <w:sz w:val="20"/>
        </w:rPr>
        <w:t>500</w:t>
      </w:r>
      <w:r>
        <w:rPr>
          <w:rFonts w:ascii="Times New Roman" w:hAnsi="Times New Roman"/>
          <w:caps w:val="false"/>
          <w:smallCaps w:val="false"/>
          <w:sz w:val="20"/>
        </w:rPr>
        <w:t xml:space="preserve"> declared an appeal during the creditors meeting.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successful appeal actions in regard to the Court’s confirmation are expected by the management. The closing of the Yorkville financing, which is expected in late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 xml:space="preserve">is subject to the satisfaction of several closing conditions precedent.  The conditions precedent include principally (i) the Company’s filing its Annual Report on Form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-F for the year ended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ii) the Company’s submission of its interim balance sheet and income statement 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on Form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-K to the SEC (the “Interim Report”), (iii) Sono Motors’ insolvency plan becoming legally binding and (iv) the withdrawal of Sono Group’s application for its Preliminary Self-Administration Proceedings. In addition, Sono N.V. is required to convene its annual general meeting of shareholders and submit certain agenda items for shareholder vote by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or in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 xml:space="preserve">respectively. On </w:t>
      </w:r>
      <w:r>
        <w:rPr>
          <w:rStyle w:val="Emphasis"/>
          <w:rFonts w:ascii="Times New Roman" w:hAnsi="Times New Roman"/>
          <w:caps w:val="false"/>
          <w:smallCaps w:val="false"/>
          <w:sz w:val="20"/>
        </w:rPr>
        <w:t xml:space="preserve">December 22, 2023, </w:t>
      </w:r>
      <w:r>
        <w:rPr>
          <w:rFonts w:ascii="Times New Roman" w:hAnsi="Times New Roman"/>
          <w:caps w:val="false"/>
          <w:smallCaps w:val="false"/>
          <w:sz w:val="20"/>
        </w:rPr>
        <w:t xml:space="preserve">Yorkville waived the Company's submission of the Interim Report as a condition precedent to the closing of the Yorkville financing. Sono Group and its subsidiary Sono Motors expect the Yorkville Investment to position them to obtain sufficient funding for their planned development of the Solar Bus Kit business operations through the end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However, Yorkville’s funding commitment is subject to the absence of certain termination events or events of default (refer to note </w:t>
      </w:r>
      <w:r>
        <w:rPr>
          <w:rStyle w:val="Emphasis"/>
          <w:rFonts w:ascii="Times New Roman" w:hAnsi="Times New Roman"/>
          <w:caps w:val="false"/>
          <w:smallCaps w:val="false"/>
          <w:sz w:val="20"/>
        </w:rPr>
        <w:t>9.7.4</w:t>
      </w:r>
      <w:r>
        <w:rPr>
          <w:rFonts w:ascii="Times New Roman" w:hAnsi="Times New Roman"/>
          <w:caps w:val="false"/>
          <w:smallCaps w:val="false"/>
          <w:sz w:val="20"/>
        </w:rPr>
        <w:t xml:space="preserve"> Funding and restructuring agreements). If such an event occurs, Yorkville would have the right, at its sole discretion, to cancel any funding commitments still available, meaning that the Company would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able to draw down on unused portions of the commitment amount, and to exercise all of its rights under any of the new convertible debentures as if an event of default had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above outlined plans the Company’s going concern status is subject to various risks and uncertainties mainly:</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fulfillment of conditions precedent and the successful closing of the Yorkville Agreements;</w:t>
            </w:r>
          </w:p>
        </w:tc>
      </w:tr>
    </w:tbl>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and the Subsidiary successfully emerging from their respective Self-Administration;</w:t>
            </w:r>
          </w:p>
        </w:tc>
      </w:tr>
    </w:tbl>
    <w:tbl>
      <w:tblPr>
        <w:tblW w:w="8935" w:type="dxa"/>
        <w:jc w:val="left"/>
        <w:tblInd w:w="0" w:type="dxa"/>
        <w:tblLayout w:type="fixed"/>
        <w:tblCellMar>
          <w:top w:w="0" w:type="dxa"/>
          <w:left w:w="0" w:type="dxa"/>
          <w:bottom w:w="0" w:type="dxa"/>
          <w:right w:w="0" w:type="dxa"/>
        </w:tblCellMar>
      </w:tblPr>
      <w:tblGrid>
        <w:gridCol w:w="60"/>
        <w:gridCol w:w="170"/>
        <w:gridCol w:w="8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0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length of time that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to operate under the Self-Administration Proceedings;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delays in the Self-Administration Proceedings,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increase the risk that management is unable to sustainably restructure the business and emerge from the proceedings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increase the costs associated with the proceedings;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uncertainty converning the ultimate amount of payments that will have to be made to settle the liabilities resulting from the Self-Administration Proceedings which might result in additional funding requirements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meeting the assumptions underlying the mutually agreed business plan with Yorkville (focusing on the development of the Solar Bus Kit business)  so that the committed financing by Yorkville until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will be sufficient to allow the Company to continue as a going concern (mainly ability to accomplish technical feasibility of the Solar Bus Kit components to enable serial production, to enter into customer contracts to start generating revenues, to keep to cost assumptions and margins expected to be realized, to maintain required employees, to keep planned relationships with suppliers, to find independent distributors for the bus kits as planned, to adhere to the cost assumptions for Sono N.V. etc.)</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Sono Group’s ability to obtain additional financing from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in order to fund the business from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onwards and to be able to repay funding provided by Yorkville, which is due </w:t>
            </w:r>
            <w:r>
              <w:rPr>
                <w:rStyle w:val="Emphasis"/>
                <w:rFonts w:ascii="Times New Roman" w:hAnsi="Times New Roman"/>
                <w:caps w:val="false"/>
                <w:smallCaps w:val="false"/>
                <w:sz w:val="20"/>
              </w:rPr>
              <w:t>July 1, 2025 (</w:t>
            </w:r>
            <w:r>
              <w:rPr>
                <w:rFonts w:ascii="Times New Roman" w:hAnsi="Times New Roman"/>
                <w:caps w:val="false"/>
                <w:smallCaps w:val="false"/>
                <w:sz w:val="20"/>
              </w:rPr>
              <w:t>both for the convertible debentures liability of Sono Group and the intercompany loan to be paid back by Sono Motors GmbH)</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hire new experienced management for Sono N.V. as well as experienced employees to develop the planned business</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defined termination conditions or events of default will occur which can cause Yorkville, on its sole discretion, to cancel any funding commitments still available which can lead, in absence of alternative funding possibilities, to insolvency and liquidation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Because of the risks and uncertainties associated with the Yorkville Investment and the Self-Administration Proceedings, management cannot accurately predict or quantify the ultimate impact that events related to these proceedings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on the Sono Group and thus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certainty as to the ability to continue as a going concern. Even if Sono Group N.V. and Sono Motors GmbH are able to successfully emerge from the Self-Administration Proceedings, they might be adversely affected by the possible reluctance of prospective lenders/investors and other counterparties to do business with a company that has recently emerged from such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It is uncertain if Sono N.V. and its subsidiary Sono Motors will successfully resolve their Self-Administration Proceedings. Regular insolvency proceedings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opened,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eventually lead to the liquidation of the Company and/or the Subsidiary. Moreover, even if the closing of the Yorkville Agreements were successful , Yorkville can opt, on its sole discretion, to cease to provide financing should termination events or an event of default arise. Sono Group’s access to required additional financing is, and for the foreseeable future will likely continue to be, limited, if it is available at all as of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and beyond. Therefore, adequate funds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available when needed or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available on favorable terms and thus the Company might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Based on the above, Sono Group will need to raise substantial additional capital to finance its planned future operations, which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assured, and has consequently concluded that there is substantial doubt about its ability to continue as a going concern. The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530"/>
        <w:gridCol w:w="2210"/>
      </w:tblGrid>
      <w:tr>
        <w:trPr/>
        <w:tc>
          <w:tcPr>
            <w:tcW w:w="530"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4.12.2</w:t>
            </w:r>
          </w:p>
        </w:tc>
        <w:tc>
          <w:tcPr>
            <w:tcW w:w="22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Convertible debentures</w:t>
            </w:r>
            <w:r>
              <w:rPr>
                <w:rFonts w:ascii="Times New Roman;Times;serif" w:hAnsi="Times New Roman;Times;serif"/>
                <w:caps w:val="false"/>
                <w:smallCaps w:val="false"/>
                <w:sz w:val="2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has issued convertible debentures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tranches with an aggregate nominal amount of kUSD 31,100, which are convertible into ordinary shares of the Company subject to certain rights, conditions, and limitations to YA II PN, Ltd (“Yorkville”). The convertible debentures were issued to cover short-term capital requirements in order to push ahead with the development of the Sion without delays and to meet the planned start of production. The conversion price is the lower of USD 1.75 and 96.5% of the minimum daily volume-weighted average price on the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trading days before conversion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lower than the Floor Price of USD 0.15. According to the contracts, a minimum conversion amount of kUSD 2,500 should be converted per calendar month. This requirement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apply in an event of default or if the share price drops below the Floor Price. The monthly amount of principal to be converted, however,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exceed the higher of 20% of the monthly trading volume for Sono Group’s shares or kUSD 5,000. This limitation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apply if conversions are possible at the fixed conversion price of USD 1.75 and if an event of default occurs. Furthermore, Yorkville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own, at any time, more than 4.99% of the total shares outstanding. The convertible debentures contain conversion rights and other rights and represent hybrid financial instruments with a respective host contract and single compound embedded derivatives according to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For further details,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 - Convertible debentures and note </w:t>
      </w:r>
      <w:r>
        <w:rPr>
          <w:rStyle w:val="Emphasis"/>
          <w:rFonts w:ascii="Times New Roman" w:hAnsi="Times New Roman"/>
          <w:caps w:val="false"/>
          <w:smallCaps w:val="false"/>
          <w:sz w:val="20"/>
        </w:rPr>
        <w:t>4.3.2</w:t>
      </w:r>
      <w:r>
        <w:rPr>
          <w:rFonts w:ascii="Times New Roman" w:hAnsi="Times New Roman"/>
          <w:caps w:val="false"/>
          <w:smallCaps w:val="false"/>
          <w:sz w:val="20"/>
        </w:rPr>
        <w:t xml:space="preserve"> Financial liabilities - Initial measurement and Subsequent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The respective host contract of the </w:t>
      </w:r>
      <w:r>
        <w:rPr>
          <w:rStyle w:val="Emphasis"/>
          <w:rFonts w:ascii="Times New Roman;Times;serif" w:hAnsi="Times New Roman;Times;serif"/>
          <w:sz w:val="20"/>
        </w:rPr>
        <w:t>three</w:t>
      </w:r>
      <w:r>
        <w:rPr>
          <w:rFonts w:ascii="Times New Roman;Times;serif" w:hAnsi="Times New Roman;Times;serif"/>
          <w:sz w:val="20"/>
        </w:rPr>
        <w:t xml:space="preserve"> tranches (measured at amortized cost) and embedded derivatives (measured at FVTPL) are accounted for separately. According to management´s assessment it is </w:t>
      </w:r>
      <w:r>
        <w:rPr>
          <w:rStyle w:val="Emphasis"/>
          <w:rFonts w:ascii="Times New Roman;Times;serif" w:hAnsi="Times New Roman;Times;serif"/>
          <w:sz w:val="20"/>
        </w:rPr>
        <w:t>not</w:t>
      </w:r>
      <w:r>
        <w:rPr>
          <w:rFonts w:ascii="Times New Roman;Times;serif" w:hAnsi="Times New Roman;Times;serif"/>
          <w:sz w:val="20"/>
        </w:rPr>
        <w:t xml:space="preserve"> possible to reliably determine the fair value of the embedded derivatives, therefore these are measured indirectly as the difference between the fair value of the hybrid instrument and the fair value of the host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the convertible debentures was determined by applying a Monte Carlo valuation model (simulation model as valuation technique) with observable and unobservable input factors. Short-term financing was required to push ahead with the development of the Sion without delays and to meet the planned start of production. Due to the high risk profile of the Group and the prevailing market conditions, unfavorable financing conditions had to be accepted and therefore the transaction price is less than the fair value, which was based on Monte Carlo simulation as a valuation model with unobservable input factors (regarding the model see note </w:t>
      </w:r>
      <w:r>
        <w:rPr>
          <w:rStyle w:val="Emphasis"/>
          <w:rFonts w:ascii="Times New Roman" w:hAnsi="Times New Roman"/>
          <w:caps w:val="false"/>
          <w:smallCaps w:val="false"/>
          <w:sz w:val="20"/>
        </w:rPr>
        <w:t>8.3.2</w:t>
      </w:r>
      <w:r>
        <w:rPr>
          <w:rFonts w:ascii="Times New Roman" w:hAnsi="Times New Roman"/>
          <w:caps w:val="false"/>
          <w:smallCaps w:val="false"/>
          <w:sz w:val="20"/>
        </w:rPr>
        <w:t xml:space="preserve"> Carrying amounts and fair values). Hence, a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 resulting from each of the convertible debentures was recognized in addition to the convertible debentures to defer the difference between the fair value at initial recognition and the transaction price. After initial recognition, the deferred difference was amortized pro rata on a straight-line basis over the estimated time over which the conversions were expected to take place. As of the balance sheet date, conversion of the total amount of the convertible debentures into shares was expected to be completed by the end of </w:t>
      </w:r>
      <w:r>
        <w:rPr>
          <w:rStyle w:val="Emphasis"/>
          <w:rFonts w:ascii="Times New Roman" w:hAnsi="Times New Roman"/>
          <w:caps w:val="false"/>
          <w:smallCaps w:val="false"/>
          <w:sz w:val="20"/>
        </w:rPr>
        <w:t>May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main input factors that flow into the valuation model include the observable input factors share price, exchange rate USD/EUR and risk-free interest rate. Management assessed that the main unobservable input factors are the credit spread, probability of default, expected recovery rate in case of event of default, expected monthly conversion amounts in equity and expected share price volatility. The following judgments, estimates and assumptions were made in relation to these input factors: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risk-free interest rate is based on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rates of Secured Overnight Financing Rates (SOFR) which is in line with the </w:t>
      </w:r>
      <w:r>
        <w:rPr>
          <w:rStyle w:val="Emphasis"/>
          <w:rFonts w:ascii="Times New Roman" w:hAnsi="Times New Roman"/>
          <w:caps w:val="false"/>
          <w:smallCaps w:val="false"/>
          <w:sz w:val="20"/>
        </w:rPr>
        <w:t>12</w:t>
      </w:r>
      <w:r>
        <w:rPr>
          <w:rFonts w:ascii="Times New Roman" w:hAnsi="Times New Roman"/>
          <w:caps w:val="false"/>
          <w:smallCaps w:val="false"/>
          <w:sz w:val="20"/>
        </w:rPr>
        <w:t>-month time horizon of the maturity date and simulation model. The interest rate used in the discounted cash flow model is adjusted for the credit spread with the assumption that Sono Group´s credit risk is equivalent to a Standard &amp; Poor's rating scale of CCC or a Moody's rating scale of Caa-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expected probability of default is based on historical loss statistics for the respective credit rating published by Moody’s. Based on the </w:t>
      </w:r>
      <w:r>
        <w:rPr>
          <w:rStyle w:val="Emphasis"/>
          <w:rFonts w:ascii="Times New Roman" w:hAnsi="Times New Roman"/>
          <w:caps w:val="false"/>
          <w:smallCaps w:val="false"/>
          <w:sz w:val="20"/>
        </w:rPr>
        <w:t>40</w:t>
      </w:r>
      <w:r>
        <w:rPr>
          <w:rFonts w:ascii="Times New Roman" w:hAnsi="Times New Roman"/>
          <w:caps w:val="false"/>
          <w:smallCaps w:val="false"/>
          <w:sz w:val="20"/>
        </w:rPr>
        <w:t>-year average annual issuer weighted default rates for rating Caa-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13.5% a </w:t>
      </w:r>
      <w:r>
        <w:rPr>
          <w:rStyle w:val="Emphasis"/>
          <w:rFonts w:ascii="Times New Roman" w:hAnsi="Times New Roman"/>
          <w:caps w:val="false"/>
          <w:smallCaps w:val="false"/>
          <w:sz w:val="20"/>
        </w:rPr>
        <w:t>one</w:t>
      </w:r>
      <w:r>
        <w:rPr>
          <w:rFonts w:ascii="Times New Roman" w:hAnsi="Times New Roman"/>
          <w:caps w:val="false"/>
          <w:smallCaps w:val="false"/>
          <w:sz w:val="20"/>
        </w:rPr>
        <w:t>-day probability of default of 0.057% is derived and used for the simulation. The expected recovery rate for the investor in case of default used in the model is based on management expectations under the consideration of other financial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expected monthly conversion amounts are based on the expected conversion schedule and backed by the observed conversions in </w:t>
      </w:r>
      <w:r>
        <w:rPr>
          <w:rStyle w:val="Emphasis"/>
          <w:rFonts w:ascii="Times New Roman" w:hAnsi="Times New Roman"/>
          <w:caps w:val="false"/>
          <w:smallCaps w:val="false"/>
          <w:sz w:val="20"/>
        </w:rPr>
        <w:t xml:space="preserve">January </w:t>
      </w:r>
      <w:r>
        <w:rPr>
          <w:rFonts w:ascii="Times New Roman" w:hAnsi="Times New Roman"/>
          <w:caps w:val="false"/>
          <w:smallCaps w:val="false"/>
          <w:sz w:val="20"/>
        </w:rPr>
        <w:t xml:space="preserve">until </w:t>
      </w:r>
      <w:r>
        <w:rPr>
          <w:rStyle w:val="Emphasis"/>
          <w:rFonts w:ascii="Times New Roman" w:hAnsi="Times New Roman"/>
          <w:caps w:val="false"/>
          <w:smallCaps w:val="false"/>
          <w:sz w:val="20"/>
        </w:rPr>
        <w:t xml:space="preserve">March 2023 </w:t>
      </w:r>
      <w:r>
        <w:rPr>
          <w:rFonts w:ascii="Times New Roman" w:hAnsi="Times New Roman"/>
          <w:caps w:val="false"/>
          <w:smallCaps w:val="false"/>
          <w:sz w:val="20"/>
        </w:rPr>
        <w:t>which are very close to the expected values. The conversion schedule used assumed conversions at the upper limit defined in relation to the expected monthly trading volumes for Sono Group’s shares and maximum percentage of ownership of the total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expected share price volatility was based on an evaluation of historical Nasdaq share price volatilities for Sono Group’s shares, assuming that the historical volatility based on daily returns over a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period similar to the maturity of the convertible debentures is indicative of future trends, which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necessarily be the actual outcome.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balance sheet date, the contractual rights to extend the term or to early repay the convertible debentures were assumed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exercised, based on the expected conversion schedule, therefore these rights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modeled. This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exercise patterns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occur.</w:t>
      </w:r>
    </w:p>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5"/>
        <w:gridCol w:w="2195"/>
      </w:tblGrid>
      <w:tr>
        <w:trPr/>
        <w:tc>
          <w:tcPr>
            <w:tcW w:w="755" w:type="dxa"/>
            <w:tcBorders/>
            <w:vAlign w:val="center"/>
          </w:tcPr>
          <w:p>
            <w:pPr>
              <w:pStyle w:val="TableContents"/>
              <w:bidi w:val="0"/>
              <w:spacing w:before="0" w:after="0"/>
              <w:ind w:left="0" w:right="0" w:hanging="0"/>
              <w:jc w:val="both"/>
              <w:rPr/>
            </w:pPr>
            <w:r>
              <w:rPr>
                <w:rStyle w:val="Emphasis"/>
                <w:rFonts w:ascii="Times New Roman" w:hAnsi="Times New Roman"/>
                <w:b/>
                <w:sz w:val="20"/>
              </w:rPr>
              <w:t>4.12.3</w:t>
            </w:r>
            <w:r>
              <w:rPr>
                <w:rFonts w:ascii="Times New Roman" w:hAnsi="Times New Roman"/>
                <w:sz w:val="20"/>
              </w:rPr>
              <w:t>     </w:t>
            </w:r>
          </w:p>
        </w:tc>
        <w:tc>
          <w:tcPr>
            <w:tcW w:w="219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 test for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is required to perform an impairment test on assets if there is a triggering event that indicates potential impairment.  Sono Group considered the significant increase in interest rates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 triggering event and hence an impairment test was performed at year end on assets, namely, intangible assets, property, plant, and equipment, right-of-use assets, and current assets. There were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cash generating units (CGUs) identified - the Sion car program assets and the Solar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recoverable amounts of both CGUs have been determined from value in use calculations, accounting for different scenarios with attached probabilities, based on cash flow projections from approved plans and an estimated terminal value. The discount rate used for both CGUs is the Group’s weighted average cost of capital. The key assumptions, other than the cash flows, are the discount rate of 17.2%, the likelihood at the balance sheet date of raising funding to complete the Sion, and the growth rate beyond the projected cash flows of 3%.</w:t>
      </w:r>
    </w:p>
    <w:p>
      <w:pPr>
        <w:pStyle w:val="TextBody"/>
        <w:bidi w:val="0"/>
        <w:spacing w:before="0" w:after="0"/>
        <w:ind w:left="0" w:right="0" w:hanging="0"/>
        <w:jc w:val="both"/>
        <w:rPr/>
      </w:pPr>
      <w:r>
        <w:rPr/>
        <w:t> </w:t>
      </w:r>
    </w:p>
    <w:p>
      <w:pPr>
        <w:pStyle w:val="TextBody"/>
        <w:bidi w:val="0"/>
        <w:spacing w:before="0" w:after="0"/>
        <w:ind w:left="0" w:right="0" w:firstLine="20"/>
        <w:jc w:val="both"/>
        <w:rPr/>
      </w:pPr>
      <w:r>
        <w:rPr>
          <w:rFonts w:ascii="Times New Roman" w:hAnsi="Times New Roman"/>
          <w:caps w:val="false"/>
          <w:smallCaps w:val="false"/>
          <w:sz w:val="20"/>
        </w:rPr>
        <w:t xml:space="preserve">The recoverable amount for the Sion CGU is negative based on the value in use calculation and therefore the impairment that should be allocated to assets is kEUR 54,442. According to IAS </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 Impairment of assets, the impairment allocated to individual assets should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 the carrying amount of an asset below the highest of its fair value less costs of disposal, its value of use or zero. In cases where the fair value or value in use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accurately determined, these assets were concluded to have a fair value or value in use of zero. The combined fair value of the individual assets was kEUR 13,260, and represents the assets where Sono Group is entitled to to receive plant, property and equipment and services, or, where the prepayments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used as of the balance sheet date, entitled to receive refunds. The total of impairment recognized was kEUR </w:t>
      </w:r>
      <w:r>
        <w:rPr>
          <w:rStyle w:val="Emphasis"/>
          <w:rFonts w:ascii="Times New Roman" w:hAnsi="Times New Roman"/>
          <w:caps w:val="false"/>
          <w:smallCaps w:val="false"/>
          <w:sz w:val="20"/>
        </w:rPr>
        <w:t>41,182,</w:t>
      </w:r>
      <w:r>
        <w:rPr>
          <w:rFonts w:ascii="Times New Roman" w:hAnsi="Times New Roman"/>
          <w:caps w:val="false"/>
          <w:smallCaps w:val="false"/>
          <w:sz w:val="20"/>
        </w:rPr>
        <w:t xml:space="preserve"> with the allocation to the various asset classes as of the balance sheet shown below.</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4502"/>
        <w:gridCol w:w="60"/>
        <w:gridCol w:w="172"/>
        <w:gridCol w:w="1714"/>
        <w:gridCol w:w="60"/>
        <w:gridCol w:w="60"/>
        <w:gridCol w:w="132"/>
        <w:gridCol w:w="1440"/>
        <w:gridCol w:w="80"/>
        <w:gridCol w:w="60"/>
        <w:gridCol w:w="170"/>
        <w:gridCol w:w="1692"/>
        <w:gridCol w:w="63"/>
      </w:tblGrid>
      <w:tr>
        <w:trPr/>
        <w:tc>
          <w:tcPr>
            <w:tcW w:w="4502"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8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Sion CGU pre-impairment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72"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Impairment allocation</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62"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Sion CGU after impairment</w:t>
            </w:r>
          </w:p>
        </w:tc>
        <w:tc>
          <w:tcPr>
            <w:tcW w:w="63" w:type="dxa"/>
            <w:tcBorders>
              <w:bottom w:val="single" w:sz="2" w:space="0" w:color="000000"/>
            </w:tcBorders>
            <w:vAlign w:val="center"/>
          </w:tcPr>
          <w:p>
            <w:pPr>
              <w:pStyle w:val="TableContents"/>
              <w:bidi w:val="0"/>
              <w:spacing w:before="0" w:after="283"/>
              <w:jc w:val="left"/>
              <w:rPr/>
            </w:pPr>
            <w:r>
              <w:rPr/>
              <w:t> </w:t>
            </w:r>
          </w:p>
        </w:tc>
      </w:tr>
      <w:tr>
        <w:trPr/>
        <w:tc>
          <w:tcPr>
            <w:tcW w:w="4502"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8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72"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62"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3" w:type="dxa"/>
            <w:tcBorders>
              <w:bottom w:val="single" w:sz="2" w:space="0" w:color="000000"/>
            </w:tcBorders>
            <w:vAlign w:val="center"/>
          </w:tcPr>
          <w:p>
            <w:pPr>
              <w:pStyle w:val="TableContents"/>
              <w:bidi w:val="0"/>
              <w:spacing w:before="0" w:after="283"/>
              <w:jc w:val="left"/>
              <w:rPr/>
            </w:pPr>
            <w:r>
              <w:rPr/>
              <w:t> </w:t>
            </w:r>
          </w:p>
        </w:tc>
      </w:tr>
      <w:tr>
        <w:trPr/>
        <w:tc>
          <w:tcPr>
            <w:tcW w:w="45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 w:type="dxa"/>
            <w:tcBorders/>
            <w:tcMar>
              <w:bottom w:w="0" w:type="dxa"/>
            </w:tcMar>
            <w:vAlign w:val="center"/>
          </w:tcPr>
          <w:p>
            <w:pPr>
              <w:pStyle w:val="TableContents"/>
              <w:bidi w:val="0"/>
              <w:spacing w:before="0" w:after="283"/>
              <w:jc w:val="left"/>
              <w:rPr/>
            </w:pPr>
            <w:r>
              <w:rPr/>
              <w:t> </w:t>
            </w:r>
          </w:p>
        </w:tc>
        <w:tc>
          <w:tcPr>
            <w:tcW w:w="17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 w:type="dxa"/>
            <w:tcBorders/>
            <w:tcMar>
              <w:bottom w:w="0" w:type="dxa"/>
            </w:tcMar>
            <w:vAlign w:val="center"/>
          </w:tcPr>
          <w:p>
            <w:pPr>
              <w:pStyle w:val="TableContents"/>
              <w:bidi w:val="0"/>
              <w:spacing w:before="0" w:after="283"/>
              <w:jc w:val="left"/>
              <w:rPr/>
            </w:pPr>
            <w:r>
              <w:rPr/>
              <w:t> </w:t>
            </w:r>
          </w:p>
        </w:tc>
        <w:tc>
          <w:tcPr>
            <w:tcW w:w="144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692"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r>
      <w:tr>
        <w:trPr/>
        <w:tc>
          <w:tcPr>
            <w:tcW w:w="450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pPr>
            <w:r>
              <w:rPr/>
              <w:t> </w:t>
            </w:r>
          </w:p>
        </w:tc>
        <w:tc>
          <w:tcPr>
            <w:tcW w:w="171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14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16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450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Equipment and hardware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pPr>
            <w:r>
              <w:rPr/>
              <w:t> </w:t>
            </w:r>
          </w:p>
        </w:tc>
        <w:tc>
          <w:tcPr>
            <w:tcW w:w="171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144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(791</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16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450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pPr>
            <w:r>
              <w:rPr/>
              <w:t> </w:t>
            </w:r>
          </w:p>
        </w:tc>
        <w:tc>
          <w:tcPr>
            <w:tcW w:w="171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14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(38,473</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16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450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Prepayments to contract manufacturer for 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pPr>
            <w:r>
              <w:rPr/>
              <w:t> </w:t>
            </w:r>
          </w:p>
        </w:tc>
        <w:tc>
          <w:tcPr>
            <w:tcW w:w="171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144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16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9,241</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450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pPr>
            <w:r>
              <w:rPr/>
              <w:t> </w:t>
            </w:r>
          </w:p>
        </w:tc>
        <w:tc>
          <w:tcPr>
            <w:tcW w:w="171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14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pPr>
            <w:r>
              <w:rPr/>
              <w:t> </w:t>
            </w:r>
          </w:p>
        </w:tc>
        <w:tc>
          <w:tcPr>
            <w:tcW w:w="16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4502"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Prepayments to contract manufacturer for development services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1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9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4,019</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502"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1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54,442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(41,182</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9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13,260</w:t>
            </w:r>
          </w:p>
        </w:tc>
        <w:tc>
          <w:tcPr>
            <w:tcW w:w="63"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recoverable amount of the Solar CGU is greater than the net book value of the assets and therefore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was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Sensitivity analysis was performed on the key assumptions used to calculate the value in use for the Solar CGU, and it was concluded that the recoverable amount remains above the carrying value even under varying scenarios. Since the Sion CGU has a value in use of </w:t>
      </w:r>
      <w:r>
        <w:rPr>
          <w:rStyle w:val="Emphasis"/>
          <w:rFonts w:ascii="Times New Roman" w:hAnsi="Times New Roman"/>
          <w:caps w:val="false"/>
          <w:smallCaps w:val="false"/>
          <w:sz w:val="20"/>
        </w:rPr>
        <w:t>nil,</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sensitivity analysis was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Post year end a decision was made to terminate the Sion and therefore the Sion CGU assets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have a value in use. As this was a post balance sheet event, this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taken into account in the impairment test shown above. For further details see note </w:t>
      </w:r>
      <w:r>
        <w:rPr>
          <w:rStyle w:val="Emphasis"/>
          <w:rFonts w:ascii="Times New Roman" w:hAnsi="Times New Roman"/>
          <w:caps w:val="false"/>
          <w:smallCaps w:val="false"/>
          <w:sz w:val="20"/>
        </w:rPr>
        <w:t>9.7.1</w:t>
      </w:r>
      <w:r>
        <w:rPr>
          <w:rFonts w:ascii="Times New Roman" w:hAnsi="Times New Roman"/>
          <w:caps w:val="false"/>
          <w:smallCaps w:val="false"/>
          <w:sz w:val="20"/>
        </w:rPr>
        <w:t xml:space="preserve"> Termination of the Sion passenger car program.</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530"/>
        <w:gridCol w:w="3275"/>
      </w:tblGrid>
      <w:tr>
        <w:trPr/>
        <w:tc>
          <w:tcPr>
            <w:tcW w:w="530"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4.12.4</w:t>
            </w:r>
          </w:p>
        </w:tc>
        <w:tc>
          <w:tcPr>
            <w:tcW w:w="3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Remuneration based on shares (CSOP)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equity-settled share-based payment transactions (see note </w:t>
      </w:r>
      <w:r>
        <w:rPr>
          <w:rStyle w:val="Emphasis"/>
          <w:rFonts w:ascii="Times New Roman" w:hAnsi="Times New Roman"/>
          <w:caps w:val="false"/>
          <w:smallCaps w:val="false"/>
          <w:sz w:val="20"/>
        </w:rPr>
        <w:t>4.11</w:t>
      </w:r>
      <w:r>
        <w:rPr>
          <w:rFonts w:ascii="Times New Roman" w:hAnsi="Times New Roman"/>
          <w:caps w:val="false"/>
          <w:smallCaps w:val="false"/>
          <w:sz w:val="20"/>
        </w:rPr>
        <w:t xml:space="preserve"> Share-based payment), on grant date, Sono Group measures the fair value of the received services by reference to the fair value of the equity instruments granted. For the CSOP, the fair value measurement of the share options for the equity-settled share-based payment transactions requires assumptions about the input data for using the Black-Scholes Model. The expected life of the share options is based on current expectations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exercise patterns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occur. The expected volatility was based on an evaluation of historical volatilities of comparable listed peer group companies, assuming that the historical volatility over a period similar to the life of the options is indicative of future trends, which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necessarily be the actual outcome. For further details about the input factors used see note </w:t>
      </w:r>
      <w:r>
        <w:rPr>
          <w:rStyle w:val="Emphasis"/>
          <w:rFonts w:ascii="Times New Roman" w:hAnsi="Times New Roman"/>
          <w:caps w:val="false"/>
          <w:smallCaps w:val="false"/>
          <w:sz w:val="20"/>
        </w:rPr>
        <w:t>9.3</w:t>
      </w:r>
      <w:r>
        <w:rPr>
          <w:rFonts w:ascii="Times New Roman" w:hAnsi="Times New Roman"/>
          <w:caps w:val="false"/>
          <w:smallCaps w:val="false"/>
          <w:sz w:val="20"/>
        </w:rPr>
        <w:t xml:space="preserve"> Remuneration based on shares (share-based payment).</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530"/>
        <w:gridCol w:w="3305"/>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sz w:val="20"/>
              </w:rPr>
              <w:t>4.12.5</w:t>
            </w:r>
          </w:p>
        </w:tc>
        <w:tc>
          <w:tcPr>
            <w:tcW w:w="330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Prepayments to contract manufacturer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Prepayments have been made to the contract manufacturer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These were then allocated to construction in progress (property, plant and equipment), prepayments to contract manufacturer for property, plant and equipment (current non-financial assets) and prepayments to contract manufacturer for development services (current non-financial assets). During the year, the allocation was based on the agreed term sheet between Sono Group and the contract manufacturer.</w:t>
      </w:r>
    </w:p>
    <w:p>
      <w:pPr>
        <w:pStyle w:val="TextBody"/>
        <w:bidi w:val="0"/>
        <w:spacing w:before="0" w:after="0"/>
        <w:ind w:left="0" w:right="0"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530"/>
        <w:gridCol w:w="1535"/>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sz w:val="20"/>
              </w:rPr>
              <w:t>4.12.6</w:t>
            </w:r>
          </w:p>
        </w:tc>
        <w:tc>
          <w:tcPr>
            <w:tcW w:w="153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Corona pandemic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caused a global pandemic.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effects of the pandemic were still present. In response to this pandemic, governments as well as private organizations implemented numerous measures seeking to contain the virus. These measures disrupted the manufacturing, delivery and overall supply chain. At the same time, Sono Group has taken actions to maintain operations and protect employees from infection. Since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has had a slightly negative impact on orders and advance payments received from customers.</w:t>
      </w:r>
    </w:p>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530"/>
        <w:gridCol w:w="1580"/>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sz w:val="20"/>
              </w:rPr>
              <w:t>4.12.7</w:t>
            </w:r>
          </w:p>
        </w:tc>
        <w:tc>
          <w:tcPr>
            <w:tcW w:w="15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War in Ukraine</w:t>
            </w:r>
            <w:r>
              <w:rPr>
                <w:rFonts w:ascii="Times New Roman;Times;serif" w:hAnsi="Times New Roman;Times;serif"/>
                <w:caps w:val="false"/>
                <w:smallCaps w:val="false"/>
                <w:sz w:val="2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2022, </w:t>
      </w:r>
      <w:r>
        <w:rPr>
          <w:rFonts w:ascii="Times New Roman" w:hAnsi="Times New Roman"/>
          <w:caps w:val="false"/>
          <w:smallCaps w:val="false"/>
          <w:sz w:val="20"/>
        </w:rPr>
        <w:t>the Russian Army invaded Ukraine across a broad front. In response to this aggression, governments around the world have imposed severe sanctions against Russia. These sanctions disrupted the manufacturing, delivery and overall supply chain of vehicle manufacturers and suppliers. Sono Group cannot yet foresee the full extent of the sanctions’ impact on its business and operations and such impact will depend on future developments of the war, which is highly uncertain and unpredictable. The war could have a material impact on Sono Group’s results of operations, liquidity, and capital management. Sono Group will continue to monitor the situation and the effect of this development on its liquidity and capital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540" w:type="dxa"/>
        <w:jc w:val="left"/>
        <w:tblInd w:w="0" w:type="dxa"/>
        <w:tblLayout w:type="fixed"/>
        <w:tblCellMar>
          <w:top w:w="0" w:type="dxa"/>
          <w:left w:w="0" w:type="dxa"/>
          <w:bottom w:w="0" w:type="dxa"/>
          <w:right w:w="0" w:type="dxa"/>
        </w:tblCellMar>
      </w:tblPr>
      <w:tblGrid>
        <w:gridCol w:w="530"/>
        <w:gridCol w:w="1010"/>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sz w:val="20"/>
              </w:rPr>
              <w:t>4.12.8</w:t>
            </w:r>
          </w:p>
        </w:tc>
        <w:tc>
          <w:tcPr>
            <w:tcW w:w="101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Sono Points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Sono Motors had carried out several crowdfunding campaigns in which the Sion could be reserved against an advance payment received from customers of various amounts. With the reservation, the customer was entitled to the right to enter a contract for the purchase of the Sion. However, Sono Motors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obliged to deliver a vehicle to the customer. Instead, the customer could withdraw from the reservation if he or she decides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conclude the purchase contract or Sono Motors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offered a purchase contract by the respective date defined by the underlying terms and conditions. 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a crowdfunding campaign with the aim of raising a predefined target amount was launched. In connection with the campaign, so-called Sono Points were introduced and communicated on </w:t>
      </w:r>
      <w:r>
        <w:rPr>
          <w:rStyle w:val="Emphasis"/>
          <w:rFonts w:ascii="Times New Roman" w:hAnsi="Times New Roman"/>
          <w:caps w:val="false"/>
          <w:smallCaps w:val="false"/>
          <w:sz w:val="20"/>
        </w:rPr>
        <w:t xml:space="preserve">December 15, 2020.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founders, Laurin Hahn, Navina Pernsteiner and Jona Christians, announced that they would be giving a majority of their profit participation rights (for clarification: the voting rights remain with the founders), amounting to 64.07% of all profit participation rights (as of </w:t>
      </w:r>
      <w:r>
        <w:rPr>
          <w:rStyle w:val="Emphasis"/>
          <w:rFonts w:ascii="Times New Roman" w:hAnsi="Times New Roman"/>
          <w:caps w:val="false"/>
          <w:smallCaps w:val="false"/>
          <w:sz w:val="20"/>
        </w:rPr>
        <w:t xml:space="preserve">December 31, 2019) </w:t>
      </w:r>
      <w:r>
        <w:rPr>
          <w:rFonts w:ascii="Times New Roman" w:hAnsi="Times New Roman"/>
          <w:caps w:val="false"/>
          <w:smallCaps w:val="false"/>
          <w:sz w:val="20"/>
        </w:rPr>
        <w:t xml:space="preserve">to a “community pool”, from which the so-called Sono Points would be awarded. The number of Sono Points, through which the participants in the crowdfunding and pre-orders can participate in the community pool, was significantly influenced by the time and amount of the individual deposit. The maximum number of possible Sono Points in total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In case a Sono Point holder should revoke or withdraw from the reservation or should revoke or withdraw from the purchase contract concluded based on the reservation, the Sono Points will expire. Since the Sion program has been discontinued,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purchase contracts for the Sion can be concluded. It can thus be assumed that the planned implementation of the sub-participation for the roll-out of the Sono points by the founders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take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According to current legal assessments, management concludes that Sono Points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Sono Group as the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existing obligation related only to the founders.</w:t>
      </w:r>
    </w:p>
    <w:p>
      <w:pPr>
        <w:pStyle w:val="TextBody"/>
        <w:bidi w:val="0"/>
        <w:spacing w:before="0" w:after="0"/>
        <w:ind w:left="0" w:right="0" w:hanging="0"/>
        <w:jc w:val="left"/>
        <w:rPr/>
      </w:pPr>
      <w:r>
        <w:rPr/>
        <w:t> </w:t>
      </w:r>
    </w:p>
    <w:tbl>
      <w:tblPr>
        <w:tblW w:w="6415" w:type="dxa"/>
        <w:jc w:val="left"/>
        <w:tblInd w:w="0" w:type="dxa"/>
        <w:tblLayout w:type="fixed"/>
        <w:tblCellMar>
          <w:top w:w="0" w:type="dxa"/>
          <w:left w:w="0" w:type="dxa"/>
          <w:bottom w:w="0" w:type="dxa"/>
          <w:right w:w="0" w:type="dxa"/>
        </w:tblCellMar>
      </w:tblPr>
      <w:tblGrid>
        <w:gridCol w:w="530"/>
        <w:gridCol w:w="5885"/>
      </w:tblGrid>
      <w:tr>
        <w:trPr/>
        <w:tc>
          <w:tcPr>
            <w:tcW w:w="530" w:type="dxa"/>
            <w:tcBorders/>
            <w:vAlign w:val="center"/>
          </w:tcPr>
          <w:p>
            <w:pPr>
              <w:pStyle w:val="TableContents"/>
              <w:bidi w:val="0"/>
              <w:spacing w:before="0" w:after="0"/>
              <w:ind w:left="0" w:right="0" w:hanging="0"/>
              <w:jc w:val="both"/>
              <w:rPr/>
            </w:pPr>
            <w:r>
              <w:rPr>
                <w:rStyle w:val="Emphasis"/>
                <w:rFonts w:ascii="Times New Roman" w:hAnsi="Times New Roman"/>
                <w:b/>
                <w:sz w:val="20"/>
              </w:rPr>
              <w:t>4.12.9</w:t>
            </w:r>
          </w:p>
        </w:tc>
        <w:tc>
          <w:tcPr>
            <w:tcW w:w="588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Recoverability of deferred tax assets in relation to loss carryforwards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Tax losses represent start-up losses as a result of establishing Sono Motors’ business. The tax losses can be carried forward indefinitely and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expiry date.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a (proportional) reduction of deductible tax loss carryforwards due to any future corporate restructuring or due to the various capital measures, especially the IPO,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Management expects that the “hidden reserves clause” can be asserted and that the tax losses can still be carried forward. The hidden reserves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determined. Therefore, it is currently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foreseeable whether all tax losses can still be carried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2065" w:type="dxa"/>
        <w:jc w:val="left"/>
        <w:tblInd w:w="0" w:type="dxa"/>
        <w:tblLayout w:type="fixed"/>
        <w:tblCellMar>
          <w:top w:w="0" w:type="dxa"/>
          <w:left w:w="0" w:type="dxa"/>
          <w:bottom w:w="0" w:type="dxa"/>
          <w:right w:w="0" w:type="dxa"/>
        </w:tblCellMar>
      </w:tblPr>
      <w:tblGrid>
        <w:gridCol w:w="215"/>
        <w:gridCol w:w="1850"/>
      </w:tblGrid>
      <w:tr>
        <w:trPr/>
        <w:tc>
          <w:tcPr>
            <w:tcW w:w="215" w:type="dxa"/>
            <w:tcBorders/>
            <w:vAlign w:val="center"/>
          </w:tcPr>
          <w:p>
            <w:pPr>
              <w:pStyle w:val="TableContents"/>
              <w:bidi w:val="0"/>
              <w:spacing w:before="0" w:after="0"/>
              <w:ind w:left="0" w:right="0" w:hanging="0"/>
              <w:jc w:val="both"/>
              <w:rPr/>
            </w:pPr>
            <w:r>
              <w:rPr>
                <w:rStyle w:val="Emphasis"/>
                <w:rFonts w:ascii="Times New Roman" w:hAnsi="Times New Roman"/>
                <w:b/>
                <w:sz w:val="20"/>
              </w:rPr>
              <w:t>5.</w:t>
            </w:r>
            <w:r>
              <w:rPr>
                <w:rFonts w:ascii="Times New Roman" w:hAnsi="Times New Roman"/>
                <w:b/>
                <w:sz w:val="20"/>
              </w:rPr>
              <w:t xml:space="preserve"> </w:t>
            </w:r>
          </w:p>
        </w:tc>
        <w:tc>
          <w:tcPr>
            <w:tcW w:w="185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Segment information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An operating segment is defined as a component of an entity for which discrete financial information is available and whose operating results are regularly reviewed by management (chief operating decision maker within the meaning of IFRS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Sono Motors is a start-up company that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started production on the planned electric car Sion. All significant activities of the Group related to the development of the Sion and related technology, and as such, Management made decisions about allocating resources and assessing performance based on the entity as a whole and determined that Sono Group operates in one operating and reportable business segment. Furthermore, Sono Group is currently almost exclusively active in Germany, however, noncurrent assets are located in countries listed in the below table. Amounts are shown at carrying value.   </w:t>
      </w:r>
    </w:p>
    <w:p>
      <w:pPr>
        <w:pStyle w:val="TextBody"/>
        <w:bidi w:val="0"/>
        <w:spacing w:before="0" w:after="0"/>
        <w:ind w:left="0" w:right="0" w:hanging="0"/>
        <w:jc w:val="left"/>
        <w:rPr>
          <w:caps w:val="false"/>
          <w:smallCaps w:val="false"/>
        </w:rPr>
      </w:pPr>
      <w:r>
        <w:rPr>
          <w:caps w:val="false"/>
          <w:smallCaps w:val="false"/>
        </w:rPr>
        <w:t> </w:t>
      </w:r>
    </w:p>
    <w:tbl>
      <w:tblPr>
        <w:tblW w:w="2085" w:type="dxa"/>
        <w:jc w:val="left"/>
        <w:tblInd w:w="0" w:type="dxa"/>
        <w:tblLayout w:type="fixed"/>
        <w:tblCellMar>
          <w:top w:w="0" w:type="dxa"/>
          <w:left w:w="0" w:type="dxa"/>
          <w:bottom w:w="28" w:type="dxa"/>
          <w:right w:w="0" w:type="dxa"/>
        </w:tblCellMar>
      </w:tblPr>
      <w:tblGrid>
        <w:gridCol w:w="755"/>
        <w:gridCol w:w="60"/>
        <w:gridCol w:w="60"/>
        <w:gridCol w:w="485"/>
        <w:gridCol w:w="60"/>
        <w:gridCol w:w="60"/>
        <w:gridCol w:w="60"/>
        <w:gridCol w:w="485"/>
        <w:gridCol w:w="60"/>
      </w:tblGrid>
      <w:tr>
        <w:trPr/>
        <w:tc>
          <w:tcPr>
            <w:tcW w:w="7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7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7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7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7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3,990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For the distribution of revenues across products, please refer to note </w:t>
      </w:r>
      <w:r>
        <w:rPr>
          <w:rStyle w:val="Emphasis"/>
          <w:rFonts w:ascii="Times New Roman" w:hAnsi="Times New Roman"/>
          <w:caps w:val="false"/>
          <w:smallCaps w:val="false"/>
          <w:sz w:val="20"/>
        </w:rPr>
        <w:t>6.1</w:t>
      </w:r>
      <w:r>
        <w:rPr>
          <w:rFonts w:ascii="Times New Roman" w:hAnsi="Times New Roman"/>
          <w:caps w:val="false"/>
          <w:smallCaps w:val="false"/>
          <w:sz w:val="20"/>
        </w:rPr>
        <w:t xml:space="preserve"> Revenue and cost of goods sold. Revenues result from different customers across Europe (kEUR 229,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16). The customers who each have a share of revenues greater than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percent are located in Germany (kEUR 35,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2), Switzerland (kEUR 22,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 Sweden (kEUR 51,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 and France (kEUR 65,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215" w:type="dxa"/>
        <w:jc w:val="left"/>
        <w:tblInd w:w="0" w:type="dxa"/>
        <w:tblLayout w:type="fixed"/>
        <w:tblCellMar>
          <w:top w:w="0" w:type="dxa"/>
          <w:left w:w="0" w:type="dxa"/>
          <w:bottom w:w="0" w:type="dxa"/>
          <w:right w:w="0" w:type="dxa"/>
        </w:tblCellMar>
      </w:tblPr>
      <w:tblGrid>
        <w:gridCol w:w="170"/>
        <w:gridCol w:w="5045"/>
      </w:tblGrid>
      <w:tr>
        <w:trPr/>
        <w:tc>
          <w:tcPr>
            <w:tcW w:w="170" w:type="dxa"/>
            <w:tcBorders/>
            <w:vAlign w:val="center"/>
          </w:tcPr>
          <w:p>
            <w:pPr>
              <w:pStyle w:val="TableContents"/>
              <w:bidi w:val="0"/>
              <w:spacing w:before="0" w:after="0"/>
              <w:ind w:left="0" w:right="0" w:hanging="0"/>
              <w:jc w:val="both"/>
              <w:rPr/>
            </w:pPr>
            <w:r>
              <w:rPr>
                <w:rStyle w:val="Emphasis"/>
                <w:rFonts w:ascii="Times New Roman" w:hAnsi="Times New Roman"/>
                <w:b/>
                <w:sz w:val="20"/>
              </w:rPr>
              <w:t>6.</w:t>
            </w:r>
          </w:p>
        </w:tc>
        <w:tc>
          <w:tcPr>
            <w:tcW w:w="504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Disclosures to the consolidated statements of income or loss </w:t>
            </w:r>
          </w:p>
        </w:tc>
      </w:tr>
    </w:tbl>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75"/>
        <w:gridCol w:w="2615"/>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6.1</w:t>
            </w:r>
          </w:p>
        </w:tc>
        <w:tc>
          <w:tcPr>
            <w:tcW w:w="261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and cost of goods sold</w:t>
            </w:r>
          </w:p>
        </w:tc>
      </w:tr>
    </w:tbl>
    <w:p>
      <w:pPr>
        <w:pStyle w:val="TextBody"/>
        <w:bidi w:val="0"/>
        <w:spacing w:before="0" w:after="0"/>
        <w:ind w:left="300" w:right="0" w:hanging="0"/>
        <w:jc w:val="left"/>
        <w:rPr>
          <w:caps w:val="false"/>
          <w:smallCaps w:val="false"/>
        </w:rPr>
      </w:pPr>
      <w:r>
        <w:rPr>
          <w:caps w:val="false"/>
          <w:smallCaps w:val="false"/>
        </w:rPr>
        <w:t> </w:t>
      </w:r>
    </w:p>
    <w:tbl>
      <w:tblPr>
        <w:tblW w:w="3480" w:type="dxa"/>
        <w:jc w:val="left"/>
        <w:tblInd w:w="0" w:type="dxa"/>
        <w:tblLayout w:type="fixed"/>
        <w:tblCellMar>
          <w:top w:w="0" w:type="dxa"/>
          <w:left w:w="0" w:type="dxa"/>
          <w:bottom w:w="28" w:type="dxa"/>
          <w:right w:w="0" w:type="dxa"/>
        </w:tblCellMar>
      </w:tblPr>
      <w:tblGrid>
        <w:gridCol w:w="1535"/>
        <w:gridCol w:w="60"/>
        <w:gridCol w:w="67"/>
        <w:gridCol w:w="448"/>
        <w:gridCol w:w="80"/>
        <w:gridCol w:w="60"/>
        <w:gridCol w:w="87"/>
        <w:gridCol w:w="428"/>
        <w:gridCol w:w="80"/>
        <w:gridCol w:w="60"/>
        <w:gridCol w:w="220"/>
        <w:gridCol w:w="295"/>
        <w:gridCol w:w="60"/>
      </w:tblGrid>
      <w:tr>
        <w:trPr/>
        <w:tc>
          <w:tcPr>
            <w:tcW w:w="153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3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 w:type="dxa"/>
            <w:tcBorders/>
            <w:tcMar>
              <w:bottom w:w="0" w:type="dxa"/>
            </w:tcMar>
            <w:vAlign w:val="center"/>
          </w:tcPr>
          <w:p>
            <w:pPr>
              <w:pStyle w:val="TableContents"/>
              <w:bidi w:val="0"/>
              <w:spacing w:before="0" w:after="283"/>
              <w:jc w:val="left"/>
              <w:rPr/>
            </w:pPr>
            <w:r>
              <w:rPr/>
              <w:t> </w:t>
            </w:r>
          </w:p>
        </w:tc>
        <w:tc>
          <w:tcPr>
            <w:tcW w:w="42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ind w:left="0" w:right="0" w:hanging="0"/>
              <w:jc w:val="left"/>
              <w:rPr/>
            </w:pPr>
            <w:r>
              <w:rPr/>
              <w:t> </w:t>
            </w:r>
          </w:p>
        </w:tc>
        <w:tc>
          <w:tcPr>
            <w:tcW w:w="42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Revenue and cost of goods sold mainly relates to the integration of Sono Group’s patented solar technology across other transportation platforms. Cost of goods sold include raw material consumed, personnel cost, change in provision for onerous contracts and impairment of work in progress for loss making contracts. Work in progress in the amount of kEUR 24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20;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kEUR -) result from these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prepayments of kEUR 42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kEUR -) had been received from solar customers and were recognized as contract liability. The payments will be recognized in revenue when the promised goods or services are transferred in the future. Given that the nature of this liability is short term, it is included in trade and other payables in current liabilities. The aggregate amount of the transaction price allocated to unsatisfied performance obligations amounts to kEUR 116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42;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kEUR -). The Group expects to recognize this amount as revenue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of the reporting date.</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500"/>
        <w:gridCol w:w="2510"/>
      </w:tblGrid>
      <w:tr>
        <w:trPr/>
        <w:tc>
          <w:tcPr>
            <w:tcW w:w="50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6.2</w:t>
            </w:r>
            <w:r>
              <w:rPr>
                <w:rFonts w:ascii="Times New Roman;Times;serif" w:hAnsi="Times New Roman;Times;serif"/>
                <w:caps w:val="false"/>
                <w:smallCaps w:val="false"/>
                <w:sz w:val="20"/>
              </w:rPr>
              <w:t>     </w:t>
            </w:r>
          </w:p>
        </w:tc>
        <w:tc>
          <w:tcPr>
            <w:tcW w:w="25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development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details on the cost of development:</w:t>
      </w:r>
    </w:p>
    <w:p>
      <w:pPr>
        <w:pStyle w:val="TextBody"/>
        <w:bidi w:val="0"/>
        <w:spacing w:before="0" w:after="0"/>
        <w:ind w:left="0" w:right="0" w:hanging="0"/>
        <w:jc w:val="left"/>
        <w:rPr>
          <w:caps w:val="false"/>
          <w:smallCaps w:val="false"/>
        </w:rPr>
      </w:pPr>
      <w:r>
        <w:rPr>
          <w:caps w:val="false"/>
          <w:smallCaps w:val="false"/>
        </w:rPr>
        <w:t> </w:t>
      </w:r>
    </w:p>
    <w:tbl>
      <w:tblPr>
        <w:tblW w:w="6215" w:type="dxa"/>
        <w:jc w:val="left"/>
        <w:tblInd w:w="0" w:type="dxa"/>
        <w:tblLayout w:type="fixed"/>
        <w:tblCellMar>
          <w:top w:w="0" w:type="dxa"/>
          <w:left w:w="0" w:type="dxa"/>
          <w:bottom w:w="28" w:type="dxa"/>
          <w:right w:w="0" w:type="dxa"/>
        </w:tblCellMar>
      </w:tblPr>
      <w:tblGrid>
        <w:gridCol w:w="3800"/>
        <w:gridCol w:w="60"/>
        <w:gridCol w:w="60"/>
        <w:gridCol w:w="695"/>
        <w:gridCol w:w="60"/>
        <w:gridCol w:w="60"/>
        <w:gridCol w:w="60"/>
        <w:gridCol w:w="590"/>
        <w:gridCol w:w="60"/>
        <w:gridCol w:w="60"/>
        <w:gridCol w:w="60"/>
        <w:gridCol w:w="590"/>
        <w:gridCol w:w="60"/>
      </w:tblGrid>
      <w:tr>
        <w:trPr/>
        <w:tc>
          <w:tcPr>
            <w:tcW w:w="380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80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8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Development cost of prototypes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8,234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Personnel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21,652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thereof related to the CSOP and ESOP (IFRS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17,723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Impairment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Software fees and subscriptions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80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158,479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40,609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30,469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research expenses included in the profit and loss of Sono Group in the financial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prior periods, as the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perform research. As the recognition criteria for the capitalization of development cost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met, all development expenses were recognized in profit or loss as incurred in the reporting year and the previous years. The personnel expenses concern employees responsible for development activities and the share of the employee participation programs (CSOP and ESOP) attributable to them (see note </w:t>
      </w:r>
      <w:r>
        <w:rPr>
          <w:rStyle w:val="Emphasis"/>
          <w:rFonts w:ascii="Times New Roman" w:hAnsi="Times New Roman"/>
          <w:caps w:val="false"/>
          <w:smallCaps w:val="false"/>
          <w:sz w:val="20"/>
        </w:rPr>
        <w:t>9.3</w:t>
      </w:r>
      <w:r>
        <w:rPr>
          <w:rFonts w:ascii="Times New Roman" w:hAnsi="Times New Roman"/>
          <w:caps w:val="false"/>
          <w:smallCaps w:val="false"/>
          <w:sz w:val="20"/>
        </w:rPr>
        <w:t xml:space="preserve"> Remuneration based on shares (share-based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impairment largely relates to fixed assets, namely property, plant and equipment (kEUR </w:t>
      </w:r>
      <w:r>
        <w:rPr>
          <w:rStyle w:val="Emphasis"/>
          <w:rFonts w:ascii="Times New Roman" w:hAnsi="Times New Roman"/>
          <w:caps w:val="false"/>
          <w:smallCaps w:val="false"/>
          <w:sz w:val="20"/>
        </w:rPr>
        <w:t>39,264</w:t>
      </w:r>
      <w:r>
        <w:rPr>
          <w:rFonts w:ascii="Times New Roman" w:hAnsi="Times New Roman"/>
          <w:caps w:val="false"/>
          <w:smallCaps w:val="false"/>
          <w:sz w:val="20"/>
        </w:rPr>
        <w:t xml:space="preserve">), intangible assets (kEUR 170), and right-of-use assets (kEUR 1,748), and is the result of the impairment test performed on the CGUs based on a triggering event. For further details see note </w:t>
      </w:r>
      <w:r>
        <w:rPr>
          <w:rStyle w:val="Emphasis"/>
          <w:rFonts w:ascii="Times New Roman" w:hAnsi="Times New Roman"/>
          <w:caps w:val="false"/>
          <w:smallCaps w:val="false"/>
          <w:sz w:val="20"/>
        </w:rPr>
        <w:t>4.12.2</w:t>
      </w:r>
      <w:r>
        <w:rPr>
          <w:rFonts w:ascii="Times New Roman" w:hAnsi="Times New Roman"/>
          <w:caps w:val="false"/>
          <w:smallCaps w:val="false"/>
          <w:sz w:val="20"/>
        </w:rPr>
        <w:t xml:space="preserve"> Impairment test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280" w:type="dxa"/>
        <w:jc w:val="left"/>
        <w:tblInd w:w="0" w:type="dxa"/>
        <w:tblLayout w:type="fixed"/>
        <w:tblCellMar>
          <w:top w:w="0" w:type="dxa"/>
          <w:left w:w="0" w:type="dxa"/>
          <w:bottom w:w="0" w:type="dxa"/>
          <w:right w:w="0" w:type="dxa"/>
        </w:tblCellMar>
      </w:tblPr>
      <w:tblGrid>
        <w:gridCol w:w="500"/>
        <w:gridCol w:w="2780"/>
      </w:tblGrid>
      <w:tr>
        <w:trPr/>
        <w:tc>
          <w:tcPr>
            <w:tcW w:w="50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6.3</w:t>
            </w:r>
            <w:r>
              <w:rPr>
                <w:rFonts w:ascii="Times New Roman;Times;serif" w:hAnsi="Times New Roman;Times;serif"/>
                <w:caps w:val="false"/>
                <w:smallCaps w:val="false"/>
                <w:sz w:val="20"/>
              </w:rPr>
              <w:t>     </w:t>
            </w:r>
          </w:p>
        </w:tc>
        <w:tc>
          <w:tcPr>
            <w:tcW w:w="27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Selling and distribution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included in selling and distribution expenses:</w:t>
      </w:r>
    </w:p>
    <w:p>
      <w:pPr>
        <w:pStyle w:val="TextBody"/>
        <w:bidi w:val="0"/>
        <w:spacing w:before="0" w:after="0"/>
        <w:ind w:left="0" w:right="0" w:hanging="0"/>
        <w:jc w:val="left"/>
        <w:rPr>
          <w:caps w:val="false"/>
          <w:smallCaps w:val="false"/>
        </w:rPr>
      </w:pPr>
      <w:r>
        <w:rPr>
          <w:caps w:val="false"/>
          <w:smallCaps w:val="false"/>
        </w:rPr>
        <w:t> </w:t>
      </w:r>
    </w:p>
    <w:tbl>
      <w:tblPr>
        <w:tblW w:w="5795" w:type="dxa"/>
        <w:jc w:val="left"/>
        <w:tblInd w:w="0" w:type="dxa"/>
        <w:tblLayout w:type="fixed"/>
        <w:tblCellMar>
          <w:top w:w="0" w:type="dxa"/>
          <w:left w:w="0" w:type="dxa"/>
          <w:bottom w:w="28" w:type="dxa"/>
          <w:right w:w="0" w:type="dxa"/>
        </w:tblCellMar>
      </w:tblPr>
      <w:tblGrid>
        <w:gridCol w:w="3800"/>
        <w:gridCol w:w="60"/>
        <w:gridCol w:w="60"/>
        <w:gridCol w:w="485"/>
        <w:gridCol w:w="60"/>
        <w:gridCol w:w="60"/>
        <w:gridCol w:w="60"/>
        <w:gridCol w:w="485"/>
        <w:gridCol w:w="60"/>
        <w:gridCol w:w="60"/>
        <w:gridCol w:w="60"/>
        <w:gridCol w:w="485"/>
        <w:gridCol w:w="60"/>
      </w:tblGrid>
      <w:tr>
        <w:trPr/>
        <w:tc>
          <w:tcPr>
            <w:tcW w:w="380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80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8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Personnel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thereof related to the CSOP and ESOP (IFRS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Advertising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80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personnel expenses concern mainly employees responsible for marketing activities like roadshows, test rides and social media, and the share of the employee participation programs (CSOP and ESOP) attributable to them (see note </w:t>
      </w:r>
      <w:r>
        <w:rPr>
          <w:rStyle w:val="Emphasis"/>
          <w:rFonts w:ascii="Times New Roman" w:hAnsi="Times New Roman"/>
          <w:caps w:val="false"/>
          <w:smallCaps w:val="false"/>
          <w:sz w:val="20"/>
        </w:rPr>
        <w:t>9.3</w:t>
      </w:r>
      <w:r>
        <w:rPr>
          <w:rFonts w:ascii="Times New Roman" w:hAnsi="Times New Roman"/>
          <w:caps w:val="false"/>
          <w:smallCaps w:val="false"/>
          <w:sz w:val="20"/>
        </w:rPr>
        <w:t xml:space="preserve"> Remuneration based on shares (share-based payment)).</w:t>
      </w:r>
    </w:p>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500"/>
        <w:gridCol w:w="3140"/>
      </w:tblGrid>
      <w:tr>
        <w:trPr/>
        <w:tc>
          <w:tcPr>
            <w:tcW w:w="500" w:type="dxa"/>
            <w:tcBorders/>
            <w:vAlign w:val="center"/>
          </w:tcPr>
          <w:p>
            <w:pPr>
              <w:pStyle w:val="TableContents"/>
              <w:bidi w:val="0"/>
              <w:spacing w:before="0" w:after="0"/>
              <w:ind w:left="0" w:right="0" w:hanging="0"/>
              <w:jc w:val="both"/>
              <w:rPr/>
            </w:pPr>
            <w:r>
              <w:rPr>
                <w:rStyle w:val="Emphasis"/>
                <w:rFonts w:ascii="Times New Roman" w:hAnsi="Times New Roman"/>
                <w:b/>
                <w:sz w:val="20"/>
              </w:rPr>
              <w:t>6.4</w:t>
            </w:r>
            <w:r>
              <w:rPr>
                <w:rFonts w:ascii="Times New Roman" w:hAnsi="Times New Roman"/>
                <w:sz w:val="20"/>
              </w:rPr>
              <w:t>     </w:t>
            </w:r>
          </w:p>
        </w:tc>
        <w:tc>
          <w:tcPr>
            <w:tcW w:w="314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General and administrative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included in general and administrative expenses:</w:t>
      </w:r>
    </w:p>
    <w:p>
      <w:pPr>
        <w:pStyle w:val="TextBody"/>
        <w:bidi w:val="0"/>
        <w:spacing w:before="0" w:after="0"/>
        <w:ind w:left="0" w:right="0" w:hanging="0"/>
        <w:jc w:val="left"/>
        <w:rPr>
          <w:caps w:val="false"/>
          <w:smallCaps w:val="false"/>
        </w:rPr>
      </w:pPr>
      <w:r>
        <w:rPr>
          <w:caps w:val="false"/>
          <w:smallCaps w:val="false"/>
        </w:rPr>
        <w:t> </w:t>
      </w:r>
    </w:p>
    <w:tbl>
      <w:tblPr>
        <w:tblW w:w="6110" w:type="dxa"/>
        <w:jc w:val="left"/>
        <w:tblInd w:w="0" w:type="dxa"/>
        <w:tblLayout w:type="fixed"/>
        <w:tblCellMar>
          <w:top w:w="0" w:type="dxa"/>
          <w:left w:w="0" w:type="dxa"/>
          <w:bottom w:w="28" w:type="dxa"/>
          <w:right w:w="0" w:type="dxa"/>
        </w:tblCellMar>
      </w:tblPr>
      <w:tblGrid>
        <w:gridCol w:w="3800"/>
        <w:gridCol w:w="60"/>
        <w:gridCol w:w="60"/>
        <w:gridCol w:w="590"/>
        <w:gridCol w:w="60"/>
        <w:gridCol w:w="60"/>
        <w:gridCol w:w="60"/>
        <w:gridCol w:w="590"/>
        <w:gridCol w:w="60"/>
        <w:gridCol w:w="60"/>
        <w:gridCol w:w="60"/>
        <w:gridCol w:w="590"/>
        <w:gridCol w:w="60"/>
      </w:tblGrid>
      <w:tr>
        <w:trPr/>
        <w:tc>
          <w:tcPr>
            <w:tcW w:w="380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80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8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Personnel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thereof related to the CSOP and ESOP (IFRS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Impairment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Software fees and subscriptions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Bank charges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0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80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20,023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15,094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14,404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Personnel expenses concern mainly employees responsible for Finance, Human Resources, Business Development, Administration etc. and the share of the employee participation program (ESOP and CSOP) attributable to them. Professional services include accounting, tax and legal services as well as other services performed by external parties such as the preparation of consolidated financial statements, services provided by our independent auditor, as well as legal and tax services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 impairment loss of kEUR 1,965 was recognized for the advance payment for assets intended for the development of prototypes. The assets, initially recognized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had been intended for the tooling of batteries. Due to an unforeseen change in the specifications of the battery, the assets that the advance payments referred to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needed in the Group’s development of prototypes.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630" w:type="dxa"/>
        <w:jc w:val="left"/>
        <w:tblInd w:w="0" w:type="dxa"/>
        <w:tblLayout w:type="fixed"/>
        <w:tblCellMar>
          <w:top w:w="0" w:type="dxa"/>
          <w:left w:w="0" w:type="dxa"/>
          <w:bottom w:w="0" w:type="dxa"/>
          <w:right w:w="0" w:type="dxa"/>
        </w:tblCellMar>
      </w:tblPr>
      <w:tblGrid>
        <w:gridCol w:w="455"/>
        <w:gridCol w:w="4175"/>
      </w:tblGrid>
      <w:tr>
        <w:trPr/>
        <w:tc>
          <w:tcPr>
            <w:tcW w:w="45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6.5</w:t>
            </w:r>
            <w:r>
              <w:rPr>
                <w:rFonts w:ascii="Times New Roman;Times;serif" w:hAnsi="Times New Roman;Times;serif"/>
                <w:caps w:val="false"/>
                <w:smallCaps w:val="false"/>
                <w:sz w:val="20"/>
              </w:rPr>
              <w:t>    </w:t>
            </w:r>
          </w:p>
        </w:tc>
        <w:tc>
          <w:tcPr>
            <w:tcW w:w="41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information on the nature of expenses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the depreciation and amortization expenses as well as personnel expenses included in cost of development, selling and distribution costs and general and administrative expenses:</w:t>
      </w:r>
    </w:p>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28" w:type="dxa"/>
          <w:right w:w="0" w:type="dxa"/>
        </w:tblCellMar>
      </w:tblPr>
      <w:tblGrid>
        <w:gridCol w:w="3500"/>
        <w:gridCol w:w="60"/>
        <w:gridCol w:w="60"/>
        <w:gridCol w:w="590"/>
        <w:gridCol w:w="60"/>
        <w:gridCol w:w="60"/>
        <w:gridCol w:w="60"/>
        <w:gridCol w:w="590"/>
        <w:gridCol w:w="60"/>
        <w:gridCol w:w="60"/>
        <w:gridCol w:w="60"/>
        <w:gridCol w:w="590"/>
        <w:gridCol w:w="60"/>
      </w:tblGrid>
      <w:tr>
        <w:trPr/>
        <w:tc>
          <w:tcPr>
            <w:tcW w:w="350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50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5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Personnel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39,291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50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thereof related to ESOP and CSOP (IFRS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32,160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50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50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29,957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39,675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December 14, 2020</w:t>
      </w:r>
      <w:r>
        <w:rPr>
          <w:rFonts w:ascii="Times New Roman" w:hAnsi="Times New Roman"/>
          <w:caps w:val="false"/>
          <w:smallCaps w:val="false"/>
          <w:sz w:val="20"/>
        </w:rPr>
        <w:t xml:space="preserve"> the equity-settled employee participation program (Conversion Stock Option Program or CSOP) program was offered to all participants of the previous employee participation program, and new participants who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 of the previous employee participation program (see note </w:t>
      </w:r>
      <w:r>
        <w:rPr>
          <w:rStyle w:val="Emphasis"/>
          <w:rFonts w:ascii="Times New Roman" w:hAnsi="Times New Roman"/>
          <w:caps w:val="false"/>
          <w:smallCaps w:val="false"/>
          <w:sz w:val="20"/>
        </w:rPr>
        <w:t>9.3</w:t>
      </w:r>
      <w:r>
        <w:rPr>
          <w:rFonts w:ascii="Times New Roman" w:hAnsi="Times New Roman"/>
          <w:caps w:val="false"/>
          <w:smallCaps w:val="false"/>
          <w:sz w:val="20"/>
        </w:rPr>
        <w:t xml:space="preserve"> Remuneration based on shares (share-based payment)). Most share options were fully vested at the end of </w:t>
      </w:r>
      <w:r>
        <w:rPr>
          <w:rStyle w:val="Emphasis"/>
          <w:rFonts w:ascii="Times New Roman" w:hAnsi="Times New Roman"/>
          <w:caps w:val="false"/>
          <w:smallCaps w:val="false"/>
          <w:sz w:val="20"/>
        </w:rPr>
        <w:t>2021.</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365"/>
        <w:gridCol w:w="2960"/>
      </w:tblGrid>
      <w:tr>
        <w:trPr/>
        <w:tc>
          <w:tcPr>
            <w:tcW w:w="36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6.6</w:t>
            </w:r>
            <w:r>
              <w:rPr>
                <w:rFonts w:ascii="Times New Roman;Times;serif" w:hAnsi="Times New Roman;Times;serif"/>
                <w:caps w:val="false"/>
                <w:smallCaps w:val="false"/>
                <w:sz w:val="20"/>
              </w:rPr>
              <w:t>  </w:t>
            </w:r>
          </w:p>
        </w:tc>
        <w:tc>
          <w:tcPr>
            <w:tcW w:w="29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operating income/(expenses)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included in other operating income (expenses):</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28" w:type="dxa"/>
          <w:right w:w="0" w:type="dxa"/>
        </w:tblCellMar>
      </w:tblPr>
      <w:tblGrid>
        <w:gridCol w:w="2960"/>
        <w:gridCol w:w="60"/>
        <w:gridCol w:w="60"/>
        <w:gridCol w:w="485"/>
        <w:gridCol w:w="80"/>
        <w:gridCol w:w="60"/>
        <w:gridCol w:w="67"/>
        <w:gridCol w:w="448"/>
        <w:gridCol w:w="80"/>
        <w:gridCol w:w="60"/>
        <w:gridCol w:w="67"/>
        <w:gridCol w:w="448"/>
        <w:gridCol w:w="80"/>
      </w:tblGrid>
      <w:tr>
        <w:trPr/>
        <w:tc>
          <w:tcPr>
            <w:tcW w:w="29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1,560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269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334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from currency revaluation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Renault ZOE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 grant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Miscellaneous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44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44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(718</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(452</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(349</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r>
        <w:trPr/>
        <w:tc>
          <w:tcPr>
            <w:tcW w:w="296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from currency revaluation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Miscellaneous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48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jc w:val="left"/>
              <w:rPr/>
            </w:pPr>
            <w:r>
              <w:rPr/>
              <w:t> </w:t>
            </w:r>
          </w:p>
        </w:tc>
        <w:tc>
          <w:tcPr>
            <w:tcW w:w="448"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jc w:val="left"/>
              <w:rPr/>
            </w:pPr>
            <w:r>
              <w:rPr/>
              <w:t> </w:t>
            </w:r>
          </w:p>
        </w:tc>
        <w:tc>
          <w:tcPr>
            <w:tcW w:w="448"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6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operating income/(expenses)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842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(183</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(15</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Sono Motors entered into a framework agreement with Renault Deutschland AG (Renault) for electric vehicles (Renault ZOE). According to the agreement, customers, who have made advance payments for the Sion, can enter into a lease agreement with Renault for a Renault ZOE and use their advance payments to partly offset their lease payments. Customers can use advance payments made up to EUR 4,000. According to the framework agreement with Renault, Sono Group receives a fixed agency fee per lease contract and transfers the advance payment to Renault. Sono Group recognizes the respective agency fee as operating income and derecognizes the advance payment received in the moment the customer enters into the lease contract with Renault.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government grant income in the current period relates to a grant in the form of tax subsidies for expenses incurred in </w:t>
      </w:r>
      <w:r>
        <w:rPr>
          <w:rStyle w:val="Emphasis"/>
          <w:rFonts w:ascii="Times New Roman" w:hAnsi="Times New Roman"/>
          <w:caps w:val="false"/>
          <w:smallCaps w:val="false"/>
          <w:sz w:val="20"/>
        </w:rPr>
        <w:t>2020.</w:t>
      </w:r>
      <w:r>
        <w:rPr>
          <w:rFonts w:ascii="Times New Roman" w:hAnsi="Times New Roman"/>
          <w:caps w:val="false"/>
          <w:smallCaps w:val="false"/>
          <w:sz w:val="20"/>
        </w:rPr>
        <w:t>  In prior periods, the government grant income relates to a grant that Sono Motors received from the EU to promote the development of open-source hardware. Foreign currency revaluation includes exchange gains and losses on bank balances and trade payable balances.</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275"/>
        <w:gridCol w:w="234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6.7</w:t>
            </w:r>
          </w:p>
        </w:tc>
        <w:tc>
          <w:tcPr>
            <w:tcW w:w="23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and similar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below table displays details included in interest and similar income:</w:t>
      </w:r>
    </w:p>
    <w:p>
      <w:pPr>
        <w:pStyle w:val="TextBody"/>
        <w:bidi w:val="0"/>
        <w:spacing w:before="0" w:after="0"/>
        <w:ind w:left="0" w:right="0" w:hanging="0"/>
        <w:jc w:val="left"/>
        <w:rPr>
          <w:caps w:val="false"/>
          <w:smallCaps w:val="false"/>
        </w:rPr>
      </w:pPr>
      <w:r>
        <w:rPr>
          <w:caps w:val="false"/>
          <w:smallCaps w:val="false"/>
        </w:rPr>
        <w:t> </w:t>
      </w:r>
    </w:p>
    <w:tbl>
      <w:tblPr>
        <w:tblW w:w="7295" w:type="dxa"/>
        <w:jc w:val="left"/>
        <w:tblInd w:w="0" w:type="dxa"/>
        <w:tblLayout w:type="fixed"/>
        <w:tblCellMar>
          <w:top w:w="0" w:type="dxa"/>
          <w:left w:w="0" w:type="dxa"/>
          <w:bottom w:w="28" w:type="dxa"/>
          <w:right w:w="0" w:type="dxa"/>
        </w:tblCellMar>
      </w:tblPr>
      <w:tblGrid>
        <w:gridCol w:w="5390"/>
        <w:gridCol w:w="60"/>
        <w:gridCol w:w="77"/>
        <w:gridCol w:w="438"/>
        <w:gridCol w:w="60"/>
        <w:gridCol w:w="60"/>
        <w:gridCol w:w="220"/>
        <w:gridCol w:w="295"/>
        <w:gridCol w:w="60"/>
        <w:gridCol w:w="60"/>
        <w:gridCol w:w="166"/>
        <w:gridCol w:w="349"/>
        <w:gridCol w:w="60"/>
      </w:tblGrid>
      <w:tr>
        <w:trPr/>
        <w:tc>
          <w:tcPr>
            <w:tcW w:w="53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3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3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4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 w:type="dxa"/>
            <w:tcBorders/>
            <w:tcMar>
              <w:bottom w:w="0" w:type="dxa"/>
            </w:tcMar>
            <w:vAlign w:val="center"/>
          </w:tcPr>
          <w:p>
            <w:pPr>
              <w:pStyle w:val="TableContents"/>
              <w:bidi w:val="0"/>
              <w:spacing w:before="0" w:after="283"/>
              <w:jc w:val="left"/>
              <w:rPr/>
            </w:pPr>
            <w:r>
              <w:rPr/>
              <w:t> </w:t>
            </w:r>
          </w:p>
        </w:tc>
        <w:tc>
          <w:tcPr>
            <w:tcW w:w="3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changes convertible debentures (embedded derivatives)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ind w:left="0" w:right="0" w:hanging="0"/>
              <w:jc w:val="left"/>
              <w:rPr/>
            </w:pPr>
            <w:r>
              <w:rPr/>
              <w:t> </w:t>
            </w:r>
          </w:p>
        </w:tc>
        <w:tc>
          <w:tcPr>
            <w:tcW w:w="43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ind w:left="0" w:right="0" w:hanging="0"/>
              <w:jc w:val="left"/>
              <w:rPr/>
            </w:pPr>
            <w:r>
              <w:rPr/>
              <w:t> </w:t>
            </w:r>
          </w:p>
        </w:tc>
        <w:tc>
          <w:tcPr>
            <w:tcW w:w="34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from currency revaluation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4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3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4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Due to changes in the fair value of the derivatives embedded in the convertible debentures, an amount of kEUR 645 is reported under interest and similar income. Income from currency revaluation includes exchange gains on the convertible debentures’ host contracts and bifurcated embedded derivatives.</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500"/>
        <w:gridCol w:w="2390"/>
      </w:tblGrid>
      <w:tr>
        <w:trPr/>
        <w:tc>
          <w:tcPr>
            <w:tcW w:w="50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6.8</w:t>
            </w:r>
            <w:r>
              <w:rPr>
                <w:rFonts w:ascii="Times New Roman;Times;serif" w:hAnsi="Times New Roman;Times;serif"/>
                <w:caps w:val="false"/>
                <w:smallCaps w:val="false"/>
                <w:sz w:val="20"/>
              </w:rPr>
              <w:t>     </w:t>
            </w:r>
          </w:p>
        </w:tc>
        <w:tc>
          <w:tcPr>
            <w:tcW w:w="23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and similar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included in interest and similar expense:</w:t>
      </w:r>
    </w:p>
    <w:p>
      <w:pPr>
        <w:pStyle w:val="TextBody"/>
        <w:bidi w:val="0"/>
        <w:spacing w:before="0" w:after="0"/>
        <w:ind w:left="0" w:right="0" w:hanging="0"/>
        <w:jc w:val="left"/>
        <w:rPr>
          <w:caps w:val="false"/>
          <w:smallCaps w:val="false"/>
        </w:rPr>
      </w:pPr>
      <w:r>
        <w:rPr>
          <w:caps w:val="false"/>
          <w:smallCaps w:val="false"/>
        </w:rPr>
        <w:t> </w:t>
      </w:r>
    </w:p>
    <w:tbl>
      <w:tblPr>
        <w:tblW w:w="7565" w:type="dxa"/>
        <w:jc w:val="left"/>
        <w:tblInd w:w="0" w:type="dxa"/>
        <w:tblLayout w:type="fixed"/>
        <w:tblCellMar>
          <w:top w:w="0" w:type="dxa"/>
          <w:left w:w="0" w:type="dxa"/>
          <w:bottom w:w="28" w:type="dxa"/>
          <w:right w:w="0" w:type="dxa"/>
        </w:tblCellMar>
      </w:tblPr>
      <w:tblGrid>
        <w:gridCol w:w="5570"/>
        <w:gridCol w:w="60"/>
        <w:gridCol w:w="60"/>
        <w:gridCol w:w="485"/>
        <w:gridCol w:w="60"/>
        <w:gridCol w:w="60"/>
        <w:gridCol w:w="60"/>
        <w:gridCol w:w="485"/>
        <w:gridCol w:w="60"/>
        <w:gridCol w:w="60"/>
        <w:gridCol w:w="60"/>
        <w:gridCol w:w="485"/>
        <w:gridCol w:w="60"/>
      </w:tblGrid>
      <w:tr>
        <w:trPr/>
        <w:tc>
          <w:tcPr>
            <w:tcW w:w="55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5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55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Advanced payments received from customers interest (note 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5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from financial liabilities measured at amortized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deferred day-one losses from convertible debentures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5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 from currency revaluation (day-one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liabilities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5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5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are the difference between the fair value at initial recognition and the transaction price and are amortized pro rata on a straight-line basis until the date of the last expected conversion. For further details in relation to the convertible debentures please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780" w:type="dxa"/>
        <w:jc w:val="left"/>
        <w:tblInd w:w="0" w:type="dxa"/>
        <w:tblLayout w:type="fixed"/>
        <w:tblCellMar>
          <w:top w:w="0" w:type="dxa"/>
          <w:left w:w="0" w:type="dxa"/>
          <w:bottom w:w="0" w:type="dxa"/>
          <w:right w:w="0" w:type="dxa"/>
        </w:tblCellMar>
      </w:tblPr>
      <w:tblGrid>
        <w:gridCol w:w="500"/>
        <w:gridCol w:w="1280"/>
      </w:tblGrid>
      <w:tr>
        <w:trPr/>
        <w:tc>
          <w:tcPr>
            <w:tcW w:w="50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6.9</w:t>
            </w:r>
            <w:r>
              <w:rPr>
                <w:rFonts w:ascii="Times New Roman;Times;serif" w:hAnsi="Times New Roman;Times;serif"/>
                <w:caps w:val="false"/>
                <w:smallCaps w:val="false"/>
                <w:sz w:val="20"/>
              </w:rPr>
              <w:t>     </w:t>
            </w:r>
          </w:p>
        </w:tc>
        <w:tc>
          <w:tcPr>
            <w:tcW w:w="12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Tax on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No taxes on income have been recognized in the period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Taxes on income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of kEUR -18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kEUR -) relate to deferred tax expenses at the level of Sono N.V. as the recognition of deferred tax assets on loss carryforwards has been recognized proportionately in equity instead of the income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tables display the changes in deferred tax assets and liabilities:</w:t>
      </w:r>
    </w:p>
    <w:p>
      <w:pPr>
        <w:pStyle w:val="TextBody"/>
        <w:bidi w:val="0"/>
        <w:spacing w:before="0" w:after="0"/>
        <w:ind w:left="0" w:right="0" w:hanging="0"/>
        <w:jc w:val="left"/>
        <w:rPr>
          <w:caps w:val="false"/>
          <w:smallCaps w:val="false"/>
        </w:rPr>
      </w:pPr>
      <w:r>
        <w:rPr>
          <w:caps w:val="false"/>
          <w:smallCaps w:val="false"/>
        </w:rPr>
        <w:t> </w:t>
      </w:r>
    </w:p>
    <w:tbl>
      <w:tblPr>
        <w:tblW w:w="7892" w:type="dxa"/>
        <w:jc w:val="left"/>
        <w:tblInd w:w="0" w:type="dxa"/>
        <w:tblLayout w:type="fixed"/>
        <w:tblCellMar>
          <w:top w:w="0" w:type="dxa"/>
          <w:left w:w="0" w:type="dxa"/>
          <w:bottom w:w="28" w:type="dxa"/>
          <w:right w:w="0" w:type="dxa"/>
        </w:tblCellMar>
      </w:tblPr>
      <w:tblGrid>
        <w:gridCol w:w="4085"/>
        <w:gridCol w:w="60"/>
        <w:gridCol w:w="92"/>
        <w:gridCol w:w="1007"/>
        <w:gridCol w:w="80"/>
        <w:gridCol w:w="60"/>
        <w:gridCol w:w="113"/>
        <w:gridCol w:w="1031"/>
        <w:gridCol w:w="80"/>
        <w:gridCol w:w="60"/>
        <w:gridCol w:w="126"/>
        <w:gridCol w:w="1018"/>
        <w:gridCol w:w="80"/>
      </w:tblGrid>
      <w:tr>
        <w:trPr/>
        <w:tc>
          <w:tcPr>
            <w:tcW w:w="40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2020</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3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current 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tax loss carryforwards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advance payments received from customers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other financial/non-financial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current provisions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current other non-financial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current/noncurrent 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cash and cash 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current other 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bottom w:val="single" w:sz="2" w:space="0" w:color="000000"/>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prepaid expenses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0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19,534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3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due to other financial/non-financial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current 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trade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provisions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cash and cash 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noncurrent other non-financial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03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85" w:type="dxa"/>
            <w:tcBorders>
              <w:bottom w:val="single" w:sz="2" w:space="0" w:color="000000"/>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to other noncurrent financial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8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0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Non-recognition of deferred tax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ind w:left="0" w:right="0" w:hanging="0"/>
              <w:jc w:val="left"/>
              <w:rPr/>
            </w:pPr>
            <w:r>
              <w:rPr/>
              <w:t> </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(15,910</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0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(1,262</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08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Recognition of deferred tax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0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assets/liabilities, net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table above presents the gross deferred taxes only for reasons of understanding and completeness, 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deferred taxes have been recognized due to a (deferred tax asset/liabilities) net position of zero. As the net deferred tax asset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booked in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step,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valuation allowance is booked.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Deferred tax assets due to property, plant and equipment (kEUR </w:t>
      </w:r>
      <w:r>
        <w:rPr>
          <w:rStyle w:val="Emphasis"/>
          <w:rFonts w:ascii="Times New Roman" w:hAnsi="Times New Roman"/>
          <w:caps w:val="false"/>
          <w:smallCaps w:val="false"/>
          <w:sz w:val="20"/>
        </w:rPr>
        <w:t>15,975</w:t>
      </w:r>
      <w:r>
        <w:rPr>
          <w:rFonts w:ascii="Times New Roman" w:hAnsi="Times New Roman"/>
          <w:caps w:val="false"/>
          <w:smallCaps w:val="false"/>
          <w:sz w:val="20"/>
        </w:rPr>
        <w:t xml:space="preserve">) incurred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as Sono Motors made use of the existing tax option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recognize an impairment deviating to IFRS. For further details in relation to the IFRS impairment we refer to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for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Given the loss history of Sono Motors, deferred tax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on the balance sheet. The amount of deferred tax assets / liabilities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is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Of the gross deferred tax assets, kEUR 948 as of </w:t>
      </w:r>
      <w:r>
        <w:rPr>
          <w:rStyle w:val="Emphasis"/>
          <w:rFonts w:ascii="Times New Roman" w:hAnsi="Times New Roman"/>
          <w:caps w:val="false"/>
          <w:smallCaps w:val="false"/>
          <w:sz w:val="20"/>
        </w:rPr>
        <w:t>December 31, 2022 (2021:</w:t>
      </w:r>
      <w:r>
        <w:rPr>
          <w:rFonts w:ascii="Times New Roman" w:hAnsi="Times New Roman"/>
          <w:caps w:val="false"/>
          <w:smallCaps w:val="false"/>
          <w:sz w:val="20"/>
        </w:rPr>
        <w:t xml:space="preserve"> kEUR 314) are current and of the gross deferred tax liabilities, kEUR </w:t>
      </w:r>
      <w:r>
        <w:rPr>
          <w:rStyle w:val="Emphasis"/>
          <w:rFonts w:ascii="Times New Roman" w:hAnsi="Times New Roman"/>
          <w:caps w:val="false"/>
          <w:smallCaps w:val="false"/>
          <w:sz w:val="20"/>
        </w:rPr>
        <w:t>3,363</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December 31, 2022 (2021:</w:t>
      </w:r>
      <w:r>
        <w:rPr>
          <w:rFonts w:ascii="Times New Roman" w:hAnsi="Times New Roman"/>
          <w:caps w:val="false"/>
          <w:smallCaps w:val="false"/>
          <w:sz w:val="20"/>
        </w:rPr>
        <w:t xml:space="preserve"> kEUR 47) are current.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deferred taxes with regard to Outside Basis Differences as those are permanent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amount of temporary differences on balance sheet positions for which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deferred tax asset has been recognized is displayed in the table below:</w:t>
      </w:r>
    </w:p>
    <w:p>
      <w:pPr>
        <w:pStyle w:val="TextBody"/>
        <w:bidi w:val="0"/>
        <w:spacing w:before="0" w:after="0"/>
        <w:ind w:left="0" w:right="0" w:hanging="0"/>
        <w:jc w:val="left"/>
        <w:rPr>
          <w:caps w:val="false"/>
          <w:smallCaps w:val="false"/>
        </w:rPr>
      </w:pPr>
      <w:r>
        <w:rPr>
          <w:caps w:val="false"/>
          <w:smallCaps w:val="false"/>
        </w:rPr>
        <w:t> </w:t>
      </w:r>
    </w:p>
    <w:tbl>
      <w:tblPr>
        <w:tblW w:w="6523" w:type="dxa"/>
        <w:jc w:val="left"/>
        <w:tblInd w:w="0" w:type="dxa"/>
        <w:tblLayout w:type="fixed"/>
        <w:tblCellMar>
          <w:top w:w="0" w:type="dxa"/>
          <w:left w:w="0" w:type="dxa"/>
          <w:bottom w:w="28" w:type="dxa"/>
          <w:right w:w="0" w:type="dxa"/>
        </w:tblCellMar>
      </w:tblPr>
      <w:tblGrid>
        <w:gridCol w:w="3995"/>
        <w:gridCol w:w="60"/>
        <w:gridCol w:w="105"/>
        <w:gridCol w:w="1039"/>
        <w:gridCol w:w="60"/>
        <w:gridCol w:w="60"/>
        <w:gridCol w:w="126"/>
        <w:gridCol w:w="1018"/>
        <w:gridCol w:w="60"/>
      </w:tblGrid>
      <w:tr>
        <w:trPr/>
        <w:tc>
          <w:tcPr>
            <w:tcW w:w="39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Advance payments received from customers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provisions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financial assets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9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48,241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9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tax benefit at a total tax rate of 32,98 %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15,910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amount of unused tax losses for which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deferred tax asset has been recognized is displayed in the table below:</w:t>
      </w:r>
    </w:p>
    <w:p>
      <w:pPr>
        <w:pStyle w:val="TextBody"/>
        <w:bidi w:val="0"/>
        <w:spacing w:before="0" w:after="0"/>
        <w:ind w:left="0" w:right="0" w:hanging="0"/>
        <w:jc w:val="left"/>
        <w:rPr>
          <w:caps w:val="false"/>
          <w:smallCaps w:val="false"/>
        </w:rPr>
      </w:pPr>
      <w:r>
        <w:rPr>
          <w:caps w:val="false"/>
          <w:smallCaps w:val="false"/>
        </w:rPr>
        <w:t> </w:t>
      </w:r>
    </w:p>
    <w:tbl>
      <w:tblPr>
        <w:tblW w:w="9418" w:type="dxa"/>
        <w:jc w:val="left"/>
        <w:tblInd w:w="0" w:type="dxa"/>
        <w:tblLayout w:type="fixed"/>
        <w:tblCellMar>
          <w:top w:w="0" w:type="dxa"/>
          <w:left w:w="0" w:type="dxa"/>
          <w:bottom w:w="28" w:type="dxa"/>
          <w:right w:w="0" w:type="dxa"/>
        </w:tblCellMar>
      </w:tblPr>
      <w:tblGrid>
        <w:gridCol w:w="6890"/>
        <w:gridCol w:w="60"/>
        <w:gridCol w:w="90"/>
        <w:gridCol w:w="1054"/>
        <w:gridCol w:w="60"/>
        <w:gridCol w:w="60"/>
        <w:gridCol w:w="90"/>
        <w:gridCol w:w="1054"/>
        <w:gridCol w:w="60"/>
      </w:tblGrid>
      <w:tr>
        <w:trPr/>
        <w:tc>
          <w:tcPr>
            <w:tcW w:w="68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68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68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Unused tax losses for which no deferred tax asset has been recognized (corporate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252,124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111,950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8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Unused tax losses for which no deferred tax asset has been recognized (trade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251,279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111,565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8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tax benefit at a total tax rate of 32.98 %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83,011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36,858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KEUR 532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937) deferred tax assets on transaction costs would have been recognized directly in equity if deferred tax assets had been recognized on losses carryforwards in full.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kEUR -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54) deferred tax assets on loss carryforwards have been recognized, of which kEUR -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18) deferred tax assets on transaction costs have been recognized directly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numerical reconciliation of expected to effective income tax.</w:t>
      </w:r>
    </w:p>
    <w:p>
      <w:pPr>
        <w:pStyle w:val="TextBody"/>
        <w:bidi w:val="0"/>
        <w:spacing w:before="0" w:after="0"/>
        <w:ind w:left="0" w:right="0" w:hanging="0"/>
        <w:jc w:val="left"/>
        <w:rPr>
          <w:caps w:val="false"/>
          <w:smallCaps w:val="false"/>
        </w:rPr>
      </w:pPr>
      <w:r>
        <w:rPr>
          <w:caps w:val="false"/>
          <w:smallCaps w:val="false"/>
        </w:rPr>
        <w:t> </w:t>
      </w:r>
    </w:p>
    <w:tbl>
      <w:tblPr>
        <w:tblW w:w="8210" w:type="dxa"/>
        <w:jc w:val="left"/>
        <w:tblInd w:w="0" w:type="dxa"/>
        <w:tblLayout w:type="fixed"/>
        <w:tblCellMar>
          <w:top w:w="0" w:type="dxa"/>
          <w:left w:w="0" w:type="dxa"/>
          <w:bottom w:w="28" w:type="dxa"/>
          <w:right w:w="0" w:type="dxa"/>
        </w:tblCellMar>
      </w:tblPr>
      <w:tblGrid>
        <w:gridCol w:w="5555"/>
        <w:gridCol w:w="60"/>
        <w:gridCol w:w="60"/>
        <w:gridCol w:w="755"/>
        <w:gridCol w:w="80"/>
        <w:gridCol w:w="60"/>
        <w:gridCol w:w="60"/>
        <w:gridCol w:w="650"/>
        <w:gridCol w:w="80"/>
        <w:gridCol w:w="60"/>
        <w:gridCol w:w="60"/>
        <w:gridCol w:w="650"/>
        <w:gridCol w:w="80"/>
      </w:tblGrid>
      <w:tr>
        <w:trPr/>
        <w:tc>
          <w:tcPr>
            <w:tcW w:w="55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55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(loss) before tax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(183,698</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(63,935</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(56,032</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5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income tax (income (-)/expense (+) at a tax rate of 32.98 %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(60,584</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(21,086</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(18,479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5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Reconciliation: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Changes in unrecognized tax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46,175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20,061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Changes in deferred taxes on timing differences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MCN* non-tax-deductible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CSOP non-tax-deductible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RSU* supervisory board non-tax-deductible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ESOP non-tax-deductible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Tax-deductible transaction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(937</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55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Convertible tax-deductible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Non-tax-deductible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555" w:type="dxa"/>
            <w:tcBorders>
              <w:bottom w:val="single" w:sz="2" w:space="0" w:color="000000"/>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5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income tax income for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*MCN (Mandatory Convertible Notes), RSU (Restricted Stock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Sono N.V. is also fully taxable in Munich, Germany, the tax rate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is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7.</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disclosures</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75"/>
        <w:gridCol w:w="146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7.1</w:t>
            </w:r>
          </w:p>
        </w:tc>
        <w:tc>
          <w:tcPr>
            <w:tcW w:w="14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Intangible assets </w:t>
            </w:r>
          </w:p>
        </w:tc>
      </w:tr>
    </w:tbl>
    <w:p>
      <w:pPr>
        <w:pStyle w:val="TextBody"/>
        <w:bidi w:val="0"/>
        <w:spacing w:before="0" w:after="0"/>
        <w:ind w:left="0" w:right="0" w:hanging="0"/>
        <w:jc w:val="left"/>
        <w:rPr>
          <w:caps w:val="false"/>
          <w:smallCaps w:val="false"/>
        </w:rPr>
      </w:pPr>
      <w:r>
        <w:rPr>
          <w:caps w:val="false"/>
          <w:smallCaps w:val="false"/>
        </w:rPr>
        <w:t> </w:t>
      </w:r>
    </w:p>
    <w:tbl>
      <w:tblPr>
        <w:tblW w:w="5330" w:type="dxa"/>
        <w:jc w:val="left"/>
        <w:tblInd w:w="0" w:type="dxa"/>
        <w:tblLayout w:type="fixed"/>
        <w:tblCellMar>
          <w:top w:w="0" w:type="dxa"/>
          <w:left w:w="0" w:type="dxa"/>
          <w:bottom w:w="28" w:type="dxa"/>
          <w:right w:w="0" w:type="dxa"/>
        </w:tblCellMar>
      </w:tblPr>
      <w:tblGrid>
        <w:gridCol w:w="2990"/>
        <w:gridCol w:w="60"/>
        <w:gridCol w:w="116"/>
        <w:gridCol w:w="564"/>
        <w:gridCol w:w="80"/>
        <w:gridCol w:w="60"/>
        <w:gridCol w:w="95"/>
        <w:gridCol w:w="630"/>
        <w:gridCol w:w="80"/>
        <w:gridCol w:w="60"/>
        <w:gridCol w:w="67"/>
        <w:gridCol w:w="448"/>
        <w:gridCol w:w="80"/>
      </w:tblGrid>
      <w:tr>
        <w:trPr/>
        <w:tc>
          <w:tcPr>
            <w:tcW w:w="29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Website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Software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564"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3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Historical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Jan. 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6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c>
          <w:tcPr>
            <w:tcW w:w="6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Dec. 31,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Jan. 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6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c>
          <w:tcPr>
            <w:tcW w:w="6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9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c>
          <w:tcPr>
            <w:tcW w:w="6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9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Dec.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9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Carrying amount as of Jan. 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Carrying amount as of Dec.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330" w:type="dxa"/>
        <w:jc w:val="left"/>
        <w:tblInd w:w="0" w:type="dxa"/>
        <w:tblLayout w:type="fixed"/>
        <w:tblCellMar>
          <w:top w:w="0" w:type="dxa"/>
          <w:left w:w="0" w:type="dxa"/>
          <w:bottom w:w="28" w:type="dxa"/>
          <w:right w:w="0" w:type="dxa"/>
        </w:tblCellMar>
      </w:tblPr>
      <w:tblGrid>
        <w:gridCol w:w="2990"/>
        <w:gridCol w:w="60"/>
        <w:gridCol w:w="116"/>
        <w:gridCol w:w="564"/>
        <w:gridCol w:w="80"/>
        <w:gridCol w:w="60"/>
        <w:gridCol w:w="110"/>
        <w:gridCol w:w="615"/>
        <w:gridCol w:w="80"/>
        <w:gridCol w:w="60"/>
        <w:gridCol w:w="78"/>
        <w:gridCol w:w="437"/>
        <w:gridCol w:w="80"/>
      </w:tblGrid>
      <w:tr>
        <w:trPr/>
        <w:tc>
          <w:tcPr>
            <w:tcW w:w="29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Website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Software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564"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61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Historical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1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43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Jan. 1,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1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43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43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Dec. 31, 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1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43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Jan. 1,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5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1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43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9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5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43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9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Dec. 31, 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9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Carrying amount as of Jan. 1, 2021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3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9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Carrying amount as of Dec. 31, 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amortization expenses for the acquired intangible assets amounting to kEUR 68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34) are included in development (kEUR 44,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22), selling and distribution costs (kEUR 6,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4) and general and administrative expenses (kEUR 18,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impairment is the result of the impairment test performed based on a triggering event. For further details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875" w:type="dxa"/>
        <w:jc w:val="left"/>
        <w:tblInd w:w="0" w:type="dxa"/>
        <w:tblLayout w:type="fixed"/>
        <w:tblCellMar>
          <w:top w:w="0" w:type="dxa"/>
          <w:left w:w="0" w:type="dxa"/>
          <w:bottom w:w="0" w:type="dxa"/>
          <w:right w:w="0" w:type="dxa"/>
        </w:tblCellMar>
      </w:tblPr>
      <w:tblGrid>
        <w:gridCol w:w="275"/>
        <w:gridCol w:w="260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7.2</w:t>
            </w:r>
          </w:p>
        </w:tc>
        <w:tc>
          <w:tcPr>
            <w:tcW w:w="26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9019" w:type="dxa"/>
        <w:jc w:val="left"/>
        <w:tblInd w:w="0" w:type="dxa"/>
        <w:tblLayout w:type="fixed"/>
        <w:tblCellMar>
          <w:top w:w="0" w:type="dxa"/>
          <w:left w:w="0" w:type="dxa"/>
          <w:bottom w:w="28" w:type="dxa"/>
          <w:right w:w="0" w:type="dxa"/>
        </w:tblCellMar>
      </w:tblPr>
      <w:tblGrid>
        <w:gridCol w:w="4040"/>
        <w:gridCol w:w="60"/>
        <w:gridCol w:w="181"/>
        <w:gridCol w:w="1653"/>
        <w:gridCol w:w="80"/>
        <w:gridCol w:w="60"/>
        <w:gridCol w:w="169"/>
        <w:gridCol w:w="1846"/>
        <w:gridCol w:w="80"/>
        <w:gridCol w:w="60"/>
        <w:gridCol w:w="60"/>
        <w:gridCol w:w="650"/>
        <w:gridCol w:w="80"/>
      </w:tblGrid>
      <w:tr>
        <w:trPr/>
        <w:tc>
          <w:tcPr>
            <w:tcW w:w="404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Equipment / Hardware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0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4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0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or manufacturing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65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Jan. 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165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84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pPr>
            <w:r>
              <w:rPr/>
              <w:t> </w:t>
            </w:r>
          </w:p>
        </w:tc>
        <w:tc>
          <w:tcPr>
            <w:tcW w:w="165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84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38,731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or manufacturing costs Dec. 31,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5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38,769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40,484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depreciation and impairment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65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Jan. 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165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84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0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ind w:left="0" w:right="0" w:hanging="0"/>
              <w:jc w:val="left"/>
              <w:rPr/>
            </w:pPr>
            <w:r>
              <w:rPr/>
              <w:t> </w:t>
            </w:r>
          </w:p>
        </w:tc>
        <w:tc>
          <w:tcPr>
            <w:tcW w:w="165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(791</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84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(38,473</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(39,264</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0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pPr>
            <w:r>
              <w:rPr/>
              <w:t> </w:t>
            </w:r>
          </w:p>
        </w:tc>
        <w:tc>
          <w:tcPr>
            <w:tcW w:w="165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84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0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Dec.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(1,344</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(38,473</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(39,817</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0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Carrying amount Jan. 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5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Carrying amount Dec.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28" w:type="dxa"/>
          <w:right w:w="0" w:type="dxa"/>
        </w:tblCellMar>
      </w:tblPr>
      <w:tblGrid>
        <w:gridCol w:w="3335"/>
        <w:gridCol w:w="60"/>
        <w:gridCol w:w="201"/>
        <w:gridCol w:w="1633"/>
        <w:gridCol w:w="80"/>
        <w:gridCol w:w="60"/>
        <w:gridCol w:w="198"/>
        <w:gridCol w:w="1816"/>
        <w:gridCol w:w="80"/>
        <w:gridCol w:w="60"/>
        <w:gridCol w:w="60"/>
        <w:gridCol w:w="545"/>
        <w:gridCol w:w="80"/>
      </w:tblGrid>
      <w:tr>
        <w:trPr/>
        <w:tc>
          <w:tcPr>
            <w:tcW w:w="333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Equipment / Hardware</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01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33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01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or manufacturing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63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81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Jan. 1,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pPr>
            <w:r>
              <w:rPr/>
              <w:t> </w:t>
            </w:r>
          </w:p>
        </w:tc>
        <w:tc>
          <w:tcPr>
            <w:tcW w:w="163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ind w:left="0" w:right="0" w:hanging="0"/>
              <w:jc w:val="left"/>
              <w:rPr/>
            </w:pPr>
            <w:r>
              <w:rPr/>
              <w:t> </w:t>
            </w:r>
          </w:p>
        </w:tc>
        <w:tc>
          <w:tcPr>
            <w:tcW w:w="181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pPr>
            <w:r>
              <w:rPr/>
              <w:t> </w:t>
            </w:r>
          </w:p>
        </w:tc>
        <w:tc>
          <w:tcPr>
            <w:tcW w:w="163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ind w:left="0" w:right="0" w:hanging="0"/>
              <w:jc w:val="left"/>
              <w:rPr/>
            </w:pPr>
            <w:r>
              <w:rPr/>
              <w:t> </w:t>
            </w:r>
          </w:p>
        </w:tc>
        <w:tc>
          <w:tcPr>
            <w:tcW w:w="181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Reclassifications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pPr>
            <w:r>
              <w:rPr/>
              <w:t> </w:t>
            </w:r>
          </w:p>
        </w:tc>
        <w:tc>
          <w:tcPr>
            <w:tcW w:w="163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ind w:left="0" w:right="0" w:hanging="0"/>
              <w:jc w:val="left"/>
              <w:rPr/>
            </w:pPr>
            <w:r>
              <w:rPr/>
              <w:t> </w:t>
            </w:r>
          </w:p>
        </w:tc>
        <w:tc>
          <w:tcPr>
            <w:tcW w:w="181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pPr>
            <w:r>
              <w:rPr/>
              <w:t> </w:t>
            </w:r>
          </w:p>
        </w:tc>
        <w:tc>
          <w:tcPr>
            <w:tcW w:w="163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ind w:left="0" w:right="0" w:hanging="0"/>
              <w:jc w:val="left"/>
              <w:rPr/>
            </w:pPr>
            <w:r>
              <w:rPr/>
              <w:t> </w:t>
            </w:r>
          </w:p>
        </w:tc>
        <w:tc>
          <w:tcPr>
            <w:tcW w:w="181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(1,965</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(1,965</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Dec. 31, 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3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1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depreciation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63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81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Jan. 1,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ind w:left="0" w:right="0" w:hanging="0"/>
              <w:jc w:val="left"/>
              <w:rPr/>
            </w:pPr>
            <w:r>
              <w:rPr/>
              <w:t> </w:t>
            </w:r>
          </w:p>
        </w:tc>
        <w:tc>
          <w:tcPr>
            <w:tcW w:w="163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ind w:left="0" w:right="0" w:hanging="0"/>
              <w:jc w:val="left"/>
              <w:rPr/>
            </w:pPr>
            <w:r>
              <w:rPr/>
              <w:t> </w:t>
            </w:r>
          </w:p>
        </w:tc>
        <w:tc>
          <w:tcPr>
            <w:tcW w:w="181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3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pPr>
            <w:r>
              <w:rPr/>
              <w:t> </w:t>
            </w:r>
          </w:p>
        </w:tc>
        <w:tc>
          <w:tcPr>
            <w:tcW w:w="163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ind w:left="0" w:right="0" w:hanging="0"/>
              <w:jc w:val="left"/>
              <w:rPr/>
            </w:pPr>
            <w:r>
              <w:rPr/>
              <w:t> </w:t>
            </w:r>
          </w:p>
        </w:tc>
        <w:tc>
          <w:tcPr>
            <w:tcW w:w="181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depreciation Dec. 31, 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3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1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33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Carrying amount Jan. 1, 2021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3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3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Carrying amount Dec. 31, 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3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1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additions mainly relate to capitalization of prepayments made for assets under construction including advance payments (acquisition cost kEUR 16,348) made to the contract manufacturer (Valmet) for production tools to be used for the future production of Sions. The increase is associated with the preparations for serial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impairment is the result of the impairment test performed based on a triggering event. For further details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 and note </w:t>
      </w:r>
      <w:r>
        <w:rPr>
          <w:rStyle w:val="Emphasis"/>
          <w:rFonts w:ascii="Times New Roman" w:hAnsi="Times New Roman"/>
          <w:caps w:val="false"/>
          <w:smallCaps w:val="false"/>
          <w:sz w:val="20"/>
        </w:rPr>
        <w:t>6.2</w:t>
      </w:r>
      <w:r>
        <w:rPr>
          <w:rFonts w:ascii="Times New Roman" w:hAnsi="Times New Roman"/>
          <w:caps w:val="false"/>
          <w:smallCaps w:val="false"/>
          <w:sz w:val="20"/>
        </w:rPr>
        <w:t xml:space="preserve"> Cost of development expenses.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impairment was recognized on specific assets. See note </w:t>
      </w:r>
      <w:r>
        <w:rPr>
          <w:rStyle w:val="Emphasis"/>
          <w:rFonts w:ascii="Times New Roman" w:hAnsi="Times New Roman"/>
          <w:caps w:val="false"/>
          <w:smallCaps w:val="false"/>
          <w:sz w:val="20"/>
        </w:rPr>
        <w:t>6.4</w:t>
      </w:r>
      <w:r>
        <w:rPr>
          <w:rFonts w:ascii="Times New Roman" w:hAnsi="Times New Roman"/>
          <w:caps w:val="false"/>
          <w:smallCaps w:val="false"/>
          <w:sz w:val="20"/>
        </w:rPr>
        <w:t xml:space="preserve">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the decision was taken to restructure the Group and terminate the Sion program. For the effect of this event on future financial periods, see the note </w:t>
      </w:r>
      <w:r>
        <w:rPr>
          <w:rStyle w:val="Emphasis"/>
          <w:rFonts w:ascii="Times New Roman" w:hAnsi="Times New Roman"/>
          <w:caps w:val="false"/>
          <w:smallCaps w:val="false"/>
          <w:sz w:val="20"/>
        </w:rPr>
        <w:t>9.7.1</w:t>
      </w:r>
      <w:r>
        <w:rPr>
          <w:rFonts w:ascii="Times New Roman" w:hAnsi="Times New Roman"/>
          <w:caps w:val="false"/>
          <w:smallCaps w:val="false"/>
          <w:sz w:val="20"/>
        </w:rPr>
        <w:t xml:space="preserve"> Termination of the Sion passenger car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930" w:type="dxa"/>
        <w:jc w:val="left"/>
        <w:tblInd w:w="0" w:type="dxa"/>
        <w:tblLayout w:type="fixed"/>
        <w:tblCellMar>
          <w:top w:w="0" w:type="dxa"/>
          <w:left w:w="0" w:type="dxa"/>
          <w:bottom w:w="0" w:type="dxa"/>
          <w:right w:w="0" w:type="dxa"/>
        </w:tblCellMar>
      </w:tblPr>
      <w:tblGrid>
        <w:gridCol w:w="320"/>
        <w:gridCol w:w="161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7.3</w:t>
            </w:r>
            <w:r>
              <w:rPr>
                <w:rFonts w:ascii="Times New Roman;Times;serif" w:hAnsi="Times New Roman;Times;serif"/>
                <w:b/>
                <w:caps w:val="false"/>
                <w:smallCaps w:val="false"/>
                <w:sz w:val="20"/>
              </w:rPr>
              <w:t xml:space="preserve"> </w:t>
            </w:r>
          </w:p>
        </w:tc>
        <w:tc>
          <w:tcPr>
            <w:tcW w:w="16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Right-of-use assets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Sono Motors leases buildings and warehouses at its headquarters in Munich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electrical cars including batteries. At the end of the reporting period, the remaining lease terms for the buildings were 4 to 8 years and for the cars 2 to 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below table presents details on the lease agreements of Sono Motors:</w:t>
      </w:r>
    </w:p>
    <w:p>
      <w:pPr>
        <w:pStyle w:val="TextBody"/>
        <w:bidi w:val="0"/>
        <w:spacing w:before="0" w:after="0"/>
        <w:ind w:left="0" w:right="0" w:hanging="0"/>
        <w:jc w:val="left"/>
        <w:rPr>
          <w:caps w:val="false"/>
          <w:smallCaps w:val="false"/>
        </w:rPr>
      </w:pPr>
      <w:r>
        <w:rPr>
          <w:caps w:val="false"/>
          <w:smallCaps w:val="false"/>
        </w:rPr>
        <w:t> </w:t>
      </w:r>
    </w:p>
    <w:tbl>
      <w:tblPr>
        <w:tblW w:w="6919" w:type="dxa"/>
        <w:jc w:val="left"/>
        <w:tblInd w:w="0" w:type="dxa"/>
        <w:tblLayout w:type="fixed"/>
        <w:tblCellMar>
          <w:top w:w="0" w:type="dxa"/>
          <w:left w:w="0" w:type="dxa"/>
          <w:bottom w:w="28" w:type="dxa"/>
          <w:right w:w="0" w:type="dxa"/>
        </w:tblCellMar>
      </w:tblPr>
      <w:tblGrid>
        <w:gridCol w:w="3425"/>
        <w:gridCol w:w="60"/>
        <w:gridCol w:w="82"/>
        <w:gridCol w:w="748"/>
        <w:gridCol w:w="80"/>
        <w:gridCol w:w="60"/>
        <w:gridCol w:w="280"/>
        <w:gridCol w:w="1359"/>
        <w:gridCol w:w="80"/>
        <w:gridCol w:w="60"/>
        <w:gridCol w:w="60"/>
        <w:gridCol w:w="545"/>
        <w:gridCol w:w="80"/>
      </w:tblGrid>
      <w:tr>
        <w:trPr/>
        <w:tc>
          <w:tcPr>
            <w:tcW w:w="3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Buildings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Cars and equipment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on January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7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 to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7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modifications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7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7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(1,742</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2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of right-of-use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5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on December 31,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7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on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7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 relating to short-term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7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cash outflow for leases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5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859" w:type="dxa"/>
        <w:jc w:val="left"/>
        <w:tblInd w:w="0" w:type="dxa"/>
        <w:tblLayout w:type="fixed"/>
        <w:tblCellMar>
          <w:top w:w="0" w:type="dxa"/>
          <w:left w:w="0" w:type="dxa"/>
          <w:bottom w:w="28" w:type="dxa"/>
          <w:right w:w="0" w:type="dxa"/>
        </w:tblCellMar>
      </w:tblPr>
      <w:tblGrid>
        <w:gridCol w:w="3425"/>
        <w:gridCol w:w="60"/>
        <w:gridCol w:w="91"/>
        <w:gridCol w:w="739"/>
        <w:gridCol w:w="80"/>
        <w:gridCol w:w="60"/>
        <w:gridCol w:w="280"/>
        <w:gridCol w:w="1359"/>
        <w:gridCol w:w="80"/>
        <w:gridCol w:w="60"/>
        <w:gridCol w:w="60"/>
        <w:gridCol w:w="485"/>
        <w:gridCol w:w="80"/>
      </w:tblGrid>
      <w:tr>
        <w:trPr/>
        <w:tc>
          <w:tcPr>
            <w:tcW w:w="3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Buildings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Cars and equipment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on January 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ind w:left="0" w:right="0" w:hanging="0"/>
              <w:jc w:val="left"/>
              <w:rPr/>
            </w:pPr>
            <w:r>
              <w:rPr/>
              <w:t> </w:t>
            </w:r>
          </w:p>
        </w:tc>
        <w:tc>
          <w:tcPr>
            <w:tcW w:w="7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 to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7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of right-of-use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5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on December 31,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7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739"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on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7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35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 relating to short-term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ind w:left="0" w:right="0" w:hanging="0"/>
              <w:jc w:val="left"/>
              <w:rPr/>
            </w:pPr>
            <w:r>
              <w:rPr/>
              <w:t> </w:t>
            </w:r>
          </w:p>
        </w:tc>
        <w:tc>
          <w:tcPr>
            <w:tcW w:w="7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cash outflow for leases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5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859" w:type="dxa"/>
        <w:jc w:val="left"/>
        <w:tblInd w:w="0" w:type="dxa"/>
        <w:tblLayout w:type="fixed"/>
        <w:tblCellMar>
          <w:top w:w="0" w:type="dxa"/>
          <w:left w:w="0" w:type="dxa"/>
          <w:bottom w:w="28" w:type="dxa"/>
          <w:right w:w="0" w:type="dxa"/>
        </w:tblCellMar>
      </w:tblPr>
      <w:tblGrid>
        <w:gridCol w:w="3425"/>
        <w:gridCol w:w="60"/>
        <w:gridCol w:w="91"/>
        <w:gridCol w:w="739"/>
        <w:gridCol w:w="80"/>
        <w:gridCol w:w="60"/>
        <w:gridCol w:w="339"/>
        <w:gridCol w:w="1300"/>
        <w:gridCol w:w="80"/>
        <w:gridCol w:w="60"/>
        <w:gridCol w:w="60"/>
        <w:gridCol w:w="485"/>
        <w:gridCol w:w="80"/>
      </w:tblGrid>
      <w:tr>
        <w:trPr/>
        <w:tc>
          <w:tcPr>
            <w:tcW w:w="3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Buildings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Cars and equipment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42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on January 1,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ind w:left="0" w:right="0" w:hanging="0"/>
              <w:jc w:val="left"/>
              <w:rPr/>
            </w:pPr>
            <w:r>
              <w:rPr/>
              <w:t> </w:t>
            </w:r>
          </w:p>
        </w:tc>
        <w:tc>
          <w:tcPr>
            <w:tcW w:w="7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283"/>
              <w:ind w:left="0" w:right="0" w:hanging="0"/>
              <w:jc w:val="left"/>
              <w:rPr/>
            </w:pPr>
            <w:r>
              <w:rPr/>
              <w:t> </w:t>
            </w:r>
          </w:p>
        </w:tc>
        <w:tc>
          <w:tcPr>
            <w:tcW w:w="130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 to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7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 w:type="dxa"/>
            <w:tcBorders/>
            <w:shd w:fill="FFFFFF" w:val="clear"/>
            <w:tcMar>
              <w:bottom w:w="0" w:type="dxa"/>
            </w:tcMar>
            <w:vAlign w:val="center"/>
          </w:tcPr>
          <w:p>
            <w:pPr>
              <w:pStyle w:val="TableContents"/>
              <w:bidi w:val="0"/>
              <w:spacing w:before="0" w:after="283"/>
              <w:ind w:left="0" w:right="0" w:hanging="0"/>
              <w:jc w:val="left"/>
              <w:rPr/>
            </w:pPr>
            <w:r>
              <w:rPr/>
              <w:t> </w:t>
            </w:r>
          </w:p>
        </w:tc>
        <w:tc>
          <w:tcPr>
            <w:tcW w:w="130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of right-of-use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3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on December 31,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7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 w:type="dxa"/>
            <w:tcBorders/>
            <w:shd w:fill="FFFFFF" w:val="clear"/>
            <w:tcMar>
              <w:bottom w:w="0" w:type="dxa"/>
            </w:tcMar>
            <w:vAlign w:val="center"/>
          </w:tcPr>
          <w:p>
            <w:pPr>
              <w:pStyle w:val="TableContents"/>
              <w:bidi w:val="0"/>
              <w:spacing w:before="0" w:after="283"/>
              <w:ind w:left="0" w:right="0" w:hanging="0"/>
              <w:jc w:val="left"/>
              <w:rPr/>
            </w:pPr>
            <w:r>
              <w:rPr/>
              <w:t> </w:t>
            </w:r>
          </w:p>
        </w:tc>
        <w:tc>
          <w:tcPr>
            <w:tcW w:w="130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739"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on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7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 w:type="dxa"/>
            <w:tcBorders/>
            <w:shd w:fill="FFFFFF" w:val="clear"/>
            <w:tcMar>
              <w:bottom w:w="0" w:type="dxa"/>
            </w:tcMar>
            <w:vAlign w:val="center"/>
          </w:tcPr>
          <w:p>
            <w:pPr>
              <w:pStyle w:val="TableContents"/>
              <w:bidi w:val="0"/>
              <w:spacing w:before="0" w:after="283"/>
              <w:ind w:left="0" w:right="0" w:hanging="0"/>
              <w:jc w:val="left"/>
              <w:rPr/>
            </w:pPr>
            <w:r>
              <w:rPr/>
              <w:t> </w:t>
            </w:r>
          </w:p>
        </w:tc>
        <w:tc>
          <w:tcPr>
            <w:tcW w:w="130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 relating to short-term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ind w:left="0" w:right="0" w:hanging="0"/>
              <w:jc w:val="left"/>
              <w:rPr/>
            </w:pPr>
            <w:r>
              <w:rPr/>
              <w:t> </w:t>
            </w:r>
          </w:p>
        </w:tc>
        <w:tc>
          <w:tcPr>
            <w:tcW w:w="7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283"/>
              <w:ind w:left="0" w:right="0" w:hanging="0"/>
              <w:jc w:val="left"/>
              <w:rPr/>
            </w:pPr>
            <w:r>
              <w:rPr/>
              <w:t> </w:t>
            </w:r>
          </w:p>
        </w:tc>
        <w:tc>
          <w:tcPr>
            <w:tcW w:w="130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cash outflow for leases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3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0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At the end of the reporting period, Sono Group has lease commitments for short-term leases of kEUR 150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4). At the end of both the reporting period and the prior fiscal year,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obligations from sale and leaseback transactions or leasing of low-value assets. In the reporting period, expenses relating to variable lease payments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measurement of lease liabilities amounted to kEUR 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impairment is the result of the impairment test performed based on a triggering event. For further details see note </w:t>
      </w:r>
      <w:r>
        <w:rPr>
          <w:rStyle w:val="Emphasis"/>
          <w:rFonts w:ascii="Times New Roman" w:hAnsi="Times New Roman"/>
          <w:caps w:val="false"/>
          <w:smallCaps w:val="false"/>
          <w:sz w:val="20"/>
        </w:rPr>
        <w:t>4.12.3</w:t>
      </w:r>
      <w:r>
        <w:rPr>
          <w:rFonts w:ascii="Times New Roman" w:hAnsi="Times New Roman"/>
          <w:caps w:val="false"/>
          <w:smallCaps w:val="false"/>
          <w:sz w:val="20"/>
        </w:rPr>
        <w:t xml:space="preserve"> Impairment test of assets and note </w:t>
      </w:r>
      <w:r>
        <w:rPr>
          <w:rStyle w:val="Emphasis"/>
          <w:rFonts w:ascii="Times New Roman" w:hAnsi="Times New Roman"/>
          <w:caps w:val="false"/>
          <w:smallCaps w:val="false"/>
          <w:sz w:val="20"/>
        </w:rPr>
        <w:t>6.2</w:t>
      </w:r>
      <w:r>
        <w:rPr>
          <w:rFonts w:ascii="Times New Roman" w:hAnsi="Times New Roman"/>
          <w:caps w:val="false"/>
          <w:smallCaps w:val="false"/>
          <w:sz w:val="20"/>
        </w:rPr>
        <w:t xml:space="preserve"> Cost of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Group has entered several leasing agreements for buildings that offer an extension option. As of the balance sheet date, in all of these cases, the Group was reasonably certain to exercise the extension option. Therefore, the extension options were included in determining the carrying amounts of the lease liabilities and right-of-use assets for these buildings.</w:t>
        <w:b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 xml:space="preserve">Sono Group filed for self-administered insolvency, see note </w:t>
      </w:r>
      <w:r>
        <w:rPr>
          <w:rStyle w:val="Emphasis"/>
          <w:rFonts w:ascii="Times New Roman" w:hAnsi="Times New Roman"/>
          <w:caps w:val="false"/>
          <w:smallCaps w:val="false"/>
          <w:sz w:val="20"/>
        </w:rPr>
        <w:t>9.7.2</w:t>
      </w:r>
      <w:r>
        <w:rPr>
          <w:rFonts w:ascii="Times New Roman" w:hAnsi="Times New Roman"/>
          <w:caps w:val="false"/>
          <w:smallCaps w:val="false"/>
          <w:sz w:val="20"/>
        </w:rPr>
        <w:t xml:space="preserve"> Filing for insolvency, and has the option to cancel its leases. As part of the pivot to Solar activities only, the majority of leases were canceled 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therefore the assets and liabilities will be derecognized.</w:t>
      </w:r>
    </w:p>
    <w:p>
      <w:pPr>
        <w:pStyle w:val="TextBody"/>
        <w:bidi w:val="0"/>
        <w:spacing w:before="0" w:after="0"/>
        <w:ind w:left="0" w:right="0" w:hanging="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320"/>
        <w:gridCol w:w="2825"/>
      </w:tblGrid>
      <w:tr>
        <w:trPr/>
        <w:tc>
          <w:tcPr>
            <w:tcW w:w="320" w:type="dxa"/>
            <w:tcBorders/>
            <w:vAlign w:val="center"/>
          </w:tcPr>
          <w:p>
            <w:pPr>
              <w:pStyle w:val="TableContents"/>
              <w:bidi w:val="0"/>
              <w:spacing w:before="0" w:after="0"/>
              <w:ind w:left="0" w:right="0" w:hanging="0"/>
              <w:jc w:val="both"/>
              <w:rPr/>
            </w:pPr>
            <w:r>
              <w:rPr>
                <w:rStyle w:val="Emphasis"/>
                <w:rFonts w:ascii="Times New Roman" w:hAnsi="Times New Roman"/>
                <w:b/>
                <w:sz w:val="20"/>
              </w:rPr>
              <w:t>7.4</w:t>
            </w:r>
            <w:r>
              <w:rPr>
                <w:rFonts w:ascii="Times New Roman" w:hAnsi="Times New Roman"/>
                <w:b/>
                <w:sz w:val="20"/>
              </w:rPr>
              <w:t xml:space="preserve"> </w:t>
            </w:r>
          </w:p>
        </w:tc>
        <w:tc>
          <w:tcPr>
            <w:tcW w:w="282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noncurrent financial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Other noncurrent financial assets as of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kEUR 158;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91) consist largely of security deposits. For details on expected credit losses, please refer to note </w:t>
      </w:r>
      <w:r>
        <w:rPr>
          <w:rStyle w:val="Emphasis"/>
          <w:rFonts w:ascii="Times New Roman" w:hAnsi="Times New Roman"/>
          <w:caps w:val="false"/>
          <w:smallCaps w:val="false"/>
          <w:sz w:val="20"/>
        </w:rPr>
        <w:t>8.1.2</w:t>
      </w:r>
      <w:r>
        <w:rPr>
          <w:rFonts w:ascii="Times New Roman" w:hAnsi="Times New Roman"/>
          <w:caps w:val="false"/>
          <w:smallCaps w:val="false"/>
          <w:sz w:val="20"/>
        </w:rPr>
        <w:t> Credit risk.</w:t>
      </w:r>
    </w:p>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320"/>
        <w:gridCol w:w="2510"/>
      </w:tblGrid>
      <w:tr>
        <w:trPr/>
        <w:tc>
          <w:tcPr>
            <w:tcW w:w="320" w:type="dxa"/>
            <w:tcBorders/>
            <w:vAlign w:val="center"/>
          </w:tcPr>
          <w:p>
            <w:pPr>
              <w:pStyle w:val="TableContents"/>
              <w:bidi w:val="0"/>
              <w:spacing w:before="0" w:after="0"/>
              <w:ind w:left="0" w:right="0" w:hanging="0"/>
              <w:jc w:val="both"/>
              <w:rPr/>
            </w:pPr>
            <w:r>
              <w:rPr>
                <w:rStyle w:val="Emphasis"/>
                <w:rFonts w:ascii="Times New Roman" w:hAnsi="Times New Roman"/>
                <w:b/>
                <w:sz w:val="20"/>
              </w:rPr>
              <w:t>7.5</w:t>
            </w:r>
            <w:r>
              <w:rPr>
                <w:rFonts w:ascii="Times New Roman" w:hAnsi="Times New Roman"/>
                <w:b/>
                <w:sz w:val="20"/>
              </w:rPr>
              <w:t xml:space="preserve"> </w:t>
            </w:r>
          </w:p>
        </w:tc>
        <w:tc>
          <w:tcPr>
            <w:tcW w:w="251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current financial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information on financial instruments included in other current financial assets:</w:t>
      </w:r>
    </w:p>
    <w:p>
      <w:pPr>
        <w:pStyle w:val="TextBody"/>
        <w:bidi w:val="0"/>
        <w:spacing w:before="0" w:after="0"/>
        <w:ind w:left="0" w:right="0" w:hanging="0"/>
        <w:jc w:val="left"/>
        <w:rPr>
          <w:caps w:val="false"/>
          <w:smallCaps w:val="false"/>
        </w:rPr>
      </w:pPr>
      <w:r>
        <w:rPr>
          <w:caps w:val="false"/>
          <w:smallCaps w:val="false"/>
        </w:rPr>
        <w:t> </w:t>
      </w:r>
    </w:p>
    <w:tbl>
      <w:tblPr>
        <w:tblW w:w="6208" w:type="dxa"/>
        <w:jc w:val="left"/>
        <w:tblInd w:w="0" w:type="dxa"/>
        <w:tblLayout w:type="fixed"/>
        <w:tblCellMar>
          <w:top w:w="0" w:type="dxa"/>
          <w:left w:w="0" w:type="dxa"/>
          <w:bottom w:w="28" w:type="dxa"/>
          <w:right w:w="0" w:type="dxa"/>
        </w:tblCellMar>
      </w:tblPr>
      <w:tblGrid>
        <w:gridCol w:w="3680"/>
        <w:gridCol w:w="60"/>
        <w:gridCol w:w="126"/>
        <w:gridCol w:w="1018"/>
        <w:gridCol w:w="60"/>
        <w:gridCol w:w="60"/>
        <w:gridCol w:w="126"/>
        <w:gridCol w:w="1018"/>
        <w:gridCol w:w="60"/>
      </w:tblGrid>
      <w:tr>
        <w:trPr/>
        <w:tc>
          <w:tcPr>
            <w:tcW w:w="36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6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PayPal reserve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Receivables from crowdfunding and deposits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Debtors creditors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trade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receivables (affiliated companies)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6,233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PayPal reserve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relates to the reclassification of the specific reserve imposed by PayPal in connection with the crowdfunding campaign from cash to other current financial assets.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reserve was released in the amount of kEUR 5,900 and transferred to the current bank account of Sono Group.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received additional payments to the PayPal account which led to the increase of the PayPal reserve to kEUR 395. As of the balance sheet date, Sono Group expected a repayment of this amount within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Therefore, the PayPal reserve is classified as 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160" w:type="dxa"/>
        <w:jc w:val="left"/>
        <w:tblInd w:w="0" w:type="dxa"/>
        <w:tblLayout w:type="fixed"/>
        <w:tblCellMar>
          <w:top w:w="0" w:type="dxa"/>
          <w:left w:w="0" w:type="dxa"/>
          <w:bottom w:w="0" w:type="dxa"/>
          <w:right w:w="0" w:type="dxa"/>
        </w:tblCellMar>
      </w:tblPr>
      <w:tblGrid>
        <w:gridCol w:w="275"/>
        <w:gridCol w:w="288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7.6</w:t>
            </w:r>
          </w:p>
        </w:tc>
        <w:tc>
          <w:tcPr>
            <w:tcW w:w="28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current non-financial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below table displays details included in other current non-financial assets:</w:t>
      </w:r>
    </w:p>
    <w:p>
      <w:pPr>
        <w:pStyle w:val="TextBody"/>
        <w:bidi w:val="0"/>
        <w:spacing w:before="0" w:after="0"/>
        <w:ind w:left="0" w:right="0" w:hanging="0"/>
        <w:jc w:val="left"/>
        <w:rPr>
          <w:caps w:val="false"/>
          <w:smallCaps w:val="false"/>
        </w:rPr>
      </w:pPr>
      <w:r>
        <w:rPr>
          <w:caps w:val="false"/>
          <w:smallCaps w:val="false"/>
        </w:rPr>
        <w:t> </w:t>
      </w:r>
    </w:p>
    <w:tbl>
      <w:tblPr>
        <w:tblW w:w="8383" w:type="dxa"/>
        <w:jc w:val="left"/>
        <w:tblInd w:w="0" w:type="dxa"/>
        <w:tblLayout w:type="fixed"/>
        <w:tblCellMar>
          <w:top w:w="0" w:type="dxa"/>
          <w:left w:w="0" w:type="dxa"/>
          <w:bottom w:w="28" w:type="dxa"/>
          <w:right w:w="0" w:type="dxa"/>
        </w:tblCellMar>
      </w:tblPr>
      <w:tblGrid>
        <w:gridCol w:w="5855"/>
        <w:gridCol w:w="60"/>
        <w:gridCol w:w="105"/>
        <w:gridCol w:w="1039"/>
        <w:gridCol w:w="60"/>
        <w:gridCol w:w="60"/>
        <w:gridCol w:w="126"/>
        <w:gridCol w:w="1018"/>
        <w:gridCol w:w="60"/>
      </w:tblGrid>
      <w:tr>
        <w:trPr/>
        <w:tc>
          <w:tcPr>
            <w:tcW w:w="58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8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8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Prepayments to contract manufacturer for development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Prepayments to contract manufacturer for 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Prepayments for other development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VAT and other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8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24,215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prepayments were mainly for property, plant and equipment (kEUR 9,241) and parts  and engineering services (kEUR 4,019) for the construction of the Sion prototypes and to the contract manufacturer. Prepaid expenses largely consist of insurance and software subscriptions. The increase is associated with the general intensification of the development activities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preparation to the series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Of the VAT and other taxes, kEUR 3,098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 relates to VAT paid on EU-invoices which is reclaimable under EU law. A respective claim for reimbursement was submitted in </w:t>
      </w:r>
      <w:r>
        <w:rPr>
          <w:rStyle w:val="Emphasis"/>
          <w:rFonts w:ascii="Times New Roman" w:hAnsi="Times New Roman"/>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75"/>
        <w:gridCol w:w="222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7.7</w:t>
            </w:r>
          </w:p>
        </w:tc>
        <w:tc>
          <w:tcPr>
            <w:tcW w:w="22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and cash equivalents include the following amounts:</w:t>
      </w:r>
    </w:p>
    <w:p>
      <w:pPr>
        <w:pStyle w:val="TextBody"/>
        <w:bidi w:val="0"/>
        <w:spacing w:before="0" w:after="0"/>
        <w:ind w:left="0" w:right="0" w:hanging="0"/>
        <w:jc w:val="both"/>
        <w:rPr>
          <w:caps w:val="false"/>
          <w:smallCaps w:val="false"/>
        </w:rPr>
      </w:pPr>
      <w:r>
        <w:rPr>
          <w:caps w:val="false"/>
          <w:smallCaps w:val="false"/>
        </w:rPr>
        <w:t> </w:t>
      </w:r>
    </w:p>
    <w:tbl>
      <w:tblPr>
        <w:tblW w:w="5543" w:type="dxa"/>
        <w:jc w:val="left"/>
        <w:tblInd w:w="0" w:type="dxa"/>
        <w:tblLayout w:type="fixed"/>
        <w:tblCellMar>
          <w:top w:w="0" w:type="dxa"/>
          <w:left w:w="0" w:type="dxa"/>
          <w:bottom w:w="28" w:type="dxa"/>
          <w:right w:w="0" w:type="dxa"/>
        </w:tblCellMar>
      </w:tblPr>
      <w:tblGrid>
        <w:gridCol w:w="2975"/>
        <w:gridCol w:w="60"/>
        <w:gridCol w:w="105"/>
        <w:gridCol w:w="1039"/>
        <w:gridCol w:w="80"/>
        <w:gridCol w:w="60"/>
        <w:gridCol w:w="90"/>
        <w:gridCol w:w="1054"/>
        <w:gridCol w:w="80"/>
      </w:tblGrid>
      <w:tr>
        <w:trPr/>
        <w:tc>
          <w:tcPr>
            <w:tcW w:w="29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9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4"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Bank balances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29,352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132,947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Deposits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7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Allowance for expected credit losses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97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30,357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132,939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Deposits are balances held with the service provider that processes advance payments received from customers which were mainly received during the crowd-funding campaign in </w:t>
      </w:r>
      <w:r>
        <w:rPr>
          <w:rStyle w:val="Emphasis"/>
          <w:rFonts w:ascii="Times New Roman" w:hAnsi="Times New Roman"/>
          <w:caps w:val="false"/>
          <w:smallCaps w:val="false"/>
          <w:sz w:val="20"/>
        </w:rPr>
        <w:t>December 2022.</w:t>
      </w:r>
    </w:p>
    <w:p>
      <w:pPr>
        <w:pStyle w:val="TextBody"/>
        <w:bidi w:val="0"/>
        <w:spacing w:before="0" w:after="0"/>
        <w:ind w:left="0" w:right="0" w:hanging="0"/>
        <w:jc w:val="both"/>
        <w:rPr/>
      </w:pPr>
      <w:r>
        <w:rPr>
          <w:rFonts w:ascii="Times New Roman" w:hAnsi="Times New Roman"/>
          <w:caps w:val="false"/>
          <w:smallCaps w:val="false"/>
          <w:sz w:val="20"/>
        </w:rPr>
        <w:br/>
        <w:t xml:space="preserve">For details on expected credit losses, please refer to note </w:t>
      </w:r>
      <w:r>
        <w:rPr>
          <w:rStyle w:val="Emphasis"/>
          <w:rFonts w:ascii="Times New Roman" w:hAnsi="Times New Roman"/>
          <w:caps w:val="false"/>
          <w:smallCaps w:val="false"/>
          <w:sz w:val="20"/>
        </w:rPr>
        <w:t>8.1.2</w:t>
      </w:r>
      <w:r>
        <w:rPr>
          <w:rFonts w:ascii="Times New Roman" w:hAnsi="Times New Roman"/>
          <w:caps w:val="false"/>
          <w:smallCaps w:val="false"/>
          <w:sz w:val="20"/>
        </w:rPr>
        <w:t>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65" w:type="dxa"/>
        <w:jc w:val="left"/>
        <w:tblInd w:w="0" w:type="dxa"/>
        <w:tblLayout w:type="fixed"/>
        <w:tblCellMar>
          <w:top w:w="0" w:type="dxa"/>
          <w:left w:w="0" w:type="dxa"/>
          <w:bottom w:w="0" w:type="dxa"/>
          <w:right w:w="0" w:type="dxa"/>
        </w:tblCellMar>
      </w:tblPr>
      <w:tblGrid>
        <w:gridCol w:w="275"/>
        <w:gridCol w:w="59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7.8</w:t>
            </w:r>
          </w:p>
        </w:tc>
        <w:tc>
          <w:tcPr>
            <w:tcW w:w="5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Total equity of Sono Group comprises subscribed capital, capital reserves, other reserves and accumulated deficit. The subscribed capital amounts to kEUR 9,957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8,735) and represents 93,946,073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73,577,641) fully paid-in member shares with a par value of EUR 0.06 (ordinary shares,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EUR 0.06) and EUR 1.50 (high voting shares,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EUR 1.50). Capital reserves include any amounts paid in by the owners that exceed the member shares’ par value. Other reserves include mainly effects from equity-settled stock-options. Accumulated deficit consists of losses from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reporting year, the following events with regard to equity took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N.V. successfully completed a follow-on offering on </w:t>
      </w:r>
      <w:r>
        <w:rPr>
          <w:rStyle w:val="Emphasis"/>
          <w:rFonts w:ascii="Times New Roman" w:hAnsi="Times New Roman"/>
          <w:caps w:val="false"/>
          <w:smallCaps w:val="false"/>
          <w:sz w:val="20"/>
        </w:rPr>
        <w:t xml:space="preserve">May 3, 2022. </w:t>
      </w:r>
      <w:r>
        <w:rPr>
          <w:rFonts w:ascii="Times New Roman" w:hAnsi="Times New Roman"/>
          <w:caps w:val="false"/>
          <w:smallCaps w:val="false"/>
          <w:sz w:val="20"/>
        </w:rPr>
        <w:t xml:space="preserve">The Company offered 10,000,000 ordinary shares with a par value of EUR 0.06 at a price of USD 4.00 each. After considering the partial exercise of the over-allotment option (exercised on </w:t>
      </w:r>
      <w:r>
        <w:rPr>
          <w:rStyle w:val="Emphasis"/>
          <w:rFonts w:ascii="Times New Roman" w:hAnsi="Times New Roman"/>
          <w:caps w:val="false"/>
          <w:smallCaps w:val="false"/>
          <w:sz w:val="20"/>
        </w:rPr>
        <w:t xml:space="preserve">May 11, 2022), </w:t>
      </w:r>
      <w:r>
        <w:rPr>
          <w:rFonts w:ascii="Times New Roman" w:hAnsi="Times New Roman"/>
          <w:caps w:val="false"/>
          <w:smallCaps w:val="false"/>
          <w:sz w:val="20"/>
        </w:rPr>
        <w:t xml:space="preserve">10,930,000 shares have been sold for aggregate consideration of kUSD 41,534 (kEUR 39,346) after underwriting discounts and commissions. In accordance with IAS </w:t>
      </w:r>
      <w:r>
        <w:rPr>
          <w:rStyle w:val="Emphasis"/>
          <w:rFonts w:ascii="Times New Roman" w:hAnsi="Times New Roman"/>
          <w:caps w:val="false"/>
          <w:smallCaps w:val="false"/>
          <w:sz w:val="20"/>
        </w:rPr>
        <w:t>32,</w:t>
      </w:r>
      <w:r>
        <w:rPr>
          <w:rFonts w:ascii="Times New Roman" w:hAnsi="Times New Roman"/>
          <w:caps w:val="false"/>
          <w:smallCaps w:val="false"/>
          <w:sz w:val="20"/>
        </w:rPr>
        <w:t xml:space="preserve"> transaction costs of the follow-on offering were recognized directly in equity in an amount of kEUR 842 as a deduction to capital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13, 2022, </w:t>
      </w:r>
      <w:r>
        <w:rPr>
          <w:rFonts w:ascii="Times New Roman" w:hAnsi="Times New Roman"/>
          <w:caps w:val="false"/>
          <w:smallCaps w:val="false"/>
          <w:sz w:val="20"/>
        </w:rPr>
        <w:t xml:space="preserve">the Ordinary Share Purchase Agreement between the Company and Berenberg was signed. This committed equity facility provides Sono Group with the right, without obligation, to sell and issue up to kUSD 150,000 of its ordinary shares (at a discount to the volume-weighted average price on the date a purchase notice is deemed delivered from the Group to Berenberg) over a period of 24 months to Berenberg at the sole discretion of Sono Group, subject to certain limitations and conditions set out in the respective agreement (including the filing and securing effectiveness of the registration statement)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key limitations being the trading volume of Sono N.V.’s stock. In particular, the terms of the agreement limit the number of shares that Sono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decide to sell to Berenberg on any given day to 20% of the trading volume on such day.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sold to the Investor the total of 8,748,433 ordinary shares for the total gross proceeds of kUSD 17,460 (kEUR 17,254). In accordance with IAS </w:t>
      </w:r>
      <w:r>
        <w:rPr>
          <w:rStyle w:val="Emphasis"/>
          <w:rFonts w:ascii="Times New Roman" w:hAnsi="Times New Roman"/>
          <w:caps w:val="false"/>
          <w:smallCaps w:val="false"/>
          <w:sz w:val="20"/>
        </w:rPr>
        <w:t>32,</w:t>
      </w:r>
      <w:r>
        <w:rPr>
          <w:rFonts w:ascii="Times New Roman" w:hAnsi="Times New Roman"/>
          <w:caps w:val="false"/>
          <w:smallCaps w:val="false"/>
          <w:sz w:val="20"/>
        </w:rPr>
        <w:t xml:space="preserve"> transaction costs were recognized directly in equity in an amount of kEUR 771 as a deduction to capital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7, 2022, </w:t>
      </w:r>
      <w:r>
        <w:rPr>
          <w:rFonts w:ascii="Times New Roman" w:hAnsi="Times New Roman"/>
          <w:caps w:val="false"/>
          <w:smallCaps w:val="false"/>
          <w:sz w:val="20"/>
        </w:rPr>
        <w:t xml:space="preserve">the Company entered into a Securities Purchase Agreement with Yorkville under which the Company agreed to sell and issue to Yorkville convertible debentures in a gross aggregate principal amount of up to kUSD 31,100 (kEUR 29,485). The convertible debentures are convertible into ordinary shares of the Company. The issuance of the convertible debentures and their conversion are subject to certain conditions and limitations set forth in the Securities Purchase Agreement and the individual convertible debentures agreements. For details of these agreements and the resulting financial instruments, see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converted a portion of the loan, including accrued interest, into equity by issuing 275,968 ordinary shares for a notional amount of kUSD 250 (kEUR 234), and a carrying amount of kEUR 286.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Also on </w:t>
      </w:r>
      <w:r>
        <w:rPr>
          <w:rStyle w:val="Emphasis"/>
          <w:rFonts w:ascii="Times New Roman" w:hAnsi="Times New Roman"/>
          <w:caps w:val="false"/>
          <w:smallCaps w:val="false"/>
          <w:sz w:val="20"/>
        </w:rPr>
        <w:t xml:space="preserve">December 7, 2022, </w:t>
      </w:r>
      <w:r>
        <w:rPr>
          <w:rFonts w:ascii="Times New Roman" w:hAnsi="Times New Roman"/>
          <w:caps w:val="false"/>
          <w:smallCaps w:val="false"/>
          <w:sz w:val="20"/>
        </w:rPr>
        <w:t>the Company entered into the ATM Sales Agreement with B. Riley Securities, Inc., Berenberg Capital Markets LLC and Cantor Fitzgerald &amp; Co. (“agents”). The ATM Sales Agreement provides Sono Motors with the right to sell ordinary shares to the agents at the sole discretion of Sono Motors, subject to certain limitations and conditions. To register potential future sales under the ATM Sales Agreement, the Company filed a shelf registration statement on Form F-</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registering up to kUSD 135,000 of shares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sold under ATM Sales Agreement. The issuance and sale, if any, of these shares is subject to the effectiveness of the registration statement. The ATM Sales Agreement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used to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Regarding changes in equity due to share-based compensation see note </w:t>
      </w:r>
      <w:r>
        <w:rPr>
          <w:rStyle w:val="Emphasis"/>
          <w:rFonts w:ascii="Times New Roman" w:hAnsi="Times New Roman"/>
          <w:caps w:val="false"/>
          <w:smallCaps w:val="false"/>
          <w:sz w:val="20"/>
        </w:rPr>
        <w:t>9.3</w:t>
      </w:r>
      <w:r>
        <w:rPr>
          <w:rFonts w:ascii="Times New Roman" w:hAnsi="Times New Roman"/>
          <w:caps w:val="false"/>
          <w:smallCaps w:val="false"/>
          <w:sz w:val="20"/>
        </w:rPr>
        <w:t> Remuneration based on shares (share-based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previous year, the following events with regard to equity took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half of fiscal year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 amount of 68,136 new ordinary shares were issued 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new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the general meeting on </w:t>
      </w:r>
      <w:r>
        <w:rPr>
          <w:rStyle w:val="Emphasis"/>
          <w:rFonts w:ascii="Times New Roman" w:hAnsi="Times New Roman"/>
          <w:caps w:val="false"/>
          <w:smallCaps w:val="false"/>
          <w:sz w:val="20"/>
        </w:rPr>
        <w:t>November 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shareholders of Sono Group agreed to a resolution to issue bonus shares according to which all shareholders of Sono Group received an additional amount of 0.71 ordinary shares with a par value of EUR 0.06 for each share they held at the time, regardless of their voting rights, financed by deducting the nominal amount from capital reserves (in total: 25,468,644 ordinary shares). The stock options from the "Conversion Stock Option Program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were increased in the same proportion. In line with this resolution, the issue of bonus shares was implemented immediately prior to the execution of the Underwriting Agreement related to the IPO between Sono Group and Berenberg Capital Markets LLC and Craig-Hallum Capital Group LLC as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Moreover, the shareholders agreed to extend the authorization of Sono Motors’ Management Board to issue shares in the Company's capital (irrespective of the class concerned) and/or to grant rights to subscribe for those shares up to the authorized share capital as included in the Company's articles of association from time to time and to limit and/or exclude pre-emption rights in relation thereto for a period of another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after the execution of the underwriting agreement. The authorized share capital increased to kEUR 25,200,000 (320,000,000 ordinary shares with a par value of EUR 0.06 and 4,000,000 high-voting shares with a par value of EUR 1.50). A portion of the authorized share capital is reserved to convert the Yorkville convertible debentures by issuing shares. The shareholders also agreed to extend the resolution for the Company to acquire fully paid-up shares (irrespective of the class concerned) and/or depository receipts for those shares for another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months after the execution of the underwriting agreement. The underwriting agreement was executed on </w:t>
      </w:r>
      <w:r>
        <w:rPr>
          <w:rStyle w:val="Emphasis"/>
          <w:rFonts w:ascii="Times New Roman" w:hAnsi="Times New Roman"/>
          <w:caps w:val="false"/>
          <w:smallCaps w:val="false"/>
          <w:sz w:val="20"/>
        </w:rPr>
        <w:t>November 16,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IPO on </w:t>
      </w:r>
      <w:r>
        <w:rPr>
          <w:rStyle w:val="Emphasis"/>
          <w:rFonts w:ascii="Times New Roman" w:hAnsi="Times New Roman"/>
          <w:caps w:val="false"/>
          <w:smallCaps w:val="false"/>
          <w:sz w:val="20"/>
        </w:rPr>
        <w:t>November 17,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Sono Group offered 10,000,000 ordinary shares with a par value of EUR 0.06 at a price of USD 15.00 each. The underwriters had an additional greenshoe option to 1,500,000 ordinary shares with a par value of EUR 0.06 at a price of USD 13.95 each. All offered shares were sold and the underwriters exercised their greenshoe option. In total, Sono Group raised kUSD 160,425 (kEUR 142,334) through the IPO, after underwriting discounts and commissions. In accordance with IAS </w:t>
      </w:r>
      <w:r>
        <w:rPr>
          <w:rStyle w:val="Emphasis"/>
          <w:rFonts w:ascii="Times New Roman" w:hAnsi="Times New Roman"/>
          <w:caps w:val="false"/>
          <w:smallCaps w:val="false"/>
          <w:sz w:val="20"/>
        </w:rPr>
        <w:t>32,</w:t>
      </w:r>
      <w:r>
        <w:rPr>
          <w:rFonts w:ascii="Times New Roman" w:hAnsi="Times New Roman"/>
          <w:caps w:val="false"/>
          <w:smallCaps w:val="false"/>
          <w:sz w:val="20"/>
        </w:rPr>
        <w:t xml:space="preserve"> further transaction costs of the IPO were recognized directly in equity as a deduction from capital reserves. The total amount of IPO-related transactions costs deducted from capital reserves is kEUR 2,825.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Upon the IPO, the mandatory convertible notes issued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(carrying amount: kEUR 9,661) were fully converted into equity. The investors of the mandatory convertible notes received a total of 737,664 ordinary shares with a par value of EUR 0.06 per share. For further details on the mandatory convertible notes, see note </w:t>
      </w:r>
      <w:r>
        <w:rPr>
          <w:rStyle w:val="Emphasis"/>
          <w:rFonts w:ascii="Times New Roman" w:hAnsi="Times New Roman"/>
          <w:caps w:val="false"/>
          <w:smallCaps w:val="false"/>
          <w:sz w:val="20"/>
        </w:rPr>
        <w:t>7.10.1</w:t>
      </w:r>
      <w:r>
        <w:rPr>
          <w:rFonts w:ascii="Times New Roman" w:hAnsi="Times New Roman"/>
          <w:caps w:val="false"/>
          <w:smallCaps w:val="false"/>
          <w:sz w:val="20"/>
        </w:rPr>
        <w:t> Financial liabilities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conditional settlement payment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owners of Sono N.V. was due upon completion of the IPO. The corresponding liability was debited to other reserves (please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Financial liabilities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Regarding changes in equity due to share-based compensation see note </w:t>
      </w:r>
      <w:r>
        <w:rPr>
          <w:rStyle w:val="Emphasis"/>
          <w:rFonts w:ascii="Times New Roman" w:hAnsi="Times New Roman"/>
          <w:caps w:val="false"/>
          <w:smallCaps w:val="false"/>
          <w:sz w:val="20"/>
        </w:rPr>
        <w:t>9.3</w:t>
      </w:r>
      <w:r>
        <w:rPr>
          <w:rFonts w:ascii="Times New Roman" w:hAnsi="Times New Roman"/>
          <w:caps w:val="false"/>
          <w:smallCaps w:val="false"/>
          <w:sz w:val="20"/>
        </w:rPr>
        <w:t> Remuneration based on shares (share-based payment).</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75"/>
        <w:gridCol w:w="378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7.9</w:t>
            </w:r>
          </w:p>
        </w:tc>
        <w:tc>
          <w:tcPr>
            <w:tcW w:w="3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Advance payments received from customers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Advance payments received from customers are VAT exclusive and include the following amounts:</w:t>
      </w:r>
    </w:p>
    <w:p>
      <w:pPr>
        <w:pStyle w:val="TextBody"/>
        <w:bidi w:val="0"/>
        <w:spacing w:before="0" w:after="0"/>
        <w:ind w:left="0" w:right="0" w:hanging="0"/>
        <w:jc w:val="left"/>
        <w:rPr>
          <w:caps w:val="false"/>
          <w:smallCaps w:val="false"/>
        </w:rPr>
      </w:pPr>
      <w:r>
        <w:rPr>
          <w:caps w:val="false"/>
          <w:smallCaps w:val="false"/>
        </w:rPr>
        <w:t> </w:t>
      </w:r>
    </w:p>
    <w:tbl>
      <w:tblPr>
        <w:tblW w:w="7183" w:type="dxa"/>
        <w:jc w:val="left"/>
        <w:tblInd w:w="0" w:type="dxa"/>
        <w:tblLayout w:type="fixed"/>
        <w:tblCellMar>
          <w:top w:w="0" w:type="dxa"/>
          <w:left w:w="0" w:type="dxa"/>
          <w:bottom w:w="28" w:type="dxa"/>
          <w:right w:w="0" w:type="dxa"/>
        </w:tblCellMar>
      </w:tblPr>
      <w:tblGrid>
        <w:gridCol w:w="4655"/>
        <w:gridCol w:w="60"/>
        <w:gridCol w:w="105"/>
        <w:gridCol w:w="1039"/>
        <w:gridCol w:w="60"/>
        <w:gridCol w:w="60"/>
        <w:gridCol w:w="105"/>
        <w:gridCol w:w="1039"/>
        <w:gridCol w:w="60"/>
      </w:tblGrid>
      <w:tr>
        <w:trPr/>
        <w:tc>
          <w:tcPr>
            <w:tcW w:w="46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6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6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65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 advance payments received from customers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65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Non-current - advance payments received from customers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49,288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44,756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5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49,642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44,756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Depending on the general terms and conditions, in some cases, a cancellation by the customer was possible in less than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Customers could provide their advance payments in several installments, the latest of which determines the applicable cancellation policy.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for customers who made their latest installment on or before </w:t>
      </w:r>
      <w:r>
        <w:rPr>
          <w:rStyle w:val="Emphasis"/>
          <w:rFonts w:ascii="Times New Roman" w:hAnsi="Times New Roman"/>
          <w:caps w:val="false"/>
          <w:smallCaps w:val="false"/>
          <w:sz w:val="20"/>
        </w:rPr>
        <w:t xml:space="preserve">November 25, 2020, </w:t>
      </w:r>
      <w:r>
        <w:rPr>
          <w:rFonts w:ascii="Times New Roman" w:hAnsi="Times New Roman"/>
          <w:caps w:val="false"/>
          <w:smallCaps w:val="false"/>
          <w:sz w:val="20"/>
        </w:rPr>
        <w:t xml:space="preserve">cancellation was possible at any time. For customers who made their latest installment later than </w:t>
      </w:r>
      <w:r>
        <w:rPr>
          <w:rStyle w:val="Emphasis"/>
          <w:rFonts w:ascii="Times New Roman" w:hAnsi="Times New Roman"/>
          <w:caps w:val="false"/>
          <w:smallCaps w:val="false"/>
          <w:sz w:val="20"/>
        </w:rPr>
        <w:t xml:space="preserve">November 25, 2020, </w:t>
      </w:r>
      <w:r>
        <w:rPr>
          <w:rFonts w:ascii="Times New Roman" w:hAnsi="Times New Roman"/>
          <w:caps w:val="false"/>
          <w:smallCaps w:val="false"/>
          <w:sz w:val="20"/>
        </w:rPr>
        <w:t xml:space="preserve">but before </w:t>
      </w:r>
      <w:r>
        <w:rPr>
          <w:rStyle w:val="Emphasis"/>
          <w:rFonts w:ascii="Times New Roman" w:hAnsi="Times New Roman"/>
          <w:caps w:val="false"/>
          <w:smallCaps w:val="false"/>
          <w:sz w:val="20"/>
        </w:rPr>
        <w:t>November 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cancellation was possible on </w:t>
      </w:r>
      <w:r>
        <w:rPr>
          <w:rStyle w:val="Emphasis"/>
          <w:rFonts w:ascii="Times New Roman" w:hAnsi="Times New Roman"/>
          <w:caps w:val="false"/>
          <w:smallCaps w:val="false"/>
          <w:sz w:val="20"/>
        </w:rPr>
        <w:t xml:space="preserve">August 1, 2023, </w:t>
      </w:r>
      <w:r>
        <w:rPr>
          <w:rFonts w:ascii="Times New Roman" w:hAnsi="Times New Roman"/>
          <w:caps w:val="false"/>
          <w:smallCaps w:val="false"/>
          <w:sz w:val="20"/>
        </w:rPr>
        <w:t xml:space="preserve">or later. For customers who made their latest installment on or after </w:t>
      </w:r>
      <w:r>
        <w:rPr>
          <w:rStyle w:val="Emphasis"/>
          <w:rFonts w:ascii="Times New Roman" w:hAnsi="Times New Roman"/>
          <w:caps w:val="false"/>
          <w:smallCaps w:val="false"/>
          <w:sz w:val="20"/>
        </w:rPr>
        <w:t>November 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cancellation was possible on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or later. Deviating from these conditions, in </w:t>
      </w:r>
      <w:r>
        <w:rPr>
          <w:rStyle w:val="Emphasis"/>
          <w:rFonts w:ascii="Times New Roman" w:hAnsi="Times New Roman"/>
          <w:caps w:val="false"/>
          <w:smallCaps w:val="false"/>
          <w:sz w:val="20"/>
        </w:rPr>
        <w:t xml:space="preserve">November 2020, </w:t>
      </w:r>
      <w:r>
        <w:rPr>
          <w:rFonts w:ascii="Times New Roman" w:hAnsi="Times New Roman"/>
          <w:caps w:val="false"/>
          <w:smallCaps w:val="false"/>
          <w:sz w:val="20"/>
        </w:rPr>
        <w:t xml:space="preserve">Sono Group approached all German-speaking customers that had made their latest installment during the crowdfunding campaign from </w:t>
      </w:r>
      <w:r>
        <w:rPr>
          <w:rStyle w:val="Emphasis"/>
          <w:rFonts w:ascii="Times New Roman" w:hAnsi="Times New Roman"/>
          <w:caps w:val="false"/>
          <w:smallCaps w:val="false"/>
          <w:sz w:val="20"/>
        </w:rPr>
        <w:t xml:space="preserve">December 1, 2019, </w:t>
      </w:r>
      <w:r>
        <w:rPr>
          <w:rFonts w:ascii="Times New Roman" w:hAnsi="Times New Roman"/>
          <w:caps w:val="false"/>
          <w:smallCaps w:val="false"/>
          <w:sz w:val="20"/>
        </w:rPr>
        <w:t xml:space="preserve">until and including </w:t>
      </w:r>
      <w:r>
        <w:rPr>
          <w:rStyle w:val="Emphasis"/>
          <w:rFonts w:ascii="Times New Roman" w:hAnsi="Times New Roman"/>
          <w:caps w:val="false"/>
          <w:smallCaps w:val="false"/>
          <w:sz w:val="20"/>
        </w:rPr>
        <w:t xml:space="preserve">January 20, 2020, </w:t>
      </w:r>
      <w:r>
        <w:rPr>
          <w:rFonts w:ascii="Times New Roman" w:hAnsi="Times New Roman"/>
          <w:caps w:val="false"/>
          <w:smallCaps w:val="false"/>
          <w:sz w:val="20"/>
        </w:rPr>
        <w:t xml:space="preserve">and asked them to accept a change in the terms and conditions to waive their cancellation right until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In effect, those customers who accepted the change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cancel their advance payment on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or later. For customers who increased their reservation during the recent crowdfunding campaign, between </w:t>
      </w:r>
      <w:r>
        <w:rPr>
          <w:rStyle w:val="Emphasis"/>
          <w:rFonts w:ascii="Times New Roman" w:hAnsi="Times New Roman"/>
          <w:caps w:val="false"/>
          <w:smallCaps w:val="false"/>
          <w:sz w:val="20"/>
        </w:rPr>
        <w:t xml:space="preserve">December 8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then accepted terms and conditions were designed to supersede the original terms and conditions from the original reservation. For those customers, cancellation was deemed to be possible on </w:t>
      </w:r>
      <w:r>
        <w:rPr>
          <w:rStyle w:val="Emphasis"/>
          <w:rFonts w:ascii="Times New Roman" w:hAnsi="Times New Roman"/>
          <w:caps w:val="false"/>
          <w:smallCaps w:val="false"/>
          <w:sz w:val="20"/>
        </w:rPr>
        <w:t>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current portion of the liability is and represents the cancellation requests received from customers who were eligible to cancel their reservations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and therefore needs to be repaid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17% of the total advanced payments were cancelable, 31% were cancelable from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9% were cancelable from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 xml:space="preserve">5% were cancelable from </w:t>
      </w:r>
      <w:r>
        <w:rPr>
          <w:rStyle w:val="Emphasis"/>
          <w:rFonts w:ascii="Times New Roman" w:hAnsi="Times New Roman"/>
          <w:caps w:val="false"/>
          <w:smallCaps w:val="false"/>
          <w:sz w:val="20"/>
        </w:rPr>
        <w:t xml:space="preserve">January 01, 2024 </w:t>
      </w:r>
      <w:r>
        <w:rPr>
          <w:rFonts w:ascii="Times New Roman" w:hAnsi="Times New Roman"/>
          <w:caps w:val="false"/>
          <w:smallCaps w:val="false"/>
          <w:sz w:val="20"/>
        </w:rPr>
        <w:t xml:space="preserve">and 39% were cancelable from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percentages calculated are based on the nominal values of the advance payments excluding IFRS adjustments (interest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10% were cancelable, 18% were cancelable as of </w:t>
      </w:r>
      <w:r>
        <w:rPr>
          <w:rStyle w:val="Emphasis"/>
          <w:rFonts w:ascii="Times New Roman" w:hAnsi="Times New Roman"/>
          <w:caps w:val="false"/>
          <w:smallCaps w:val="false"/>
          <w:sz w:val="20"/>
        </w:rPr>
        <w:t xml:space="preserve">January 1, 2022, </w:t>
      </w:r>
      <w:r>
        <w:rPr>
          <w:rFonts w:ascii="Times New Roman" w:hAnsi="Times New Roman"/>
          <w:caps w:val="false"/>
          <w:smallCaps w:val="false"/>
          <w:sz w:val="20"/>
        </w:rPr>
        <w:t xml:space="preserve">58% were cancelable from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13% were cancelable from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 xml:space="preserve">and 1% were cancelable from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percentages calculated are based on the nominal values of the advance payments excluding IFRS adjustments (interest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shows the changes in the advance payments received from customers: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6"/>
        <w:gridCol w:w="60"/>
        <w:gridCol w:w="128"/>
        <w:gridCol w:w="1283"/>
        <w:gridCol w:w="60"/>
        <w:gridCol w:w="60"/>
        <w:gridCol w:w="91"/>
        <w:gridCol w:w="739"/>
        <w:gridCol w:w="60"/>
        <w:gridCol w:w="60"/>
        <w:gridCol w:w="94"/>
        <w:gridCol w:w="856"/>
        <w:gridCol w:w="80"/>
        <w:gridCol w:w="60"/>
        <w:gridCol w:w="86"/>
        <w:gridCol w:w="705"/>
        <w:gridCol w:w="60"/>
        <w:gridCol w:w="60"/>
        <w:gridCol w:w="230"/>
        <w:gridCol w:w="1527"/>
        <w:gridCol w:w="80"/>
        <w:gridCol w:w="60"/>
        <w:gridCol w:w="137"/>
        <w:gridCol w:w="1377"/>
        <w:gridCol w:w="66"/>
      </w:tblGrid>
      <w:tr>
        <w:trPr/>
        <w:tc>
          <w:tcPr>
            <w:tcW w:w="21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1"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 as of Jan.1,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Repayment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 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57"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Reclassification to current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14"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 as of Dec. 31, 2022</w:t>
            </w:r>
          </w:p>
        </w:tc>
        <w:tc>
          <w:tcPr>
            <w:tcW w:w="66" w:type="dxa"/>
            <w:tcBorders/>
            <w:vAlign w:val="center"/>
          </w:tcPr>
          <w:p>
            <w:pPr>
              <w:pStyle w:val="TableContents"/>
              <w:bidi w:val="0"/>
              <w:spacing w:before="0" w:after="283"/>
              <w:jc w:val="left"/>
              <w:rPr/>
            </w:pPr>
            <w:r>
              <w:rPr/>
              <w:t> </w:t>
            </w:r>
          </w:p>
        </w:tc>
      </w:tr>
      <w:tr>
        <w:trPr/>
        <w:tc>
          <w:tcPr>
            <w:tcW w:w="2186"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141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83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95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79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175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151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6"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r>
      <w:tr>
        <w:trPr/>
        <w:tc>
          <w:tcPr>
            <w:tcW w:w="21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5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77"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r>
      <w:tr>
        <w:trPr/>
        <w:tc>
          <w:tcPr>
            <w:tcW w:w="2186"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Advance payments received from customers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49,288</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44,756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49,288</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67" w:type="dxa"/>
        <w:jc w:val="left"/>
        <w:tblInd w:w="0" w:type="dxa"/>
        <w:tblLayout w:type="fixed"/>
        <w:tblCellMar>
          <w:top w:w="0" w:type="dxa"/>
          <w:left w:w="0" w:type="dxa"/>
          <w:bottom w:w="0" w:type="dxa"/>
          <w:right w:w="0" w:type="dxa"/>
        </w:tblCellMar>
      </w:tblPr>
      <w:tblGrid>
        <w:gridCol w:w="3575"/>
        <w:gridCol w:w="60"/>
        <w:gridCol w:w="100"/>
        <w:gridCol w:w="999"/>
        <w:gridCol w:w="60"/>
        <w:gridCol w:w="60"/>
        <w:gridCol w:w="91"/>
        <w:gridCol w:w="739"/>
        <w:gridCol w:w="60"/>
        <w:gridCol w:w="60"/>
        <w:gridCol w:w="125"/>
        <w:gridCol w:w="825"/>
        <w:gridCol w:w="80"/>
        <w:gridCol w:w="60"/>
        <w:gridCol w:w="104"/>
        <w:gridCol w:w="845"/>
        <w:gridCol w:w="60"/>
        <w:gridCol w:w="60"/>
        <w:gridCol w:w="104"/>
        <w:gridCol w:w="1040"/>
        <w:gridCol w:w="60"/>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Repayment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 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 as of</w:t>
            </w:r>
          </w:p>
        </w:tc>
        <w:tc>
          <w:tcPr>
            <w:tcW w:w="60" w:type="dxa"/>
            <w:tcBorders/>
            <w:vAlign w:val="center"/>
          </w:tcPr>
          <w:p>
            <w:pPr>
              <w:pStyle w:val="TableContents"/>
              <w:bidi w:val="0"/>
              <w:spacing w:before="0" w:after="283"/>
              <w:jc w:val="left"/>
              <w:rPr/>
            </w:pPr>
            <w:r>
              <w:rPr/>
              <w:t> </w:t>
            </w:r>
          </w:p>
        </w:tc>
      </w:tr>
      <w:tr>
        <w:trPr/>
        <w:tc>
          <w:tcPr>
            <w:tcW w:w="357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1, 2021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tcMar>
              <w:bottom w:w="28" w:type="dxa"/>
            </w:tcMar>
            <w:vAlign w:val="center"/>
          </w:tcPr>
          <w:p>
            <w:pPr>
              <w:pStyle w:val="TableContents"/>
              <w:bidi w:val="0"/>
              <w:spacing w:before="0" w:after="283"/>
              <w:jc w:val="left"/>
              <w:rPr/>
            </w:pPr>
            <w:r>
              <w:rPr/>
              <w:t> </w:t>
            </w:r>
          </w:p>
        </w:tc>
        <w:tc>
          <w:tcPr>
            <w:tcW w:w="739"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825"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7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575"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Advance payments received from customers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44,756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the decision was taken to restructure and terminate the Sion program. For the effect of this event on future financial periods, please see the note </w:t>
      </w:r>
      <w:r>
        <w:rPr>
          <w:rStyle w:val="Emphasis"/>
          <w:rFonts w:ascii="Times New Roman" w:hAnsi="Times New Roman"/>
          <w:caps w:val="false"/>
          <w:smallCaps w:val="false"/>
          <w:sz w:val="20"/>
        </w:rPr>
        <w:t>9.7.</w:t>
      </w:r>
      <w:r>
        <w:rPr>
          <w:rFonts w:ascii="Times New Roman" w:hAnsi="Times New Roman"/>
          <w:caps w:val="false"/>
          <w:smallCaps w:val="false"/>
          <w:sz w:val="20"/>
        </w:rPr>
        <w:t xml:space="preserve">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050" w:type="dxa"/>
        <w:jc w:val="left"/>
        <w:tblInd w:w="0" w:type="dxa"/>
        <w:tblLayout w:type="fixed"/>
        <w:tblCellMar>
          <w:top w:w="0" w:type="dxa"/>
          <w:left w:w="0" w:type="dxa"/>
          <w:bottom w:w="0" w:type="dxa"/>
          <w:right w:w="0" w:type="dxa"/>
        </w:tblCellMar>
      </w:tblPr>
      <w:tblGrid>
        <w:gridCol w:w="380"/>
        <w:gridCol w:w="1670"/>
      </w:tblGrid>
      <w:tr>
        <w:trPr/>
        <w:tc>
          <w:tcPr>
            <w:tcW w:w="38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7.10</w:t>
            </w:r>
          </w:p>
        </w:tc>
        <w:tc>
          <w:tcPr>
            <w:tcW w:w="16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liabilities</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530"/>
        <w:gridCol w:w="2495"/>
      </w:tblGrid>
      <w:tr>
        <w:trPr/>
        <w:tc>
          <w:tcPr>
            <w:tcW w:w="53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7.10.1</w:t>
            </w:r>
          </w:p>
        </w:tc>
        <w:tc>
          <w:tcPr>
            <w:tcW w:w="24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liabilities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shows the changes in loans and participation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04"/>
        <w:gridCol w:w="60"/>
        <w:gridCol w:w="60"/>
        <w:gridCol w:w="485"/>
        <w:gridCol w:w="80"/>
        <w:gridCol w:w="60"/>
        <w:gridCol w:w="67"/>
        <w:gridCol w:w="448"/>
        <w:gridCol w:w="80"/>
        <w:gridCol w:w="60"/>
        <w:gridCol w:w="174"/>
        <w:gridCol w:w="1417"/>
        <w:gridCol w:w="80"/>
        <w:gridCol w:w="60"/>
        <w:gridCol w:w="147"/>
        <w:gridCol w:w="1347"/>
        <w:gridCol w:w="80"/>
        <w:gridCol w:w="60"/>
        <w:gridCol w:w="151"/>
        <w:gridCol w:w="1502"/>
        <w:gridCol w:w="80"/>
        <w:gridCol w:w="60"/>
        <w:gridCol w:w="106"/>
        <w:gridCol w:w="964"/>
        <w:gridCol w:w="80"/>
        <w:gridCol w:w="60"/>
        <w:gridCol w:w="60"/>
        <w:gridCol w:w="590"/>
        <w:gridCol w:w="83"/>
      </w:tblGrid>
      <w:tr>
        <w:trPr/>
        <w:tc>
          <w:tcPr>
            <w:tcW w:w="1704" w:type="dxa"/>
            <w:tcBorders>
              <w:bottom w:val="single" w:sz="2" w:space="0" w:color="000000"/>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Nominal amounts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Loan</w:t>
              <w:br/>
              <w:t>1</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Loan</w:t>
              <w:br/>
              <w:t>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1"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Subordinated</w:t>
              <w:br/>
              <w:t>loans (crowd-funding)</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4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Mandatory convertible</w:t>
              <w:br/>
              <w:t>Notes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53"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Convertible debentures**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Participation</w:t>
              <w:br/>
              <w:t>rights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3" w:type="dxa"/>
            <w:tcBorders>
              <w:bottom w:val="single" w:sz="2" w:space="0" w:color="000000"/>
            </w:tcBorders>
            <w:vAlign w:val="center"/>
          </w:tcPr>
          <w:p>
            <w:pPr>
              <w:pStyle w:val="TableContents"/>
              <w:bidi w:val="0"/>
              <w:spacing w:before="0" w:after="283"/>
              <w:jc w:val="left"/>
              <w:rPr/>
            </w:pPr>
            <w:r>
              <w:rPr/>
              <w:t> </w:t>
            </w:r>
          </w:p>
        </w:tc>
      </w:tr>
      <w:tr>
        <w:trPr/>
        <w:tc>
          <w:tcPr>
            <w:tcW w:w="1704"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1"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4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653"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3" w:type="dxa"/>
            <w:tcBorders>
              <w:bottom w:val="single" w:sz="2" w:space="0" w:color="000000"/>
            </w:tcBorders>
            <w:vAlign w:val="center"/>
          </w:tcPr>
          <w:p>
            <w:pPr>
              <w:pStyle w:val="TableContents"/>
              <w:bidi w:val="0"/>
              <w:spacing w:before="0" w:after="283"/>
              <w:jc w:val="left"/>
              <w:rPr/>
            </w:pPr>
            <w:r>
              <w:rPr/>
              <w:t> </w:t>
            </w:r>
          </w:p>
        </w:tc>
      </w:tr>
      <w:tr>
        <w:trPr/>
        <w:tc>
          <w:tcPr>
            <w:tcW w:w="1704"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Jan. 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1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134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ind w:left="0" w:right="0" w:hanging="0"/>
              <w:jc w:val="left"/>
              <w:rPr/>
            </w:pPr>
            <w:r>
              <w:rPr/>
              <w:t> </w:t>
            </w:r>
          </w:p>
        </w:tc>
        <w:tc>
          <w:tcPr>
            <w:tcW w:w="150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9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12,784</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1704"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Addition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1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134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ind w:left="0" w:right="0" w:hanging="0"/>
              <w:jc w:val="left"/>
              <w:rPr/>
            </w:pPr>
            <w:r>
              <w:rPr/>
              <w:t> </w:t>
            </w:r>
          </w:p>
        </w:tc>
        <w:tc>
          <w:tcPr>
            <w:tcW w:w="150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1704"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Accrued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1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134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ind w:left="0" w:right="0" w:hanging="0"/>
              <w:jc w:val="left"/>
              <w:rPr/>
            </w:pPr>
            <w:r>
              <w:rPr/>
              <w:t> </w:t>
            </w:r>
          </w:p>
        </w:tc>
        <w:tc>
          <w:tcPr>
            <w:tcW w:w="150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9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1704"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Repayment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1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134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ind w:left="0" w:right="0" w:hanging="0"/>
              <w:jc w:val="left"/>
              <w:rPr/>
            </w:pPr>
            <w:r>
              <w:rPr/>
              <w:t> </w:t>
            </w:r>
          </w:p>
        </w:tc>
        <w:tc>
          <w:tcPr>
            <w:tcW w:w="150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(1,435</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(2,475</w:t>
            </w:r>
          </w:p>
        </w:tc>
        <w:tc>
          <w:tcPr>
            <w:tcW w:w="8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704"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Conversion to equity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4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0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(6,800</w:t>
            </w:r>
          </w:p>
        </w:tc>
        <w:tc>
          <w:tcPr>
            <w:tcW w:w="8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704"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4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0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3,785</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04"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Addition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1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134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ind w:left="0" w:right="0" w:hanging="0"/>
              <w:jc w:val="left"/>
              <w:rPr/>
            </w:pPr>
            <w:r>
              <w:rPr/>
              <w:t> </w:t>
            </w:r>
          </w:p>
        </w:tc>
        <w:tc>
          <w:tcPr>
            <w:tcW w:w="150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29,485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9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29,485</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1704"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Accrued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448"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1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134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ind w:left="0" w:right="0" w:hanging="0"/>
              <w:jc w:val="left"/>
              <w:rPr/>
            </w:pPr>
            <w:r>
              <w:rPr/>
              <w:t> </w:t>
            </w:r>
          </w:p>
        </w:tc>
        <w:tc>
          <w:tcPr>
            <w:tcW w:w="150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1704"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1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134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ind w:left="0" w:right="0" w:hanging="0"/>
              <w:jc w:val="left"/>
              <w:rPr/>
            </w:pPr>
            <w:r>
              <w:rPr/>
              <w:t> </w:t>
            </w:r>
          </w:p>
        </w:tc>
        <w:tc>
          <w:tcPr>
            <w:tcW w:w="150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9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w:t>
            </w:r>
          </w:p>
        </w:tc>
        <w:tc>
          <w:tcPr>
            <w:tcW w:w="8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704"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Effect of currency translation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1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134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ind w:left="0" w:right="0" w:hanging="0"/>
              <w:jc w:val="left"/>
              <w:rPr/>
            </w:pPr>
            <w:r>
              <w:rPr/>
              <w:t> </w:t>
            </w:r>
          </w:p>
        </w:tc>
        <w:tc>
          <w:tcPr>
            <w:tcW w:w="150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96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w:t>
            </w:r>
          </w:p>
        </w:tc>
        <w:tc>
          <w:tcPr>
            <w:tcW w:w="8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704"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Conversion to equity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jc w:val="left"/>
              <w:rPr/>
            </w:pPr>
            <w:r>
              <w:rPr/>
              <w:t> </w:t>
            </w:r>
          </w:p>
        </w:tc>
        <w:tc>
          <w:tcPr>
            <w:tcW w:w="448" w:type="dxa"/>
            <w:tcBorders>
              <w:bottom w:val="single" w:sz="2" w:space="0" w:color="000000"/>
            </w:tcBorders>
            <w:shd w:fill="CCEEFF" w:val="clear"/>
            <w:vAlign w:val="center"/>
          </w:tcPr>
          <w:p>
            <w:pPr>
              <w:pStyle w:val="TableContents"/>
              <w:bidi w:val="0"/>
              <w:spacing w:before="0" w:after="283"/>
              <w:jc w:val="left"/>
              <w:rPr>
                <w:sz w:val="4"/>
                <w:szCs w:val="4"/>
              </w:rPr>
            </w:pPr>
            <w:r>
              <w:rPr>
                <w:sz w:val="4"/>
                <w:szCs w:val="4"/>
              </w:rPr>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4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0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w:t>
            </w:r>
          </w:p>
        </w:tc>
        <w:tc>
          <w:tcPr>
            <w:tcW w:w="8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704"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jc w:val="left"/>
              <w:rPr/>
            </w:pPr>
            <w:r>
              <w:rPr/>
              <w:t> </w:t>
            </w:r>
          </w:p>
        </w:tc>
        <w:tc>
          <w:tcPr>
            <w:tcW w:w="448" w:type="dxa"/>
            <w:tcBorders>
              <w:bottom w:val="single" w:sz="2" w:space="0" w:color="000000"/>
            </w:tcBorders>
            <w:shd w:fill="FFFFFF" w:val="clear"/>
            <w:vAlign w:val="center"/>
          </w:tcPr>
          <w:p>
            <w:pPr>
              <w:pStyle w:val="TableContents"/>
              <w:bidi w:val="0"/>
              <w:spacing w:before="0" w:after="283"/>
              <w:jc w:val="left"/>
              <w:rPr>
                <w:sz w:val="4"/>
                <w:szCs w:val="4"/>
              </w:rPr>
            </w:pPr>
            <w:r>
              <w:rPr>
                <w:sz w:val="4"/>
                <w:szCs w:val="4"/>
              </w:rPr>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4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0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28,986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32,804</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w:t>
            </w:r>
          </w:p>
        </w:tc>
        <w:tc>
          <w:tcPr>
            <w:tcW w:w="10008" w:type="dxa"/>
            <w:tcBorders/>
            <w:vAlign w:val="center"/>
          </w:tcPr>
          <w:p>
            <w:pPr>
              <w:pStyle w:val="TableContents"/>
              <w:bidi w:val="0"/>
              <w:spacing w:before="0" w:after="283"/>
              <w:jc w:val="left"/>
              <w:rPr/>
            </w:pPr>
            <w:r>
              <w:rPr/>
              <w:t>including nominal interest accrued in previous periods if applicable</w:t>
            </w:r>
          </w:p>
        </w:tc>
      </w:tr>
      <w:tr>
        <w:trPr/>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08"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amounts are translated into kEUR, the original nominal amount was kUSD 31,100; amounts presented are the sum of the host contracts, embedded derivatives and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87"/>
        <w:gridCol w:w="60"/>
        <w:gridCol w:w="60"/>
        <w:gridCol w:w="485"/>
        <w:gridCol w:w="80"/>
        <w:gridCol w:w="60"/>
        <w:gridCol w:w="67"/>
        <w:gridCol w:w="448"/>
        <w:gridCol w:w="80"/>
        <w:gridCol w:w="60"/>
        <w:gridCol w:w="173"/>
        <w:gridCol w:w="1413"/>
        <w:gridCol w:w="80"/>
        <w:gridCol w:w="60"/>
        <w:gridCol w:w="146"/>
        <w:gridCol w:w="1340"/>
        <w:gridCol w:w="80"/>
        <w:gridCol w:w="60"/>
        <w:gridCol w:w="144"/>
        <w:gridCol w:w="1439"/>
        <w:gridCol w:w="80"/>
        <w:gridCol w:w="60"/>
        <w:gridCol w:w="106"/>
        <w:gridCol w:w="964"/>
        <w:gridCol w:w="80"/>
        <w:gridCol w:w="60"/>
        <w:gridCol w:w="60"/>
        <w:gridCol w:w="590"/>
        <w:gridCol w:w="83"/>
      </w:tblGrid>
      <w:tr>
        <w:trPr/>
        <w:tc>
          <w:tcPr>
            <w:tcW w:w="1787" w:type="dxa"/>
            <w:tcBorders>
              <w:bottom w:val="single" w:sz="2" w:space="0" w:color="000000"/>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Carrying amounts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Loan</w:t>
              <w:br/>
              <w:t>1</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Loan</w:t>
              <w:br/>
              <w:t>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8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Subordinated</w:t>
              <w:br/>
              <w:t>loans (crowd-funding)</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48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Mandatory convertible</w:t>
              <w:br/>
              <w:t>Notes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83"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Convertible debentures*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Participation</w:t>
              <w:br/>
              <w:t>rights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3" w:type="dxa"/>
            <w:tcBorders>
              <w:bottom w:val="single" w:sz="2" w:space="0" w:color="000000"/>
            </w:tcBorders>
            <w:vAlign w:val="center"/>
          </w:tcPr>
          <w:p>
            <w:pPr>
              <w:pStyle w:val="TableContents"/>
              <w:bidi w:val="0"/>
              <w:spacing w:before="0" w:after="283"/>
              <w:jc w:val="left"/>
              <w:rPr/>
            </w:pPr>
            <w:r>
              <w:rPr/>
              <w:t> </w:t>
            </w:r>
          </w:p>
        </w:tc>
      </w:tr>
      <w:tr>
        <w:trPr/>
        <w:tc>
          <w:tcPr>
            <w:tcW w:w="1787"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8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48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83"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3" w:type="dxa"/>
            <w:tcBorders>
              <w:bottom w:val="single" w:sz="2" w:space="0" w:color="000000"/>
            </w:tcBorders>
            <w:vAlign w:val="center"/>
          </w:tcPr>
          <w:p>
            <w:pPr>
              <w:pStyle w:val="TableContents"/>
              <w:bidi w:val="0"/>
              <w:spacing w:before="0" w:after="283"/>
              <w:jc w:val="left"/>
              <w:rPr/>
            </w:pPr>
            <w:r>
              <w:rPr/>
              <w:t> </w:t>
            </w:r>
          </w:p>
        </w:tc>
      </w:tr>
      <w:tr>
        <w:trPr/>
        <w:tc>
          <w:tcPr>
            <w:tcW w:w="17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1439"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964"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83" w:type="dxa"/>
            <w:tcBorders/>
            <w:tcMar>
              <w:bottom w:w="0" w:type="dxa"/>
            </w:tcMar>
            <w:vAlign w:val="center"/>
          </w:tcPr>
          <w:p>
            <w:pPr>
              <w:pStyle w:val="TableContents"/>
              <w:bidi w:val="0"/>
              <w:spacing w:before="0" w:after="283"/>
              <w:jc w:val="left"/>
              <w:rPr/>
            </w:pPr>
            <w:r>
              <w:rPr/>
              <w:t> </w:t>
            </w:r>
          </w:p>
        </w:tc>
      </w:tr>
      <w:tr>
        <w:trPr/>
        <w:tc>
          <w:tcPr>
            <w:tcW w:w="1787"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Jan. 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141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pPr>
            <w:r>
              <w:rPr/>
              <w:t> </w:t>
            </w:r>
          </w:p>
        </w:tc>
        <w:tc>
          <w:tcPr>
            <w:tcW w:w="13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1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9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12,766</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1787"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Initial recognition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141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34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14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1787"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Subsequent measurement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141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pPr>
            <w:r>
              <w:rPr/>
              <w:t> </w:t>
            </w:r>
          </w:p>
        </w:tc>
        <w:tc>
          <w:tcPr>
            <w:tcW w:w="13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1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9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2,936</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1787"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Derecognition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141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34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14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(1,436</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(2,291</w:t>
            </w:r>
          </w:p>
        </w:tc>
        <w:tc>
          <w:tcPr>
            <w:tcW w:w="8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787"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Conversion to equity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1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(9,661</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(9,661</w:t>
            </w:r>
          </w:p>
        </w:tc>
        <w:tc>
          <w:tcPr>
            <w:tcW w:w="8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787"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1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3,750</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87"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Initial recognition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141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pPr>
            <w:r>
              <w:rPr/>
              <w:t> </w:t>
            </w:r>
          </w:p>
        </w:tc>
        <w:tc>
          <w:tcPr>
            <w:tcW w:w="13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1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9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28,354</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1787"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Subsequent measurement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141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34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14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905</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1787"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Derecognition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141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pPr>
            <w:r>
              <w:rPr/>
              <w:t> </w:t>
            </w:r>
          </w:p>
        </w:tc>
        <w:tc>
          <w:tcPr>
            <w:tcW w:w="13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1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96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8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787"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Effect of currency translation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141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34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14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96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8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787"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Conversion to equity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1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w:t>
            </w:r>
          </w:p>
        </w:tc>
        <w:tc>
          <w:tcPr>
            <w:tcW w:w="8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787"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1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28,448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32,241</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125"/>
        <w:gridCol w:w="8330"/>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33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amounts presented are the sum of the host contracts, embedded derivatives and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Loan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Loan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consists of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individual loans with an aggregate nominal value of kEUR 1,225, and interest rate of 4% p.a. and a maturity 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For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of these loans,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Sono Group agreed with the lender to accrue interest without compounding instead of paying out interest each year. At the end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loan holders that requested the interest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Loan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Loan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included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loans with a nominal value of kEUR 185 and kEUR 100, respectively, and an annual interest rate of 4% p.a. each. These loans were repayable including interest at maturity in </w:t>
      </w:r>
      <w:r>
        <w:rPr>
          <w:rStyle w:val="Emphasis"/>
          <w:rFonts w:ascii="Times New Roman" w:hAnsi="Times New Roman"/>
          <w:caps w:val="false"/>
          <w:smallCaps w:val="false"/>
          <w:sz w:val="20"/>
        </w:rPr>
        <w:t>December 2020.</w:t>
      </w:r>
      <w:r>
        <w:rPr>
          <w:rFonts w:ascii="Times New Roman" w:hAnsi="Times New Roman"/>
          <w:caps w:val="false"/>
          <w:smallCaps w:val="false"/>
          <w:sz w:val="20"/>
        </w:rPr>
        <w:t xml:space="preserve"> The loan with the nominal amount of kEUR 185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repaid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but was paid back on </w:t>
      </w:r>
      <w:r>
        <w:rPr>
          <w:rStyle w:val="Emphasis"/>
          <w:rFonts w:ascii="Times New Roman" w:hAnsi="Times New Roman"/>
          <w:caps w:val="false"/>
          <w:smallCaps w:val="false"/>
          <w:sz w:val="20"/>
        </w:rPr>
        <w:t>January 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Subordinated loans (crowdfunding)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These loans consisted of several crowdfunding loans with interest rates of 6% p.a. and different terms, varying between less than one year and up to 4 years. The issuing period ended in </w:t>
      </w:r>
      <w:r>
        <w:rPr>
          <w:rStyle w:val="Emphasis"/>
          <w:rFonts w:ascii="Times New Roman" w:hAnsi="Times New Roman"/>
          <w:caps w:val="false"/>
          <w:smallCaps w:val="false"/>
          <w:sz w:val="20"/>
        </w:rPr>
        <w:t>December 2020.</w:t>
      </w:r>
      <w:r>
        <w:rPr>
          <w:rFonts w:ascii="Times New Roman" w:hAnsi="Times New Roman"/>
          <w:caps w:val="false"/>
          <w:smallCaps w:val="false"/>
          <w:sz w:val="20"/>
        </w:rPr>
        <w:t xml:space="preserve"> The last repayment is due </w:t>
      </w:r>
      <w:r>
        <w:rPr>
          <w:rStyle w:val="Emphasis"/>
          <w:rFonts w:ascii="Times New Roman" w:hAnsi="Times New Roman"/>
          <w:caps w:val="false"/>
          <w:smallCaps w:val="false"/>
          <w:sz w:val="20"/>
        </w:rPr>
        <w:t>November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Mandatory convertible notes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Sono Group issued mandatory convertible notes with a nominal value of kEUR 6,800. According to the contract, conversion was mandatory upon the occurrence of certain events, including, an IPO of Sono Group. Upon the successful IPO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these notes (carrying amount: kEUR 9,661) were fully converted into equity (for details on the IPO, please refer to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General information and note </w:t>
      </w:r>
      <w:r>
        <w:rPr>
          <w:rStyle w:val="Emphasis"/>
          <w:rFonts w:ascii="Times New Roman" w:hAnsi="Times New Roman"/>
          <w:caps w:val="false"/>
          <w:smallCaps w:val="false"/>
          <w:sz w:val="20"/>
        </w:rPr>
        <w:t>7.8</w:t>
      </w:r>
      <w:r>
        <w:rPr>
          <w:rFonts w:ascii="Times New Roman" w:hAnsi="Times New Roman"/>
          <w:caps w:val="false"/>
          <w:smallCaps w:val="false"/>
          <w:sz w:val="20"/>
        </w:rPr>
        <w:t xml:space="preserve"> Equity). The investors of the mandatory convertible notes received a total of 737,664 ordinary shares with a par value of EUR 0.06 per share. The par value of the shares (kEUR 44) was recognized in subscribed capital, while the remainder (kEUR 9,617) was recognized in capital reserves. Accordingly, the financial liability relating to the notes was derecognized.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b/>
          <w:caps w:val="false"/>
          <w:smallCaps w:val="false"/>
          <w:sz w:val="20"/>
        </w:rPr>
        <w:t>onvertible debentures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7, 2022, December 8,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20, 2022,  </w:t>
      </w:r>
      <w:r>
        <w:rPr>
          <w:rFonts w:ascii="Times New Roman" w:hAnsi="Times New Roman"/>
          <w:caps w:val="false"/>
          <w:smallCaps w:val="false"/>
          <w:sz w:val="20"/>
        </w:rPr>
        <w:t xml:space="preserve">the Company issued convertible debentures to Yorkville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tranches with an aggregate nominal amount of kUSD 31,100 (kEUR 29,485) and an interest rate of 4% p.a. (12% p.a. upon event of default or “triggering event”). The convertible debentures are convertible into ordinary shares of the Company. The number of ordinary shares issuable upon conversion is determined by dividing the conversion amount (portion of principal and/or accrued interest to be converted) by the conversion price. The conversion price is the lower of USD 1.75 and 96.5% of the minimum daily volume-weighted average price on the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trading days before conversion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lower than the Floor Price of USD 0.15.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Any conversion is subject to certain limitations and conditions, including that Yorkville shall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the right to convert any portion of the debentures or receive ordinary shares that would result in it and its affiliates beneficially owing in excess of 4.99% of the number of ordinary shares outstanding immediately after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Further limitations are the trading volume, the conversion price of the shares, and the conversion amount. A minimum conversion amount of kUSD 2,500 should be converted per calendar month except in the event of default or if the daily VWAP is below USD 0.15 for the defined period (triggering event). The monthly amount of principal to be converted,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exceed the higher of 20% of the monthly dollar trading volume of Sono Group’s ordinary shares or kUSD 5,000 of principal amount of the debentures except in the event of default or with respect to conversions utilizing the “fixed conversion price” of USD 1.75.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converted (either partially or in whole), the convertible debentures are repayable, including interest, at maturity 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In case the contractually defined “triggering event” occurs the outstanding principal balance at that time will be due in equal monthly installments over the remaining life of the debentures (including accrued interest (increased to 12% p.a.) and a 6% payment premium). The agreement is subject to several default event clauses, which could accelerate 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contractual rights, in particular the conversion rights, can lead to changed cash flows and represent embedded derivatives, so that the contracts each consist of a host contract and embedded derivatives as financial instruments. The embedded derivatives (measured at FVTPL) are separated from the host (measured at amortized cost) and accounted for separately, as the economic characteristics and risks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closely related to the host. The conversion rights of the convertible debentures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equity instrument but a liability, as the conversion features of the loan lead to a conversion into a variable number of shares. The conversion features and any other options provided for in the contracts of the convertible debentures that have to be bifurcated are treated as a combined embedded derivative as they share the same risk exposure and are interdependent. As the fair value of the convertible debentures (total fair values of the host contract and embedded derivatives) differed from the transaction price at initial recognition, this difference was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 The carrying amount of the host contracts and embedded derivatives are presented in the same financial statement line item net of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were amortized pro rata on a straight-line basis until end of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as expected date for the last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21, 2022, </w:t>
      </w:r>
      <w:r>
        <w:rPr>
          <w:rFonts w:ascii="Times New Roman" w:hAnsi="Times New Roman"/>
          <w:caps w:val="false"/>
          <w:smallCaps w:val="false"/>
          <w:sz w:val="20"/>
        </w:rPr>
        <w:t>the Company converted a portion of the nominal and accrued interest amount, kUSD 250 (kEUR 234) into equity by issuing 275,968 ordinary shares. The converted portion was deducted pro rata from the carrying amount of the host contract and the embedded derivatives (in total kEUR 286).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Participation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Between </w:t>
      </w:r>
      <w:r>
        <w:rPr>
          <w:rStyle w:val="Emphasis"/>
          <w:rFonts w:ascii="Times New Roman" w:hAnsi="Times New Roman"/>
          <w:caps w:val="false"/>
          <w:smallCaps w:val="false"/>
          <w:sz w:val="20"/>
        </w:rPr>
        <w:t>October 2018</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November 2019,</w:t>
      </w:r>
      <w:r>
        <w:rPr>
          <w:rFonts w:ascii="Times New Roman" w:hAnsi="Times New Roman"/>
          <w:caps w:val="false"/>
          <w:smallCaps w:val="false"/>
          <w:sz w:val="20"/>
        </w:rPr>
        <w:t xml:space="preserve"> Sono Motors issued participation rights with a total face value of kEUR 1,383 that bore a fixed interest rate of 3.5% p.a., plus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bonus payment at maturity of 0.52% p.a. of the face value for each 1,000 cars reserved by potential customers between </w:t>
      </w:r>
      <w:r>
        <w:rPr>
          <w:rStyle w:val="Emphasis"/>
          <w:rFonts w:ascii="Times New Roman" w:hAnsi="Times New Roman"/>
          <w:caps w:val="false"/>
          <w:smallCaps w:val="false"/>
          <w:sz w:val="20"/>
        </w:rPr>
        <w:t>October 18,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More than 2,000 reservations were made during that period; as of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 xml:space="preserve">the carrying amount of the liability includes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bonus payment. The participation rights including the bonus payment were repaid in full in </w:t>
      </w:r>
      <w:r>
        <w:rPr>
          <w:rStyle w:val="Emphasis"/>
          <w:rFonts w:ascii="Times New Roman" w:hAnsi="Times New Roman"/>
          <w:caps w:val="false"/>
          <w:smallCaps w:val="false"/>
          <w:sz w:val="20"/>
        </w:rPr>
        <w:t>2021.</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530"/>
        <w:gridCol w:w="2675"/>
      </w:tblGrid>
      <w:tr>
        <w:trPr/>
        <w:tc>
          <w:tcPr>
            <w:tcW w:w="53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7.10.2</w:t>
            </w:r>
          </w:p>
        </w:tc>
        <w:tc>
          <w:tcPr>
            <w:tcW w:w="26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Noncurrent financial liabilities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on items included in other noncurrent financial liabilities:</w:t>
      </w:r>
    </w:p>
    <w:p>
      <w:pPr>
        <w:pStyle w:val="TextBody"/>
        <w:bidi w:val="0"/>
        <w:spacing w:before="0" w:after="0"/>
        <w:ind w:left="0" w:right="0" w:hanging="0"/>
        <w:jc w:val="left"/>
        <w:rPr>
          <w:caps w:val="false"/>
          <w:smallCaps w:val="false"/>
        </w:rPr>
      </w:pPr>
      <w:r>
        <w:rPr>
          <w:caps w:val="false"/>
          <w:smallCaps w:val="false"/>
        </w:rPr>
        <w:t> </w:t>
      </w:r>
    </w:p>
    <w:tbl>
      <w:tblPr>
        <w:tblW w:w="3838" w:type="dxa"/>
        <w:jc w:val="left"/>
        <w:tblInd w:w="0" w:type="dxa"/>
        <w:tblLayout w:type="fixed"/>
        <w:tblCellMar>
          <w:top w:w="0" w:type="dxa"/>
          <w:left w:w="0" w:type="dxa"/>
          <w:bottom w:w="28" w:type="dxa"/>
          <w:right w:w="0" w:type="dxa"/>
        </w:tblCellMar>
      </w:tblPr>
      <w:tblGrid>
        <w:gridCol w:w="1310"/>
        <w:gridCol w:w="60"/>
        <w:gridCol w:w="126"/>
        <w:gridCol w:w="1018"/>
        <w:gridCol w:w="60"/>
        <w:gridCol w:w="60"/>
        <w:gridCol w:w="126"/>
        <w:gridCol w:w="1018"/>
        <w:gridCol w:w="60"/>
      </w:tblGrid>
      <w:tr>
        <w:trPr/>
        <w:tc>
          <w:tcPr>
            <w:tcW w:w="131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31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31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310"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310"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further details regarding the conditions of the other noncurrent financial liabilities, we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530"/>
        <w:gridCol w:w="2330"/>
      </w:tblGrid>
      <w:tr>
        <w:trPr/>
        <w:tc>
          <w:tcPr>
            <w:tcW w:w="53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7.10.3</w:t>
            </w:r>
          </w:p>
        </w:tc>
        <w:tc>
          <w:tcPr>
            <w:tcW w:w="23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financial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on items included in current financial liabilities:</w:t>
      </w:r>
    </w:p>
    <w:p>
      <w:pPr>
        <w:pStyle w:val="TextBody"/>
        <w:bidi w:val="0"/>
        <w:spacing w:before="0" w:after="0"/>
        <w:ind w:left="0" w:right="0" w:hanging="0"/>
        <w:jc w:val="left"/>
        <w:rPr>
          <w:caps w:val="false"/>
          <w:smallCaps w:val="false"/>
        </w:rPr>
      </w:pPr>
      <w:r>
        <w:rPr>
          <w:caps w:val="false"/>
          <w:smallCaps w:val="false"/>
        </w:rPr>
        <w:t> </w:t>
      </w:r>
    </w:p>
    <w:tbl>
      <w:tblPr>
        <w:tblW w:w="3838" w:type="dxa"/>
        <w:jc w:val="left"/>
        <w:tblInd w:w="0" w:type="dxa"/>
        <w:tblLayout w:type="fixed"/>
        <w:tblCellMar>
          <w:top w:w="0" w:type="dxa"/>
          <w:left w:w="0" w:type="dxa"/>
          <w:bottom w:w="28" w:type="dxa"/>
          <w:right w:w="0" w:type="dxa"/>
        </w:tblCellMar>
      </w:tblPr>
      <w:tblGrid>
        <w:gridCol w:w="1310"/>
        <w:gridCol w:w="60"/>
        <w:gridCol w:w="105"/>
        <w:gridCol w:w="1039"/>
        <w:gridCol w:w="60"/>
        <w:gridCol w:w="60"/>
        <w:gridCol w:w="173"/>
        <w:gridCol w:w="971"/>
        <w:gridCol w:w="60"/>
      </w:tblGrid>
      <w:tr>
        <w:trPr/>
        <w:tc>
          <w:tcPr>
            <w:tcW w:w="131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31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31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97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310"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310"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further details regarding the conditions of the other financial liabilities, we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940" w:type="dxa"/>
        <w:jc w:val="left"/>
        <w:tblInd w:w="0" w:type="dxa"/>
        <w:tblLayout w:type="fixed"/>
        <w:tblCellMar>
          <w:top w:w="0" w:type="dxa"/>
          <w:left w:w="0" w:type="dxa"/>
          <w:bottom w:w="0" w:type="dxa"/>
          <w:right w:w="0" w:type="dxa"/>
        </w:tblCellMar>
      </w:tblPr>
      <w:tblGrid>
        <w:gridCol w:w="380"/>
        <w:gridCol w:w="3560"/>
      </w:tblGrid>
      <w:tr>
        <w:trPr/>
        <w:tc>
          <w:tcPr>
            <w:tcW w:w="38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7.11</w:t>
            </w:r>
          </w:p>
        </w:tc>
        <w:tc>
          <w:tcPr>
            <w:tcW w:w="35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Other noncurrent non-financial liabilities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other non-current non-financial liabilities as of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kEUR 469;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kEUR -) relate to government grants for long-term projects. Sono Group N.V. has received a grant from the European Climate, Infrastructure and Environmental Executive Agency (CINEA) for the development of electric vehicles and smart charging infrastructure. The project will enable and facilitate the mass deployment of electric vehicles and the accompanying smart charging infrastructure. Sono Group N.V. has received pre financing, the purpose of which is to provide the beneficiary with a float. Due to grant conditions and duration of the project, the pre-financing is classified as non-current liability as the completion of the grant conditions or the potential repayment if the grant conditions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isn’t expected to occur within a year of </w:t>
      </w:r>
      <w:r>
        <w:rPr>
          <w:rStyle w:val="Emphasis"/>
          <w:rFonts w:ascii="Times New Roman" w:hAnsi="Times New Roman"/>
          <w:caps w:val="false"/>
          <w:smallCaps w:val="false"/>
          <w:sz w:val="20"/>
        </w:rPr>
        <w:t>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This project is affected by the termination of the Sion. For further details see </w:t>
      </w:r>
      <w:r>
        <w:rPr>
          <w:rStyle w:val="Emphasis"/>
          <w:rFonts w:ascii="Times New Roman" w:hAnsi="Times New Roman"/>
          <w:caps w:val="false"/>
          <w:smallCaps w:val="false"/>
          <w:sz w:val="20"/>
        </w:rPr>
        <w:t>9.7.1</w:t>
      </w:r>
      <w:r>
        <w:rPr>
          <w:rFonts w:ascii="Times New Roman" w:hAnsi="Times New Roman"/>
          <w:caps w:val="false"/>
          <w:smallCaps w:val="false"/>
          <w:sz w:val="20"/>
        </w:rPr>
        <w:t xml:space="preserve"> Termination of Sion passenger car program.    </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380"/>
        <w:gridCol w:w="2195"/>
      </w:tblGrid>
      <w:tr>
        <w:trPr/>
        <w:tc>
          <w:tcPr>
            <w:tcW w:w="38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7.12</w:t>
            </w:r>
          </w:p>
        </w:tc>
        <w:tc>
          <w:tcPr>
            <w:tcW w:w="21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Trade and other payables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on items included in trade and other payables:</w:t>
      </w:r>
    </w:p>
    <w:p>
      <w:pPr>
        <w:pStyle w:val="TextBody"/>
        <w:bidi w:val="0"/>
        <w:spacing w:before="0" w:after="0"/>
        <w:ind w:left="0" w:right="0" w:hanging="0"/>
        <w:jc w:val="left"/>
        <w:rPr>
          <w:caps w:val="false"/>
          <w:smallCaps w:val="false"/>
        </w:rPr>
      </w:pPr>
      <w:r>
        <w:rPr>
          <w:caps w:val="false"/>
          <w:smallCaps w:val="false"/>
        </w:rPr>
        <w:t> </w:t>
      </w:r>
    </w:p>
    <w:tbl>
      <w:tblPr>
        <w:tblW w:w="4183" w:type="dxa"/>
        <w:jc w:val="left"/>
        <w:tblInd w:w="0" w:type="dxa"/>
        <w:tblLayout w:type="fixed"/>
        <w:tblCellMar>
          <w:top w:w="0" w:type="dxa"/>
          <w:left w:w="0" w:type="dxa"/>
          <w:bottom w:w="28" w:type="dxa"/>
          <w:right w:w="0" w:type="dxa"/>
        </w:tblCellMar>
      </w:tblPr>
      <w:tblGrid>
        <w:gridCol w:w="1550"/>
        <w:gridCol w:w="60"/>
        <w:gridCol w:w="105"/>
        <w:gridCol w:w="1039"/>
        <w:gridCol w:w="60"/>
        <w:gridCol w:w="60"/>
        <w:gridCol w:w="137"/>
        <w:gridCol w:w="1112"/>
        <w:gridCol w:w="60"/>
      </w:tblGrid>
      <w:tr>
        <w:trPr/>
        <w:tc>
          <w:tcPr>
            <w:tcW w:w="155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5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11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55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Trade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pPr>
            <w:r>
              <w:rPr/>
              <w:t> </w:t>
            </w:r>
          </w:p>
        </w:tc>
        <w:tc>
          <w:tcPr>
            <w:tcW w:w="111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5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ind w:left="0" w:right="0" w:hanging="0"/>
              <w:jc w:val="left"/>
              <w:rPr/>
            </w:pPr>
            <w:r>
              <w:rPr/>
              <w:t> </w:t>
            </w:r>
          </w:p>
        </w:tc>
        <w:tc>
          <w:tcPr>
            <w:tcW w:w="111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50"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Contract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1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50"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1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 Certain amounts have been reclassified to conform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Contract liabilities represent advance payments received from solar customers, for which the performance obligation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satisfied. Sono Group N.V. expects to recognize revenue within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therefore, it is classified as a current liability. Trade and other payables increased in line with purchases mainly in the area of development associated with the deployment of </w:t>
      </w:r>
      <w:r>
        <w:rPr>
          <w:rStyle w:val="Emphasis"/>
          <w:rFonts w:ascii="Times New Roman" w:hAnsi="Times New Roman"/>
          <w:caps w:val="false"/>
          <w:smallCaps w:val="false"/>
          <w:sz w:val="20"/>
        </w:rPr>
        <w:t>SVC3</w:t>
      </w:r>
      <w:r>
        <w:rPr>
          <w:rFonts w:ascii="Times New Roman" w:hAnsi="Times New Roman"/>
          <w:caps w:val="false"/>
          <w:smallCaps w:val="false"/>
          <w:sz w:val="20"/>
        </w:rPr>
        <w:t xml:space="preserve"> prototype.</w:t>
      </w:r>
    </w:p>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425"/>
        <w:gridCol w:w="203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7.13</w:t>
            </w:r>
            <w:r>
              <w:rPr>
                <w:rFonts w:ascii="Times New Roman" w:hAnsi="Times New Roman"/>
                <w:b/>
                <w:caps w:val="false"/>
                <w:smallCaps w:val="false"/>
                <w:sz w:val="20"/>
              </w:rPr>
              <w:t xml:space="preserve"> </w:t>
            </w:r>
          </w:p>
        </w:tc>
        <w:tc>
          <w:tcPr>
            <w:tcW w:w="20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other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details on items included in other current liabilities:</w:t>
      </w:r>
    </w:p>
    <w:p>
      <w:pPr>
        <w:pStyle w:val="TextBody"/>
        <w:bidi w:val="0"/>
        <w:spacing w:before="0" w:after="0"/>
        <w:ind w:left="0" w:right="0" w:hanging="0"/>
        <w:jc w:val="left"/>
        <w:rPr>
          <w:caps w:val="false"/>
          <w:smallCaps w:val="false"/>
        </w:rPr>
      </w:pPr>
      <w:r>
        <w:rPr>
          <w:caps w:val="false"/>
          <w:smallCaps w:val="false"/>
        </w:rPr>
        <w:t> </w:t>
      </w:r>
    </w:p>
    <w:tbl>
      <w:tblPr>
        <w:tblW w:w="7288" w:type="dxa"/>
        <w:jc w:val="left"/>
        <w:tblInd w:w="0" w:type="dxa"/>
        <w:tblLayout w:type="fixed"/>
        <w:tblCellMar>
          <w:top w:w="0" w:type="dxa"/>
          <w:left w:w="0" w:type="dxa"/>
          <w:bottom w:w="28" w:type="dxa"/>
          <w:right w:w="0" w:type="dxa"/>
        </w:tblCellMar>
      </w:tblPr>
      <w:tblGrid>
        <w:gridCol w:w="4655"/>
        <w:gridCol w:w="60"/>
        <w:gridCol w:w="126"/>
        <w:gridCol w:w="1018"/>
        <w:gridCol w:w="60"/>
        <w:gridCol w:w="60"/>
        <w:gridCol w:w="137"/>
        <w:gridCol w:w="1112"/>
        <w:gridCol w:w="60"/>
      </w:tblGrid>
      <w:tr>
        <w:trPr/>
        <w:tc>
          <w:tcPr>
            <w:tcW w:w="46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6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6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11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Accruals and deferrals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pPr>
            <w:r>
              <w:rPr/>
              <w:t> </w:t>
            </w:r>
          </w:p>
        </w:tc>
        <w:tc>
          <w:tcPr>
            <w:tcW w:w="111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Employee tax liabilities (wage and church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ind w:left="0" w:right="0" w:hanging="0"/>
              <w:jc w:val="left"/>
              <w:rPr/>
            </w:pPr>
            <w:r>
              <w:rPr/>
              <w:t> </w:t>
            </w:r>
          </w:p>
        </w:tc>
        <w:tc>
          <w:tcPr>
            <w:tcW w:w="111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Tax liabilities (taxes and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pPr>
            <w:r>
              <w:rPr/>
              <w:t> </w:t>
            </w:r>
          </w:p>
        </w:tc>
        <w:tc>
          <w:tcPr>
            <w:tcW w:w="111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employee benefit liabilities (incl. social security)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ind w:left="0" w:right="0" w:hanging="0"/>
              <w:jc w:val="left"/>
              <w:rPr/>
            </w:pPr>
            <w:r>
              <w:rPr/>
              <w:t> </w:t>
            </w:r>
          </w:p>
        </w:tc>
        <w:tc>
          <w:tcPr>
            <w:tcW w:w="111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Miscellaneous other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1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65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1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 Certain amounts have been reclassified to conform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345" w:type="dxa"/>
        <w:jc w:val="left"/>
        <w:tblInd w:w="0" w:type="dxa"/>
        <w:tblLayout w:type="fixed"/>
        <w:tblCellMar>
          <w:top w:w="0" w:type="dxa"/>
          <w:left w:w="0" w:type="dxa"/>
          <w:bottom w:w="0" w:type="dxa"/>
          <w:right w:w="0" w:type="dxa"/>
        </w:tblCellMar>
      </w:tblPr>
      <w:tblGrid>
        <w:gridCol w:w="425"/>
        <w:gridCol w:w="92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7.14</w:t>
            </w:r>
            <w:r>
              <w:rPr>
                <w:rFonts w:ascii="Times New Roman" w:hAnsi="Times New Roman"/>
                <w:b/>
                <w:caps w:val="false"/>
                <w:smallCaps w:val="false"/>
                <w:sz w:val="20"/>
              </w:rPr>
              <w:t xml:space="preserve"> </w:t>
            </w:r>
          </w:p>
        </w:tc>
        <w:tc>
          <w:tcPr>
            <w:tcW w:w="9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information on the movements and carrying amounts of provisions over the course of the reporting period.</w:t>
      </w:r>
    </w:p>
    <w:p>
      <w:pPr>
        <w:pStyle w:val="TextBody"/>
        <w:bidi w:val="0"/>
        <w:spacing w:before="0" w:after="0"/>
        <w:ind w:left="0" w:right="0" w:hanging="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1715"/>
        <w:gridCol w:w="60"/>
        <w:gridCol w:w="119"/>
        <w:gridCol w:w="980"/>
        <w:gridCol w:w="60"/>
        <w:gridCol w:w="60"/>
        <w:gridCol w:w="60"/>
        <w:gridCol w:w="545"/>
        <w:gridCol w:w="80"/>
        <w:gridCol w:w="60"/>
        <w:gridCol w:w="342"/>
        <w:gridCol w:w="458"/>
        <w:gridCol w:w="60"/>
        <w:gridCol w:w="60"/>
        <w:gridCol w:w="91"/>
        <w:gridCol w:w="739"/>
        <w:gridCol w:w="60"/>
        <w:gridCol w:w="60"/>
        <w:gridCol w:w="123"/>
        <w:gridCol w:w="1021"/>
        <w:gridCol w:w="60"/>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Usage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Reversals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 as of</w:t>
            </w:r>
          </w:p>
        </w:tc>
        <w:tc>
          <w:tcPr>
            <w:tcW w:w="60" w:type="dxa"/>
            <w:tcBorders/>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2" w:type="dxa"/>
            <w:tcBorders>
              <w:bottom w:val="single" w:sz="2" w:space="0" w:color="000000"/>
            </w:tcBorders>
            <w:tcMar>
              <w:bottom w:w="28" w:type="dxa"/>
            </w:tcMar>
            <w:vAlign w:val="center"/>
          </w:tcPr>
          <w:p>
            <w:pPr>
              <w:pStyle w:val="TableContents"/>
              <w:bidi w:val="0"/>
              <w:spacing w:before="0" w:after="283"/>
              <w:jc w:val="left"/>
              <w:rPr/>
            </w:pPr>
            <w:r>
              <w:rPr/>
              <w:t> </w:t>
            </w:r>
          </w:p>
        </w:tc>
        <w:tc>
          <w:tcPr>
            <w:tcW w:w="458"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tcMar>
              <w:bottom w:w="28" w:type="dxa"/>
            </w:tcMar>
            <w:vAlign w:val="center"/>
          </w:tcPr>
          <w:p>
            <w:pPr>
              <w:pStyle w:val="TableContents"/>
              <w:bidi w:val="0"/>
              <w:spacing w:before="0" w:after="283"/>
              <w:jc w:val="left"/>
              <w:rPr/>
            </w:pPr>
            <w:r>
              <w:rPr/>
              <w:t> </w:t>
            </w:r>
          </w:p>
        </w:tc>
        <w:tc>
          <w:tcPr>
            <w:tcW w:w="739"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provisions</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Personnel provisions</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ind w:left="0" w:right="0" w:hanging="0"/>
              <w:jc w:val="left"/>
              <w:rPr/>
            </w:pPr>
            <w:r>
              <w:rPr/>
              <w:t> </w:t>
            </w:r>
          </w:p>
        </w:tc>
        <w:tc>
          <w:tcPr>
            <w:tcW w:w="4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shd w:fill="FFFFFF" w:val="clear"/>
            <w:tcMar>
              <w:bottom w:w="28"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1715"/>
        <w:gridCol w:w="60"/>
        <w:gridCol w:w="166"/>
        <w:gridCol w:w="933"/>
        <w:gridCol w:w="60"/>
        <w:gridCol w:w="60"/>
        <w:gridCol w:w="67"/>
        <w:gridCol w:w="448"/>
        <w:gridCol w:w="80"/>
        <w:gridCol w:w="60"/>
        <w:gridCol w:w="342"/>
        <w:gridCol w:w="458"/>
        <w:gridCol w:w="60"/>
        <w:gridCol w:w="60"/>
        <w:gridCol w:w="91"/>
        <w:gridCol w:w="739"/>
        <w:gridCol w:w="60"/>
        <w:gridCol w:w="60"/>
        <w:gridCol w:w="123"/>
        <w:gridCol w:w="1021"/>
        <w:gridCol w:w="60"/>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Usage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Reversals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 as of</w:t>
            </w:r>
          </w:p>
        </w:tc>
        <w:tc>
          <w:tcPr>
            <w:tcW w:w="60" w:type="dxa"/>
            <w:tcBorders/>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1, 2021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tcMar>
              <w:bottom w:w="28" w:type="dxa"/>
            </w:tcMar>
            <w:vAlign w:val="center"/>
          </w:tcPr>
          <w:p>
            <w:pPr>
              <w:pStyle w:val="TableContents"/>
              <w:bidi w:val="0"/>
              <w:spacing w:before="0" w:after="283"/>
              <w:jc w:val="left"/>
              <w:rPr/>
            </w:pPr>
            <w:r>
              <w:rPr/>
              <w:t> </w:t>
            </w:r>
          </w:p>
        </w:tc>
        <w:tc>
          <w:tcPr>
            <w:tcW w:w="448"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2" w:type="dxa"/>
            <w:tcBorders>
              <w:bottom w:val="single" w:sz="2" w:space="0" w:color="000000"/>
            </w:tcBorders>
            <w:tcMar>
              <w:bottom w:w="28" w:type="dxa"/>
            </w:tcMar>
            <w:vAlign w:val="center"/>
          </w:tcPr>
          <w:p>
            <w:pPr>
              <w:pStyle w:val="TableContents"/>
              <w:bidi w:val="0"/>
              <w:spacing w:before="0" w:after="283"/>
              <w:jc w:val="left"/>
              <w:rPr/>
            </w:pPr>
            <w:r>
              <w:rPr/>
              <w:t> </w:t>
            </w:r>
          </w:p>
        </w:tc>
        <w:tc>
          <w:tcPr>
            <w:tcW w:w="458"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tcMar>
              <w:bottom w:w="28" w:type="dxa"/>
            </w:tcMar>
            <w:vAlign w:val="center"/>
          </w:tcPr>
          <w:p>
            <w:pPr>
              <w:pStyle w:val="TableContents"/>
              <w:bidi w:val="0"/>
              <w:spacing w:before="0" w:after="283"/>
              <w:jc w:val="left"/>
              <w:rPr/>
            </w:pPr>
            <w:r>
              <w:rPr/>
              <w:t> </w:t>
            </w:r>
          </w:p>
        </w:tc>
        <w:tc>
          <w:tcPr>
            <w:tcW w:w="739"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provisions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4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ind w:left="0" w:right="0" w:hanging="0"/>
              <w:jc w:val="left"/>
              <w:rPr/>
            </w:pPr>
            <w:r>
              <w:rPr/>
              <w:t> </w:t>
            </w:r>
          </w:p>
        </w:tc>
        <w:tc>
          <w:tcPr>
            <w:tcW w:w="4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Personnel provisions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4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ind w:left="0" w:right="0" w:hanging="0"/>
              <w:jc w:val="left"/>
              <w:rPr/>
            </w:pPr>
            <w:r>
              <w:rPr/>
              <w:t> </w:t>
            </w:r>
          </w:p>
        </w:tc>
        <w:tc>
          <w:tcPr>
            <w:tcW w:w="4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shd w:fill="FFFFFF" w:val="clear"/>
            <w:tcMar>
              <w:bottom w:w="28"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current provisions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mainly relates to services to prepare consolidated annual financial statements in accordance with IFRS and services provided by the independent auditor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2,017;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2,137), and a legal case with an employee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kEUR </w:t>
      </w:r>
      <w:r>
        <w:rPr>
          <w:rStyle w:val="Emphasis"/>
          <w:rFonts w:ascii="Times New Roman" w:hAnsi="Times New Roman"/>
          <w:caps w:val="false"/>
          <w:smallCaps w:val="false"/>
          <w:sz w:val="20"/>
        </w:rPr>
        <w:t>287;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 included in personnel provisions. In </w:t>
      </w:r>
      <w:r>
        <w:rPr>
          <w:rStyle w:val="Emphasis"/>
          <w:rFonts w:ascii="Times New Roman" w:hAnsi="Times New Roman"/>
          <w:caps w:val="false"/>
          <w:smallCaps w:val="false"/>
          <w:sz w:val="20"/>
        </w:rPr>
        <w:t xml:space="preserve">February 2022, </w:t>
      </w:r>
      <w:r>
        <w:rPr>
          <w:rFonts w:ascii="Times New Roman" w:hAnsi="Times New Roman"/>
          <w:caps w:val="false"/>
          <w:smallCaps w:val="false"/>
          <w:sz w:val="20"/>
        </w:rPr>
        <w:t xml:space="preserve">a former employee filed a claim in court against Sono Motors GmbH. The former employee asserts that the termination of his employment relationship by us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justified and seeks re-employment. In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 xml:space="preserve">the former employee expanded the claims to recover certain benefits, which he claims to have a value of kEUR 14,200. Sono Group calculated a provision of kEUR 287 relating to the claim for certain benefits and recognized this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the court decided that the termination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justified and the person was employed again. The court rejected the claims to recover certain benefits, and as of the balance sheet date it was assessed that an appeal was likely. 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the employee filed an appeal against this part of the court’s decision. In </w:t>
      </w:r>
      <w:r>
        <w:rPr>
          <w:rStyle w:val="Emphasis"/>
          <w:rFonts w:ascii="Times New Roman" w:hAnsi="Times New Roman"/>
          <w:caps w:val="false"/>
          <w:smallCaps w:val="false"/>
          <w:sz w:val="20"/>
        </w:rPr>
        <w:t xml:space="preserve">August 2023, </w:t>
      </w:r>
      <w:r>
        <w:rPr>
          <w:rFonts w:ascii="Times New Roman" w:hAnsi="Times New Roman"/>
          <w:caps w:val="false"/>
          <w:smallCaps w:val="false"/>
          <w:sz w:val="20"/>
        </w:rPr>
        <w:t>we settled the claim with the former employee for kEUR 70.</w:t>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425"/>
        <w:gridCol w:w="1250"/>
      </w:tblGrid>
      <w:tr>
        <w:trPr/>
        <w:tc>
          <w:tcPr>
            <w:tcW w:w="42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7.15</w:t>
            </w:r>
            <w:r>
              <w:rPr>
                <w:rFonts w:ascii="Times New Roman;Times;serif" w:hAnsi="Times New Roman;Times;serif"/>
                <w:b/>
                <w:sz w:val="20"/>
              </w:rPr>
              <w:t xml:space="preserve"> </w:t>
            </w:r>
          </w:p>
        </w:tc>
        <w:tc>
          <w:tcPr>
            <w:tcW w:w="12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Contingencies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Sono Group informed its designated battery supplier that we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purchase the battery from this supplier. The supplier has indicated that it believes it is entitled to compensation under its contract with us. In </w:t>
      </w:r>
      <w:r>
        <w:rPr>
          <w:rStyle w:val="Emphasis"/>
          <w:rFonts w:ascii="Times New Roman" w:hAnsi="Times New Roman"/>
          <w:caps w:val="false"/>
          <w:smallCaps w:val="false"/>
          <w:sz w:val="20"/>
        </w:rPr>
        <w:t xml:space="preserve">June 2022, </w:t>
      </w:r>
      <w:r>
        <w:rPr>
          <w:rFonts w:ascii="Times New Roman" w:hAnsi="Times New Roman"/>
          <w:caps w:val="false"/>
          <w:smallCaps w:val="false"/>
          <w:sz w:val="20"/>
        </w:rPr>
        <w:t xml:space="preserve">the supplier filed an action for declaratory judgment with the Regional Court Stuttgart. Sono Group had assessed this claim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successful and the financial impact would be zero. On </w:t>
      </w:r>
      <w:r>
        <w:rPr>
          <w:rStyle w:val="Emphasis"/>
          <w:rFonts w:ascii="Times New Roman" w:hAnsi="Times New Roman"/>
          <w:caps w:val="false"/>
          <w:smallCaps w:val="false"/>
          <w:sz w:val="20"/>
        </w:rPr>
        <w:t xml:space="preserve">March 7, 2023, </w:t>
      </w:r>
      <w:r>
        <w:rPr>
          <w:rFonts w:ascii="Times New Roman" w:hAnsi="Times New Roman"/>
          <w:caps w:val="false"/>
          <w:smallCaps w:val="false"/>
          <w:sz w:val="20"/>
        </w:rPr>
        <w:t>the former supplier declared the matter terminated in a written pleading.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contingencies after the balance sheet date see note </w:t>
      </w:r>
      <w:r>
        <w:rPr>
          <w:rStyle w:val="Emphasis"/>
          <w:rFonts w:ascii="Times New Roman" w:hAnsi="Times New Roman"/>
          <w:caps w:val="false"/>
          <w:smallCaps w:val="false"/>
          <w:sz w:val="20"/>
        </w:rPr>
        <w:t>9.7.1</w:t>
      </w:r>
      <w:r>
        <w:rPr>
          <w:rFonts w:ascii="Times New Roman" w:hAnsi="Times New Roman"/>
          <w:caps w:val="false"/>
          <w:smallCaps w:val="false"/>
          <w:sz w:val="20"/>
        </w:rPr>
        <w:t xml:space="preserve"> Termination of the Sion passenger car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F-44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4945" w:type="dxa"/>
        <w:jc w:val="left"/>
        <w:tblInd w:w="0" w:type="dxa"/>
        <w:tblLayout w:type="fixed"/>
        <w:tblCellMar>
          <w:top w:w="0" w:type="dxa"/>
          <w:left w:w="0" w:type="dxa"/>
          <w:bottom w:w="0" w:type="dxa"/>
          <w:right w:w="0" w:type="dxa"/>
        </w:tblCellMar>
      </w:tblPr>
      <w:tblGrid>
        <w:gridCol w:w="125"/>
        <w:gridCol w:w="4820"/>
      </w:tblGrid>
      <w:tr>
        <w:trPr/>
        <w:tc>
          <w:tcPr>
            <w:tcW w:w="1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w:t>
            </w:r>
          </w:p>
        </w:tc>
        <w:tc>
          <w:tcPr>
            <w:tcW w:w="48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Disclosure of financial instruments and risk management</w:t>
            </w:r>
          </w:p>
        </w:tc>
      </w:tr>
    </w:tbl>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275"/>
        <w:gridCol w:w="341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8.1</w:t>
            </w:r>
          </w:p>
        </w:tc>
        <w:tc>
          <w:tcPr>
            <w:tcW w:w="34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Type and management of financial risks</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425"/>
        <w:gridCol w:w="1775"/>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8.1.1</w:t>
            </w:r>
          </w:p>
        </w:tc>
        <w:tc>
          <w:tcPr>
            <w:tcW w:w="17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is exposed to certain financial risks with respect to its financial assets and liabilities and the transactions associated with its business model. These risks generally relate to credit risk, liquidity risk and market risks (especially interest rate risk, share price risk and foreign exchange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aim of risk management is to limit the potential negative impact on expected cash flows and take advantage of any opportunities that arise.</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425"/>
        <w:gridCol w:w="98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8.1.2</w:t>
            </w:r>
          </w:p>
        </w:tc>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Credit risk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Credit risk is the risk of financial loss to Sono Group if a counterparty to a financial instrument fails to meet its contractual obligations and arises from cash and cash equivalents and other financial assets. To limit credit risk, cash deposits and investments are placed only with reputable financial institutions, based on a qualitative assessment by Sono Group’s finance department under consideration of the creditworthiness of the financial institutions. Consequently, the risk of default is considered to be 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reporting year and the previous year,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increases in credit risks for financial assets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transfer from Stage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 Stage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Therefore, the loss allowance for all financial assets is measured at an amount equal to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ECL (Stage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12</w:t>
      </w:r>
      <w:r>
        <w:rPr>
          <w:rFonts w:ascii="Times New Roman" w:hAnsi="Times New Roman"/>
          <w:caps w:val="false"/>
          <w:smallCaps w:val="false"/>
          <w:sz w:val="20"/>
        </w:rPr>
        <w:t>-month ECL is determined using external credit ratings as well as external recovery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table below reconciles the opening and ending balance for loss allowances for other current and noncurrent financial assets as well as cash and cash equivalents as of </w:t>
      </w:r>
      <w:r>
        <w:rPr>
          <w:rStyle w:val="Emphasis"/>
          <w:rFonts w:ascii="Times New Roman" w:hAnsi="Times New Roman"/>
          <w:caps w:val="false"/>
          <w:smallCaps w:val="false"/>
          <w:sz w:val="20"/>
        </w:rPr>
        <w:t>December 31:</w:t>
      </w:r>
    </w:p>
    <w:p>
      <w:pPr>
        <w:pStyle w:val="TextBody"/>
        <w:bidi w:val="0"/>
        <w:spacing w:before="0" w:after="0"/>
        <w:ind w:left="0" w:right="0" w:hanging="0"/>
        <w:jc w:val="left"/>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4505"/>
        <w:gridCol w:w="60"/>
        <w:gridCol w:w="106"/>
        <w:gridCol w:w="409"/>
        <w:gridCol w:w="80"/>
      </w:tblGrid>
      <w:tr>
        <w:trPr/>
        <w:tc>
          <w:tcPr>
            <w:tcW w:w="45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5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5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409"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Opening loss allowance as of January 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Additions recognized in profit or loss during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50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Utilization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50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Closing loss allowance as of December 31, 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Opening loss allowance as of January 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Additions recognized in profit or loss during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Reversals recognized in profit or loss during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50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Closing loss allowance as of December 31, 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displays the gross carrying amount of other current and noncurrent financial assets as well as cash and cash equivalents by credit risk rating grades.</w:t>
      </w:r>
    </w:p>
    <w:p>
      <w:pPr>
        <w:pStyle w:val="TextBody"/>
        <w:bidi w:val="0"/>
        <w:spacing w:before="0" w:after="0"/>
        <w:ind w:left="0" w:right="0" w:hanging="0"/>
        <w:jc w:val="left"/>
        <w:rPr>
          <w:caps w:val="false"/>
          <w:smallCaps w:val="false"/>
        </w:rPr>
      </w:pPr>
      <w:r>
        <w:rPr>
          <w:caps w:val="false"/>
          <w:smallCaps w:val="false"/>
        </w:rPr>
        <w:t> </w:t>
      </w:r>
    </w:p>
    <w:tbl>
      <w:tblPr>
        <w:tblW w:w="5459" w:type="dxa"/>
        <w:jc w:val="left"/>
        <w:tblInd w:w="0" w:type="dxa"/>
        <w:tblLayout w:type="fixed"/>
        <w:tblCellMar>
          <w:top w:w="0" w:type="dxa"/>
          <w:left w:w="0" w:type="dxa"/>
          <w:bottom w:w="28" w:type="dxa"/>
          <w:right w:w="0" w:type="dxa"/>
        </w:tblCellMar>
      </w:tblPr>
      <w:tblGrid>
        <w:gridCol w:w="1595"/>
        <w:gridCol w:w="1895"/>
        <w:gridCol w:w="60"/>
        <w:gridCol w:w="147"/>
        <w:gridCol w:w="1702"/>
        <w:gridCol w:w="60"/>
      </w:tblGrid>
      <w:tr>
        <w:trPr/>
        <w:tc>
          <w:tcPr>
            <w:tcW w:w="1595" w:type="dxa"/>
            <w:tcBorders>
              <w:bottom w:val="single" w:sz="2" w:space="0" w:color="000000"/>
            </w:tcBorders>
            <w:vAlign w:val="center"/>
          </w:tcPr>
          <w:p>
            <w:pPr>
              <w:pStyle w:val="TableContents"/>
              <w:bidi w:val="0"/>
              <w:spacing w:before="0" w:after="283"/>
              <w:ind w:left="0" w:right="0" w:hanging="0"/>
              <w:jc w:val="left"/>
              <w:rPr/>
            </w:pPr>
            <w:r>
              <w:rPr/>
              <w:t> </w:t>
            </w:r>
          </w:p>
        </w:tc>
        <w:tc>
          <w:tcPr>
            <w:tcW w:w="1895" w:type="dxa"/>
            <w:tcBorders>
              <w:bottom w:val="single" w:sz="2" w:space="0" w:color="000000"/>
            </w:tcBorders>
            <w:vAlign w:val="center"/>
          </w:tcPr>
          <w:p>
            <w:pPr>
              <w:pStyle w:val="TableContents"/>
              <w:bidi w:val="0"/>
              <w:spacing w:before="0" w:after="0"/>
              <w:ind w:left="180" w:right="0" w:hanging="180"/>
              <w:jc w:val="center"/>
              <w:rPr>
                <w:rFonts w:ascii="Times New Roman" w:hAnsi="Times New Roman"/>
                <w:caps w:val="false"/>
                <w:smallCaps w:val="false"/>
                <w:sz w:val="20"/>
              </w:rPr>
            </w:pPr>
            <w:r>
              <w:rPr>
                <w:rFonts w:ascii="Times New Roman" w:hAnsi="Times New Roman"/>
                <w:caps w:val="false"/>
                <w:smallCaps w:val="false"/>
                <w:sz w:val="20"/>
              </w:rPr>
              <w:t>Credit risk rating grade</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Gross carrying amount</w:t>
              <w:br/>
              <w:t>(12m ECL)</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95" w:type="dxa"/>
            <w:tcBorders>
              <w:bottom w:val="single" w:sz="2" w:space="0" w:color="000000"/>
            </w:tcBorders>
            <w:vAlign w:val="center"/>
          </w:tcPr>
          <w:p>
            <w:pPr>
              <w:pStyle w:val="TableContents"/>
              <w:bidi w:val="0"/>
              <w:spacing w:before="0" w:after="283"/>
              <w:jc w:val="left"/>
              <w:rPr/>
            </w:pPr>
            <w:r>
              <w:rPr/>
              <w:t> </w:t>
            </w:r>
          </w:p>
        </w:tc>
        <w:tc>
          <w:tcPr>
            <w:tcW w:w="18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7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31, 2021</w:t>
            </w:r>
          </w:p>
        </w:tc>
        <w:tc>
          <w:tcPr>
            <w:tcW w:w="1895" w:type="dxa"/>
            <w:tcBorders/>
            <w:shd w:fill="CCEEFF" w:val="clear"/>
            <w:tcMar>
              <w:bottom w:w="0" w:type="dxa"/>
            </w:tcMar>
            <w:vAlign w:val="center"/>
          </w:tcPr>
          <w:p>
            <w:pPr>
              <w:pStyle w:val="TableContents"/>
              <w:bidi w:val="0"/>
              <w:spacing w:before="0" w:after="0"/>
              <w:ind w:left="180" w:right="0" w:hanging="180"/>
              <w:jc w:val="center"/>
              <w:rPr/>
            </w:pPr>
            <w:r>
              <w:rPr>
                <w:rStyle w:val="Emphasis"/>
                <w:rFonts w:ascii="Times New Roman" w:hAnsi="Times New Roman"/>
                <w:caps w:val="false"/>
                <w:smallCaps w:val="false"/>
                <w:sz w:val="20"/>
              </w:rPr>
              <w:t>Risk class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170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139,273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31, 2022</w:t>
            </w:r>
          </w:p>
        </w:tc>
        <w:tc>
          <w:tcPr>
            <w:tcW w:w="1895" w:type="dxa"/>
            <w:tcBorders>
              <w:bottom w:val="single" w:sz="2" w:space="0" w:color="000000"/>
            </w:tcBorders>
            <w:shd w:fill="FFFFFF" w:val="clear"/>
            <w:vAlign w:val="center"/>
          </w:tcPr>
          <w:p>
            <w:pPr>
              <w:pStyle w:val="TableContents"/>
              <w:bidi w:val="0"/>
              <w:spacing w:before="0" w:after="0"/>
              <w:ind w:left="180" w:right="0" w:hanging="180"/>
              <w:jc w:val="center"/>
              <w:rPr/>
            </w:pPr>
            <w:r>
              <w:rPr>
                <w:rStyle w:val="Emphasis"/>
                <w:rFonts w:ascii="Times New Roman" w:hAnsi="Times New Roman"/>
                <w:caps w:val="false"/>
                <w:smallCaps w:val="false"/>
                <w:sz w:val="20"/>
              </w:rPr>
              <w:t>Risk class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0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31,654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Due to the small number of financial assets, Sono Group uses the ECL stages as credit risk rating grades. Risk class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denotes a stage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expected credit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60" w:type="dxa"/>
        <w:jc w:val="left"/>
        <w:tblInd w:w="0" w:type="dxa"/>
        <w:tblLayout w:type="fixed"/>
        <w:tblCellMar>
          <w:top w:w="0" w:type="dxa"/>
          <w:left w:w="0" w:type="dxa"/>
          <w:bottom w:w="0" w:type="dxa"/>
          <w:right w:w="0" w:type="dxa"/>
        </w:tblCellMar>
      </w:tblPr>
      <w:tblGrid>
        <w:gridCol w:w="425"/>
        <w:gridCol w:w="1235"/>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8.1.3</w:t>
            </w:r>
          </w:p>
        </w:tc>
        <w:tc>
          <w:tcPr>
            <w:tcW w:w="12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risk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Liquidity risk is the risk that Sono Group will encounter difficulties in meeting its obligations associated with financial liabilities that are settled by delivering cash or other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past, Sono Group has mainly relied on equity financing from shareholders and private investors. Although the IPO proceeds have served to increase the Group’s level of liquidity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Sono Group was exposed to liquidity risk arising mainly from financial liabilities from the operating business (trade payables, salaries) as well as from subordinated loans from crowdfunding activities and other loans. In addition, the received advance payments from customers could also potentially be requested to be repaid. As a result, management concluded in the past that Sono Group was exposed to high liquidity risk and consequently a risk of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order to reach production of the Sion, Sono Group had to seek further financing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to meet its liquidity obligations. Sono was highly dependent on successful equity offerings or private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Due to deteriorating market conditions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Sono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successful in raising further funding from equity. However, in order to meet the planned start of production, Sono Group had to accelerate prepayments to suppliers which considerably decreased available liquidity. The considerably increased number of employees also had a negative impact on liquidity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Moreover, there was the risk of customers canceling their reservations and reclaiming their advance payments, and the risk of having to repay the customer prepayments in full in case the start of production, which had been postponed several times in the past already,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For details on advance payments received, refer to note </w:t>
      </w:r>
      <w:r>
        <w:rPr>
          <w:rStyle w:val="Emphasis"/>
          <w:rFonts w:ascii="Times New Roman" w:hAnsi="Times New Roman"/>
          <w:caps w:val="false"/>
          <w:smallCaps w:val="false"/>
          <w:sz w:val="20"/>
        </w:rPr>
        <w:t>7.9</w:t>
      </w:r>
      <w:r>
        <w:rPr>
          <w:rFonts w:ascii="Times New Roman" w:hAnsi="Times New Roman"/>
          <w:caps w:val="false"/>
          <w:smallCaps w:val="false"/>
          <w:sz w:val="20"/>
        </w:rPr>
        <w:t xml:space="preserve"> Advance payments received from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lacking more favorable financing offers,the Company issued convertible debentures in an aggregate nominal amount of kUSD 31,100 and an interest rate of 4% p.a. (12% p.a. upon the event of default or “triggering event”). In the case of the contractually defined “triggering event” the outstanding principal balance at that time will be due in equal monthly installments over the remaining life of the debentures (including accrued interest (increased to 12% p.a.) and a 6% payment premium). The agreement is subject to several default event clauses, which could accelerate repayment. For further information see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 Therefore, increased liquidity risk did arise from the contract. At the balance sheet date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or default event, and it was expected that the full amount outstanding will be converted and therefore contractual undiscounted payments were expected to be zero. Finally, in order to have a chance to realize the start of production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Sono started a Crowdfunding campaign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with the aim to raise approximately kEUR 105,000 through customer prepayments and investor financing. As the campaign concluded unsuccessfully 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the Sion passenger car program was terminated, which in turn required Sono Group to repay all customer advance payments, as well as any potential supplier claims arising from the termination. This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due to the limited remaining liquidity and therefore, in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 xml:space="preserve">the Sono Group entities applied to the relevant courts to open self-administered insolvency proceedings. For further information see note </w:t>
      </w:r>
      <w:r>
        <w:rPr>
          <w:rStyle w:val="Emphasis"/>
          <w:rFonts w:ascii="Times New Roman" w:hAnsi="Times New Roman"/>
          <w:caps w:val="false"/>
          <w:smallCaps w:val="false"/>
          <w:sz w:val="20"/>
        </w:rPr>
        <w:t>9.7.</w:t>
      </w:r>
      <w:r>
        <w:rPr>
          <w:rFonts w:ascii="Times New Roman" w:hAnsi="Times New Roman"/>
          <w:caps w:val="false"/>
          <w:smallCaps w:val="false"/>
          <w:sz w:val="20"/>
        </w:rPr>
        <w:t xml:space="preserve">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past, given that management was aware of the high liquidity risk, Sono Group’s liquidity management focused on the availability of cash and cash equivalents for operational activities, repayments of liabilities, development expenses and further fixed asset investments by means of  budget planning and appropriate reactions to expected cash restrictions.  Sono Group has established an appropriate approach to managing short-, medium- and long-term financing and liquidity requirements. It originally managed liquidity risks by holding cash reserves, raising funding through share issues and debt financial instruments, as well as by monitoring forecasted and actual cash flows. To monitor the availability of liquidity, cash flow forecasts are developed on a regular basis. Based on these cash flow forecasts, a run rate, which displays the period Sono Group is able to carry on its current operations without additional financing, is determined. As a safeguard for legal risks associated with liquidity issues, due to the high liquidity risk, especially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when financing attempts proved unsuccessful and the reserve initially held for the potential risk to repay customer prepayments was partially used for Sion related payment obligations,  external legal advice has been sought in order to comply with German insolvency laws. This finally lead to the decision of management in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 xml:space="preserve">to file for insolvency (see note </w:t>
      </w:r>
      <w:r>
        <w:rPr>
          <w:rStyle w:val="Emphasis"/>
          <w:rFonts w:ascii="Times New Roman" w:hAnsi="Times New Roman"/>
          <w:caps w:val="false"/>
          <w:smallCaps w:val="false"/>
          <w:sz w:val="20"/>
        </w:rPr>
        <w:t>9.7.2</w:t>
      </w:r>
      <w:r>
        <w:rPr>
          <w:rFonts w:ascii="Times New Roman" w:hAnsi="Times New Roman"/>
          <w:caps w:val="false"/>
          <w:smallCaps w:val="false"/>
          <w:sz w:val="20"/>
        </w:rPr>
        <w:t xml:space="preserve"> Filing for insolvency)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case the Yorkville Agreements from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will close successfully and the underlying Solar Bus Kit business plan will become effective (see note </w:t>
      </w:r>
      <w:r>
        <w:rPr>
          <w:rStyle w:val="Emphasis"/>
          <w:rFonts w:ascii="Times New Roman" w:hAnsi="Times New Roman"/>
          <w:caps w:val="false"/>
          <w:smallCaps w:val="false"/>
          <w:sz w:val="20"/>
        </w:rPr>
        <w:t>9.7.4</w:t>
      </w:r>
      <w:r>
        <w:rPr>
          <w:rFonts w:ascii="Times New Roman" w:hAnsi="Times New Roman"/>
          <w:caps w:val="false"/>
          <w:smallCaps w:val="false"/>
          <w:sz w:val="20"/>
        </w:rPr>
        <w:t xml:space="preserve"> Funding and restructuring agreement), management’s focus related to managing liquidity will be on the close control that the business plan assumptions will be met. Due to the limited funding that is planned to be provided by Yorkville until end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based on the due date of the repayment obligation 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together with the dependency to successfully raise further funding from investors, Sono Management continues to assess liquidity risk to be high. Also refer to note </w:t>
      </w:r>
      <w:r>
        <w:rPr>
          <w:rStyle w:val="Emphasis"/>
          <w:rFonts w:ascii="Times New Roman" w:hAnsi="Times New Roman"/>
          <w:caps w:val="false"/>
          <w:smallCaps w:val="false"/>
          <w:sz w:val="20"/>
        </w:rPr>
        <w:t>4.12.1</w:t>
      </w:r>
      <w:r>
        <w:rPr>
          <w:rFonts w:ascii="Times New Roman" w:hAnsi="Times New Roman"/>
          <w:caps w:val="false"/>
          <w:smallCaps w:val="false"/>
          <w:sz w:val="20"/>
        </w:rPr>
        <w:t xml:space="preserve">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summarizes the maturity profile of Sono Group’s financial liabilities based on contractual undiscounted payments:</w:t>
      </w:r>
    </w:p>
    <w:p>
      <w:pPr>
        <w:pStyle w:val="TextBody"/>
        <w:bidi w:val="0"/>
        <w:spacing w:before="0" w:after="0"/>
        <w:ind w:left="0" w:right="0" w:hanging="0"/>
        <w:jc w:val="left"/>
        <w:rPr>
          <w:caps w:val="false"/>
          <w:smallCaps w:val="false"/>
        </w:rPr>
      </w:pPr>
      <w:r>
        <w:rPr>
          <w:caps w:val="false"/>
          <w:smallCaps w:val="false"/>
        </w:rPr>
        <w:t> </w:t>
      </w:r>
    </w:p>
    <w:tbl>
      <w:tblPr>
        <w:tblW w:w="6261" w:type="dxa"/>
        <w:jc w:val="left"/>
        <w:tblInd w:w="0" w:type="dxa"/>
        <w:tblLayout w:type="fixed"/>
        <w:tblCellMar>
          <w:top w:w="0" w:type="dxa"/>
          <w:left w:w="0" w:type="dxa"/>
          <w:bottom w:w="28" w:type="dxa"/>
          <w:right w:w="0" w:type="dxa"/>
        </w:tblCellMar>
      </w:tblPr>
      <w:tblGrid>
        <w:gridCol w:w="2075"/>
        <w:gridCol w:w="60"/>
        <w:gridCol w:w="128"/>
        <w:gridCol w:w="1271"/>
        <w:gridCol w:w="60"/>
        <w:gridCol w:w="60"/>
        <w:gridCol w:w="61"/>
        <w:gridCol w:w="603"/>
        <w:gridCol w:w="60"/>
        <w:gridCol w:w="60"/>
        <w:gridCol w:w="104"/>
        <w:gridCol w:w="845"/>
        <w:gridCol w:w="60"/>
        <w:gridCol w:w="60"/>
        <w:gridCol w:w="104"/>
        <w:gridCol w:w="590"/>
        <w:gridCol w:w="60"/>
      </w:tblGrid>
      <w:tr>
        <w:trPr/>
        <w:tc>
          <w:tcPr>
            <w:tcW w:w="20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Carrying amount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&lt; 1 year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to 5 years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&gt;5 years</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0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2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60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7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ind w:left="0" w:right="0" w:hanging="0"/>
              <w:jc w:val="left"/>
              <w:rPr/>
            </w:pPr>
            <w:r>
              <w:rPr/>
              <w:t> </w:t>
            </w:r>
          </w:p>
        </w:tc>
        <w:tc>
          <w:tcPr>
            <w:tcW w:w="127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6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07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ind w:left="0" w:right="0" w:hanging="0"/>
              <w:jc w:val="left"/>
              <w:rPr/>
            </w:pPr>
            <w:r>
              <w:rPr/>
              <w:t> </w:t>
            </w:r>
          </w:p>
        </w:tc>
        <w:tc>
          <w:tcPr>
            <w:tcW w:w="127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6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07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07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December 31, 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46,573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43,863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As of balance sheet date it was likely that the full amount outstanding of the convertible debentures will be converted, however the impact of the convertible loans being repaid is shown..</w:t>
      </w:r>
    </w:p>
    <w:p>
      <w:pPr>
        <w:pStyle w:val="TextBody"/>
        <w:bidi w:val="0"/>
        <w:spacing w:before="0" w:after="0"/>
        <w:ind w:left="0" w:right="0" w:hanging="0"/>
        <w:jc w:val="left"/>
        <w:rPr>
          <w:caps w:val="false"/>
          <w:smallCaps w:val="false"/>
        </w:rPr>
      </w:pPr>
      <w:r>
        <w:rPr>
          <w:caps w:val="false"/>
          <w:smallCaps w:val="false"/>
        </w:rPr>
        <w:t> </w:t>
      </w:r>
    </w:p>
    <w:tbl>
      <w:tblPr>
        <w:tblW w:w="6261" w:type="dxa"/>
        <w:jc w:val="left"/>
        <w:tblInd w:w="0" w:type="dxa"/>
        <w:tblLayout w:type="fixed"/>
        <w:tblCellMar>
          <w:top w:w="0" w:type="dxa"/>
          <w:left w:w="0" w:type="dxa"/>
          <w:bottom w:w="28" w:type="dxa"/>
          <w:right w:w="0" w:type="dxa"/>
        </w:tblCellMar>
      </w:tblPr>
      <w:tblGrid>
        <w:gridCol w:w="2075"/>
        <w:gridCol w:w="60"/>
        <w:gridCol w:w="128"/>
        <w:gridCol w:w="1271"/>
        <w:gridCol w:w="60"/>
        <w:gridCol w:w="60"/>
        <w:gridCol w:w="73"/>
        <w:gridCol w:w="591"/>
        <w:gridCol w:w="60"/>
        <w:gridCol w:w="60"/>
        <w:gridCol w:w="104"/>
        <w:gridCol w:w="845"/>
        <w:gridCol w:w="60"/>
        <w:gridCol w:w="60"/>
        <w:gridCol w:w="104"/>
        <w:gridCol w:w="590"/>
        <w:gridCol w:w="60"/>
      </w:tblGrid>
      <w:tr>
        <w:trPr/>
        <w:tc>
          <w:tcPr>
            <w:tcW w:w="20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Carrying amount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&lt; 1 year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to 5 years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&gt;5 years</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0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2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 w:type="dxa"/>
            <w:tcBorders/>
            <w:tcMar>
              <w:bottom w:w="0" w:type="dxa"/>
            </w:tcMar>
            <w:vAlign w:val="center"/>
          </w:tcPr>
          <w:p>
            <w:pPr>
              <w:pStyle w:val="TableContents"/>
              <w:bidi w:val="0"/>
              <w:spacing w:before="0" w:after="283"/>
              <w:jc w:val="left"/>
              <w:rPr/>
            </w:pPr>
            <w:r>
              <w:rPr/>
              <w:t> </w:t>
            </w:r>
          </w:p>
        </w:tc>
        <w:tc>
          <w:tcPr>
            <w:tcW w:w="59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7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ind w:left="0" w:right="0" w:hanging="0"/>
              <w:jc w:val="left"/>
              <w:rPr/>
            </w:pPr>
            <w:r>
              <w:rPr/>
              <w:t> </w:t>
            </w:r>
          </w:p>
        </w:tc>
        <w:tc>
          <w:tcPr>
            <w:tcW w:w="127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ind w:left="0" w:right="0" w:hanging="0"/>
              <w:jc w:val="left"/>
              <w:rPr/>
            </w:pPr>
            <w:r>
              <w:rPr/>
              <w:t> </w:t>
            </w:r>
          </w:p>
        </w:tc>
        <w:tc>
          <w:tcPr>
            <w:tcW w:w="59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07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ind w:left="0" w:right="0" w:hanging="0"/>
              <w:jc w:val="left"/>
              <w:rPr/>
            </w:pPr>
            <w:r>
              <w:rPr/>
              <w:t> </w:t>
            </w:r>
          </w:p>
        </w:tc>
        <w:tc>
          <w:tcPr>
            <w:tcW w:w="127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ind w:left="0" w:right="0" w:hanging="0"/>
              <w:jc w:val="left"/>
              <w:rPr/>
            </w:pPr>
            <w:r>
              <w:rPr/>
              <w:t> </w:t>
            </w:r>
          </w:p>
        </w:tc>
        <w:tc>
          <w:tcPr>
            <w:tcW w:w="59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07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07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December 31, 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14,692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8,556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6,134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425"/>
        <w:gridCol w:w="143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8.1.4</w:t>
            </w:r>
          </w:p>
        </w:tc>
        <w:tc>
          <w:tcPr>
            <w:tcW w:w="14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Interest rate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Interest rate risk is the risk that the fair value or future cash flows of a financial instrument will fluctuate because of changes in market interest rates. Sono Group’s exposure to the risk of changes in market interest rates relates primarily to cash and cash equivalents, as financial liabilities bear either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interest (trade and other payables) or fixed interest (loans and lease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Sono Group was exposed to the risk of being charged negative interest rates on its bank deposits at a fixed interest rate. In the reporting period, negative interest charges amount to kEUR 287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156;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kEUR 49) and is disclosed as part of bank charges in note </w:t>
      </w:r>
      <w:r>
        <w:rPr>
          <w:rStyle w:val="Emphasis"/>
          <w:rFonts w:ascii="Times New Roman" w:hAnsi="Times New Roman"/>
          <w:caps w:val="false"/>
          <w:smallCaps w:val="false"/>
          <w:sz w:val="20"/>
        </w:rPr>
        <w:t>6.4</w:t>
      </w:r>
      <w:r>
        <w:rPr>
          <w:rFonts w:ascii="Times New Roman" w:hAnsi="Times New Roman"/>
          <w:caps w:val="false"/>
          <w:smallCaps w:val="false"/>
          <w:sz w:val="20"/>
        </w:rPr>
        <w:t xml:space="preserve"> General and administrative expenses. After the balance sheet date, the market interest rate has continued to increase and there is likely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the risk of being charged negative interest on bank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exposure is monitored on an ongoing basis. As a measure to reduce such risk, payment of trade and other payables is streamlined accordingly.</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425"/>
        <w:gridCol w:w="137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8.1.5</w:t>
            </w:r>
          </w:p>
        </w:tc>
        <w:tc>
          <w:tcPr>
            <w:tcW w:w="13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 price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Share price risk relates to the risk of losses resulting from the unfavorable development of share prices. Sono Group is exposed to its own share price risk due to the conversion rights for Yorkville embedded in the convertible debentures. For details relating to the convertible debentures, please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convertible debentures were subjected to a sensitivity analysis with regard to share price risk. The hypothetical effects to profit or loss in case of a change in Sono Group N.V.’s share price are presented in section </w:t>
      </w:r>
      <w:r>
        <w:rPr>
          <w:rStyle w:val="Emphasis"/>
          <w:rFonts w:ascii="Times New Roman" w:hAnsi="Times New Roman"/>
          <w:caps w:val="false"/>
          <w:smallCaps w:val="false"/>
          <w:sz w:val="20"/>
        </w:rPr>
        <w:t>8.3.2</w:t>
      </w:r>
      <w:r>
        <w:rPr>
          <w:rFonts w:ascii="Times New Roman" w:hAnsi="Times New Roman"/>
          <w:caps w:val="false"/>
          <w:smallCaps w:val="false"/>
          <w:sz w:val="20"/>
        </w:rPr>
        <w:t xml:space="preserve"> Carrying amounts and fair values. Share price development is monitored regularly and it is determined on a case by case basis whether any specific action is required.</w:t>
      </w:r>
    </w:p>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425"/>
        <w:gridCol w:w="1205"/>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8.1.6</w:t>
            </w:r>
          </w:p>
        </w:tc>
        <w:tc>
          <w:tcPr>
            <w:tcW w:w="12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Currency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Currency risk is the risk that the fair value or future cash flows of a financial instrument will fluctuate because of changes in foreign exchange rates. The Group’s exposure to currency risk relates to cash balances, recognized convertible debentures and trade payables in a currency other than the functional currency of the Group. Currency risk is managed by closely monitoring account balances in foreign currencies and exchange rates to assess the exposure to currency risk on an ongoing basis. Hedging has been discussed and analyzed for usefulness and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deemed necessary at that point in time, however, the topic is  revisited regularly to continuously assess the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had the following carrying amounts of exposures in foreign currency:</w:t>
      </w:r>
    </w:p>
    <w:p>
      <w:pPr>
        <w:pStyle w:val="TextBody"/>
        <w:bidi w:val="0"/>
        <w:spacing w:before="0" w:after="0"/>
        <w:ind w:left="0" w:right="0" w:hanging="0"/>
        <w:jc w:val="left"/>
        <w:rPr>
          <w:caps w:val="false"/>
          <w:smallCaps w:val="false"/>
        </w:rPr>
      </w:pPr>
      <w:r>
        <w:rPr>
          <w:caps w:val="false"/>
          <w:smallCaps w:val="false"/>
        </w:rPr>
        <w:t> </w:t>
      </w:r>
    </w:p>
    <w:tbl>
      <w:tblPr>
        <w:tblW w:w="6763" w:type="dxa"/>
        <w:jc w:val="left"/>
        <w:tblInd w:w="0" w:type="dxa"/>
        <w:tblLayout w:type="fixed"/>
        <w:tblCellMar>
          <w:top w:w="0" w:type="dxa"/>
          <w:left w:w="0" w:type="dxa"/>
          <w:bottom w:w="28" w:type="dxa"/>
          <w:right w:w="0" w:type="dxa"/>
        </w:tblCellMar>
      </w:tblPr>
      <w:tblGrid>
        <w:gridCol w:w="3335"/>
        <w:gridCol w:w="60"/>
        <w:gridCol w:w="146"/>
        <w:gridCol w:w="1448"/>
        <w:gridCol w:w="60"/>
        <w:gridCol w:w="60"/>
        <w:gridCol w:w="146"/>
        <w:gridCol w:w="1448"/>
        <w:gridCol w:w="60"/>
      </w:tblGrid>
      <w:tr>
        <w:trPr/>
        <w:tc>
          <w:tcPr>
            <w:tcW w:w="333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33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USD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26,877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Convertible debentures (all components)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USD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Trade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USD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pPr>
            <w:r>
              <w:rPr/>
              <w:t> </w:t>
            </w:r>
          </w:p>
        </w:tc>
        <w:tc>
          <w:tcPr>
            <w:tcW w:w="1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pPr>
            <w:r>
              <w:rPr/>
              <w:t> </w:t>
            </w:r>
          </w:p>
        </w:tc>
        <w:tc>
          <w:tcPr>
            <w:tcW w:w="1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GBP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pPr>
            <w:r>
              <w:rPr/>
              <w:t> </w:t>
            </w:r>
          </w:p>
        </w:tc>
        <w:tc>
          <w:tcPr>
            <w:tcW w:w="1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ind w:left="0" w:right="0" w:hanging="0"/>
              <w:jc w:val="left"/>
              <w:rPr/>
            </w:pPr>
            <w:r>
              <w:rPr/>
              <w:t> </w:t>
            </w:r>
          </w:p>
        </w:tc>
        <w:tc>
          <w:tcPr>
            <w:tcW w:w="1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CHF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ind w:left="0" w:right="0" w:hanging="0"/>
              <w:jc w:val="left"/>
              <w:rPr/>
            </w:pPr>
            <w:r>
              <w:rPr/>
              <w:t> </w:t>
            </w:r>
          </w:p>
        </w:tc>
        <w:tc>
          <w:tcPr>
            <w:tcW w:w="1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bottom w:val="single" w:sz="2" w:space="0" w:color="000000"/>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PLN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33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45,872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4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27,934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the end of the reporting period and of the previous year, Sono Group had no trade and other receivables in foreign currencies.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hedging relationships at the end of the respective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respective exchange rates, a hypothetical appreciation of the EUR compared to the foreign currencies by 10% would have resulted in the following effect on consolidated profit or loss before taxes.</w:t>
      </w:r>
    </w:p>
    <w:p>
      <w:pPr>
        <w:pStyle w:val="TextBody"/>
        <w:bidi w:val="0"/>
        <w:spacing w:before="0" w:after="0"/>
        <w:ind w:left="0" w:right="0" w:hanging="0"/>
        <w:jc w:val="left"/>
        <w:rPr>
          <w:caps w:val="false"/>
          <w:smallCaps w:val="false"/>
        </w:rPr>
      </w:pPr>
      <w:r>
        <w:rPr>
          <w:caps w:val="false"/>
          <w:smallCaps w:val="false"/>
        </w:rPr>
        <w:t> </w:t>
      </w:r>
    </w:p>
    <w:tbl>
      <w:tblPr>
        <w:tblW w:w="5643" w:type="dxa"/>
        <w:jc w:val="left"/>
        <w:tblInd w:w="0" w:type="dxa"/>
        <w:tblLayout w:type="fixed"/>
        <w:tblCellMar>
          <w:top w:w="0" w:type="dxa"/>
          <w:left w:w="0" w:type="dxa"/>
          <w:bottom w:w="28" w:type="dxa"/>
          <w:right w:w="0" w:type="dxa"/>
        </w:tblCellMar>
      </w:tblPr>
      <w:tblGrid>
        <w:gridCol w:w="2195"/>
        <w:gridCol w:w="60"/>
        <w:gridCol w:w="174"/>
        <w:gridCol w:w="1420"/>
        <w:gridCol w:w="60"/>
        <w:gridCol w:w="60"/>
        <w:gridCol w:w="157"/>
        <w:gridCol w:w="1437"/>
        <w:gridCol w:w="80"/>
      </w:tblGrid>
      <w:tr>
        <w:trPr/>
        <w:tc>
          <w:tcPr>
            <w:tcW w:w="2195" w:type="dxa"/>
            <w:tcBorders>
              <w:bottom w:val="single" w:sz="2" w:space="0" w:color="000000"/>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EUR appreciation by 10 %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2021</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1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USD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2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ind w:left="0" w:right="0" w:hanging="0"/>
              <w:jc w:val="left"/>
              <w:rPr/>
            </w:pPr>
            <w:r>
              <w:rPr/>
              <w:t> </w:t>
            </w:r>
          </w:p>
        </w:tc>
        <w:tc>
          <w:tcPr>
            <w:tcW w:w="143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(2,432</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19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2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ind w:left="0" w:right="0" w:hanging="0"/>
              <w:jc w:val="left"/>
              <w:rPr/>
            </w:pPr>
            <w:r>
              <w:rPr/>
              <w:t> </w:t>
            </w:r>
          </w:p>
        </w:tc>
        <w:tc>
          <w:tcPr>
            <w:tcW w:w="143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2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ind w:left="0" w:right="0" w:hanging="0"/>
              <w:jc w:val="left"/>
              <w:rPr/>
            </w:pPr>
            <w:r>
              <w:rPr/>
              <w:t> </w:t>
            </w:r>
          </w:p>
        </w:tc>
        <w:tc>
          <w:tcPr>
            <w:tcW w:w="143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GBP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2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ind w:left="0" w:right="0" w:hanging="0"/>
              <w:jc w:val="left"/>
              <w:rPr/>
            </w:pPr>
            <w:r>
              <w:rPr/>
              <w:t> </w:t>
            </w:r>
          </w:p>
        </w:tc>
        <w:tc>
          <w:tcPr>
            <w:tcW w:w="143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2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ind w:left="0" w:right="0" w:hanging="0"/>
              <w:jc w:val="left"/>
              <w:rPr/>
            </w:pPr>
            <w:r>
              <w:rPr/>
              <w:t> </w:t>
            </w:r>
          </w:p>
        </w:tc>
        <w:tc>
          <w:tcPr>
            <w:tcW w:w="143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PLN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3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19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3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(2,348</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respective exchange rates at the end of the reporting period, a hypothetical depreciation of the EUR compared to the foreign currencies by 10% would have resulted in the following effect on consolidated profit before taxes.</w:t>
      </w:r>
    </w:p>
    <w:p>
      <w:pPr>
        <w:pStyle w:val="TextBody"/>
        <w:bidi w:val="0"/>
        <w:spacing w:before="0" w:after="0"/>
        <w:ind w:left="0" w:right="0" w:hanging="0"/>
        <w:jc w:val="left"/>
        <w:rPr>
          <w:caps w:val="false"/>
          <w:smallCaps w:val="false"/>
        </w:rPr>
      </w:pPr>
      <w:r>
        <w:rPr>
          <w:caps w:val="false"/>
          <w:smallCaps w:val="false"/>
        </w:rPr>
        <w:t> </w:t>
      </w:r>
    </w:p>
    <w:tbl>
      <w:tblPr>
        <w:tblW w:w="5663" w:type="dxa"/>
        <w:jc w:val="left"/>
        <w:tblInd w:w="0" w:type="dxa"/>
        <w:tblLayout w:type="fixed"/>
        <w:tblCellMar>
          <w:top w:w="0" w:type="dxa"/>
          <w:left w:w="0" w:type="dxa"/>
          <w:bottom w:w="28" w:type="dxa"/>
          <w:right w:w="0" w:type="dxa"/>
        </w:tblCellMar>
      </w:tblPr>
      <w:tblGrid>
        <w:gridCol w:w="2195"/>
        <w:gridCol w:w="60"/>
        <w:gridCol w:w="157"/>
        <w:gridCol w:w="1437"/>
        <w:gridCol w:w="80"/>
        <w:gridCol w:w="60"/>
        <w:gridCol w:w="174"/>
        <w:gridCol w:w="1420"/>
        <w:gridCol w:w="80"/>
      </w:tblGrid>
      <w:tr>
        <w:trPr/>
        <w:tc>
          <w:tcPr>
            <w:tcW w:w="2195" w:type="dxa"/>
            <w:tcBorders>
              <w:bottom w:val="single" w:sz="2" w:space="0" w:color="000000"/>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EUR depreciation by 10 %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2021</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1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USD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ind w:left="0" w:right="0" w:hanging="0"/>
              <w:jc w:val="left"/>
              <w:rPr/>
            </w:pPr>
            <w:r>
              <w:rPr/>
              <w:t> </w:t>
            </w:r>
          </w:p>
        </w:tc>
        <w:tc>
          <w:tcPr>
            <w:tcW w:w="143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(1,392</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2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ind w:left="0" w:right="0" w:hanging="0"/>
              <w:jc w:val="left"/>
              <w:rPr/>
            </w:pPr>
            <w:r>
              <w:rPr/>
              <w:t> </w:t>
            </w:r>
          </w:p>
        </w:tc>
        <w:tc>
          <w:tcPr>
            <w:tcW w:w="143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2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19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ind w:left="0" w:right="0" w:hanging="0"/>
              <w:jc w:val="left"/>
              <w:rPr/>
            </w:pPr>
            <w:r>
              <w:rPr/>
              <w:t> </w:t>
            </w:r>
          </w:p>
        </w:tc>
        <w:tc>
          <w:tcPr>
            <w:tcW w:w="143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2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19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GBP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ind w:left="0" w:right="0" w:hanging="0"/>
              <w:jc w:val="left"/>
              <w:rPr/>
            </w:pPr>
            <w:r>
              <w:rPr/>
              <w:t> </w:t>
            </w:r>
          </w:p>
        </w:tc>
        <w:tc>
          <w:tcPr>
            <w:tcW w:w="143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2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ind w:left="0" w:right="0" w:hanging="0"/>
              <w:jc w:val="left"/>
              <w:rPr/>
            </w:pPr>
            <w:r>
              <w:rPr/>
              <w:t> </w:t>
            </w:r>
          </w:p>
        </w:tc>
        <w:tc>
          <w:tcPr>
            <w:tcW w:w="143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2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PLN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3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19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3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(1,438</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110" w:type="dxa"/>
        <w:jc w:val="left"/>
        <w:tblInd w:w="0" w:type="dxa"/>
        <w:tblLayout w:type="fixed"/>
        <w:tblCellMar>
          <w:top w:w="0" w:type="dxa"/>
          <w:left w:w="0" w:type="dxa"/>
          <w:bottom w:w="0" w:type="dxa"/>
          <w:right w:w="0" w:type="dxa"/>
        </w:tblCellMar>
      </w:tblPr>
      <w:tblGrid>
        <w:gridCol w:w="275"/>
        <w:gridCol w:w="183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8.2</w:t>
            </w:r>
          </w:p>
        </w:tc>
        <w:tc>
          <w:tcPr>
            <w:tcW w:w="18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Capital management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For the purpose of Sono Group’s capital management, capital includes share capital and all other equity reserves attributable to equity holders. The total amount of capital in the reporting year was kEUR (43,513)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83,439). The primary objective of Sono Group’s capital management is to maximize shareholder value through investment in its development activities. Capital requirements are based on short- to medium-term forecasts, and Sono Group assesses various financing options when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based on the stage of the business cycle of Sono Group’s products, the electric vehicle Sion, the Sono Digital App and Sono Solar, the Group relies almost exclusively on external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information on the capital raised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please refer to note </w:t>
      </w:r>
      <w:r>
        <w:rPr>
          <w:rStyle w:val="Emphasis"/>
          <w:rFonts w:ascii="Times New Roman" w:hAnsi="Times New Roman"/>
          <w:caps w:val="false"/>
          <w:smallCaps w:val="false"/>
          <w:sz w:val="20"/>
        </w:rPr>
        <w:t>7.8</w:t>
      </w:r>
      <w:r>
        <w:rPr>
          <w:rFonts w:ascii="Times New Roman" w:hAnsi="Times New Roman"/>
          <w:caps w:val="false"/>
          <w:smallCaps w:val="false"/>
          <w:sz w:val="20"/>
        </w:rPr>
        <w:t xml:space="preserve"> Equity. For events after the balance sheet date see note </w:t>
      </w:r>
      <w:r>
        <w:rPr>
          <w:rStyle w:val="Emphasis"/>
          <w:rFonts w:ascii="Times New Roman" w:hAnsi="Times New Roman"/>
          <w:caps w:val="false"/>
          <w:smallCaps w:val="false"/>
          <w:sz w:val="20"/>
        </w:rPr>
        <w:t>9.7.</w:t>
      </w:r>
      <w:r>
        <w:rPr>
          <w:rFonts w:ascii="Times New Roman" w:hAnsi="Times New Roman"/>
          <w:caps w:val="false"/>
          <w:smallCaps w:val="false"/>
          <w:sz w:val="20"/>
        </w:rPr>
        <w:t xml:space="preserve"> Subsequent events.</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275"/>
        <w:gridCol w:w="407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8.3</w:t>
            </w:r>
          </w:p>
        </w:tc>
        <w:tc>
          <w:tcPr>
            <w:tcW w:w="40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Additional information on financial instruments</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425"/>
        <w:gridCol w:w="3575"/>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8.3.1</w:t>
            </w:r>
          </w:p>
        </w:tc>
        <w:tc>
          <w:tcPr>
            <w:tcW w:w="35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Offsetting of financial assets and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neither applies offsetting in the balance sheet nor has any instruments that are subject to a legally enforceable master netting arrangement or a similar agreement.</w:t>
      </w:r>
    </w:p>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425"/>
        <w:gridCol w:w="2885"/>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8.3.2</w:t>
            </w:r>
          </w:p>
        </w:tc>
        <w:tc>
          <w:tcPr>
            <w:tcW w:w="28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Carrying amounts and fair values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displays information on fair value measurements, carrying amounts and categorization of financial instruments of Sono Group.</w:t>
      </w:r>
    </w:p>
    <w:p>
      <w:pPr>
        <w:pStyle w:val="TextBody"/>
        <w:bidi w:val="0"/>
        <w:spacing w:before="0" w:after="0"/>
        <w:ind w:left="0" w:right="0" w:hanging="0"/>
        <w:jc w:val="left"/>
        <w:rPr>
          <w:caps w:val="false"/>
          <w:smallCaps w:val="false"/>
        </w:rPr>
      </w:pPr>
      <w:r>
        <w:rPr>
          <w:caps w:val="false"/>
          <w:smallCaps w:val="false"/>
        </w:rPr>
        <w:t> </w:t>
      </w:r>
    </w:p>
    <w:tbl>
      <w:tblPr>
        <w:tblW w:w="8127" w:type="dxa"/>
        <w:jc w:val="left"/>
        <w:tblInd w:w="0" w:type="dxa"/>
        <w:tblLayout w:type="fixed"/>
        <w:tblCellMar>
          <w:top w:w="0" w:type="dxa"/>
          <w:left w:w="0" w:type="dxa"/>
          <w:bottom w:w="28" w:type="dxa"/>
          <w:right w:w="0" w:type="dxa"/>
        </w:tblCellMar>
      </w:tblPr>
      <w:tblGrid>
        <w:gridCol w:w="3980"/>
        <w:gridCol w:w="60"/>
        <w:gridCol w:w="124"/>
        <w:gridCol w:w="1230"/>
        <w:gridCol w:w="80"/>
        <w:gridCol w:w="60"/>
        <w:gridCol w:w="310"/>
        <w:gridCol w:w="415"/>
        <w:gridCol w:w="60"/>
        <w:gridCol w:w="60"/>
        <w:gridCol w:w="72"/>
        <w:gridCol w:w="712"/>
        <w:gridCol w:w="60"/>
        <w:gridCol w:w="60"/>
        <w:gridCol w:w="192"/>
        <w:gridCol w:w="592"/>
        <w:gridCol w:w="60"/>
      </w:tblGrid>
      <w:tr>
        <w:trPr/>
        <w:tc>
          <w:tcPr>
            <w:tcW w:w="39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027" w:type="dxa"/>
            <w:gridSpan w:val="14"/>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80" w:type="dxa"/>
            <w:tcBorders>
              <w:bottom w:val="single" w:sz="2" w:space="0" w:color="000000"/>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carrying amount</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category</w:t>
              <w:br/>
              <w:t>(IFRS 9)</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br/>
              <w:t>level</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Noncurrent 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Security 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Paypal reserve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Receivables from crowdfunding and deposits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Debtor creditors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Current trade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Current trade receivables (affiliated companies)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Noncurrent financial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FLAC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financial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FLAC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Convertible debentures (host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FLAC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Convertible debentures (embedded derivatives)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FVTPL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Convertible debentures (deferred day-one losses)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(3,273</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Trade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12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FLAC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71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12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FLAC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71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80" w:type="dxa"/>
            <w:tcBorders>
              <w:bottom w:val="single" w:sz="2" w:space="0" w:color="000000"/>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Contract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15"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8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carrying amount approximately equals the fair value, thus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separate fair value disclosure is needed according to IFRS </w:t>
            </w:r>
            <w:r>
              <w:rPr>
                <w:rStyle w:val="Emphasis"/>
                <w:rFonts w:ascii="Times New Roman" w:hAnsi="Times New Roman"/>
                <w:caps w:val="false"/>
                <w:smallCaps w:val="false"/>
                <w:sz w:val="20"/>
              </w:rPr>
              <w:t>7.29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7987" w:type="dxa"/>
        <w:jc w:val="left"/>
        <w:tblInd w:w="0" w:type="dxa"/>
        <w:tblLayout w:type="fixed"/>
        <w:tblCellMar>
          <w:top w:w="0" w:type="dxa"/>
          <w:left w:w="0" w:type="dxa"/>
          <w:bottom w:w="28" w:type="dxa"/>
          <w:right w:w="0" w:type="dxa"/>
        </w:tblCellMar>
      </w:tblPr>
      <w:tblGrid>
        <w:gridCol w:w="3860"/>
        <w:gridCol w:w="60"/>
        <w:gridCol w:w="107"/>
        <w:gridCol w:w="1247"/>
        <w:gridCol w:w="60"/>
        <w:gridCol w:w="60"/>
        <w:gridCol w:w="310"/>
        <w:gridCol w:w="415"/>
        <w:gridCol w:w="60"/>
        <w:gridCol w:w="60"/>
        <w:gridCol w:w="86"/>
        <w:gridCol w:w="698"/>
        <w:gridCol w:w="60"/>
        <w:gridCol w:w="60"/>
        <w:gridCol w:w="192"/>
        <w:gridCol w:w="592"/>
        <w:gridCol w:w="60"/>
      </w:tblGrid>
      <w:tr>
        <w:trPr/>
        <w:tc>
          <w:tcPr>
            <w:tcW w:w="38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007" w:type="dxa"/>
            <w:gridSpan w:val="14"/>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860" w:type="dxa"/>
            <w:tcBorders>
              <w:bottom w:val="single" w:sz="2" w:space="0" w:color="000000"/>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carrying amount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category</w:t>
              <w:br/>
              <w:t>(IFRS 9)</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br/>
              <w:t>level</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86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Noncurrent 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24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6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6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2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6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6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Security 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124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69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6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financial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2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6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6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financial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24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6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6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Paypal reserve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124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698"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6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Receivables from crowdfunding and 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124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698"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6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Debtor creditors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124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698"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6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Current trade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124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698"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6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Current trade receivables (affiliated companies)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124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698"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6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124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698"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6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124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132,939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698"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6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Noncurrent 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24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6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6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2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6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6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Loans and participation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124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FLAC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69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6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124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698"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6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24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6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5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6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2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6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5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6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Loans and participation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124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FLAC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698"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6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1247"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698"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ind w:left="0" w:right="0" w:hanging="0"/>
              <w:jc w:val="left"/>
              <w:rPr/>
            </w:pPr>
            <w:r>
              <w:rPr/>
              <w:t> </w:t>
            </w:r>
          </w:p>
        </w:tc>
        <w:tc>
          <w:tcPr>
            <w:tcW w:w="592"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86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Trade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1247"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FLAC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698"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860" w:type="dxa"/>
            <w:tcBorders>
              <w:bottom w:val="single" w:sz="2" w:space="0" w:color="000000"/>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payables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4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FLAC</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n/a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8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carrying amount approximately equals the fair value, thus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separate fair value disclosure is needed according to IFRS </w:t>
            </w:r>
            <w:r>
              <w:rPr>
                <w:rStyle w:val="Emphasis"/>
                <w:rFonts w:ascii="Times New Roman" w:hAnsi="Times New Roman"/>
                <w:caps w:val="false"/>
                <w:smallCaps w:val="false"/>
                <w:sz w:val="20"/>
              </w:rPr>
              <w:t>7.29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carrying amounts of each of the categories listed above as defined according to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as of the reporting dates were as follows:</w:t>
      </w:r>
    </w:p>
    <w:p>
      <w:pPr>
        <w:pStyle w:val="TextBody"/>
        <w:bidi w:val="0"/>
        <w:spacing w:before="0" w:after="0"/>
        <w:ind w:left="0" w:right="0" w:hanging="0"/>
        <w:jc w:val="left"/>
        <w:rPr>
          <w:caps w:val="false"/>
          <w:smallCaps w:val="false"/>
        </w:rPr>
      </w:pPr>
      <w:r>
        <w:rPr>
          <w:caps w:val="false"/>
          <w:smallCaps w:val="false"/>
        </w:rPr>
        <w:t> </w:t>
      </w:r>
    </w:p>
    <w:tbl>
      <w:tblPr>
        <w:tblW w:w="8458" w:type="dxa"/>
        <w:jc w:val="left"/>
        <w:tblInd w:w="0" w:type="dxa"/>
        <w:tblLayout w:type="fixed"/>
        <w:tblCellMar>
          <w:top w:w="0" w:type="dxa"/>
          <w:left w:w="0" w:type="dxa"/>
          <w:bottom w:w="28" w:type="dxa"/>
          <w:right w:w="0" w:type="dxa"/>
        </w:tblCellMar>
      </w:tblPr>
      <w:tblGrid>
        <w:gridCol w:w="5930"/>
        <w:gridCol w:w="60"/>
        <w:gridCol w:w="105"/>
        <w:gridCol w:w="1039"/>
        <w:gridCol w:w="60"/>
        <w:gridCol w:w="60"/>
        <w:gridCol w:w="90"/>
        <w:gridCol w:w="1054"/>
        <w:gridCol w:w="60"/>
      </w:tblGrid>
      <w:tr>
        <w:trPr/>
        <w:tc>
          <w:tcPr>
            <w:tcW w:w="59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9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593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assets measured at amortized cost (AC)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10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139,263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93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liabilities measured at amortized cost (FLAC)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10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11,616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930"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liabilities measured at fair value through profit or loss (FVTPL)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financial assets and liabilities for which the fair value is measured or disclosed in the consolidated financial statements are categorized according to the fair value hierarchy, described as follows, based on the lowest level input that is significant to the fair value measurement as a whole:</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60"/>
        <w:gridCol w:w="110"/>
        <w:gridCol w:w="79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 — Inputs</w:t>
            </w:r>
            <w:r>
              <w:rPr>
                <w:rFonts w:ascii="Times New Roman" w:hAnsi="Times New Roman"/>
                <w:caps w:val="false"/>
                <w:smallCaps w:val="false"/>
                <w:sz w:val="20"/>
              </w:rPr>
              <w:t xml:space="preserve"> are quoted prices in (unadjusted)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60"/>
        <w:gridCol w:w="110"/>
        <w:gridCol w:w="98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3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 — Inputs</w:t>
            </w:r>
            <w:r>
              <w:rPr>
                <w:rFonts w:ascii="Times New Roman" w:hAnsi="Times New Roman"/>
                <w:caps w:val="false"/>
                <w:smallCaps w:val="false"/>
                <w:sz w:val="20"/>
              </w:rPr>
              <w:t xml:space="preserve"> are inputs, other than quoted prices included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are directly or indirectly observable</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110"/>
        <w:gridCol w:w="47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6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 — Inputs</w:t>
            </w:r>
            <w:r>
              <w:rPr>
                <w:rFonts w:ascii="Times New Roman" w:hAnsi="Times New Roman"/>
                <w:caps w:val="false"/>
                <w:smallCaps w:val="false"/>
                <w:sz w:val="20"/>
              </w:rPr>
              <w:t xml:space="preserve"> are unobservable for the asset or liability</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fair values of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components of each of the convertible debentures, i.e., the host contract and the combined embedded derivatives, were determined as follows: First, the fair value of the hybrid financial instrument was determined by applying a simulation model (valuation technique) in which expected cash flows are based on expectations regarding the volume and point in time of conversion. In this simulation model with </w:t>
      </w:r>
      <w:r>
        <w:rPr>
          <w:rStyle w:val="Emphasis"/>
          <w:rFonts w:ascii="Times New Roman" w:hAnsi="Times New Roman"/>
          <w:caps w:val="false"/>
          <w:smallCaps w:val="false"/>
          <w:sz w:val="20"/>
        </w:rPr>
        <w:t>50,000</w:t>
      </w:r>
      <w:r>
        <w:rPr>
          <w:rFonts w:ascii="Times New Roman" w:hAnsi="Times New Roman"/>
          <w:caps w:val="false"/>
          <w:smallCaps w:val="false"/>
          <w:sz w:val="20"/>
        </w:rPr>
        <w:t xml:space="preserve"> simulated paths, the daily share prices are modeled based on a geometric Brownian motion with a drift rate equal to the risk-free interest rate over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period. The conversion price is determined as the minimum of the simulated share prices during the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-day period immediately preceding each assumed conversion date. As long as the simulated share price remains at or above USD 0.15, the number of shares issued at each assumed conversion date results from dividing the assumed conversion amount by the simulated conversion price. Otherwise, the contractually agreed repayment of the remaining debt and accrued interest over the remaining time to maturity and increased interest payments are considered instead. The model also considers the possibility of a default. If a simulated path results in a default situation, the remaining principal and accrued interest are multiplied by the recovery rate. As this rate is assumed to be 0% after consideration of other financial obligations, the model effectively sets the payments to the investor to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in case of default. The resulting risk-adjusted expected cash flows are discounted using a risk-free interest rate. The calculation is based on non-observable input factors with significant influence on the fair value regarding the probability of default, recovery rate and volatilities. Subsequently, the fair value of the host contract was determined by applying the discounted cash flow method (valuation technique). Thereby, the contractually agreed future cash flows in relation to the host contract without exercise of existing derivative rights (i.e., conversion rights) are discounted using an interest rate derived from an estimated credit rating. The credit spread linked to this estimated credit rating is a non-observable input factor with significant influence on the fair value of the host contract. Finally, according to IFRS </w:t>
      </w:r>
      <w:r>
        <w:rPr>
          <w:rStyle w:val="Emphasis"/>
          <w:rFonts w:ascii="Times New Roman" w:hAnsi="Times New Roman"/>
          <w:caps w:val="false"/>
          <w:smallCaps w:val="false"/>
          <w:sz w:val="20"/>
        </w:rPr>
        <w:t>9.4.3.7</w:t>
      </w:r>
      <w:r>
        <w:rPr>
          <w:rFonts w:ascii="Times New Roman" w:hAnsi="Times New Roman"/>
          <w:caps w:val="false"/>
          <w:smallCaps w:val="false"/>
          <w:sz w:val="20"/>
        </w:rPr>
        <w:t xml:space="preserve"> the fair value of the (embedded) derivatives is determined as the difference between the fair value of the hybrid contract and the fair value of the host contract. Both the fair value of the host contract (FLAC; non-recurring fair value measurement) and of the (embedded) derivatives (FVTPL; recurring fair value measurement) are classified as level </w:t>
      </w:r>
      <w:r>
        <w:rPr>
          <w:rStyle w:val="Emphasis"/>
          <w:rFonts w:ascii="Times New Roman" w:hAnsi="Times New Roman"/>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Due to their short-term nature, the carrying amounts of the cash and cash equivalents and other current financial assets and liabilities approximate their fair value (except of the convertible debentures). The fair value of noncurrent financial assets and liabilities is determined by applying the discounted cash flow method (valuation technique). In doing so, future cash flows resulting from the financial asset or liability are discounted using an interest rate derived from an estimated credit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case of noncurrent financial assets, the counterparties are reputable financial institutions, thus credit risk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influence on fair value, which leads to a classification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the end of fiscal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fair values of noncurrent financial liabilities measured at amortized cost are classified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as the credit rating is a non-observable input factor with significant influence on the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Sono Group performs valuations including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measurements with the involvement of external consultants (valuation specialists). As part of the valuation process, Sono Group reviewed the contents of the contracts, concluded on the key assumptions, held discussions with the valuation specialists to ensure a consistent valuation in relation to all financial instruments and evaluated the valuation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the quantitative information about significant observable and unobservable inputs used 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recurring fair value measurements and shows the effect on the fair value when the input parameters increase or decrease: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28" w:type="dxa"/>
          <w:right w:w="0" w:type="dxa"/>
        </w:tblCellMar>
      </w:tblPr>
      <w:tblGrid>
        <w:gridCol w:w="1938"/>
        <w:gridCol w:w="1068"/>
        <w:gridCol w:w="1835"/>
        <w:gridCol w:w="1789"/>
        <w:gridCol w:w="60"/>
        <w:gridCol w:w="1751"/>
        <w:gridCol w:w="1764"/>
      </w:tblGrid>
      <w:tr>
        <w:trPr/>
        <w:tc>
          <w:tcPr>
            <w:tcW w:w="1938" w:type="dxa"/>
            <w:tcBorders>
              <w:bottom w:val="single" w:sz="2" w:space="0" w:color="000000"/>
            </w:tcBorders>
            <w:vAlign w:val="center"/>
          </w:tcPr>
          <w:p>
            <w:pPr>
              <w:pStyle w:val="TableContents"/>
              <w:bidi w:val="0"/>
              <w:spacing w:before="0" w:after="283"/>
              <w:jc w:val="left"/>
              <w:rPr/>
            </w:pPr>
            <w:r>
              <w:rPr/>
              <w:t> </w:t>
            </w:r>
          </w:p>
        </w:tc>
        <w:tc>
          <w:tcPr>
            <w:tcW w:w="1068" w:type="dxa"/>
            <w:tcBorders>
              <w:bottom w:val="single" w:sz="2" w:space="0" w:color="000000"/>
            </w:tcBorders>
            <w:vAlign w:val="center"/>
          </w:tcPr>
          <w:p>
            <w:pPr>
              <w:pStyle w:val="TableContents"/>
              <w:bidi w:val="0"/>
              <w:spacing w:before="0" w:after="283"/>
              <w:jc w:val="left"/>
              <w:rPr/>
            </w:pPr>
            <w:r>
              <w:rPr/>
              <w:t> </w:t>
            </w:r>
          </w:p>
        </w:tc>
        <w:tc>
          <w:tcPr>
            <w:tcW w:w="7199" w:type="dxa"/>
            <w:gridSpan w:val="5"/>
            <w:tcBorders>
              <w:bottom w:val="single" w:sz="2" w:space="0" w:color="000000"/>
            </w:tcBorders>
            <w:vAlign w:val="center"/>
          </w:tcPr>
          <w:p>
            <w:pPr>
              <w:pStyle w:val="TableContents"/>
              <w:bidi w:val="0"/>
              <w:spacing w:before="0" w:after="283"/>
              <w:jc w:val="left"/>
              <w:rPr/>
            </w:pPr>
            <w:r>
              <w:rPr/>
              <w:t> </w:t>
            </w:r>
          </w:p>
        </w:tc>
      </w:tr>
      <w:tr>
        <w:trPr/>
        <w:tc>
          <w:tcPr>
            <w:tcW w:w="1938"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c>
          <w:tcPr>
            <w:tcW w:w="1068"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br/>
              <w:t>December 31, 2022</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kEUR)</w:t>
            </w:r>
          </w:p>
        </w:tc>
        <w:tc>
          <w:tcPr>
            <w:tcW w:w="18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Observable*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/unobservable input factor</w:t>
            </w:r>
          </w:p>
        </w:tc>
        <w:tc>
          <w:tcPr>
            <w:tcW w:w="1789"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Range of increase/ decrease of input factor</w:t>
            </w:r>
          </w:p>
        </w:tc>
        <w:tc>
          <w:tcPr>
            <w:tcW w:w="3575" w:type="dxa"/>
            <w:gridSpan w:val="3"/>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Relationship of change in observable/unobservable input factor to fair value</w:t>
            </w:r>
          </w:p>
        </w:tc>
      </w:tr>
      <w:tr>
        <w:trPr/>
        <w:tc>
          <w:tcPr>
            <w:tcW w:w="1938"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68" w:type="dxa"/>
            <w:tcBorders>
              <w:bottom w:val="single" w:sz="2" w:space="0" w:color="000000"/>
            </w:tcBorders>
            <w:vAlign w:val="center"/>
          </w:tcPr>
          <w:p>
            <w:pPr>
              <w:pStyle w:val="TableContents"/>
              <w:bidi w:val="0"/>
              <w:spacing w:before="0" w:after="283"/>
              <w:jc w:val="left"/>
              <w:rPr/>
            </w:pPr>
            <w:r>
              <w:rPr/>
              <w:t> </w:t>
            </w:r>
          </w:p>
        </w:tc>
        <w:tc>
          <w:tcPr>
            <w:tcW w:w="1835" w:type="dxa"/>
            <w:tcBorders>
              <w:bottom w:val="single" w:sz="2" w:space="0" w:color="000000"/>
            </w:tcBorders>
            <w:vAlign w:val="center"/>
          </w:tcPr>
          <w:p>
            <w:pPr>
              <w:pStyle w:val="TableContents"/>
              <w:bidi w:val="0"/>
              <w:spacing w:before="0" w:after="283"/>
              <w:jc w:val="left"/>
              <w:rPr/>
            </w:pPr>
            <w:r>
              <w:rPr/>
              <w:t> </w:t>
            </w:r>
          </w:p>
        </w:tc>
        <w:tc>
          <w:tcPr>
            <w:tcW w:w="1789"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751"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Effect of increase of input parameter (in kEUR)</w:t>
            </w:r>
          </w:p>
        </w:tc>
        <w:tc>
          <w:tcPr>
            <w:tcW w:w="1764"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Effect of decrease of input parameter (in kEUR)</w:t>
            </w:r>
          </w:p>
        </w:tc>
      </w:tr>
      <w:tr>
        <w:trPr/>
        <w:tc>
          <w:tcPr>
            <w:tcW w:w="193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Convertible debentures ((embedded) derivative)</w:t>
            </w:r>
          </w:p>
        </w:tc>
        <w:tc>
          <w:tcPr>
            <w:tcW w:w="1068"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5,575</w:t>
            </w:r>
          </w:p>
        </w:tc>
        <w:tc>
          <w:tcPr>
            <w:tcW w:w="183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Share price*</w:t>
            </w:r>
          </w:p>
        </w:tc>
        <w:tc>
          <w:tcPr>
            <w:tcW w:w="178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+289</w:t>
            </w:r>
          </w:p>
        </w:tc>
        <w:tc>
          <w:tcPr>
            <w:tcW w:w="176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-199</w:t>
            </w:r>
          </w:p>
        </w:tc>
      </w:tr>
      <w:tr>
        <w:trPr/>
        <w:tc>
          <w:tcPr>
            <w:tcW w:w="1938"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left"/>
              <w:rPr/>
            </w:pPr>
            <w:r>
              <w:rPr>
                <w:rStyle w:val="Emphasis"/>
              </w:rPr>
              <w:t> </w:t>
            </w:r>
          </w:p>
        </w:tc>
        <w:tc>
          <w:tcPr>
            <w:tcW w:w="183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Exchange rate USD/EUR*</w:t>
            </w:r>
          </w:p>
        </w:tc>
        <w:tc>
          <w:tcPr>
            <w:tcW w:w="178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-507</w:t>
            </w:r>
          </w:p>
        </w:tc>
        <w:tc>
          <w:tcPr>
            <w:tcW w:w="1764"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+619</w:t>
            </w:r>
          </w:p>
        </w:tc>
      </w:tr>
      <w:tr>
        <w:trPr/>
        <w:tc>
          <w:tcPr>
            <w:tcW w:w="1938"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left"/>
              <w:rPr/>
            </w:pPr>
            <w:r>
              <w:rPr>
                <w:rStyle w:val="Emphasis"/>
              </w:rPr>
              <w:t> </w:t>
            </w:r>
          </w:p>
        </w:tc>
        <w:tc>
          <w:tcPr>
            <w:tcW w:w="183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Risk-free interest rate*</w:t>
            </w:r>
          </w:p>
        </w:tc>
        <w:tc>
          <w:tcPr>
            <w:tcW w:w="178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+157</w:t>
            </w:r>
          </w:p>
        </w:tc>
        <w:tc>
          <w:tcPr>
            <w:tcW w:w="176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-161</w:t>
            </w:r>
          </w:p>
        </w:tc>
      </w:tr>
      <w:tr>
        <w:trPr/>
        <w:tc>
          <w:tcPr>
            <w:tcW w:w="1938"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left"/>
              <w:rPr/>
            </w:pPr>
            <w:r>
              <w:rPr>
                <w:rStyle w:val="Emphasis"/>
              </w:rPr>
              <w:t> </w:t>
            </w:r>
          </w:p>
        </w:tc>
        <w:tc>
          <w:tcPr>
            <w:tcW w:w="183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Share price volatility</w:t>
            </w:r>
          </w:p>
        </w:tc>
        <w:tc>
          <w:tcPr>
            <w:tcW w:w="178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 percentage points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+410</w:t>
            </w:r>
          </w:p>
        </w:tc>
        <w:tc>
          <w:tcPr>
            <w:tcW w:w="1764"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-392</w:t>
            </w:r>
          </w:p>
        </w:tc>
      </w:tr>
      <w:tr>
        <w:trPr/>
        <w:tc>
          <w:tcPr>
            <w:tcW w:w="1938"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left"/>
              <w:rPr/>
            </w:pPr>
            <w:r>
              <w:rPr>
                <w:rStyle w:val="Emphasis"/>
              </w:rPr>
              <w:t> </w:t>
            </w:r>
          </w:p>
        </w:tc>
        <w:tc>
          <w:tcPr>
            <w:tcW w:w="183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Credit spread</w:t>
            </w:r>
          </w:p>
        </w:tc>
        <w:tc>
          <w:tcPr>
            <w:tcW w:w="178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+218</w:t>
            </w:r>
          </w:p>
        </w:tc>
        <w:tc>
          <w:tcPr>
            <w:tcW w:w="176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-222</w:t>
            </w:r>
          </w:p>
        </w:tc>
      </w:tr>
      <w:tr>
        <w:trPr/>
        <w:tc>
          <w:tcPr>
            <w:tcW w:w="1938"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left"/>
              <w:rPr/>
            </w:pPr>
            <w:r>
              <w:rPr>
                <w:rStyle w:val="Emphasis"/>
              </w:rPr>
              <w:t> </w:t>
            </w:r>
          </w:p>
        </w:tc>
        <w:tc>
          <w:tcPr>
            <w:tcW w:w="183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Probability of default</w:t>
            </w:r>
          </w:p>
        </w:tc>
        <w:tc>
          <w:tcPr>
            <w:tcW w:w="178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 rating notch change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-606</w:t>
            </w:r>
          </w:p>
        </w:tc>
        <w:tc>
          <w:tcPr>
            <w:tcW w:w="1764"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+556</w:t>
            </w:r>
          </w:p>
        </w:tc>
      </w:tr>
      <w:tr>
        <w:trPr/>
        <w:tc>
          <w:tcPr>
            <w:tcW w:w="1938"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left"/>
              <w:rPr/>
            </w:pPr>
            <w:r>
              <w:rPr>
                <w:rStyle w:val="Emphasis"/>
              </w:rPr>
              <w:t> </w:t>
            </w:r>
          </w:p>
        </w:tc>
        <w:tc>
          <w:tcPr>
            <w:tcW w:w="183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Recovery rate in case of event of default</w:t>
            </w:r>
          </w:p>
        </w:tc>
        <w:tc>
          <w:tcPr>
            <w:tcW w:w="178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+94</w:t>
            </w:r>
          </w:p>
        </w:tc>
        <w:tc>
          <w:tcPr>
            <w:tcW w:w="176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1938"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left"/>
              <w:rPr/>
            </w:pPr>
            <w:r>
              <w:rPr>
                <w:rStyle w:val="Emphasis"/>
              </w:rPr>
              <w:t> </w:t>
            </w:r>
          </w:p>
        </w:tc>
        <w:tc>
          <w:tcPr>
            <w:tcW w:w="183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(Partial) conversion in equity</w:t>
            </w:r>
          </w:p>
        </w:tc>
        <w:tc>
          <w:tcPr>
            <w:tcW w:w="1789"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accelerated schedule/ decelerated schedule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+165</w:t>
            </w:r>
          </w:p>
        </w:tc>
        <w:tc>
          <w:tcPr>
            <w:tcW w:w="1764"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-237</w:t>
            </w:r>
          </w:p>
        </w:tc>
      </w:tr>
      <w:tr>
        <w:trPr/>
        <w:tc>
          <w:tcPr>
            <w:tcW w:w="1938" w:type="dxa"/>
            <w:tcBorders>
              <w:bottom w:val="single" w:sz="2" w:space="0" w:color="000000"/>
            </w:tcBorders>
            <w:shd w:fill="CCEEFF" w:val="clear"/>
            <w:vAlign w:val="center"/>
          </w:tcPr>
          <w:p>
            <w:pPr>
              <w:pStyle w:val="TableContents"/>
              <w:bidi w:val="0"/>
              <w:spacing w:before="0" w:after="283"/>
              <w:jc w:val="left"/>
              <w:rPr/>
            </w:pPr>
            <w:r>
              <w:rPr/>
              <w:t> </w:t>
            </w:r>
          </w:p>
        </w:tc>
        <w:tc>
          <w:tcPr>
            <w:tcW w:w="1068" w:type="dxa"/>
            <w:tcBorders>
              <w:bottom w:val="single" w:sz="2" w:space="0" w:color="000000"/>
            </w:tcBorders>
            <w:shd w:fill="CCEEFF" w:val="clear"/>
            <w:vAlign w:val="center"/>
          </w:tcPr>
          <w:p>
            <w:pPr>
              <w:pStyle w:val="TableContents"/>
              <w:bidi w:val="0"/>
              <w:spacing w:before="0" w:after="283"/>
              <w:jc w:val="left"/>
              <w:rPr/>
            </w:pPr>
            <w:r>
              <w:rPr/>
              <w:t> </w:t>
            </w:r>
          </w:p>
        </w:tc>
        <w:tc>
          <w:tcPr>
            <w:tcW w:w="1835" w:type="dxa"/>
            <w:tcBorders>
              <w:bottom w:val="single" w:sz="2" w:space="0" w:color="000000"/>
            </w:tcBorders>
            <w:shd w:fill="CCEEFF" w:val="clear"/>
            <w:vAlign w:val="center"/>
          </w:tcPr>
          <w:p>
            <w:pPr>
              <w:pStyle w:val="TableContents"/>
              <w:bidi w:val="0"/>
              <w:spacing w:before="0" w:after="283"/>
              <w:jc w:val="left"/>
              <w:rPr/>
            </w:pPr>
            <w:r>
              <w:rPr/>
              <w:t> </w:t>
            </w:r>
          </w:p>
        </w:tc>
        <w:tc>
          <w:tcPr>
            <w:tcW w:w="1789"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515" w:type="dxa"/>
            <w:gridSpan w:val="2"/>
            <w:tcBorders>
              <w:bottom w:val="single" w:sz="2" w:space="0" w:color="000000"/>
            </w:tcBorders>
            <w:shd w:fill="CCEEFF" w:val="clear"/>
            <w:vAlign w:val="center"/>
          </w:tcPr>
          <w:p>
            <w:pPr>
              <w:pStyle w:val="TableContents"/>
              <w:bidi w:val="0"/>
              <w:spacing w:before="0" w:after="283"/>
              <w:jc w:val="left"/>
              <w:rPr/>
            </w:pPr>
            <w:r>
              <w:rPr/>
              <w:t> </w:t>
            </w:r>
          </w:p>
        </w:tc>
      </w:tr>
      <w:tr>
        <w:trPr/>
        <w:tc>
          <w:tcPr>
            <w:tcW w:w="1938"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left"/>
              <w:rPr/>
            </w:pPr>
            <w:r>
              <w:rPr/>
              <w:t> </w:t>
            </w:r>
          </w:p>
        </w:tc>
        <w:tc>
          <w:tcPr>
            <w:tcW w:w="1835" w:type="dxa"/>
            <w:tcBorders/>
            <w:shd w:fill="FFFFFF" w:val="clear"/>
            <w:tcMar>
              <w:bottom w:w="0" w:type="dxa"/>
            </w:tcMar>
            <w:vAlign w:val="center"/>
          </w:tcPr>
          <w:p>
            <w:pPr>
              <w:pStyle w:val="TableContents"/>
              <w:bidi w:val="0"/>
              <w:spacing w:before="0" w:after="283"/>
              <w:jc w:val="left"/>
              <w:rPr/>
            </w:pPr>
            <w:r>
              <w:rPr/>
              <w:t> </w:t>
            </w:r>
          </w:p>
        </w:tc>
        <w:tc>
          <w:tcPr>
            <w:tcW w:w="178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283"/>
              <w:jc w:val="left"/>
              <w:rPr/>
            </w:pPr>
            <w:r>
              <w:rPr/>
              <w:t> </w:t>
            </w:r>
          </w:p>
        </w:tc>
        <w:tc>
          <w:tcPr>
            <w:tcW w:w="176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Share price, exchange rate and risk-free interest rate are observable input parameters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unobservable input factors, there is a relationship between the credit spread (used as an input for the valuation of the host contract) and the probability of default (used as a direct input for the valuation of the hybrid instrument). If the rating-based credit spread increases, it can be assumed that the probability of default will also increase, as this is also determined on the basis of ratings. For small incremental changes, a higher credit spread leads to a lower value of the host contract and accordingly to a higher value assigned to the embedded derivatives. An incrementally higher probability of default leads to a lower value of the hybrid contract and accordingly a lower value assigned to the embedded derivatives. Hence, the effect of the individual input factors on the change in fair value of the embedded derivatives is weakened in each case. As of the balance sheet date, conversions were expected to occur over a relatively short time horizon, so a sharp increase in credit spread or probability of default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However, when the increase reaches a critical level, the fair value of both the host contract and the embedded derivatives begin to approach zero, because economically beneficial conversions become less likely and repayments of principal and interest on the host contract also become less likely.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there is also a correlation between the extent and timing of conversions of convertible debentures into equity and the probability of default. The probability of default has a greater impact on the fair value the later the conversions take place (e.g., in the case of minimum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the changes in the recurring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measurements (i.e., derivatives embedded in the convertible debentures) for the period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w:t>
      </w:r>
    </w:p>
    <w:p>
      <w:pPr>
        <w:pStyle w:val="TextBody"/>
        <w:bidi w:val="0"/>
        <w:spacing w:before="0" w:after="0"/>
        <w:ind w:left="0" w:right="0" w:hanging="0"/>
        <w:jc w:val="left"/>
        <w:rPr>
          <w:caps w:val="false"/>
          <w:smallCaps w:val="false"/>
        </w:rPr>
      </w:pPr>
      <w:r>
        <w:rPr>
          <w:caps w:val="false"/>
          <w:smallCaps w:val="false"/>
        </w:rPr>
        <w:t> </w:t>
      </w:r>
    </w:p>
    <w:tbl>
      <w:tblPr>
        <w:tblW w:w="7310" w:type="dxa"/>
        <w:jc w:val="left"/>
        <w:tblInd w:w="0" w:type="dxa"/>
        <w:tblLayout w:type="fixed"/>
        <w:tblCellMar>
          <w:top w:w="0" w:type="dxa"/>
          <w:left w:w="0" w:type="dxa"/>
          <w:bottom w:w="28" w:type="dxa"/>
          <w:right w:w="0" w:type="dxa"/>
        </w:tblCellMar>
      </w:tblPr>
      <w:tblGrid>
        <w:gridCol w:w="5990"/>
        <w:gridCol w:w="60"/>
        <w:gridCol w:w="60"/>
        <w:gridCol w:w="485"/>
        <w:gridCol w:w="80"/>
        <w:gridCol w:w="60"/>
        <w:gridCol w:w="220"/>
        <w:gridCol w:w="295"/>
        <w:gridCol w:w="60"/>
      </w:tblGrid>
      <w:tr>
        <w:trPr/>
        <w:tc>
          <w:tcPr>
            <w:tcW w:w="59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9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599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Balance at beginning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99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Additions (convertible debentures issued)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6,336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2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99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Conversion in equity (capital and other reserves)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99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Fair value changes presented in profit or loss (interest and similar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2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990"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Income from currency revaluation (interest and similar income)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990"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Balance at end of year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amount of the total gains or losses for the period presented in the table above that affect the profit and loss statement are all unrealised.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table below reconciles the opening and ending balance for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as of </w:t>
      </w:r>
      <w:r>
        <w:rPr>
          <w:rStyle w:val="Emphasis"/>
          <w:rFonts w:ascii="Times New Roman" w:hAnsi="Times New Roman"/>
          <w:caps w:val="false"/>
          <w:smallCaps w:val="false"/>
          <w:sz w:val="20"/>
        </w:rPr>
        <w:t>December 31:</w:t>
      </w:r>
    </w:p>
    <w:p>
      <w:pPr>
        <w:pStyle w:val="TextBody"/>
        <w:bidi w:val="0"/>
        <w:spacing w:before="0" w:after="0"/>
        <w:ind w:left="0" w:right="0" w:hanging="0"/>
        <w:jc w:val="left"/>
        <w:rPr>
          <w:caps w:val="false"/>
          <w:smallCaps w:val="false"/>
        </w:rPr>
      </w:pPr>
      <w:r>
        <w:rPr>
          <w:caps w:val="false"/>
          <w:smallCaps w:val="false"/>
        </w:rPr>
        <w:t> </w:t>
      </w:r>
    </w:p>
    <w:tbl>
      <w:tblPr>
        <w:tblW w:w="6095" w:type="dxa"/>
        <w:jc w:val="left"/>
        <w:tblInd w:w="0" w:type="dxa"/>
        <w:tblLayout w:type="fixed"/>
        <w:tblCellMar>
          <w:top w:w="0" w:type="dxa"/>
          <w:left w:w="0" w:type="dxa"/>
          <w:bottom w:w="28" w:type="dxa"/>
          <w:right w:w="0" w:type="dxa"/>
        </w:tblCellMar>
      </w:tblPr>
      <w:tblGrid>
        <w:gridCol w:w="4775"/>
        <w:gridCol w:w="60"/>
        <w:gridCol w:w="60"/>
        <w:gridCol w:w="485"/>
        <w:gridCol w:w="80"/>
        <w:gridCol w:w="60"/>
        <w:gridCol w:w="220"/>
        <w:gridCol w:w="295"/>
        <w:gridCol w:w="60"/>
      </w:tblGrid>
      <w:tr>
        <w:trPr/>
        <w:tc>
          <w:tcPr>
            <w:tcW w:w="47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77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Balance at beginning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2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Expense from currency revaluation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Amortization recognized in profit or loss during the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77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Balance at end of year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425"/>
        <w:gridCol w:w="179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8.3.3</w:t>
            </w:r>
          </w:p>
        </w:tc>
        <w:tc>
          <w:tcPr>
            <w:tcW w:w="17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and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interest income and total interest expense are calculated by applying the EIR method to the gross carrying amount of financial assets and liabilities measured at amortized cost. Total interest expenses were as follows:</w:t>
      </w:r>
    </w:p>
    <w:p>
      <w:pPr>
        <w:pStyle w:val="TextBody"/>
        <w:bidi w:val="0"/>
        <w:spacing w:before="0" w:after="0"/>
        <w:ind w:left="0" w:right="0" w:hanging="0"/>
        <w:jc w:val="left"/>
        <w:rPr>
          <w:caps w:val="false"/>
          <w:smallCaps w:val="false"/>
        </w:rPr>
      </w:pPr>
      <w:r>
        <w:rPr>
          <w:caps w:val="false"/>
          <w:smallCaps w:val="false"/>
        </w:rPr>
        <w:t> </w:t>
      </w:r>
    </w:p>
    <w:tbl>
      <w:tblPr>
        <w:tblW w:w="7025" w:type="dxa"/>
        <w:jc w:val="left"/>
        <w:tblInd w:w="0" w:type="dxa"/>
        <w:tblLayout w:type="fixed"/>
        <w:tblCellMar>
          <w:top w:w="0" w:type="dxa"/>
          <w:left w:w="0" w:type="dxa"/>
          <w:bottom w:w="28" w:type="dxa"/>
          <w:right w:w="0" w:type="dxa"/>
        </w:tblCellMar>
      </w:tblPr>
      <w:tblGrid>
        <w:gridCol w:w="5090"/>
        <w:gridCol w:w="60"/>
        <w:gridCol w:w="60"/>
        <w:gridCol w:w="485"/>
        <w:gridCol w:w="60"/>
        <w:gridCol w:w="60"/>
        <w:gridCol w:w="77"/>
        <w:gridCol w:w="438"/>
        <w:gridCol w:w="60"/>
        <w:gridCol w:w="60"/>
        <w:gridCol w:w="77"/>
        <w:gridCol w:w="438"/>
        <w:gridCol w:w="60"/>
      </w:tblGrid>
      <w:tr>
        <w:trPr/>
        <w:tc>
          <w:tcPr>
            <w:tcW w:w="50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0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5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4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4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interest expense for financial assets at amortized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ind w:left="0" w:right="0" w:hanging="0"/>
              <w:jc w:val="left"/>
              <w:rPr/>
            </w:pPr>
            <w:r>
              <w:rPr/>
              <w:t> </w:t>
            </w:r>
          </w:p>
        </w:tc>
        <w:tc>
          <w:tcPr>
            <w:tcW w:w="43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ind w:left="0" w:right="0" w:hanging="0"/>
              <w:jc w:val="left"/>
              <w:rPr/>
            </w:pPr>
            <w:r>
              <w:rPr/>
              <w:t> </w:t>
            </w:r>
          </w:p>
        </w:tc>
        <w:tc>
          <w:tcPr>
            <w:tcW w:w="43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interest expense for financial liabilities at amortized cost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presented total interest expense for financial assets at amortized cost is included in other general and administrative expenses as it results from negative interest charges. See note </w:t>
      </w:r>
      <w:r>
        <w:rPr>
          <w:rStyle w:val="Emphasis"/>
          <w:rFonts w:ascii="Times New Roman" w:hAnsi="Times New Roman"/>
          <w:caps w:val="false"/>
          <w:smallCaps w:val="false"/>
          <w:sz w:val="20"/>
        </w:rPr>
        <w:t>8.1.4</w:t>
      </w:r>
      <w:r>
        <w:rPr>
          <w:rFonts w:ascii="Times New Roman" w:hAnsi="Times New Roman"/>
          <w:caps w:val="false"/>
          <w:smallCaps w:val="false"/>
          <w:sz w:val="20"/>
        </w:rPr>
        <w:t xml:space="preserve"> Interest rate risk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shows the net gains or losses of financial instruments by measurement categories:</w:t>
      </w:r>
    </w:p>
    <w:p>
      <w:pPr>
        <w:pStyle w:val="TextBody"/>
        <w:bidi w:val="0"/>
        <w:spacing w:before="0" w:after="0"/>
        <w:ind w:left="0" w:right="0" w:hanging="0"/>
        <w:jc w:val="left"/>
        <w:rPr>
          <w:caps w:val="false"/>
          <w:smallCaps w:val="false"/>
        </w:rPr>
      </w:pPr>
      <w:r>
        <w:rPr>
          <w:caps w:val="false"/>
          <w:smallCaps w:val="false"/>
        </w:rPr>
        <w:t> </w:t>
      </w:r>
    </w:p>
    <w:tbl>
      <w:tblPr>
        <w:tblW w:w="6065" w:type="dxa"/>
        <w:jc w:val="left"/>
        <w:tblInd w:w="0" w:type="dxa"/>
        <w:tblLayout w:type="fixed"/>
        <w:tblCellMar>
          <w:top w:w="0" w:type="dxa"/>
          <w:left w:w="0" w:type="dxa"/>
          <w:bottom w:w="28" w:type="dxa"/>
          <w:right w:w="0" w:type="dxa"/>
        </w:tblCellMar>
      </w:tblPr>
      <w:tblGrid>
        <w:gridCol w:w="4070"/>
        <w:gridCol w:w="60"/>
        <w:gridCol w:w="67"/>
        <w:gridCol w:w="448"/>
        <w:gridCol w:w="80"/>
        <w:gridCol w:w="60"/>
        <w:gridCol w:w="60"/>
        <w:gridCol w:w="485"/>
        <w:gridCol w:w="80"/>
        <w:gridCol w:w="60"/>
        <w:gridCol w:w="67"/>
        <w:gridCol w:w="448"/>
        <w:gridCol w:w="80"/>
      </w:tblGrid>
      <w:tr>
        <w:trPr/>
        <w:tc>
          <w:tcPr>
            <w:tcW w:w="40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7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for financial assets at amortized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ind w:left="0" w:right="0" w:hanging="0"/>
              <w:jc w:val="left"/>
              <w:rPr/>
            </w:pPr>
            <w:r>
              <w:rPr/>
              <w:t> </w:t>
            </w:r>
          </w:p>
        </w:tc>
        <w:tc>
          <w:tcPr>
            <w:tcW w:w="4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07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for financial liabilities at amortized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ind w:left="0" w:right="0" w:hanging="0"/>
              <w:jc w:val="left"/>
              <w:rPr/>
            </w:pPr>
            <w:r>
              <w:rPr/>
              <w:t> </w:t>
            </w:r>
          </w:p>
        </w:tc>
        <w:tc>
          <w:tcPr>
            <w:tcW w:w="4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070"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gain for financial liabilities at FVTPL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losses for financial assets at amortized cost include reversals in the loss allowance as well as losses due to negative interest charges, disclosed as bank charges. Net losses for financial liabilities at amortized cost include interest expenses and currency revaluations.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Net gain for financial liabilities at FVTPL includes changes in the fair value measurement of the convertible debentures embedded derivatives and currency revaluations.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net gain for financial liabilities at FVTPL included changes in the fair value measurement of mandatory convertible notes, including fair value changes due to own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F-53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615" w:type="dxa"/>
        <w:jc w:val="left"/>
        <w:tblInd w:w="0" w:type="dxa"/>
        <w:tblLayout w:type="fixed"/>
        <w:tblCellMar>
          <w:top w:w="0" w:type="dxa"/>
          <w:left w:w="0" w:type="dxa"/>
          <w:bottom w:w="0" w:type="dxa"/>
          <w:right w:w="0" w:type="dxa"/>
        </w:tblCellMar>
      </w:tblPr>
      <w:tblGrid>
        <w:gridCol w:w="125"/>
        <w:gridCol w:w="1490"/>
      </w:tblGrid>
      <w:tr>
        <w:trPr/>
        <w:tc>
          <w:tcPr>
            <w:tcW w:w="1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w:t>
            </w:r>
          </w:p>
        </w:tc>
        <w:tc>
          <w:tcPr>
            <w:tcW w:w="14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disclosures</w:t>
            </w:r>
          </w:p>
        </w:tc>
      </w:tr>
    </w:tbl>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275"/>
        <w:gridCol w:w="498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9.1</w:t>
            </w:r>
          </w:p>
        </w:tc>
        <w:tc>
          <w:tcPr>
            <w:tcW w:w="49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Defined contribution plans (government-run pension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Motors makes payments under defined contributions plans, related to government-run pension plans. In the financial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total expense recognized amounted to kEUR 2,004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1,047;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kEUR 491).</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75"/>
        <w:gridCol w:w="171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9.2</w:t>
            </w:r>
          </w:p>
        </w:tc>
        <w:tc>
          <w:tcPr>
            <w:tcW w:w="17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Government grants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fiscal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other operating income includes an amount of kEUR 260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71;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kEUR 68) related to grants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government grant income in the current period relates to a research grant in the form of tax subsidies for expenses related to solar projects that were incurred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entire amount was awarded, received and recognized in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amounts recognized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related to a grant that Sono Motors received from the EU to promote the development of open-source hardware as part of the “OPEN_NEXT” project. The “OPEN_NEXT” grant is divided into pre-financing, interim and a final payment. The grant has the purpose to reimburse Sono Motors for direct personnel costs, direct costs of subcontracting, other direct costs and indirect costs in relation to the development of open-source hardware in the form of company-community collaborations. The payments are deferred and recognized in profit and loss over a period of 18 months each to match them with the costs that they are intended to reimburse.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interim grant payment of kEUR 18 was received and recognized in other operating income.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unfulfilled conditions or other contingencies attached to these grants. However, as of the balance sheet date, the final payment amount was uncertain.</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275"/>
        <w:gridCol w:w="459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9.3</w:t>
            </w:r>
          </w:p>
        </w:tc>
        <w:tc>
          <w:tcPr>
            <w:tcW w:w="45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Remuneration based on shares (share-based payment) </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425"/>
        <w:gridCol w:w="314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9.3.1</w:t>
            </w:r>
          </w:p>
        </w:tc>
        <w:tc>
          <w:tcPr>
            <w:tcW w:w="31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Staff members and managers - CSOP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management of Sono Motors has set up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similar employee participation programs for staff members and selected managers. The employee participation programs are based on virtual shares. The program provides remuneration in form of the right to participate in Sono Motors’ exit proceeds. The remuneration for managers is subject to the fulfillment of specific vesting conditions. In both programs, which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time limit regarding the ‘exit-event’, the right to receive a remuneration based on the exit proceeds is achieved if 95 % of the shares of Sono Motors are sold and transferred to a new owner or all material assets of Sono Motors (particularly patents) are sold to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Both employee participation programs are accounted for as cash-settled share-based transactions. However,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expense and liability has been recognized because an ‘exit-event’ and consequently a payment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as of </w:t>
      </w:r>
      <w:r>
        <w:rPr>
          <w:rStyle w:val="Emphasis"/>
          <w:rFonts w:ascii="Times New Roman" w:hAnsi="Times New Roman"/>
          <w:caps w:val="false"/>
          <w:smallCaps w:val="false"/>
          <w:sz w:val="20"/>
        </w:rPr>
        <w:t>December 31,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December 2020,</w:t>
      </w:r>
      <w:r>
        <w:rPr>
          <w:rFonts w:ascii="Times New Roman" w:hAnsi="Times New Roman"/>
          <w:caps w:val="false"/>
          <w:smallCaps w:val="false"/>
          <w:sz w:val="20"/>
        </w:rPr>
        <w:t xml:space="preserve"> Management has offered all participants of the existing employee participation program as well as five additional staff members (one active and four former staff members) to transfer or join the new employee participation program (Conversion Stock Option Program or CSOP), which is equity-settled. Therefore, all participants were asked to leave the current employee participation program by signing a cancellation agreement and to join the new program. As of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 xml:space="preserve">88 employees, including all management-level employees, have signed the CSOP and thus the employee participants program for managers was obsolete as of </w:t>
      </w:r>
      <w:r>
        <w:rPr>
          <w:rStyle w:val="Emphasis"/>
          <w:rFonts w:ascii="Times New Roman" w:hAnsi="Times New Roman"/>
          <w:caps w:val="false"/>
          <w:smallCaps w:val="false"/>
          <w:sz w:val="20"/>
        </w:rPr>
        <w:t>December 31,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table below shows the current status of the number of employees as of </w:t>
      </w:r>
      <w:r>
        <w:rPr>
          <w:rStyle w:val="Emphasis"/>
          <w:rFonts w:ascii="Times New Roman" w:hAnsi="Times New Roman"/>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tbl>
      <w:tblPr>
        <w:tblW w:w="5038" w:type="dxa"/>
        <w:jc w:val="left"/>
        <w:tblInd w:w="0" w:type="dxa"/>
        <w:tblLayout w:type="fixed"/>
        <w:tblCellMar>
          <w:top w:w="0" w:type="dxa"/>
          <w:left w:w="0" w:type="dxa"/>
          <w:bottom w:w="28" w:type="dxa"/>
          <w:right w:w="0" w:type="dxa"/>
        </w:tblCellMar>
      </w:tblPr>
      <w:tblGrid>
        <w:gridCol w:w="1160"/>
        <w:gridCol w:w="60"/>
        <w:gridCol w:w="565"/>
        <w:gridCol w:w="1179"/>
        <w:gridCol w:w="60"/>
        <w:gridCol w:w="60"/>
        <w:gridCol w:w="391"/>
        <w:gridCol w:w="1503"/>
        <w:gridCol w:w="60"/>
      </w:tblGrid>
      <w:tr>
        <w:trPr/>
        <w:tc>
          <w:tcPr>
            <w:tcW w:w="11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7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Cash-settled program</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8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Equity-settled program</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1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5" w:type="dxa"/>
            <w:tcBorders/>
            <w:tcMar>
              <w:bottom w:w="0" w:type="dxa"/>
            </w:tcMar>
            <w:vAlign w:val="center"/>
          </w:tcPr>
          <w:p>
            <w:pPr>
              <w:pStyle w:val="TableContents"/>
              <w:bidi w:val="0"/>
              <w:spacing w:before="0" w:after="283"/>
              <w:jc w:val="left"/>
              <w:rPr/>
            </w:pPr>
            <w:r>
              <w:rPr/>
              <w:t> </w:t>
            </w:r>
          </w:p>
        </w:tc>
        <w:tc>
          <w:tcPr>
            <w:tcW w:w="11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1" w:type="dxa"/>
            <w:tcBorders/>
            <w:tcMar>
              <w:bottom w:w="0" w:type="dxa"/>
            </w:tcMar>
            <w:vAlign w:val="center"/>
          </w:tcPr>
          <w:p>
            <w:pPr>
              <w:pStyle w:val="TableContents"/>
              <w:bidi w:val="0"/>
              <w:spacing w:before="0" w:after="283"/>
              <w:jc w:val="left"/>
              <w:rPr/>
            </w:pPr>
            <w:r>
              <w:rPr/>
              <w:t> </w:t>
            </w:r>
          </w:p>
        </w:tc>
        <w:tc>
          <w:tcPr>
            <w:tcW w:w="150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16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Staff members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5" w:type="dxa"/>
            <w:tcBorders/>
            <w:shd w:fill="CCEEFF" w:val="clear"/>
            <w:tcMar>
              <w:bottom w:w="0" w:type="dxa"/>
            </w:tcMar>
            <w:vAlign w:val="center"/>
          </w:tcPr>
          <w:p>
            <w:pPr>
              <w:pStyle w:val="TableContents"/>
              <w:bidi w:val="0"/>
              <w:spacing w:before="0" w:after="283"/>
              <w:ind w:left="0" w:right="0" w:hanging="0"/>
              <w:jc w:val="left"/>
              <w:rPr/>
            </w:pPr>
            <w:r>
              <w:rPr/>
              <w:t> </w:t>
            </w:r>
          </w:p>
        </w:tc>
        <w:tc>
          <w:tcPr>
            <w:tcW w:w="117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5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60"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Managers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6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9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0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6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9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0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Sono Group successfully completed an IPO and is now listed on the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No expense and liability have been recognized for the one participant remaining in the cash-settled program because 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 an IPO an ‘exit-event’ in accordance with the cash-settled employee participation program and consequently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 a payment to the remaining participant probable as of </w:t>
      </w:r>
      <w:r>
        <w:rPr>
          <w:rStyle w:val="Emphasis"/>
          <w:rFonts w:ascii="Times New Roman" w:hAnsi="Times New Roman"/>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IPO would constitute an ‘exit-event’ according to the CSOP.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all staff members as well 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manager in the CSOP, all granted share options are fully vested as of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also fully vested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They became exercisable one year after the IPO in </w:t>
      </w:r>
      <w:r>
        <w:rPr>
          <w:rStyle w:val="Emphasis"/>
          <w:rFonts w:ascii="Times New Roman" w:hAnsi="Times New Roman"/>
          <w:caps w:val="false"/>
          <w:smallCaps w:val="false"/>
          <w:sz w:val="20"/>
        </w:rPr>
        <w:t xml:space="preserve">November 2022. </w:t>
      </w:r>
      <w:r>
        <w:rPr>
          <w:rFonts w:ascii="Times New Roman" w:hAnsi="Times New Roman"/>
          <w:caps w:val="false"/>
          <w:smallCaps w:val="false"/>
          <w:sz w:val="20"/>
        </w:rPr>
        <w:t>All unexercised share options expire four years after the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Immediately prior to the pricing of the IPO on </w:t>
      </w:r>
      <w:r>
        <w:rPr>
          <w:rStyle w:val="Emphasis"/>
          <w:rFonts w:ascii="Times New Roman" w:hAnsi="Times New Roman"/>
          <w:caps w:val="false"/>
          <w:smallCaps w:val="false"/>
          <w:sz w:val="20"/>
        </w:rPr>
        <w:t xml:space="preserve">November 16, 2021, </w:t>
      </w:r>
      <w:r>
        <w:rPr>
          <w:rFonts w:ascii="Times New Roman" w:hAnsi="Times New Roman"/>
          <w:caps w:val="false"/>
          <w:smallCaps w:val="false"/>
          <w:sz w:val="20"/>
        </w:rPr>
        <w:t>additional ordinary shares were issued to all of our existing shareholders, replicating the effect of a share split. Each of the existing shareholders received 0.71 additional ordinary shares per common share or high voting share held by them immediately prior to the pricing of our IPO, rounded down to the nearest integer. CSOP participants, upon the exercise of their options will be granted a further 0.71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Two managers in the CSOP have a vesting period of 36 months (service condition) for their granted share options, beginning at a contractually set date. If the employment of the managers with Sono Motors GmbH, Munich, Germany, ends during the vesting period, a pro rata number of the share options might be granted, depending on contractually agreed good or bad leaver scenarios. After the vesting period all granted share options become exercisable. Other than that,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vesting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N.V. measures the fair value of the received services by reference to the fair value of the equity instruments (share options) granted and the number of share options contractually agreed on with each participant. Sono N.V. recognizes the fair value of the services as expenses and a corresponding increase in equity when the services are received. If Sono N.V. and the participant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agree on service conditions (</w:t>
      </w:r>
      <w:r>
        <w:rPr>
          <w:rStyle w:val="Emphasis"/>
          <w:rFonts w:ascii="Times New Roman" w:hAnsi="Times New Roman"/>
          <w:caps w:val="false"/>
          <w:smallCaps w:val="false"/>
          <w:sz w:val="20"/>
        </w:rPr>
        <w:t>86</w:t>
      </w:r>
      <w:r>
        <w:rPr>
          <w:rFonts w:ascii="Times New Roman" w:hAnsi="Times New Roman"/>
          <w:caps w:val="false"/>
          <w:smallCaps w:val="false"/>
          <w:sz w:val="20"/>
        </w:rPr>
        <w:t xml:space="preserve"> participants) and the participant is unconditionally entitled to the share options, Sono N.V. presumes that the services have been received on grant date and recognizes the services received in full, with a corresponding increase in equity. If Sono N.V. and the participant did agree on service conditions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participants), Sono N.V. accounts for the services as they are rendered by the participant during the vesting period, with a corresponding increase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illustrates the volume of the program, the weighted average fair value at grant date as well as the total expense of the period and the corresponding increase in equity: </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3905"/>
        <w:gridCol w:w="60"/>
        <w:gridCol w:w="60"/>
        <w:gridCol w:w="845"/>
        <w:gridCol w:w="60"/>
      </w:tblGrid>
      <w:tr>
        <w:trPr/>
        <w:tc>
          <w:tcPr>
            <w:tcW w:w="3905" w:type="dxa"/>
            <w:tcBorders>
              <w:bottom w:val="single" w:sz="2" w:space="0" w:color="000000"/>
            </w:tcBorders>
            <w:vAlign w:val="center"/>
          </w:tcPr>
          <w:p>
            <w:pPr>
              <w:pStyle w:val="TableContents"/>
              <w:bidi w:val="0"/>
              <w:spacing w:before="0" w:after="0"/>
              <w:ind w:left="180" w:right="0" w:hanging="180"/>
              <w:jc w:val="center"/>
              <w:rPr>
                <w:rFonts w:ascii="Times New Roman" w:hAnsi="Times New Roman"/>
                <w:caps w:val="false"/>
                <w:smallCaps w:val="false"/>
                <w:sz w:val="20"/>
              </w:rPr>
            </w:pPr>
            <w:r>
              <w:rPr>
                <w:rFonts w:ascii="Times New Roman" w:hAnsi="Times New Roman"/>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0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Number of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1,805,100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0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Number of options exercised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242,123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0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fair value at grant date (EUR)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0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Expense of the period (kEUR)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0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Increase in equity (kEUR)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3905"/>
        <w:gridCol w:w="60"/>
        <w:gridCol w:w="60"/>
        <w:gridCol w:w="845"/>
        <w:gridCol w:w="60"/>
      </w:tblGrid>
      <w:tr>
        <w:trPr/>
        <w:tc>
          <w:tcPr>
            <w:tcW w:w="3905" w:type="dxa"/>
            <w:tcBorders>
              <w:bottom w:val="single" w:sz="2" w:space="0" w:color="000000"/>
            </w:tcBorders>
            <w:vAlign w:val="center"/>
          </w:tcPr>
          <w:p>
            <w:pPr>
              <w:pStyle w:val="TableContents"/>
              <w:bidi w:val="0"/>
              <w:spacing w:before="0" w:after="0"/>
              <w:ind w:left="180" w:right="0" w:hanging="180"/>
              <w:jc w:val="center"/>
              <w:rPr>
                <w:rFonts w:ascii="Times New Roman" w:hAnsi="Times New Roman"/>
                <w:caps w:val="false"/>
                <w:smallCaps w:val="false"/>
                <w:sz w:val="20"/>
              </w:rPr>
            </w:pPr>
            <w:r>
              <w:rPr>
                <w:rFonts w:ascii="Times New Roman" w:hAnsi="Times New Roman"/>
                <w:caps w:val="false"/>
                <w:smallCaps w:val="false"/>
                <w:sz w:val="20"/>
              </w:rPr>
              <w:t>December 31, 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90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Number of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1,805,100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0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fair value at grant date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0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Expense of the period (kEUR)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0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Increase in equity (kEUR)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illustrates the number of, and movements in, share options during the year:</w:t>
      </w:r>
    </w:p>
    <w:p>
      <w:pPr>
        <w:pStyle w:val="TextBody"/>
        <w:bidi w:val="0"/>
        <w:spacing w:before="0" w:after="0"/>
        <w:ind w:left="0" w:right="0" w:hanging="0"/>
        <w:jc w:val="left"/>
        <w:rPr>
          <w:caps w:val="false"/>
          <w:smallCaps w:val="false"/>
        </w:rPr>
      </w:pPr>
      <w:r>
        <w:rPr>
          <w:caps w:val="false"/>
          <w:smallCaps w:val="false"/>
        </w:rPr>
        <w:t> </w:t>
      </w:r>
    </w:p>
    <w:tbl>
      <w:tblPr>
        <w:tblW w:w="5705" w:type="dxa"/>
        <w:jc w:val="left"/>
        <w:tblInd w:w="0" w:type="dxa"/>
        <w:tblLayout w:type="fixed"/>
        <w:tblCellMar>
          <w:top w:w="28" w:type="dxa"/>
          <w:left w:w="0" w:type="dxa"/>
          <w:bottom w:w="28" w:type="dxa"/>
          <w:right w:w="0" w:type="dxa"/>
        </w:tblCellMar>
      </w:tblPr>
      <w:tblGrid>
        <w:gridCol w:w="3635"/>
        <w:gridCol w:w="60"/>
        <w:gridCol w:w="60"/>
        <w:gridCol w:w="845"/>
        <w:gridCol w:w="80"/>
        <w:gridCol w:w="60"/>
        <w:gridCol w:w="60"/>
        <w:gridCol w:w="845"/>
        <w:gridCol w:w="60"/>
      </w:tblGrid>
      <w:tr>
        <w:trPr/>
        <w:tc>
          <w:tcPr>
            <w:tcW w:w="3635"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905" w:type="dxa"/>
            <w:gridSpan w:val="2"/>
            <w:tcBorders>
              <w:top w:val="single" w:sz="2" w:space="0" w:color="000000"/>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2022</w:t>
            </w:r>
          </w:p>
        </w:tc>
        <w:tc>
          <w:tcPr>
            <w:tcW w:w="8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905" w:type="dxa"/>
            <w:gridSpan w:val="2"/>
            <w:tcBorders>
              <w:top w:val="single" w:sz="2" w:space="0" w:color="000000"/>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top w:val="single" w:sz="2" w:space="0" w:color="000000"/>
              <w:bottom w:val="single" w:sz="2" w:space="0" w:color="000000"/>
            </w:tcBorders>
            <w:vAlign w:val="center"/>
          </w:tcPr>
          <w:p>
            <w:pPr>
              <w:pStyle w:val="TableContents"/>
              <w:bidi w:val="0"/>
              <w:spacing w:before="0" w:after="283"/>
              <w:jc w:val="left"/>
              <w:rPr/>
            </w:pPr>
            <w:r>
              <w:rPr/>
              <w:t> </w:t>
            </w:r>
          </w:p>
        </w:tc>
      </w:tr>
      <w:tr>
        <w:trPr/>
        <w:tc>
          <w:tcPr>
            <w:tcW w:w="3635" w:type="dxa"/>
            <w:tcBorders/>
            <w:shd w:fill="CCEEFF" w:val="clear"/>
            <w:tcMar>
              <w:top w:w="0" w:type="dxa"/>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As of January 1</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1,805,100</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635" w:type="dxa"/>
            <w:tcBorders/>
            <w:shd w:fill="FFFFFF" w:val="clear"/>
            <w:tcMar>
              <w:top w:w="0" w:type="dxa"/>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Granted during the period</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1,805,100</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3635" w:type="dxa"/>
            <w:tcBorders/>
            <w:shd w:fill="CCEEFF" w:val="clear"/>
            <w:tcMar>
              <w:top w:w="0" w:type="dxa"/>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Forfeited during the period</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635" w:type="dxa"/>
            <w:tcBorders>
              <w:bottom w:val="single" w:sz="2" w:space="0" w:color="000000"/>
            </w:tcBorders>
            <w:shd w:fill="FFFF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Exercised during the period</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(242,123</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3635" w:type="dxa"/>
            <w:tcBorders>
              <w:bottom w:val="single" w:sz="2" w:space="0" w:color="000000"/>
            </w:tcBorders>
            <w:shd w:fill="CCEE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As of December 31</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1,562,977</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1,805,100</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3635" w:type="dxa"/>
            <w:tcBorders>
              <w:bottom w:val="single" w:sz="2" w:space="0" w:color="000000"/>
            </w:tcBorders>
            <w:shd w:fill="FFFF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remaining contractual life</w:t>
            </w:r>
          </w:p>
        </w:tc>
        <w:tc>
          <w:tcPr>
            <w:tcW w:w="6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top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 years</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top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 years</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When participants exercise their options, they are entitled to a bonus share issue of 0.71 extra shares. Thus, the outstanding number of share options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1,562,977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1,805,100) give the right to acquire about 2,672,691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3,086,721) shares.</w:t>
        <w:br/>
        <w:br/>
        <w:t>The exercise price of all share options is EUR 0.06. During the period 242,123 shares were exercised with a weighted average share price of EUR 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the share options for the equity-settled share-based transactions was measured using Black-Scholes Model on the grant date and the following inputs:</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0" w:type="dxa"/>
        <w:tblLayout w:type="fixed"/>
        <w:tblCellMar>
          <w:top w:w="0" w:type="dxa"/>
          <w:left w:w="0" w:type="dxa"/>
          <w:bottom w:w="28" w:type="dxa"/>
          <w:right w:w="0" w:type="dxa"/>
        </w:tblCellMar>
      </w:tblPr>
      <w:tblGrid>
        <w:gridCol w:w="2960"/>
        <w:gridCol w:w="60"/>
        <w:gridCol w:w="60"/>
        <w:gridCol w:w="485"/>
        <w:gridCol w:w="245"/>
      </w:tblGrid>
      <w:tr>
        <w:trPr/>
        <w:tc>
          <w:tcPr>
            <w:tcW w:w="2960" w:type="dxa"/>
            <w:tcBorders>
              <w:bottom w:val="single" w:sz="2" w:space="0" w:color="000000"/>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Input factor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485" w:type="dxa"/>
            <w:tcBorders>
              <w:bottom w:val="single" w:sz="2" w:space="0" w:color="000000"/>
            </w:tcBorders>
            <w:vAlign w:val="center"/>
          </w:tcPr>
          <w:p>
            <w:pPr>
              <w:pStyle w:val="TableContents"/>
              <w:bidi w:val="0"/>
              <w:spacing w:before="0" w:after="283"/>
              <w:jc w:val="left"/>
              <w:rPr/>
            </w:pPr>
            <w:r>
              <w:rPr/>
              <w:t> </w:t>
            </w:r>
          </w:p>
        </w:tc>
        <w:tc>
          <w:tcPr>
            <w:tcW w:w="245" w:type="dxa"/>
            <w:tcBorders>
              <w:bottom w:val="single" w:sz="2" w:space="0" w:color="000000"/>
            </w:tcBorders>
            <w:vAlign w:val="center"/>
          </w:tcPr>
          <w:p>
            <w:pPr>
              <w:pStyle w:val="TableContents"/>
              <w:bidi w:val="0"/>
              <w:spacing w:before="0" w:after="283"/>
              <w:jc w:val="left"/>
              <w:rPr/>
            </w:pPr>
            <w:r>
              <w:rPr/>
              <w:t> </w:t>
            </w:r>
          </w:p>
        </w:tc>
      </w:tr>
      <w:tr>
        <w:trPr/>
        <w:tc>
          <w:tcPr>
            <w:tcW w:w="29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485" w:type="dxa"/>
            <w:tcBorders>
              <w:bottom w:val="single" w:sz="2" w:space="0" w:color="000000"/>
            </w:tcBorders>
            <w:vAlign w:val="center"/>
          </w:tcPr>
          <w:p>
            <w:pPr>
              <w:pStyle w:val="TableContents"/>
              <w:bidi w:val="0"/>
              <w:spacing w:before="0" w:after="283"/>
              <w:jc w:val="left"/>
              <w:rPr/>
            </w:pPr>
            <w:r>
              <w:rPr/>
              <w:t> </w:t>
            </w:r>
          </w:p>
        </w:tc>
        <w:tc>
          <w:tcPr>
            <w:tcW w:w="245" w:type="dxa"/>
            <w:tcBorders>
              <w:bottom w:val="single" w:sz="2" w:space="0" w:color="000000"/>
            </w:tcBorders>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share price (EUR)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22.01</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Exercise price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0.06</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2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96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Option life (yrs.)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Expected dividends (EUR)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(0.73</w:t>
            </w:r>
          </w:p>
        </w:tc>
        <w:tc>
          <w:tcPr>
            <w:tcW w:w="2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960"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Lack of marketability discount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14.39</w:t>
            </w:r>
          </w:p>
        </w:tc>
        <w:tc>
          <w:tcPr>
            <w:tcW w:w="2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expected life of the share options was based on current expectations and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exercise patterns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occur. The expected volatility was based on an evaluation of historical volatilities of comparable listed peer group companies. The expected volatility reflects the assumption that the historical volatility over a period similar to the life of the options is indicative of future trends, which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necessarily be the actual outcome.</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20" w:type="dxa"/>
        <w:jc w:val="left"/>
        <w:tblInd w:w="0" w:type="dxa"/>
        <w:tblLayout w:type="fixed"/>
        <w:tblCellMar>
          <w:top w:w="0" w:type="dxa"/>
          <w:left w:w="0" w:type="dxa"/>
          <w:bottom w:w="0" w:type="dxa"/>
          <w:right w:w="0" w:type="dxa"/>
        </w:tblCellMar>
      </w:tblPr>
      <w:tblGrid>
        <w:gridCol w:w="425"/>
        <w:gridCol w:w="1895"/>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9.3.2</w:t>
            </w:r>
          </w:p>
        </w:tc>
        <w:tc>
          <w:tcPr>
            <w:tcW w:w="18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Staff members - ESOP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2022, </w:t>
      </w:r>
      <w:r>
        <w:rPr>
          <w:rFonts w:ascii="Times New Roman" w:hAnsi="Times New Roman"/>
          <w:caps w:val="false"/>
          <w:smallCaps w:val="false"/>
          <w:sz w:val="20"/>
        </w:rPr>
        <w:t>Management offered all permanent employees, except the top management, the opportunity to join a new employee participation program (Employee Stock Option Program or ESOP), which is equity-settled. Every employee will be granted the equivalent of ten percent of their annual gross salary in stock options, with a minimum of kEUR 5 worth of stock options, per year and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2022, no</w:t>
      </w:r>
      <w:r>
        <w:rPr>
          <w:rFonts w:ascii="Times New Roman" w:hAnsi="Times New Roman"/>
          <w:caps w:val="false"/>
          <w:smallCaps w:val="false"/>
          <w:sz w:val="20"/>
        </w:rPr>
        <w:t xml:space="preserve"> employees have signed the ESOP because the drafting of the contracts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finalized yet. However, since the employees are already rendering service for the ESOP, expense has been recognized from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It is the intention of Management to implement this program, and for employees that meet the relevant cliff vesting dates to be eligible for the program, even if the program is implemented after the employee leaves Sono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table below shows the expected entitlement status as of </w:t>
      </w:r>
      <w:r>
        <w:rPr>
          <w:rStyle w:val="Emphasis"/>
          <w:rFonts w:ascii="Times New Roman" w:hAnsi="Times New Roman"/>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tbl>
      <w:tblPr>
        <w:tblW w:w="4404" w:type="dxa"/>
        <w:jc w:val="left"/>
        <w:tblInd w:w="0" w:type="dxa"/>
        <w:tblLayout w:type="fixed"/>
        <w:tblCellMar>
          <w:top w:w="0" w:type="dxa"/>
          <w:left w:w="0" w:type="dxa"/>
          <w:bottom w:w="28" w:type="dxa"/>
          <w:right w:w="0" w:type="dxa"/>
        </w:tblCellMar>
      </w:tblPr>
      <w:tblGrid>
        <w:gridCol w:w="2360"/>
        <w:gridCol w:w="60"/>
        <w:gridCol w:w="291"/>
        <w:gridCol w:w="1633"/>
        <w:gridCol w:w="60"/>
      </w:tblGrid>
      <w:tr>
        <w:trPr/>
        <w:tc>
          <w:tcPr>
            <w:tcW w:w="23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92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 of entitlements</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c>
          <w:tcPr>
            <w:tcW w:w="16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Entitlement for 2021 tranche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 w:type="dxa"/>
            <w:tcBorders/>
            <w:shd w:fill="CCEEFF" w:val="clear"/>
            <w:tcMar>
              <w:bottom w:w="0" w:type="dxa"/>
            </w:tcMar>
            <w:vAlign w:val="center"/>
          </w:tcPr>
          <w:p>
            <w:pPr>
              <w:pStyle w:val="TableContents"/>
              <w:bidi w:val="0"/>
              <w:spacing w:before="0" w:after="283"/>
              <w:ind w:left="0" w:right="0" w:hanging="0"/>
              <w:jc w:val="left"/>
              <w:rPr/>
            </w:pPr>
            <w:r>
              <w:rPr/>
              <w:t> </w:t>
            </w:r>
          </w:p>
        </w:tc>
        <w:tc>
          <w:tcPr>
            <w:tcW w:w="163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Entitlement for 2022 tranche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3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3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9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3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Tranches for the years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have a cliff vesting that requires staff members to remain employed at Sono Motors until a certain date. The cliff date for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tranche is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 xml:space="preserve">and for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tranche it is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If the employment of the staff with Sono Motors should end before the cliff date, the share options are forfeited. After the vesting period all granted share options will become immediately exercisable. The contractual life of the option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finalized.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initially measures the fair value of the received services by reference to the fair value of the equity instruments (share options) which are planned to be granted and the number of share options planned in relation to each participant and which is expected to vest. The fair value was calculated as equal to the share price on the valuation date less the exercise price. The measurement of the fair value is provisional and will be updated on the grant date. Sono Group recognizes the fair value of the services as expenses and a corresponding increase in equity when the services are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illustrates the planned volume of the program, the weighted average fair value at reporting date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as well as the total expense of the period and the corresponding increase in equity:</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4235"/>
        <w:gridCol w:w="60"/>
        <w:gridCol w:w="60"/>
        <w:gridCol w:w="695"/>
        <w:gridCol w:w="60"/>
      </w:tblGrid>
      <w:tr>
        <w:trPr/>
        <w:tc>
          <w:tcPr>
            <w:tcW w:w="4235" w:type="dxa"/>
            <w:tcBorders>
              <w:bottom w:val="single" w:sz="2" w:space="0" w:color="000000"/>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23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Number of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583,993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fair value at reporting date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Expense of the period (kEUR)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Increase in equity (kEUR)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recognized the proportionate fair value as other general and administrative expense (kEUR 70), selling and distribution expense (kEUR 23) and cost development expense (kEUR 235).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exercise price of all share options will be EUR 0.06. The price of Sono shares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converted to Euro, amounts to EUR 0.92.</w:t>
        <w:br/>
        <w:br/>
        <w:t xml:space="preserve">After the balance sheet date, there is uncertainty on whether these share options will be granted. See note </w:t>
      </w:r>
      <w:r>
        <w:rPr>
          <w:rStyle w:val="Emphasis"/>
          <w:rFonts w:ascii="Times New Roman" w:hAnsi="Times New Roman"/>
          <w:caps w:val="false"/>
          <w:smallCaps w:val="false"/>
          <w:sz w:val="20"/>
        </w:rPr>
        <w:t>9.7.6</w:t>
      </w:r>
      <w:r>
        <w:rPr>
          <w:rFonts w:ascii="Times New Roman" w:hAnsi="Times New Roman"/>
          <w:caps w:val="false"/>
          <w:smallCaps w:val="false"/>
          <w:sz w:val="20"/>
        </w:rPr>
        <w:t xml:space="preserve"> Remuneration based on shares (share-based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665" w:type="dxa"/>
        <w:jc w:val="left"/>
        <w:tblInd w:w="0" w:type="dxa"/>
        <w:tblLayout w:type="fixed"/>
        <w:tblCellMar>
          <w:top w:w="0" w:type="dxa"/>
          <w:left w:w="0" w:type="dxa"/>
          <w:bottom w:w="0" w:type="dxa"/>
          <w:right w:w="0" w:type="dxa"/>
        </w:tblCellMar>
      </w:tblPr>
      <w:tblGrid>
        <w:gridCol w:w="425"/>
        <w:gridCol w:w="224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9.3.3</w:t>
            </w:r>
          </w:p>
        </w:tc>
        <w:tc>
          <w:tcPr>
            <w:tcW w:w="22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Sono Group established a supervisory board.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supervisory board consisted of five members. The members received share-based payment based on awarded restricted stock units (“RSU”), as part of their remuneration. RSU is the right to receive, in cash, in assets, in the form of plan shares valued at fair market value (“FMV”), or a combination, the FMV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on the exercise date. FMV is the closing price of a Sono share on the relevant date on the principal stock exchange where Sono shares have been admitted for trading. The RSU agreements were signed on </w:t>
      </w:r>
      <w:r>
        <w:rPr>
          <w:rStyle w:val="Emphasis"/>
          <w:rFonts w:ascii="Times New Roman" w:hAnsi="Times New Roman"/>
          <w:caps w:val="false"/>
          <w:smallCaps w:val="false"/>
          <w:sz w:val="20"/>
        </w:rPr>
        <w:t xml:space="preserve">November 25, 2021, </w:t>
      </w:r>
      <w:r>
        <w:rPr>
          <w:rFonts w:ascii="Times New Roman" w:hAnsi="Times New Roman"/>
          <w:caps w:val="false"/>
          <w:smallCaps w:val="false"/>
          <w:sz w:val="20"/>
        </w:rPr>
        <w:t xml:space="preserve">by four members of the supervisory board and on </w:t>
      </w:r>
      <w:r>
        <w:rPr>
          <w:rStyle w:val="Emphasis"/>
          <w:rFonts w:ascii="Times New Roman" w:hAnsi="Times New Roman"/>
          <w:caps w:val="false"/>
          <w:smallCaps w:val="false"/>
          <w:sz w:val="20"/>
        </w:rPr>
        <w:t xml:space="preserve">February 22, 2022, </w:t>
      </w:r>
      <w:r>
        <w:rPr>
          <w:rFonts w:ascii="Times New Roman" w:hAnsi="Times New Roman"/>
          <w:caps w:val="false"/>
          <w:smallCaps w:val="false"/>
          <w:sz w:val="20"/>
        </w:rPr>
        <w:t xml:space="preserve">by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member of the supervisory board. The RSU      vest in four equal installments on each anniversary of </w:t>
      </w:r>
      <w:r>
        <w:rPr>
          <w:rStyle w:val="Emphasis"/>
          <w:rFonts w:ascii="Times New Roman" w:hAnsi="Times New Roman"/>
          <w:caps w:val="false"/>
          <w:smallCaps w:val="false"/>
          <w:sz w:val="20"/>
        </w:rPr>
        <w:t xml:space="preserve">November 19, 2021, </w:t>
      </w:r>
      <w:r>
        <w:rPr>
          <w:rFonts w:ascii="Times New Roman" w:hAnsi="Times New Roman"/>
          <w:caps w:val="false"/>
          <w:smallCaps w:val="false"/>
          <w:sz w:val="20"/>
        </w:rPr>
        <w:t xml:space="preserve">with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installment vesting on the earlier of (a) the fourth anniversary of </w:t>
      </w:r>
      <w:r>
        <w:rPr>
          <w:rStyle w:val="Emphasis"/>
          <w:rFonts w:ascii="Times New Roman" w:hAnsi="Times New Roman"/>
          <w:caps w:val="false"/>
          <w:smallCaps w:val="false"/>
          <w:sz w:val="20"/>
        </w:rPr>
        <w:t>November 19, 2021 (</w:t>
      </w:r>
      <w:r>
        <w:rPr>
          <w:rFonts w:ascii="Times New Roman" w:hAnsi="Times New Roman"/>
          <w:caps w:val="false"/>
          <w:smallCaps w:val="false"/>
          <w:sz w:val="20"/>
        </w:rPr>
        <w:t xml:space="preserve">b) the annual general meeting of the Sono N.V. to be held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(exercise dates). The RSUs expire on the </w:t>
      </w:r>
      <w:r>
        <w:rPr>
          <w:rStyle w:val="Emphasis"/>
          <w:rFonts w:ascii="Times New Roman" w:hAnsi="Times New Roman"/>
          <w:caps w:val="false"/>
          <w:smallCaps w:val="false"/>
          <w:sz w:val="20"/>
        </w:rPr>
        <w:t>tenth</w:t>
      </w:r>
      <w:r>
        <w:rPr>
          <w:rFonts w:ascii="Times New Roman" w:hAnsi="Times New Roman"/>
          <w:caps w:val="false"/>
          <w:smallCaps w:val="false"/>
          <w:sz w:val="20"/>
        </w:rPr>
        <w:t xml:space="preserve"> anniversary of </w:t>
      </w:r>
      <w:r>
        <w:rPr>
          <w:rStyle w:val="Emphasis"/>
          <w:rFonts w:ascii="Times New Roman" w:hAnsi="Times New Roman"/>
          <w:caps w:val="false"/>
          <w:smallCaps w:val="false"/>
          <w:sz w:val="20"/>
        </w:rPr>
        <w:t xml:space="preserve">November 19, 2021. </w:t>
      </w:r>
      <w:r>
        <w:rPr>
          <w:rFonts w:ascii="Times New Roman" w:hAnsi="Times New Roman"/>
          <w:caps w:val="false"/>
          <w:smallCaps w:val="false"/>
          <w:sz w:val="20"/>
        </w:rPr>
        <w:t xml:space="preserve">The measurement date for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members was </w:t>
      </w:r>
      <w:r>
        <w:rPr>
          <w:rStyle w:val="Emphasis"/>
          <w:rFonts w:ascii="Times New Roman" w:hAnsi="Times New Roman"/>
          <w:caps w:val="false"/>
          <w:smallCaps w:val="false"/>
          <w:sz w:val="20"/>
        </w:rPr>
        <w:t xml:space="preserve">November 25, 2021 </w:t>
      </w:r>
      <w:r>
        <w:rPr>
          <w:rFonts w:ascii="Times New Roman" w:hAnsi="Times New Roman"/>
          <w:caps w:val="false"/>
          <w:smallCaps w:val="false"/>
          <w:sz w:val="20"/>
        </w:rPr>
        <w:t xml:space="preserve">and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member </w:t>
      </w:r>
      <w:r>
        <w:rPr>
          <w:rStyle w:val="Emphasis"/>
          <w:rFonts w:ascii="Times New Roman" w:hAnsi="Times New Roman"/>
          <w:caps w:val="false"/>
          <w:smallCaps w:val="false"/>
          <w:sz w:val="20"/>
        </w:rPr>
        <w:t xml:space="preserve">February 2, 2022. </w:t>
      </w: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contractual performance obligations. Vested tranches of RSUs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exercised at the option of Sono Group in cash or in the form of ordinary shares.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supervisory board member left the board and forfeited their RSUs.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a new member joined the supervisory board, however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RSUs granted as of period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considers the RSU a transaction in which the terms of the arrangement provide Sono Group with a choice of settlement. Management determined that Sono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obligation to settle in cash and therefore accounts for the transactions with the requirements applying to equity-settled share-based payment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measures the fair value of the received services by reference to the fair value of the equity instruments (share options) granted and the number of share options contractually agreed on with members of the supervisory board. The fair value was calculated as equal to the share price on the valuation date less the exercise price. Sono Group recognizes the fair value of the services as expenses and a corresponding increase in equity when the services are rendered by the members of the supervisory board during the vesting period, with a corresponding increase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illustrates the volume of the program, the weighted average fair value at measurement date as well as the total expense of the period and the corresponding increase in equity:</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28" w:type="dxa"/>
          <w:right w:w="0" w:type="dxa"/>
        </w:tblCellMar>
      </w:tblPr>
      <w:tblGrid>
        <w:gridCol w:w="4550"/>
        <w:gridCol w:w="60"/>
        <w:gridCol w:w="60"/>
        <w:gridCol w:w="590"/>
        <w:gridCol w:w="60"/>
      </w:tblGrid>
      <w:tr>
        <w:trPr/>
        <w:tc>
          <w:tcPr>
            <w:tcW w:w="4550" w:type="dxa"/>
            <w:tcBorders>
              <w:bottom w:val="single" w:sz="2" w:space="0" w:color="000000"/>
            </w:tcBorders>
            <w:vAlign w:val="center"/>
          </w:tcPr>
          <w:p>
            <w:pPr>
              <w:pStyle w:val="TableContents"/>
              <w:bidi w:val="0"/>
              <w:spacing w:before="0" w:after="0"/>
              <w:ind w:left="180" w:right="0" w:hanging="180"/>
              <w:jc w:val="center"/>
              <w:rPr>
                <w:rFonts w:ascii="Times New Roman" w:hAnsi="Times New Roman"/>
                <w:caps w:val="false"/>
                <w:smallCaps w:val="false"/>
                <w:sz w:val="20"/>
              </w:rPr>
            </w:pPr>
            <w:r>
              <w:rPr>
                <w:rFonts w:ascii="Times New Roman" w:hAnsi="Times New Roman"/>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90"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55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Number of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63,869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fair value at measurement date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Expense of the period (kEUR)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Increase in equity (kEUR)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28" w:type="dxa"/>
          <w:right w:w="0" w:type="dxa"/>
        </w:tblCellMar>
      </w:tblPr>
      <w:tblGrid>
        <w:gridCol w:w="4550"/>
        <w:gridCol w:w="60"/>
        <w:gridCol w:w="60"/>
        <w:gridCol w:w="590"/>
        <w:gridCol w:w="60"/>
      </w:tblGrid>
      <w:tr>
        <w:trPr/>
        <w:tc>
          <w:tcPr>
            <w:tcW w:w="4550" w:type="dxa"/>
            <w:tcBorders>
              <w:bottom w:val="single" w:sz="2" w:space="0" w:color="000000"/>
            </w:tcBorders>
            <w:vAlign w:val="center"/>
          </w:tcPr>
          <w:p>
            <w:pPr>
              <w:pStyle w:val="TableContents"/>
              <w:bidi w:val="0"/>
              <w:spacing w:before="0" w:after="0"/>
              <w:ind w:left="180" w:right="0" w:hanging="180"/>
              <w:jc w:val="center"/>
              <w:rPr>
                <w:rFonts w:ascii="Times New Roman" w:hAnsi="Times New Roman"/>
                <w:caps w:val="false"/>
                <w:smallCaps w:val="false"/>
                <w:sz w:val="20"/>
              </w:rPr>
            </w:pPr>
            <w:r>
              <w:rPr>
                <w:rFonts w:ascii="Times New Roman" w:hAnsi="Times New Roman"/>
                <w:caps w:val="false"/>
                <w:smallCaps w:val="false"/>
                <w:sz w:val="20"/>
              </w:rPr>
              <w:t>December 31, 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90"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55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59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Number of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86,411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fair value at measurement date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Expense of the period (kEUR)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Increase in equity (kEUR)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recognized the proportionate fair value as other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illustrates the number of, and movements in, share options during the year:</w:t>
      </w:r>
    </w:p>
    <w:p>
      <w:pPr>
        <w:pStyle w:val="TextBody"/>
        <w:bidi w:val="0"/>
        <w:spacing w:before="0" w:after="0"/>
        <w:ind w:left="0" w:right="0" w:hanging="0"/>
        <w:jc w:val="left"/>
        <w:rPr>
          <w:caps w:val="false"/>
          <w:smallCaps w:val="false"/>
        </w:rPr>
      </w:pPr>
      <w:r>
        <w:rPr>
          <w:caps w:val="false"/>
          <w:smallCaps w:val="false"/>
        </w:rPr>
        <w:t> </w:t>
      </w:r>
    </w:p>
    <w:tbl>
      <w:tblPr>
        <w:tblW w:w="5688" w:type="dxa"/>
        <w:jc w:val="left"/>
        <w:tblInd w:w="0" w:type="dxa"/>
        <w:tblLayout w:type="fixed"/>
        <w:tblCellMar>
          <w:top w:w="28" w:type="dxa"/>
          <w:left w:w="0" w:type="dxa"/>
          <w:bottom w:w="28" w:type="dxa"/>
          <w:right w:w="0" w:type="dxa"/>
        </w:tblCellMar>
      </w:tblPr>
      <w:tblGrid>
        <w:gridCol w:w="3950"/>
        <w:gridCol w:w="60"/>
        <w:gridCol w:w="62"/>
        <w:gridCol w:w="677"/>
        <w:gridCol w:w="80"/>
        <w:gridCol w:w="60"/>
        <w:gridCol w:w="68"/>
        <w:gridCol w:w="671"/>
        <w:gridCol w:w="60"/>
      </w:tblGrid>
      <w:tr>
        <w:trPr/>
        <w:tc>
          <w:tcPr>
            <w:tcW w:w="395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739" w:type="dxa"/>
            <w:gridSpan w:val="2"/>
            <w:tcBorders>
              <w:top w:val="single" w:sz="2" w:space="0" w:color="000000"/>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2022</w:t>
            </w:r>
          </w:p>
        </w:tc>
        <w:tc>
          <w:tcPr>
            <w:tcW w:w="8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739" w:type="dxa"/>
            <w:gridSpan w:val="2"/>
            <w:tcBorders>
              <w:top w:val="single" w:sz="2" w:space="0" w:color="000000"/>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top w:val="single" w:sz="2" w:space="0" w:color="000000"/>
              <w:bottom w:val="single" w:sz="2" w:space="0" w:color="000000"/>
            </w:tcBorders>
            <w:vAlign w:val="center"/>
          </w:tcPr>
          <w:p>
            <w:pPr>
              <w:pStyle w:val="TableContents"/>
              <w:bidi w:val="0"/>
              <w:spacing w:before="0" w:after="283"/>
              <w:jc w:val="left"/>
              <w:rPr/>
            </w:pPr>
            <w:r>
              <w:rPr/>
              <w:t> </w:t>
            </w:r>
          </w:p>
        </w:tc>
      </w:tr>
      <w:tr>
        <w:trPr/>
        <w:tc>
          <w:tcPr>
            <w:tcW w:w="3950" w:type="dxa"/>
            <w:tcBorders/>
            <w:shd w:fill="CCEEFF" w:val="clear"/>
            <w:tcMar>
              <w:top w:w="0" w:type="dxa"/>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As of January 1</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2"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677"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86,411</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671"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950" w:type="dxa"/>
            <w:tcBorders/>
            <w:shd w:fill="FFFFFF" w:val="clear"/>
            <w:tcMar>
              <w:top w:w="0" w:type="dxa"/>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Granted during the period</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2"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677"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671"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86,411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3950" w:type="dxa"/>
            <w:tcBorders/>
            <w:shd w:fill="CCEEFF" w:val="clear"/>
            <w:tcMar>
              <w:top w:w="0" w:type="dxa"/>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Forfeited during the period</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2"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677"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(22,542</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671"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3950" w:type="dxa"/>
            <w:tcBorders>
              <w:bottom w:val="single" w:sz="2" w:space="0" w:color="000000"/>
            </w:tcBorders>
            <w:shd w:fill="FFFF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Exercised during the period</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3950" w:type="dxa"/>
            <w:tcBorders>
              <w:bottom w:val="single" w:sz="2" w:space="0" w:color="000000"/>
            </w:tcBorders>
            <w:shd w:fill="CCEE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As of December 31</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677"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63,869</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86,411</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3950" w:type="dxa"/>
            <w:tcBorders>
              <w:bottom w:val="single" w:sz="2" w:space="0" w:color="000000"/>
            </w:tcBorders>
            <w:shd w:fill="FFFF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The weighted average remaining contractual life</w:t>
            </w:r>
          </w:p>
        </w:tc>
        <w:tc>
          <w:tcPr>
            <w:tcW w:w="6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top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8.9 years</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top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 years</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forfeited RSUs are due to a board member that joined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resigning from the board in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and therefore forfeiting the granted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exercise price of all share options will be EUR 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9.7.6</w:t>
      </w:r>
      <w:r>
        <w:rPr>
          <w:rFonts w:ascii="Times New Roman" w:hAnsi="Times New Roman"/>
          <w:caps w:val="false"/>
          <w:smallCaps w:val="false"/>
          <w:sz w:val="20"/>
        </w:rPr>
        <w:t xml:space="preserve"> Remuneration based on shares (share-based payment) for events after the balance sheet date.</w:t>
      </w:r>
    </w:p>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425"/>
        <w:gridCol w:w="2810"/>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9.3.4</w:t>
            </w:r>
          </w:p>
        </w:tc>
        <w:tc>
          <w:tcPr>
            <w:tcW w:w="28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Bonus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2022, </w:t>
      </w:r>
      <w:r>
        <w:rPr>
          <w:rFonts w:ascii="Times New Roman" w:hAnsi="Times New Roman"/>
          <w:caps w:val="false"/>
          <w:smallCaps w:val="false"/>
          <w:sz w:val="20"/>
        </w:rPr>
        <w:t xml:space="preserve">the Supervisory Board were offered bonus RSUs, in addition to those described in note </w:t>
      </w:r>
      <w:r>
        <w:rPr>
          <w:rStyle w:val="Emphasis"/>
          <w:rFonts w:ascii="Times New Roman" w:hAnsi="Times New Roman"/>
          <w:caps w:val="false"/>
          <w:smallCaps w:val="false"/>
          <w:sz w:val="20"/>
        </w:rPr>
        <w:t>9.3.2.</w:t>
      </w:r>
      <w:r>
        <w:rPr>
          <w:rFonts w:ascii="Times New Roman" w:hAnsi="Times New Roman"/>
          <w:caps w:val="false"/>
          <w:smallCaps w:val="false"/>
          <w:sz w:val="20"/>
        </w:rPr>
        <w:t xml:space="preserve"> The RSUs were compensation for work performed over the period from </w:t>
      </w:r>
      <w:r>
        <w:rPr>
          <w:rStyle w:val="Emphasis"/>
          <w:rFonts w:ascii="Times New Roman" w:hAnsi="Times New Roman"/>
          <w:caps w:val="false"/>
          <w:smallCaps w:val="false"/>
          <w:sz w:val="20"/>
        </w:rPr>
        <w:t xml:space="preserve">December 2021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June 2022. </w:t>
      </w:r>
      <w:r>
        <w:rPr>
          <w:rFonts w:ascii="Times New Roman" w:hAnsi="Times New Roman"/>
          <w:caps w:val="false"/>
          <w:smallCaps w:val="false"/>
          <w:sz w:val="20"/>
        </w:rPr>
        <w:t xml:space="preserve">These bonus share options were committed to,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granted as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contracts signed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AGM resolution approving this compensation. However, since the supervisory board members had already rendered service the expense has been recognized in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vesting period was intended to be 12 months to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If the supervisory board members should leave before the end of the vesting period, the share options would be forfeited. After the vesting period all granted share options will become immediately exercisable once granted.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considers the RSU a transaction in which the terms of the arrangement provide Sono Group with a choice of settlement. Management determined that Sono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obligation to settle in cash and therefore accounts for the transactions with the requirements applying to equity-settled share-based payment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initially measures the fair value of the received services by reference to the fair value of the equity instruments (share options) granted and the number of share options contractually agreed on with members of the supervisory board. The fair value was calculated as equal to the share price on the valuation date less the exercise price. The measurement of the fair value is provisional and will be updated on the grant date. Sono Group recognizes the fair value of the services as expenses and a corresponding increase in equity when the services are rendered by the members of the supervisory board during the vesting period, with a corresponding increase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illustrates the volume of the program, the weighted average fair value at measurement date as well as the total expense of the period and the corresponding increase in equity:</w:t>
      </w:r>
    </w:p>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28" w:type="dxa"/>
          <w:right w:w="0" w:type="dxa"/>
        </w:tblCellMar>
      </w:tblPr>
      <w:tblGrid>
        <w:gridCol w:w="4550"/>
        <w:gridCol w:w="60"/>
        <w:gridCol w:w="60"/>
        <w:gridCol w:w="695"/>
        <w:gridCol w:w="60"/>
      </w:tblGrid>
      <w:tr>
        <w:trPr/>
        <w:tc>
          <w:tcPr>
            <w:tcW w:w="4550" w:type="dxa"/>
            <w:tcBorders>
              <w:bottom w:val="single" w:sz="2" w:space="0" w:color="000000"/>
            </w:tcBorders>
            <w:vAlign w:val="center"/>
          </w:tcPr>
          <w:p>
            <w:pPr>
              <w:pStyle w:val="TableContents"/>
              <w:bidi w:val="0"/>
              <w:spacing w:before="0" w:after="0"/>
              <w:ind w:left="180" w:right="0" w:hanging="180"/>
              <w:jc w:val="center"/>
              <w:rPr>
                <w:rFonts w:ascii="Times New Roman" w:hAnsi="Times New Roman"/>
                <w:caps w:val="false"/>
                <w:smallCaps w:val="false"/>
                <w:sz w:val="20"/>
              </w:rPr>
            </w:pPr>
            <w:r>
              <w:rPr>
                <w:rFonts w:ascii="Times New Roman" w:hAnsi="Times New Roman"/>
                <w:caps w:val="false"/>
                <w:smallCaps w:val="false"/>
                <w:sz w:val="20"/>
              </w:rPr>
              <w:t>December 31, 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283"/>
              <w:jc w:val="center"/>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55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Number of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104,468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fair value at measurement date (EUR)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Expense of the period (kEUR)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Increase in equity (kEUR)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recognized the proportionate fair value as other general and administrative expense. The exercise price of all share options will be EUR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9.7.6</w:t>
      </w:r>
      <w:r>
        <w:rPr>
          <w:rFonts w:ascii="Times New Roman" w:hAnsi="Times New Roman"/>
          <w:caps w:val="false"/>
          <w:smallCaps w:val="false"/>
          <w:sz w:val="20"/>
        </w:rPr>
        <w:t xml:space="preserve"> Remuneration based on shares (share-based payment) for events after the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59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9.4</w:t>
            </w:r>
          </w:p>
        </w:tc>
        <w:tc>
          <w:tcPr>
            <w:tcW w:w="12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Basic loss per share is calculated by dividing earnings attributable to Sono N.V. shareholders by the weighted average number of ordinary and high voting shares outstanding during the reporting period. The high voting shares entitle the shareholders to additional voting rights,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higher dividend rights. There are currently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factors resulting in a dilution of earnings per share due to the loss for each period presented. As a result, basic loss per share equals diluted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Loss per share</w:t>
      </w:r>
    </w:p>
    <w:p>
      <w:pPr>
        <w:pStyle w:val="TextBody"/>
        <w:bidi w:val="0"/>
        <w:spacing w:before="0" w:after="0"/>
        <w:ind w:left="0" w:right="0" w:hanging="0"/>
        <w:jc w:val="left"/>
        <w:rPr>
          <w:caps w:val="false"/>
          <w:smallCaps w:val="false"/>
        </w:rPr>
      </w:pPr>
      <w:r>
        <w:rPr>
          <w:caps w:val="false"/>
          <w:smallCaps w:val="false"/>
        </w:rPr>
        <w:t> </w:t>
      </w:r>
    </w:p>
    <w:tbl>
      <w:tblPr>
        <w:tblW w:w="8960" w:type="dxa"/>
        <w:jc w:val="left"/>
        <w:tblInd w:w="0" w:type="dxa"/>
        <w:tblLayout w:type="fixed"/>
        <w:tblCellMar>
          <w:top w:w="0" w:type="dxa"/>
          <w:left w:w="0" w:type="dxa"/>
          <w:bottom w:w="28" w:type="dxa"/>
          <w:right w:w="0" w:type="dxa"/>
        </w:tblCellMar>
      </w:tblPr>
      <w:tblGrid>
        <w:gridCol w:w="7040"/>
        <w:gridCol w:w="60"/>
        <w:gridCol w:w="60"/>
        <w:gridCol w:w="440"/>
        <w:gridCol w:w="80"/>
        <w:gridCol w:w="60"/>
        <w:gridCol w:w="60"/>
        <w:gridCol w:w="440"/>
        <w:gridCol w:w="80"/>
        <w:gridCol w:w="60"/>
        <w:gridCol w:w="60"/>
        <w:gridCol w:w="440"/>
        <w:gridCol w:w="80"/>
      </w:tblGrid>
      <w:tr>
        <w:trPr/>
        <w:tc>
          <w:tcPr>
            <w:tcW w:w="704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2021</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2020</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704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EUR</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7040"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From continuing operations attributable to the ordinary equity holders of the company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(0.97</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0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(0.97</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capital increases have resulted in an increase in the number of shares in the reporting year. Moreover, the weighted number of shares was adjusted retroactively in accordance with IAS </w:t>
      </w:r>
      <w:r>
        <w:rPr>
          <w:rStyle w:val="Emphasis"/>
          <w:rFonts w:ascii="Times New Roman" w:hAnsi="Times New Roman"/>
          <w:caps w:val="false"/>
          <w:smallCaps w:val="false"/>
          <w:sz w:val="20"/>
        </w:rPr>
        <w:t>33.28</w:t>
      </w:r>
      <w:r>
        <w:rPr>
          <w:rFonts w:ascii="Times New Roman" w:hAnsi="Times New Roman"/>
          <w:caps w:val="false"/>
          <w:smallCaps w:val="false"/>
          <w:sz w:val="20"/>
        </w:rPr>
        <w:t xml:space="preserve"> to reflect the issue of bonus shares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adjusted weighted number of shares increased to 83,055,318 in the reporting year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59,836,824;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57,684,220).</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75"/>
        <w:gridCol w:w="129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9.5</w:t>
            </w:r>
          </w:p>
        </w:tc>
        <w:tc>
          <w:tcPr>
            <w:tcW w:w="12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Related parties of Sono Group include the following persons as well as their close family members:</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170"/>
        <w:gridCol w:w="1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C-level Management</w:t>
            </w:r>
          </w:p>
        </w:tc>
      </w:tr>
    </w:tbl>
    <w:p>
      <w:pPr>
        <w:pStyle w:val="TextBody"/>
        <w:bidi w:val="0"/>
        <w:spacing w:before="0" w:after="0"/>
        <w:ind w:left="0" w:right="0" w:hanging="0"/>
        <w:jc w:val="left"/>
        <w:rPr/>
      </w:pPr>
      <w:r>
        <w:rPr/>
        <w:t> </w:t>
      </w:r>
    </w:p>
    <w:tbl>
      <w:tblPr>
        <w:tblW w:w="5830" w:type="dxa"/>
        <w:jc w:val="left"/>
        <w:tblInd w:w="0" w:type="dxa"/>
        <w:tblLayout w:type="fixed"/>
        <w:tblCellMar>
          <w:top w:w="0" w:type="dxa"/>
          <w:left w:w="0" w:type="dxa"/>
          <w:bottom w:w="0" w:type="dxa"/>
          <w:right w:w="0" w:type="dxa"/>
        </w:tblCellMar>
      </w:tblPr>
      <w:tblGrid>
        <w:gridCol w:w="60"/>
        <w:gridCol w:w="170"/>
        <w:gridCol w:w="5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left"/>
              <w:rPr/>
            </w:pPr>
            <w:r>
              <w:rPr/>
              <w:t>Significant shareholders - Jona Christians and Laurin Hahn</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60"/>
        <w:gridCol w:w="170"/>
        <w:gridCol w:w="2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Supervisory Board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related parties of Sono Group also include the following entities: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170"/>
        <w:gridCol w:w="2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Management UG</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170"/>
        <w:gridCol w:w="2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Investment UG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Sono N.V.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controlled by any other entity, but controls Sono Motors GmbH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there is a loss of control, expected to be temporary. See note </w:t>
      </w:r>
      <w:r>
        <w:rPr>
          <w:rStyle w:val="Emphasis"/>
          <w:rFonts w:ascii="Times New Roman" w:hAnsi="Times New Roman"/>
          <w:caps w:val="false"/>
          <w:smallCaps w:val="false"/>
          <w:sz w:val="20"/>
        </w:rPr>
        <w:t>9.7.3</w:t>
      </w:r>
      <w:r>
        <w:rPr>
          <w:rFonts w:ascii="Times New Roman" w:hAnsi="Times New Roman"/>
          <w:caps w:val="false"/>
          <w:smallCaps w:val="false"/>
          <w:sz w:val="20"/>
        </w:rPr>
        <w:t xml:space="preserve"> Loss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below table displays the compensation of key management personnel:         </w:t>
      </w:r>
    </w:p>
    <w:p>
      <w:pPr>
        <w:pStyle w:val="TextBody"/>
        <w:bidi w:val="0"/>
        <w:spacing w:before="0" w:after="0"/>
        <w:ind w:left="0" w:right="0" w:hanging="0"/>
        <w:jc w:val="left"/>
        <w:rPr>
          <w:caps w:val="false"/>
          <w:smallCaps w:val="false"/>
        </w:rPr>
      </w:pPr>
      <w:r>
        <w:rPr>
          <w:caps w:val="false"/>
          <w:smallCaps w:val="false"/>
        </w:rPr>
        <w:t> </w:t>
      </w:r>
    </w:p>
    <w:tbl>
      <w:tblPr>
        <w:tblW w:w="4400" w:type="dxa"/>
        <w:jc w:val="left"/>
        <w:tblInd w:w="0" w:type="dxa"/>
        <w:tblLayout w:type="fixed"/>
        <w:tblCellMar>
          <w:top w:w="0" w:type="dxa"/>
          <w:left w:w="0" w:type="dxa"/>
          <w:bottom w:w="28" w:type="dxa"/>
          <w:right w:w="0" w:type="dxa"/>
        </w:tblCellMar>
      </w:tblPr>
      <w:tblGrid>
        <w:gridCol w:w="2405"/>
        <w:gridCol w:w="60"/>
        <w:gridCol w:w="60"/>
        <w:gridCol w:w="485"/>
        <w:gridCol w:w="60"/>
        <w:gridCol w:w="60"/>
        <w:gridCol w:w="60"/>
        <w:gridCol w:w="485"/>
        <w:gridCol w:w="60"/>
        <w:gridCol w:w="60"/>
        <w:gridCol w:w="60"/>
        <w:gridCol w:w="485"/>
        <w:gridCol w:w="60"/>
      </w:tblGrid>
      <w:tr>
        <w:trPr/>
        <w:tc>
          <w:tcPr>
            <w:tcW w:w="24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2020</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4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40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Short-term employee benefits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0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Share-based payments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0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compensation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share-based payments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relate to the CSOP (kEUR 652;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1,898;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5,829) and to the share-based payment program of the supervisory board RSU (kEUR 486;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kEUR -;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k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Since the establishment of the supervisory board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 members have received share-based payments based on awarded restricted stock units (RSU) as part of their remuneration. See note </w:t>
      </w:r>
      <w:r>
        <w:rPr>
          <w:rStyle w:val="Emphasis"/>
          <w:rFonts w:ascii="Times New Roman" w:hAnsi="Times New Roman"/>
          <w:caps w:val="false"/>
          <w:smallCaps w:val="false"/>
          <w:sz w:val="20"/>
        </w:rPr>
        <w:t>9.3.3</w:t>
      </w:r>
      <w:r>
        <w:rPr>
          <w:rFonts w:ascii="Times New Roman" w:hAnsi="Times New Roman"/>
          <w:caps w:val="false"/>
          <w:smallCaps w:val="false"/>
          <w:sz w:val="20"/>
        </w:rPr>
        <w:t xml:space="preserve"> Supervisory Board - RSUs and note </w:t>
      </w:r>
      <w:r>
        <w:rPr>
          <w:rStyle w:val="Emphasis"/>
          <w:rFonts w:ascii="Times New Roman" w:hAnsi="Times New Roman"/>
          <w:caps w:val="false"/>
          <w:smallCaps w:val="false"/>
          <w:sz w:val="20"/>
        </w:rPr>
        <w:t>9.3.4.</w:t>
      </w:r>
      <w:r>
        <w:rPr>
          <w:rFonts w:ascii="Times New Roman" w:hAnsi="Times New Roman"/>
          <w:caps w:val="false"/>
          <w:smallCaps w:val="false"/>
          <w:sz w:val="20"/>
        </w:rPr>
        <w:t xml:space="preserve"> Supervisory Board - Bonus RSUs for further information on supervisory board share-based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Below are other related party transactions during the financial year. </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28" w:type="dxa"/>
          <w:right w:w="0" w:type="dxa"/>
        </w:tblCellMar>
      </w:tblPr>
      <w:tblGrid>
        <w:gridCol w:w="2720"/>
        <w:gridCol w:w="60"/>
        <w:gridCol w:w="77"/>
        <w:gridCol w:w="438"/>
        <w:gridCol w:w="60"/>
        <w:gridCol w:w="60"/>
        <w:gridCol w:w="220"/>
        <w:gridCol w:w="295"/>
        <w:gridCol w:w="60"/>
        <w:gridCol w:w="60"/>
        <w:gridCol w:w="220"/>
        <w:gridCol w:w="295"/>
        <w:gridCol w:w="60"/>
      </w:tblGrid>
      <w:tr>
        <w:trPr/>
        <w:tc>
          <w:tcPr>
            <w:tcW w:w="272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2020</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72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7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4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Expenses for marketing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ind w:left="0" w:right="0" w:hanging="0"/>
              <w:jc w:val="left"/>
              <w:rPr/>
            </w:pPr>
            <w:r>
              <w:rPr/>
              <w:t> </w:t>
            </w:r>
          </w:p>
        </w:tc>
        <w:tc>
          <w:tcPr>
            <w:tcW w:w="43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2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Expenses for employee events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20"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expenses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displays loans and advance payments received from key management personnel and other related parties:</w:t>
      </w:r>
    </w:p>
    <w:p>
      <w:pPr>
        <w:pStyle w:val="TextBody"/>
        <w:bidi w:val="0"/>
        <w:spacing w:before="0" w:after="0"/>
        <w:ind w:left="0" w:right="0" w:hanging="0"/>
        <w:jc w:val="left"/>
        <w:rPr>
          <w:caps w:val="false"/>
          <w:smallCaps w:val="false"/>
        </w:rPr>
      </w:pPr>
      <w:r>
        <w:rPr>
          <w:caps w:val="false"/>
          <w:smallCaps w:val="false"/>
        </w:rPr>
        <w:t> </w:t>
      </w:r>
    </w:p>
    <w:tbl>
      <w:tblPr>
        <w:tblW w:w="8090" w:type="dxa"/>
        <w:jc w:val="left"/>
        <w:tblInd w:w="0" w:type="dxa"/>
        <w:tblLayout w:type="fixed"/>
        <w:tblCellMar>
          <w:top w:w="0" w:type="dxa"/>
          <w:left w:w="0" w:type="dxa"/>
          <w:bottom w:w="28" w:type="dxa"/>
          <w:right w:w="0" w:type="dxa"/>
        </w:tblCellMar>
      </w:tblPr>
      <w:tblGrid>
        <w:gridCol w:w="6185"/>
        <w:gridCol w:w="60"/>
        <w:gridCol w:w="106"/>
        <w:gridCol w:w="409"/>
        <w:gridCol w:w="60"/>
        <w:gridCol w:w="60"/>
        <w:gridCol w:w="106"/>
        <w:gridCol w:w="409"/>
        <w:gridCol w:w="60"/>
        <w:gridCol w:w="60"/>
        <w:gridCol w:w="77"/>
        <w:gridCol w:w="438"/>
        <w:gridCol w:w="60"/>
      </w:tblGrid>
      <w:tr>
        <w:trPr/>
        <w:tc>
          <w:tcPr>
            <w:tcW w:w="6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6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4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4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4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618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Loans from key management personnel (subordinated crowdfunding loan 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ind w:left="0" w:right="0" w:hanging="0"/>
              <w:jc w:val="left"/>
              <w:rPr/>
            </w:pPr>
            <w:r>
              <w:rPr/>
              <w:t> </w:t>
            </w:r>
          </w:p>
        </w:tc>
        <w:tc>
          <w:tcPr>
            <w:tcW w:w="43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18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Loans from other related parties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8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18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Advance payments received from key management personnel*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8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3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25"/>
        <w:gridCol w:w="3590"/>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359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for which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Sono points have been granted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terms and conditions of the subordinated loans (crowdfunding), we refer to note </w:t>
      </w:r>
      <w:r>
        <w:rPr>
          <w:rStyle w:val="Emphasis"/>
          <w:rFonts w:ascii="Times New Roman" w:hAnsi="Times New Roman"/>
          <w:caps w:val="false"/>
          <w:smallCaps w:val="false"/>
          <w:sz w:val="20"/>
        </w:rPr>
        <w:t>7.10.2</w:t>
      </w:r>
      <w:r>
        <w:rPr>
          <w:rFonts w:ascii="Times New Roman" w:hAnsi="Times New Roman"/>
          <w:caps w:val="false"/>
          <w:smallCaps w:val="false"/>
          <w:sz w:val="20"/>
        </w:rPr>
        <w:t xml:space="preserve"> Noncurrent financial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main shareholders of Sono N.V. have significant influence over Sono Motors Investment UG, Munich. Therefore, Sono Motors Investment UG is considered a related party. Sono Motors has received a loan amounting to kEUR 185 from Sono Motors Investment UG in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The loan was due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 xml:space="preserve">interest-paying at arm’s length (4 % p.a.) and unsecured.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loan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repaid as of the balance sheet date. Instead, it was paid back on </w:t>
      </w:r>
      <w:r>
        <w:rPr>
          <w:rStyle w:val="Emphasis"/>
          <w:rFonts w:ascii="Times New Roman" w:hAnsi="Times New Roman"/>
          <w:caps w:val="false"/>
          <w:smallCaps w:val="false"/>
          <w:sz w:val="20"/>
        </w:rPr>
        <w:t>January 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265" w:type="dxa"/>
        <w:jc w:val="left"/>
        <w:tblInd w:w="0" w:type="dxa"/>
        <w:tblLayout w:type="fixed"/>
        <w:tblCellMar>
          <w:top w:w="0" w:type="dxa"/>
          <w:left w:w="0" w:type="dxa"/>
          <w:bottom w:w="0" w:type="dxa"/>
          <w:right w:w="0" w:type="dxa"/>
        </w:tblCellMar>
      </w:tblPr>
      <w:tblGrid>
        <w:gridCol w:w="275"/>
        <w:gridCol w:w="599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9.6</w:t>
            </w:r>
          </w:p>
        </w:tc>
        <w:tc>
          <w:tcPr>
            <w:tcW w:w="59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changes in liabilities arising from financing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statement of cash flows presents information on the cash flow from operating, financing and investing activities. In fiscal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previous years, non-cash financing and investing activities include the acquisition of right-of-use assets (see note </w:t>
      </w:r>
      <w:r>
        <w:rPr>
          <w:rStyle w:val="Emphasis"/>
          <w:rFonts w:ascii="Times New Roman" w:hAnsi="Times New Roman"/>
          <w:caps w:val="false"/>
          <w:smallCaps w:val="false"/>
          <w:sz w:val="20"/>
        </w:rPr>
        <w:t>7.3</w:t>
      </w:r>
      <w:r>
        <w:rPr>
          <w:rFonts w:ascii="Times New Roman" w:hAnsi="Times New Roman"/>
          <w:caps w:val="false"/>
          <w:smallCaps w:val="false"/>
          <w:sz w:val="20"/>
        </w:rPr>
        <w:t xml:space="preserve"> Right-of-use assets). The table below presents a reconciliation of liabilities arising from financing activities.</w:t>
      </w:r>
    </w:p>
    <w:p>
      <w:pPr>
        <w:pStyle w:val="TextBody"/>
        <w:bidi w:val="0"/>
        <w:spacing w:before="0" w:after="0"/>
        <w:ind w:left="0" w:right="0" w:hanging="0"/>
        <w:jc w:val="left"/>
        <w:rPr>
          <w:caps w:val="false"/>
          <w:smallCaps w:val="false"/>
        </w:rPr>
      </w:pPr>
      <w:r>
        <w:rPr>
          <w:caps w:val="false"/>
          <w:smallCaps w:val="false"/>
        </w:rPr>
        <w:t> </w:t>
      </w:r>
    </w:p>
    <w:tbl>
      <w:tblPr>
        <w:tblW w:w="6771" w:type="dxa"/>
        <w:jc w:val="left"/>
        <w:tblInd w:w="0" w:type="dxa"/>
        <w:tblLayout w:type="fixed"/>
        <w:tblCellMar>
          <w:top w:w="0" w:type="dxa"/>
          <w:left w:w="0" w:type="dxa"/>
          <w:bottom w:w="0" w:type="dxa"/>
          <w:right w:w="0" w:type="dxa"/>
        </w:tblCellMar>
      </w:tblPr>
      <w:tblGrid>
        <w:gridCol w:w="1715"/>
        <w:gridCol w:w="60"/>
        <w:gridCol w:w="60"/>
        <w:gridCol w:w="485"/>
        <w:gridCol w:w="60"/>
        <w:gridCol w:w="60"/>
        <w:gridCol w:w="60"/>
        <w:gridCol w:w="590"/>
        <w:gridCol w:w="80"/>
        <w:gridCol w:w="60"/>
        <w:gridCol w:w="150"/>
        <w:gridCol w:w="844"/>
        <w:gridCol w:w="72"/>
        <w:gridCol w:w="72"/>
        <w:gridCol w:w="355"/>
        <w:gridCol w:w="475"/>
        <w:gridCol w:w="72"/>
        <w:gridCol w:w="72"/>
        <w:gridCol w:w="72"/>
        <w:gridCol w:w="478"/>
        <w:gridCol w:w="80"/>
        <w:gridCol w:w="60"/>
        <w:gridCol w:w="62"/>
        <w:gridCol w:w="617"/>
        <w:gridCol w:w="60"/>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1,</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Cash</w:t>
              <w:br/>
              <w:t>flows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62" w:type="dxa"/>
            <w:gridSpan w:val="1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Non-cash changes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w:t>
              <w:br/>
              <w:t>2022</w:t>
            </w:r>
          </w:p>
        </w:tc>
        <w:tc>
          <w:tcPr>
            <w:tcW w:w="60" w:type="dxa"/>
            <w:tcBorders/>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EIR method</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Additions</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17"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32,241</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15" w:type="dxa"/>
            <w:tcBorders>
              <w:bottom w:val="single" w:sz="2" w:space="0" w:color="000000"/>
            </w:tcBorders>
            <w:shd w:fill="FFFFFF" w:val="clear"/>
            <w:tcMar>
              <w:bottom w:w="28"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27,996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7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34,874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including current and noncurrent financial liabilities</w:t>
      </w:r>
    </w:p>
    <w:p>
      <w:pPr>
        <w:pStyle w:val="TextBody"/>
        <w:bidi w:val="0"/>
        <w:spacing w:before="0" w:after="0"/>
        <w:ind w:left="0" w:right="0" w:hanging="0"/>
        <w:jc w:val="left"/>
        <w:rPr>
          <w:caps w:val="false"/>
          <w:smallCaps w:val="false"/>
        </w:rPr>
      </w:pPr>
      <w:r>
        <w:rPr>
          <w:caps w:val="false"/>
          <w:smallCaps w:val="false"/>
        </w:rPr>
        <w:t> </w:t>
      </w:r>
    </w:p>
    <w:tbl>
      <w:tblPr>
        <w:tblW w:w="6553" w:type="dxa"/>
        <w:jc w:val="left"/>
        <w:tblInd w:w="0" w:type="dxa"/>
        <w:tblLayout w:type="fixed"/>
        <w:tblCellMar>
          <w:top w:w="0" w:type="dxa"/>
          <w:left w:w="0" w:type="dxa"/>
          <w:bottom w:w="28" w:type="dxa"/>
          <w:right w:w="0" w:type="dxa"/>
        </w:tblCellMar>
      </w:tblPr>
      <w:tblGrid>
        <w:gridCol w:w="1715"/>
        <w:gridCol w:w="60"/>
        <w:gridCol w:w="60"/>
        <w:gridCol w:w="590"/>
        <w:gridCol w:w="60"/>
        <w:gridCol w:w="60"/>
        <w:gridCol w:w="60"/>
        <w:gridCol w:w="545"/>
        <w:gridCol w:w="80"/>
        <w:gridCol w:w="60"/>
        <w:gridCol w:w="205"/>
        <w:gridCol w:w="789"/>
        <w:gridCol w:w="60"/>
        <w:gridCol w:w="60"/>
        <w:gridCol w:w="60"/>
        <w:gridCol w:w="485"/>
        <w:gridCol w:w="60"/>
        <w:gridCol w:w="60"/>
        <w:gridCol w:w="60"/>
        <w:gridCol w:w="545"/>
        <w:gridCol w:w="80"/>
        <w:gridCol w:w="60"/>
        <w:gridCol w:w="74"/>
        <w:gridCol w:w="605"/>
        <w:gridCol w:w="60"/>
      </w:tblGrid>
      <w:tr>
        <w:trPr/>
        <w:tc>
          <w:tcPr>
            <w:tcW w:w="171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1,</w:t>
              <w:br/>
              <w:t>2021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Cash</w:t>
              <w:br/>
              <w:t>flows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384" w:type="dxa"/>
            <w:gridSpan w:val="10"/>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Non-cash changes</w:t>
              <w:br/>
              <w:t>Additions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w:t>
              <w:br/>
              <w:t>2021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center"/>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94"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EIR method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05"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Other</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71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 w:type="dxa"/>
            <w:tcBorders/>
            <w:tcMar>
              <w:bottom w:w="0" w:type="dxa"/>
            </w:tcMar>
            <w:vAlign w:val="center"/>
          </w:tcPr>
          <w:p>
            <w:pPr>
              <w:pStyle w:val="TableContents"/>
              <w:bidi w:val="0"/>
              <w:spacing w:before="0" w:after="283"/>
              <w:jc w:val="left"/>
              <w:rPr/>
            </w:pPr>
            <w:r>
              <w:rPr/>
              <w:t> </w:t>
            </w:r>
          </w:p>
        </w:tc>
        <w:tc>
          <w:tcPr>
            <w:tcW w:w="6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78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(2,187</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 w:type="dxa"/>
            <w:tcBorders/>
            <w:shd w:fill="FFFFFF" w:val="clear"/>
            <w:tcMar>
              <w:bottom w:w="0" w:type="dxa"/>
            </w:tcMar>
            <w:vAlign w:val="center"/>
          </w:tcPr>
          <w:p>
            <w:pPr>
              <w:pStyle w:val="TableContents"/>
              <w:bidi w:val="0"/>
              <w:spacing w:before="0" w:after="283"/>
              <w:ind w:left="0" w:right="0" w:hanging="0"/>
              <w:jc w:val="left"/>
              <w:rPr/>
            </w:pPr>
            <w:r>
              <w:rPr/>
              <w:t> </w:t>
            </w:r>
          </w:p>
        </w:tc>
        <w:tc>
          <w:tcPr>
            <w:tcW w:w="78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(6,859</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715" w:type="dxa"/>
            <w:tcBorders>
              <w:bottom w:val="single" w:sz="2" w:space="0" w:color="000000"/>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(2,565</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(6,859</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including current and noncurrent financial liabilities</w:t>
      </w:r>
    </w:p>
    <w:p>
      <w:pPr>
        <w:pStyle w:val="TextBody"/>
        <w:bidi w:val="0"/>
        <w:spacing w:before="0" w:after="0"/>
        <w:ind w:left="0" w:right="0" w:hanging="0"/>
        <w:jc w:val="left"/>
        <w:rPr>
          <w:caps w:val="false"/>
          <w:smallCaps w:val="false"/>
        </w:rPr>
      </w:pPr>
      <w:r>
        <w:rPr>
          <w:caps w:val="false"/>
          <w:smallCaps w:val="false"/>
        </w:rPr>
        <w:t> </w:t>
      </w:r>
    </w:p>
    <w:tbl>
      <w:tblPr>
        <w:tblW w:w="7084" w:type="dxa"/>
        <w:jc w:val="left"/>
        <w:tblInd w:w="0" w:type="dxa"/>
        <w:tblLayout w:type="fixed"/>
        <w:tblCellMar>
          <w:top w:w="0" w:type="dxa"/>
          <w:left w:w="0" w:type="dxa"/>
          <w:bottom w:w="0" w:type="dxa"/>
          <w:right w:w="0" w:type="dxa"/>
        </w:tblCellMar>
      </w:tblPr>
      <w:tblGrid>
        <w:gridCol w:w="2465"/>
        <w:gridCol w:w="60"/>
        <w:gridCol w:w="60"/>
        <w:gridCol w:w="485"/>
        <w:gridCol w:w="60"/>
        <w:gridCol w:w="60"/>
        <w:gridCol w:w="60"/>
        <w:gridCol w:w="485"/>
        <w:gridCol w:w="80"/>
        <w:gridCol w:w="60"/>
        <w:gridCol w:w="96"/>
        <w:gridCol w:w="539"/>
        <w:gridCol w:w="60"/>
        <w:gridCol w:w="60"/>
        <w:gridCol w:w="109"/>
        <w:gridCol w:w="721"/>
        <w:gridCol w:w="80"/>
        <w:gridCol w:w="60"/>
        <w:gridCol w:w="60"/>
        <w:gridCol w:w="545"/>
        <w:gridCol w:w="80"/>
        <w:gridCol w:w="60"/>
        <w:gridCol w:w="62"/>
        <w:gridCol w:w="617"/>
        <w:gridCol w:w="6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 1,</w:t>
              <w:br/>
              <w:t>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Cash</w:t>
              <w:br/>
              <w:t>flows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30" w:type="dxa"/>
            <w:gridSpan w:val="1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Non-cash changes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w:t>
              <w:br/>
              <w:t>2020</w:t>
            </w:r>
          </w:p>
        </w:tc>
        <w:tc>
          <w:tcPr>
            <w:tcW w:w="60" w:type="dxa"/>
            <w:tcBorders/>
            <w:vAlign w:val="center"/>
          </w:tcPr>
          <w:p>
            <w:pPr>
              <w:pStyle w:val="TableContents"/>
              <w:bidi w:val="0"/>
              <w:spacing w:before="0" w:after="283"/>
              <w:jc w:val="left"/>
              <w:rPr/>
            </w:pPr>
            <w:r>
              <w:rPr/>
              <w:t> </w:t>
            </w:r>
          </w:p>
        </w:tc>
      </w:tr>
      <w:tr>
        <w:trPr/>
        <w:tc>
          <w:tcPr>
            <w:tcW w:w="24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EIR</w:t>
              <w:br/>
              <w:t>method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Additions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17"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kEUR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Loans and participation rights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5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12,765</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65" w:type="dxa"/>
            <w:tcBorders>
              <w:bottom w:val="single" w:sz="2" w:space="0" w:color="000000"/>
            </w:tcBorders>
            <w:shd w:fill="FFFFFF" w:val="clear"/>
            <w:tcMar>
              <w:bottom w:w="28"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including current and noncurrent financial liabilities</w:t>
        <w:br/>
        <w:br/>
        <w:t>The column “EIR method” includes both interest paid and non-cash interest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presented other non-cash changes include the transfer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portion of the convertible debentures to equity, foreign exchange effects, amortization of the deferred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and the fair value changes of the bifurcated embedded derivatives.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other non-cash changes included the transfer of the mandatory convertible notes to equity and the fair value changes of the mandatory convertible notes. In fiscal year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other non-cash changes included a transfer from debt to equity (kEUR -1,648) in connection with a settlement agreement with a capital provider. For further details, we refer to note </w:t>
      </w:r>
      <w:r>
        <w:rPr>
          <w:rStyle w:val="Emphasis"/>
          <w:rFonts w:ascii="Times New Roman" w:hAnsi="Times New Roman"/>
          <w:caps w:val="false"/>
          <w:smallCaps w:val="false"/>
          <w:sz w:val="20"/>
        </w:rPr>
        <w:t>7.10.1</w:t>
      </w:r>
      <w:r>
        <w:rPr>
          <w:rFonts w:ascii="Times New Roman" w:hAnsi="Times New Roman"/>
          <w:caps w:val="false"/>
          <w:smallCaps w:val="false"/>
          <w:sz w:val="20"/>
        </w:rPr>
        <w:t xml:space="preserve"> Financial liabilities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900" w:type="dxa"/>
        <w:jc w:val="left"/>
        <w:tblInd w:w="0" w:type="dxa"/>
        <w:tblLayout w:type="fixed"/>
        <w:tblCellMar>
          <w:top w:w="0" w:type="dxa"/>
          <w:left w:w="0" w:type="dxa"/>
          <w:bottom w:w="0" w:type="dxa"/>
          <w:right w:w="0" w:type="dxa"/>
        </w:tblCellMar>
      </w:tblPr>
      <w:tblGrid>
        <w:gridCol w:w="320"/>
        <w:gridCol w:w="1580"/>
      </w:tblGrid>
      <w:tr>
        <w:trPr/>
        <w:tc>
          <w:tcPr>
            <w:tcW w:w="32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9.7</w:t>
            </w:r>
            <w:r>
              <w:rPr>
                <w:rFonts w:ascii="Times New Roman" w:hAnsi="Times New Roman"/>
                <w:b/>
                <w:caps w:val="false"/>
                <w:smallCaps w:val="false"/>
                <w:sz w:val="20"/>
              </w:rPr>
              <w:t xml:space="preserve"> </w:t>
            </w:r>
          </w:p>
        </w:tc>
        <w:tc>
          <w:tcPr>
            <w:tcW w:w="15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Subsequent events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various material non-adjusting events that occurred after the end of the reporting period and are described below in more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Sono Group decided and announced the decision to terminate the Sion passenger car program due to a lack of available funding and to pivot the business model to exclusively retrofitting and integrating Sono Group’s solar technology onto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vehicles. In connection with the Sion termination, Thomas Hausch stepped down from his role as Managing Director of Sono Motors and Sono N.V. The significant impacts of the termination of the Sion passenger car program were that 60% of the workforce (249 employees) were terminated and that the advance payments received from customers for the Sion were now due back to customers, as the car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delivered anymore.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Four out of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supervisory board members resigned in </w:t>
      </w:r>
      <w:r>
        <w:rPr>
          <w:rStyle w:val="Emphasis"/>
          <w:rFonts w:ascii="Times New Roman" w:hAnsi="Times New Roman"/>
          <w:caps w:val="false"/>
          <w:smallCaps w:val="false"/>
          <w:sz w:val="20"/>
        </w:rPr>
        <w:t xml:space="preserve">April 2023.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September 11, 2023, three</w:t>
      </w:r>
      <w:r>
        <w:rPr>
          <w:rFonts w:ascii="Times New Roman" w:hAnsi="Times New Roman"/>
          <w:caps w:val="false"/>
          <w:smallCaps w:val="false"/>
          <w:sz w:val="20"/>
        </w:rPr>
        <w:t xml:space="preserve"> new members were provisionally appointed to our supervisory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obtain external financing or sell the Sion passenger car program before the customer advance payments became due. Management ultimately concluded that Sono Motors and Sono N.V. were over-indebted and faced impending illiquidity. Management applied in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for the opening of self-administration proceedings with respect to Sono Group N.V. and protective shield proceedings for Sono Motors with the goal of sustainably restructuring the business. Upon applying for the self-administration proceedings, Sono Group became generally prohibited from paying any pre-petition debt. As a result, all outstanding liabilities payments will be handled through creditor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Due to the opening of the self-administration proceedings and the appointment of a custodian (Sachwalter)  Sono N.V. lost control of Sono Motors. After this event, the Sono N.V.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had the power to direct the activities of Sono Motors. This resulted in a deemed disposal of the subsidiary Sono Motors, which will be reflected prospectively in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financial statements from the date of loss of control (</w:t>
      </w:r>
      <w:r>
        <w:rPr>
          <w:rStyle w:val="Emphasis"/>
          <w:rFonts w:ascii="Times New Roman" w:hAnsi="Times New Roman"/>
          <w:caps w:val="false"/>
          <w:smallCaps w:val="false"/>
          <w:sz w:val="20"/>
        </w:rPr>
        <w:t xml:space="preserve"> May 19,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mergers and acquisitions process was initiated to find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potential investors. During this period further terminations of employees occurred. 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Sono N.V. entered into certain investment-related agreements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main creditors, Yorkville, with the aim of bringing Sono Motors and Sono N.V. out of the insolvency proceedings, and becoming a going-concern until the end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As part of this agreement, Yorkville has extended the repayment date of the existing convertible debentures to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The financing related agreements are subject to the satisfaction of certain closing conditions.</w:t>
      </w:r>
    </w:p>
    <w:p>
      <w:pPr>
        <w:pStyle w:val="TextBody"/>
        <w:bidi w:val="0"/>
        <w:spacing w:before="0" w:after="0"/>
        <w:jc w:val="left"/>
        <w:rPr/>
      </w:pPr>
      <w:r>
        <w:rPr/>
        <w:t xml:space="preserve">  </w:t>
      </w:r>
    </w:p>
    <w:tbl>
      <w:tblPr>
        <w:tblW w:w="4480" w:type="dxa"/>
        <w:jc w:val="left"/>
        <w:tblInd w:w="0" w:type="dxa"/>
        <w:tblLayout w:type="fixed"/>
        <w:tblCellMar>
          <w:top w:w="0" w:type="dxa"/>
          <w:left w:w="0" w:type="dxa"/>
          <w:bottom w:w="0" w:type="dxa"/>
          <w:right w:w="0" w:type="dxa"/>
        </w:tblCellMar>
      </w:tblPr>
      <w:tblGrid>
        <w:gridCol w:w="425"/>
        <w:gridCol w:w="4055"/>
      </w:tblGrid>
      <w:tr>
        <w:trPr/>
        <w:tc>
          <w:tcPr>
            <w:tcW w:w="42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9.7.1</w:t>
            </w:r>
          </w:p>
        </w:tc>
        <w:tc>
          <w:tcPr>
            <w:tcW w:w="40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Termination of the Sion passenger car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light of the decision to terminate the Sion passenger car program and given that engineering and development for the Sion and the Sion-related proprietary solar technology account for more than 60% of the Sono Group workforce, the company notified 249 employees about the termination of their employment with Sono Group at the end of </w:t>
      </w:r>
      <w:r>
        <w:rPr>
          <w:rStyle w:val="Emphasis"/>
          <w:rFonts w:ascii="Times New Roman" w:hAnsi="Times New Roman"/>
          <w:caps w:val="false"/>
          <w:smallCaps w:val="false"/>
          <w:sz w:val="20"/>
        </w:rPr>
        <w:t>February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the principal impacts of the Sion termination, which will only be reflected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is provided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Property, plant and equipment, and prepayments made to contract manufacturer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the termination of the Sion, Sono Group started the process of looking for a buyer for the Sion project, potentially together with the car-sharing and ride-pooling application. The likelihood of a sale and the potential recoverable amount of the Sion program if sold is currently too uncertain to predict.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After year end, prepayments made to contract manufacturer of kEUR 14,962 were refunded to the Sono Group, which was greater than the carrying value of the contract manufacturer prepayments as of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kEUR 13,260) and therefore a reversal of kEUR 1,702 will be recognized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remaining assets are expected to have a fair and carrying value of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funds received (e.g., Sion project sale proceeds, supplier refunds, etc.) that relate to balances and transactions up to the filing for insolvency will be distributed to creditors.</w:t>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Supplier balances contracts and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end of the period, there were significant open purchase orders and contracts with Sion suppliers for ongoing work to develop prototype and series tooling. Sono Group has informed all suppliers that work needed to cease on all Sion related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established a process to review any claim from suppliers relating to the Sion program for validity. Sono Group paid a large number of suppliers in advance for the development of Sion prototypes, series tooling and other development services. The prepayments made and recognized on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had future economic benefits in the form of services or the receipt of assets, although the vast majority of these were impaired in accordance with IAS </w:t>
      </w:r>
      <w:r>
        <w:rPr>
          <w:rStyle w:val="Emphasis"/>
          <w:rFonts w:ascii="Times New Roman" w:hAnsi="Times New Roman"/>
          <w:caps w:val="false"/>
          <w:smallCaps w:val="false"/>
          <w:sz w:val="2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Advance payments received from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Until the point of the termination of the Sion, advance payments received from customers were recognized at the time the cash was collected by Sono Group. Please see note </w:t>
      </w:r>
      <w:r>
        <w:rPr>
          <w:rStyle w:val="Emphasis"/>
          <w:rFonts w:ascii="Times New Roman" w:hAnsi="Times New Roman"/>
          <w:caps w:val="false"/>
          <w:smallCaps w:val="false"/>
          <w:sz w:val="20"/>
        </w:rPr>
        <w:t>4.8</w:t>
      </w:r>
      <w:r>
        <w:rPr>
          <w:rFonts w:ascii="Times New Roman" w:hAnsi="Times New Roman"/>
          <w:caps w:val="false"/>
          <w:smallCaps w:val="false"/>
          <w:sz w:val="20"/>
        </w:rPr>
        <w:t xml:space="preserve"> Advance payments received from customers for detailed information on the accounting policy. However, there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delivery of the car, and therefore, advance payments are due back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Sono Group proposed a payment plan to reimburse reservation holders for advance payments made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installments (</w:t>
      </w:r>
      <w:r>
        <w:rPr>
          <w:rStyle w:val="Emphasis"/>
          <w:rFonts w:ascii="Times New Roman" w:hAnsi="Times New Roman"/>
          <w:caps w:val="false"/>
          <w:smallCaps w:val="false"/>
          <w:sz w:val="20"/>
        </w:rPr>
        <w:t xml:space="preserve"> May 2023, June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Reservation holders who accepted the payment plan would have received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bonus of 5% on the amount of the advance payment to be paid with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installment. Reservation holders could also have waived 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advance payments received from customers balance under IFRS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was kEUR 49,642.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following financial effects are expected: the accrued interest, previously accumulated, will be reversed since the balances are due immediately upon termination and due to the change in the IFRS standard applicable from IFRS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to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Due to the Sion termination the transactions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conform with IFRS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and the related balance is changed to a financing liability as the car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delivered. The reversal of the accrued interest will result in an interest income of kEUR 5,166. Also, the amounts due to the reservation holders will be inclusive of VAT, and a VAT expense of kEUR 8,451 will be recognized until amounts are refunded or discharged and a VAT receivable can be claimed. Therefore, the amount due to be repaid to customers after taking into account these effects would be 52,927.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Government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kEUR 469 of pre-financing had been received for the SCALE project as a government grant and the total amount was recognized as a non-financial liability. The project related to mass deployment of electric vehicles and the accompanying smart charging infrastructure. The decision was taken to exit the project after the termination of the Sion. It is estimated that the majority of the balance will have to be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Provisions and 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May 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9 of the 249 terminated employees filed an action against their dismissal. In principle, the time limit for actions for protection against dismissal in Germany is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weeks after receipt of the notice of termination. Therefore, Sono Group is aware of all lawsuits from employees who were dismissed as part of the termination of the Sion passenger car program. These cases have been settled with the related expenses recognized in </w:t>
      </w:r>
      <w:r>
        <w:rPr>
          <w:rStyle w:val="Emphasis"/>
          <w:rFonts w:ascii="Times New Roman" w:hAnsi="Times New Roman"/>
          <w:caps w:val="false"/>
          <w:smallCaps w:val="false"/>
          <w:sz w:val="20"/>
        </w:rPr>
        <w:t>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290" w:type="dxa"/>
        <w:jc w:val="left"/>
        <w:tblInd w:w="0" w:type="dxa"/>
        <w:tblLayout w:type="fixed"/>
        <w:tblCellMar>
          <w:top w:w="0" w:type="dxa"/>
          <w:left w:w="0" w:type="dxa"/>
          <w:bottom w:w="0" w:type="dxa"/>
          <w:right w:w="0" w:type="dxa"/>
        </w:tblCellMar>
      </w:tblPr>
      <w:tblGrid>
        <w:gridCol w:w="470"/>
        <w:gridCol w:w="1820"/>
      </w:tblGrid>
      <w:tr>
        <w:trPr/>
        <w:tc>
          <w:tcPr>
            <w:tcW w:w="4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9.7.2</w:t>
            </w:r>
            <w:r>
              <w:rPr>
                <w:rFonts w:ascii="Times New Roman;Times;serif" w:hAnsi="Times New Roman;Times;serif"/>
                <w:b/>
                <w:sz w:val="20"/>
              </w:rPr>
              <w:t xml:space="preserve"> </w:t>
            </w:r>
          </w:p>
        </w:tc>
        <w:tc>
          <w:tcPr>
            <w:tcW w:w="18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Filing for insolvency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Considering the large liabilities becoming due and after financing options failed to materialize, Management ultimately concluded that Sono Motors GmbH is over-indebted and faced impending illiquidity (</w:t>
      </w:r>
      <w:r>
        <w:rPr>
          <w:rFonts w:ascii="Times New Roman" w:hAnsi="Times New Roman"/>
          <w:i/>
          <w:caps w:val="false"/>
          <w:smallCaps w:val="false"/>
          <w:sz w:val="20"/>
        </w:rPr>
        <w:t>drohende Zahlungsunf</w:t>
      </w:r>
      <w:r>
        <w:rPr>
          <w:rFonts w:ascii="Times New Roman" w:hAnsi="Times New Roman"/>
          <w:caps w:val="false"/>
          <w:smallCaps w:val="false"/>
          <w:sz w:val="20"/>
        </w:rPr>
        <w:t>ä</w:t>
      </w:r>
      <w:r>
        <w:rPr>
          <w:rFonts w:ascii="Times New Roman" w:hAnsi="Times New Roman"/>
          <w:i/>
          <w:caps w:val="false"/>
          <w:smallCaps w:val="false"/>
          <w:sz w:val="20"/>
        </w:rPr>
        <w:t>higkeit</w:t>
      </w:r>
      <w:r>
        <w:rPr>
          <w:rFonts w:ascii="Times New Roman" w:hAnsi="Times New Roman"/>
          <w:caps w:val="false"/>
          <w:smallCaps w:val="false"/>
          <w:sz w:val="20"/>
        </w:rPr>
        <w:t>), with Sono Group N.V., in turn, becoming over-indebted and also facing impending illiquidity. As a consequence, Management decided to apply for the opening of self-administration proceedings with respect to Sono Group N.V. and Sono Motors GmbH with the goal of sustainably restructuring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 xml:space="preserve">Sono N.V. applied to the insolvency court of Munich, Germany, to permit the opening of a self-administration proceeding (Eigenverwaltung) with respect to Sono Group N.V. pursuant to Section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(b) of the German Insolvency Code (Insolvenzordnung). On the same day, Sono Motors GmbH applied to the same court to permit the opening of self-administration proceeding in the form of a protective shield proceeding (Schutzschirmverfahren) with respect to Sono Motors GmbH pursuant Section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(d) of the German Insolvency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self-administration proceedings are debtor-in-possession type proceedings under German insolvency law, which are available to businesses in financial distress and typically aim to preserve the business and the entity that are the subject of the proceedings. In these proceedings, Management retains control and operation of the subject company’s business under the supervision of a custodian, who is initially appointed on a preliminary basis (vorläufiger Sachwalter) and is primarily responsible for monitoring the subject company’s compliance with German insolvency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17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 xml:space="preserve">respectively, the court admitted the opening of self-administration proceedings with respect to Sono N.V. and protective shield proceedings for Sono Motors on a preliminary basis. The court also appointed preliminary custodians for each of the companies in their respective proceedings. On </w:t>
      </w:r>
      <w:r>
        <w:rPr>
          <w:rStyle w:val="Emphasis"/>
          <w:rFonts w:ascii="Times New Roman" w:hAnsi="Times New Roman"/>
          <w:caps w:val="false"/>
          <w:smallCaps w:val="false"/>
          <w:sz w:val="20"/>
        </w:rPr>
        <w:t xml:space="preserve">September 1, 2023, </w:t>
      </w:r>
      <w:r>
        <w:rPr>
          <w:rFonts w:ascii="Times New Roman" w:hAnsi="Times New Roman"/>
          <w:caps w:val="false"/>
          <w:smallCaps w:val="false"/>
          <w:sz w:val="20"/>
        </w:rPr>
        <w:t xml:space="preserve">the court opened the self-administration proceedings with respect to Sono Motors. Sono Motors and Sono N.V. have retained separate legal firms to act as advisors in connection with its proceedings. For the impact of insolvency on the Sono Group consolidation see note </w:t>
      </w:r>
      <w:r>
        <w:rPr>
          <w:rStyle w:val="Emphasis"/>
          <w:rFonts w:ascii="Times New Roman" w:hAnsi="Times New Roman"/>
          <w:caps w:val="false"/>
          <w:smallCaps w:val="false"/>
          <w:sz w:val="20"/>
        </w:rPr>
        <w:t>9.7.3</w:t>
      </w:r>
      <w:r>
        <w:rPr>
          <w:rFonts w:ascii="Times New Roman" w:hAnsi="Times New Roman"/>
          <w:caps w:val="false"/>
          <w:smallCaps w:val="false"/>
          <w:sz w:val="20"/>
        </w:rPr>
        <w:t xml:space="preserve"> Loss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applying for the self-administration proceedings, Sono Group became generally prohibited from paying any pre-petition debt, subject to certain exceptions. Obligations that existed at the date of the proceedings, including with respect to advance payments made for Sion reservations, will be settled in the context of the creditor proceedings where creditors can submit claims. In addition, all funds received (for example Sion project sale proceeds, supplier refunds, etc.) that relate to balances and transactions up to the filing for insolvency will be distributed to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A mergers and acquisition process was initiated to find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potential investors to fund and/or acquire all or parts of Sono Motors and/or Sono N.V.’s business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potential merger and acquisition transactions. Yorkville,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main creditors of Sono N.V., submitted an offer which, after negotiations, finally resulted in the Yorkville Agreements. For more detail see note </w:t>
      </w:r>
      <w:r>
        <w:rPr>
          <w:rStyle w:val="Emphasis"/>
          <w:rFonts w:ascii="Times New Roman" w:hAnsi="Times New Roman"/>
          <w:caps w:val="false"/>
          <w:smallCaps w:val="false"/>
          <w:sz w:val="20"/>
        </w:rPr>
        <w:t>9.7.4</w:t>
      </w:r>
      <w:r>
        <w:rPr>
          <w:rFonts w:ascii="Times New Roman" w:hAnsi="Times New Roman"/>
          <w:caps w:val="false"/>
          <w:smallCaps w:val="false"/>
          <w:sz w:val="20"/>
        </w:rPr>
        <w:t xml:space="preserve"> Funding and restructuring. On </w:t>
      </w:r>
      <w:r>
        <w:rPr>
          <w:rStyle w:val="Emphasis"/>
          <w:rFonts w:ascii="Times New Roman" w:hAnsi="Times New Roman"/>
          <w:caps w:val="false"/>
          <w:smallCaps w:val="false"/>
          <w:sz w:val="20"/>
        </w:rPr>
        <w:t xml:space="preserve">December 7, 2023, </w:t>
      </w:r>
      <w:r>
        <w:rPr>
          <w:rFonts w:ascii="Times New Roman" w:hAnsi="Times New Roman"/>
          <w:caps w:val="false"/>
          <w:smallCaps w:val="false"/>
          <w:sz w:val="20"/>
        </w:rPr>
        <w:t xml:space="preserve">Sono Motors submitted a plan under the German Insolvency Code to the court for approval that set out how the company intends to restructure its debt and procure the inflow of new money. Approval by the creditors and confirmation by the Court was obtained in the creditors meeting on </w:t>
      </w:r>
      <w:r>
        <w:rPr>
          <w:rStyle w:val="Emphasis"/>
          <w:rFonts w:ascii="Times New Roman" w:hAnsi="Times New Roman"/>
          <w:caps w:val="false"/>
          <w:smallCaps w:val="false"/>
          <w:sz w:val="20"/>
        </w:rPr>
        <w:t xml:space="preserve">December 21,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-day appeal period started on </w:t>
      </w:r>
      <w:r>
        <w:rPr>
          <w:rStyle w:val="Emphasis"/>
          <w:rFonts w:ascii="Times New Roman" w:hAnsi="Times New Roman"/>
          <w:caps w:val="false"/>
          <w:smallCaps w:val="false"/>
          <w:sz w:val="20"/>
        </w:rPr>
        <w:t xml:space="preserve">December 21, 2023. </w:t>
      </w:r>
      <w:r>
        <w:rPr>
          <w:rFonts w:ascii="Times New Roman" w:hAnsi="Times New Roman"/>
          <w:caps w:val="false"/>
          <w:smallCaps w:val="false"/>
          <w:sz w:val="20"/>
        </w:rPr>
        <w:t>If the Court’s confirmation of the plan remains unaffected and the plan is implemented.</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470"/>
        <w:gridCol w:w="1325"/>
      </w:tblGrid>
      <w:tr>
        <w:trPr/>
        <w:tc>
          <w:tcPr>
            <w:tcW w:w="4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9.7.3</w:t>
            </w:r>
            <w:r>
              <w:rPr>
                <w:rFonts w:ascii="Times New Roman;Times;serif" w:hAnsi="Times New Roman;Times;serif"/>
                <w:b/>
                <w:sz w:val="20"/>
              </w:rPr>
              <w:t xml:space="preserve"> </w:t>
            </w:r>
          </w:p>
        </w:tc>
        <w:tc>
          <w:tcPr>
            <w:tcW w:w="132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Loss of control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Due to the opening of the self-administration proceedings and the appointment of a custodian (Sachwalter), Sono N.V. lost control of Sono Motors, its wholly-owned subsidiary, on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 xml:space="preserve">Sono N.V.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had the power to direct the activities of Sono Motors. The loss of control results in the deconsolidation of Sono Motors in the consolidated financial statements on </w:t>
      </w:r>
      <w:r>
        <w:rPr>
          <w:rStyle w:val="Emphasis"/>
          <w:rFonts w:ascii="Times New Roman" w:hAnsi="Times New Roman"/>
          <w:caps w:val="false"/>
          <w:smallCaps w:val="false"/>
          <w:sz w:val="20"/>
        </w:rPr>
        <w:t>May 19,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The results of Sono Motors for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will be consolidated up until the loss of control in the consolidated financial statements. In accordance with IFRS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Consolidated Financial Statements, Sono N.V. derecognized the assets and liabilities of Sono Motors from the consolidated statement of financial position. The interest in Sono Motors is accounted for as a financial instrument with a fair value of zero. The asset and liability balances that Sono N.V. had with Sono Motors were previously intercompany and therefore eliminated on consolidation. These balances were reinstated. Due to a hard comfort letter between Sono N.V. and Sono Motors, Sono N.V. then recognized a liability. All these effects resulted in a loss of approximately mEUR 18 in the profit or loss attributable to the Sono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expects this loss of control to be temporary, with control being regained when Sono Motors exits the insolvency proceedings and Sono Motors being consolidated again with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745" w:type="dxa"/>
        <w:jc w:val="left"/>
        <w:tblInd w:w="0" w:type="dxa"/>
        <w:tblLayout w:type="fixed"/>
        <w:tblCellMar>
          <w:top w:w="0" w:type="dxa"/>
          <w:left w:w="0" w:type="dxa"/>
          <w:bottom w:w="0" w:type="dxa"/>
          <w:right w:w="0" w:type="dxa"/>
        </w:tblCellMar>
      </w:tblPr>
      <w:tblGrid>
        <w:gridCol w:w="470"/>
        <w:gridCol w:w="3275"/>
      </w:tblGrid>
      <w:tr>
        <w:trPr/>
        <w:tc>
          <w:tcPr>
            <w:tcW w:w="4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9.7.4</w:t>
            </w:r>
            <w:r>
              <w:rPr>
                <w:rFonts w:ascii="Times New Roman;Times;serif" w:hAnsi="Times New Roman;Times;serif"/>
                <w:b/>
                <w:sz w:val="20"/>
              </w:rPr>
              <w:t xml:space="preserve"> </w:t>
            </w:r>
          </w:p>
        </w:tc>
        <w:tc>
          <w:tcPr>
            <w:tcW w:w="3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Funding and restructuring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20, 2023, </w:t>
      </w:r>
      <w:r>
        <w:rPr>
          <w:rFonts w:ascii="Times New Roman" w:hAnsi="Times New Roman"/>
          <w:caps w:val="false"/>
          <w:smallCaps w:val="false"/>
          <w:sz w:val="20"/>
        </w:rPr>
        <w:t xml:space="preserve">Sono N.V. and Yorkville,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main creditors,  entered into certain agreements in order to receive financing from Yorkville. Yorkville will provide financing to Sono N.V. if certain conditions are met, which is currently expected in late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 xml:space="preserve">Sono Group expects the financing to position them to obtain sufficient funding for the business operations, with an initial focus on the Solar Bus Kit, through the end of </w:t>
      </w:r>
      <w:r>
        <w:rPr>
          <w:rStyle w:val="Emphasis"/>
          <w:rFonts w:ascii="Times New Roman" w:hAnsi="Times New Roman"/>
          <w:caps w:val="false"/>
          <w:smallCaps w:val="false"/>
          <w:sz w:val="20"/>
        </w:rPr>
        <w:t>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addition to a restructuring agreement between Sono N.V. and Yorkville, there is a) an agreement between Sono N.V.  and Sono Motors pursuant to which a settlement amount was agreed for intercompany claims (the “Settlement Agreement”), b) an agreement between Sono N.V. and Sono Motors relating to the satisfaction of intercompany claims, the further financing of Sono Motors by Sono N.V. and key aspects of Sono Motors’ self-administration proceedings and the plan submitted by Sono Motors to the court under the German Insolvency Code (the Continuation Agreement”), c) an agreement between Sono N.V. and Yorkville to provide Sono N.V. with sufficient financial resources to fund the business operations of Sono Group until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based on a budget agreed with Yorkville (the “Funding Commitment Letter”), d) an agreement between the Sono N.V. and Yorkville to postpone the repayment date of the existing convertible debentures to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 xml:space="preserve">with the possibility of further extensions at Yorkville’s discretion (the “Prolongation Agreement”), e) and an agreement between the Sono Group founders, Laurin Hahn and Jona Christians, Sono N.V. and Sono Motors pursuant to which the companies are entitled to request that each of the founders enters into a share sale and transfer agreement (the “NV Share Sale and Transfer Agreement(s)”) under the terms of which the respective founder would sell and transfer, if so requested, a portion of their ordinary shares of Sono N.V. to a trustee to be appointed for the benefit of the Sono Motors’s creditors and a portion of their ordinary shares of Sono N.V. and all of their high voting shares in Sono N.V. to the new members of the management board (the “Shareholders Commitment Letter”). In addition, the Yorkville Agreements envision the issuance of a hard back-to-back letter of comfort from Sono N.V. to Sono Motors, to provide funding for the business operations, with an initial focus on the Solar Bus Kit. Sono Group currently expects that the funding under the agreement to be sufficient at least until, and including,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funds to be provided under the letter of comfort will be provided by way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intercompany loan(s) that will mature on </w:t>
      </w:r>
      <w:r>
        <w:rPr>
          <w:rStyle w:val="Emphasis"/>
          <w:rFonts w:ascii="Times New Roman" w:hAnsi="Times New Roman"/>
          <w:caps w:val="false"/>
          <w:smallCaps w:val="false"/>
          <w:sz w:val="20"/>
        </w:rPr>
        <w:t>July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Funding Commitment Letter, Yorkville would offer to secure the financing of the Sono Group’s expected operational costs, with an initial focus on the Solar Bus Kit during the period from </w:t>
      </w:r>
      <w:r>
        <w:rPr>
          <w:rStyle w:val="Emphasis"/>
          <w:rFonts w:ascii="Times New Roman" w:hAnsi="Times New Roman"/>
          <w:caps w:val="false"/>
          <w:smallCaps w:val="false"/>
          <w:sz w:val="20"/>
        </w:rPr>
        <w:t xml:space="preserve">December 1, 2023, </w:t>
      </w:r>
      <w:r>
        <w:rPr>
          <w:rFonts w:ascii="Times New Roman" w:hAnsi="Times New Roman"/>
          <w:caps w:val="false"/>
          <w:smallCaps w:val="false"/>
          <w:sz w:val="20"/>
        </w:rPr>
        <w:t xml:space="preserve">until the end of the year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up to a maximum amount of mEUR 9.0 minus approximately mEUR 2.0 of cash left-over at Sono N.V. as of </w:t>
      </w:r>
      <w:r>
        <w:rPr>
          <w:rStyle w:val="Emphasis"/>
          <w:rFonts w:ascii="Times New Roman" w:hAnsi="Times New Roman"/>
          <w:caps w:val="false"/>
          <w:smallCaps w:val="false"/>
          <w:sz w:val="20"/>
        </w:rPr>
        <w:t xml:space="preserve">December 1, 2023. </w:t>
      </w:r>
      <w:r>
        <w:rPr>
          <w:rFonts w:ascii="Times New Roman" w:hAnsi="Times New Roman"/>
          <w:caps w:val="false"/>
          <w:smallCaps w:val="false"/>
          <w:sz w:val="20"/>
        </w:rPr>
        <w:t xml:space="preserve">Cash available at Sono N.V. in excess of mEUR 2.0 cash left-over as of </w:t>
      </w:r>
      <w:r>
        <w:rPr>
          <w:rStyle w:val="Emphasis"/>
          <w:rFonts w:ascii="Times New Roman" w:hAnsi="Times New Roman"/>
          <w:caps w:val="false"/>
          <w:smallCaps w:val="false"/>
          <w:sz w:val="20"/>
        </w:rPr>
        <w:t xml:space="preserve">December 1, 2023, </w:t>
      </w:r>
      <w:r>
        <w:rPr>
          <w:rFonts w:ascii="Times New Roman" w:hAnsi="Times New Roman"/>
          <w:caps w:val="false"/>
          <w:smallCaps w:val="false"/>
          <w:sz w:val="20"/>
        </w:rPr>
        <w:t xml:space="preserve">will be needed and will be used by the Company to satisfy claims of creditors, with the exception of the amounts payable to Yorkville under the existing convertible debentures and expected payments that relate to the preliminary insolvency. The funds would be provided by Yorkville to Sono N.V. by way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new interest-bearing convertible debenture(s) that would mature on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 xml:space="preserve">Such funds would be paid by Sono N.V. to Sono Motors by way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intercompany loan(s) that will mature on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In the event of a shortfall during the funding period, Yorkville would provide additional funds to Sono N.V., provided that agreements are reached in good faith on an adjusted budget for the funding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These agreements are subject to the satisfaction of certain closing conditions, as well as compliance with certain covenants and other obligations. The conditions include Sono N.V. regaining compliance with its periodic reporting requirements by filing this Annual Report on Form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-F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Sono Group’s submission of the Interim Report to the SEC, Sono Motor’s plan under the German Insolvency Code becoming legally binding, and the withdrawal of Sono N.V.’s application for its self-administration proceedings. On </w:t>
      </w:r>
      <w:r>
        <w:rPr>
          <w:rStyle w:val="Emphasis"/>
          <w:rFonts w:ascii="Times New Roman" w:hAnsi="Times New Roman"/>
          <w:caps w:val="false"/>
          <w:smallCaps w:val="false"/>
          <w:sz w:val="20"/>
        </w:rPr>
        <w:t xml:space="preserve">December 22, 2023, </w:t>
      </w:r>
      <w:r>
        <w:rPr>
          <w:rFonts w:ascii="Times New Roman" w:hAnsi="Times New Roman"/>
          <w:caps w:val="false"/>
          <w:smallCaps w:val="false"/>
          <w:sz w:val="20"/>
        </w:rPr>
        <w:t>Yorkville waived the Company's submission of the Interim Report as a condition precedent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addition, Sono N.V. is required to convene its annual general meeting of shareholders and submit certain agenda items for shareholder vote by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AGM has been scheduled for </w:t>
      </w:r>
      <w:r>
        <w:rPr>
          <w:rStyle w:val="Emphasis"/>
          <w:rFonts w:ascii="Times New Roman" w:hAnsi="Times New Roman"/>
          <w:caps w:val="false"/>
          <w:smallCaps w:val="false"/>
          <w:sz w:val="20"/>
        </w:rPr>
        <w:t xml:space="preserve">December 29, 2023, </w:t>
      </w:r>
      <w:r>
        <w:rPr>
          <w:rFonts w:ascii="Times New Roman" w:hAnsi="Times New Roman"/>
          <w:caps w:val="false"/>
          <w:smallCaps w:val="false"/>
          <w:sz w:val="20"/>
        </w:rPr>
        <w:t xml:space="preserve">or in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 xml:space="preserve">respectively. A subsequent general meeting of shareholders is currently anticipated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order to propose certain required agenda items in connection with the Yorkville Agreements. The agreements also provide that, in order for Sono N.V. to withdraw its application for its self-administration proceedings, Management must update the assessment, at the date of the withdrawal, regarding whether the Yorkville financing will cure its mandatory insolvency filing obligations (i.e., illiquidity and over-indebtedness).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addition, Yorkville’s funding commitment is subject to the absence of termination events as laid out in the Funding Commitment Letter. If such an event occurs, Yorkville would have the right, at its sole discretion, to cancel any funding commitments still available, meaning that the Company would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able to draw down on unused portions of the commitment amount, and to exercise all of its rights under any of the new convertible debentures as if an event of default had occurred. The following are each a termination event:</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60"/>
        <w:gridCol w:w="170"/>
        <w:gridCol w:w="6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Budget (as defined below) is exceeded as a result of incorrect or misleading work</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Budget is exceeded and Yorkville and the Company cannot agree on an adjustment, or Yorkville requests information regarding the Budget and the Company fails to provide it within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business days</w:t>
            </w:r>
          </w:p>
        </w:tc>
      </w:tr>
    </w:tbl>
    <w:tbl>
      <w:tblPr>
        <w:tblW w:w="5710" w:type="dxa"/>
        <w:jc w:val="left"/>
        <w:tblInd w:w="0" w:type="dxa"/>
        <w:tblLayout w:type="fixed"/>
        <w:tblCellMar>
          <w:top w:w="0" w:type="dxa"/>
          <w:left w:w="0" w:type="dxa"/>
          <w:bottom w:w="0" w:type="dxa"/>
          <w:right w:w="0" w:type="dxa"/>
        </w:tblCellMar>
      </w:tblPr>
      <w:tblGrid>
        <w:gridCol w:w="60"/>
        <w:gridCol w:w="170"/>
        <w:gridCol w:w="5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event of default occurs with regard to the convertible debentures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Companies fail to materially comply with the Yorkville Agreements and fail to rectify their noncompliance within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business days following a request from Yorkville to such effect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other than with regard to the Self-Administration Proceedings, the Companies are unable or admit inability to pay their debts as they fall due, suspend making payments on any of their debts, or, by reason of actual or anticipated financial difficulties, commence negotiations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their creditors (excluding any finance party in its capacity as such) with a view to rescheduling any of their indebtedness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an entity incorporated in Germany is unable to pay its debts as they fall due (zahlungsunfähig) within the meaning of section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of the German Insolvency Code (Insolvenzordnung) or is over-indebted within the meaning of section </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of the Germany Insolvency Code (Insolvenzordnung)</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in relation to the Self-Administration Proceedings, any corporate action, legal proceedings or other procedure or step is taken in relation to, amongst others, the suspension of payments, an arrangement with a creditor of the Company, the appointment of a liquidator or administrative receiver or the enforcement of a security over any asset of the Company or the Subsidiary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it is or becomes unlawful for the Company to perform any of its obligations under the Yorkville Agreements.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believes that, subject to the satisfactions of the conditions precedent under the agreements, a successful implementation of the Yorkville investment would enable it to withdraw its application for self-administration proceedings at the court and enable the Subsidiary to exit Sono Motors self-administration proceedings via the plan it has submitted to the Court and that has been approved by its creditors under the German Insolvency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485" w:type="dxa"/>
        <w:jc w:val="left"/>
        <w:tblInd w:w="0" w:type="dxa"/>
        <w:tblLayout w:type="fixed"/>
        <w:tblCellMar>
          <w:top w:w="0" w:type="dxa"/>
          <w:left w:w="0" w:type="dxa"/>
          <w:bottom w:w="0" w:type="dxa"/>
          <w:right w:w="0" w:type="dxa"/>
        </w:tblCellMar>
      </w:tblPr>
      <w:tblGrid>
        <w:gridCol w:w="470"/>
        <w:gridCol w:w="2015"/>
      </w:tblGrid>
      <w:tr>
        <w:trPr/>
        <w:tc>
          <w:tcPr>
            <w:tcW w:w="4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9.7.5</w:t>
            </w:r>
            <w:r>
              <w:rPr>
                <w:rFonts w:ascii="Times New Roman;Times;serif" w:hAnsi="Times New Roman;Times;serif"/>
                <w:b/>
                <w:sz w:val="20"/>
              </w:rPr>
              <w:t xml:space="preserve"> </w:t>
            </w:r>
          </w:p>
        </w:tc>
        <w:tc>
          <w:tcPr>
            <w:tcW w:w="20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Tax loss carryforwards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Tax loss carryforwards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forfeit if a change in shareholders exceeding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takes place and the hidden reserve clause cannot be used. This would apply to tax loss carryforwards for Sono Motors GmbH and Sono Group N.V. amounting to kEUR 252,124 for corporate tax purposes and kEUR 251,279 for trade tax purposes as of balance sheet date, as well as all future tax losses up until the shareholder changes exceed </w:t>
      </w:r>
      <w:r>
        <w:rPr>
          <w:rStyle w:val="Emphasis"/>
          <w:rFonts w:ascii="Times New Roman" w:hAnsi="Times New Roman"/>
          <w:caps w:val="false"/>
          <w:smallCaps w:val="false"/>
          <w:sz w:val="20"/>
        </w:rPr>
        <w:t>50%.</w:t>
      </w:r>
    </w:p>
    <w:p>
      <w:pPr>
        <w:pStyle w:val="TextBody"/>
        <w:bidi w:val="0"/>
        <w:spacing w:before="0" w:after="0"/>
        <w:ind w:left="0" w:right="0" w:hanging="0"/>
        <w:jc w:val="left"/>
        <w:rPr/>
      </w:pPr>
      <w:r>
        <w:rPr/>
        <w:t> </w:t>
      </w:r>
    </w:p>
    <w:tbl>
      <w:tblPr>
        <w:tblW w:w="4825" w:type="dxa"/>
        <w:jc w:val="left"/>
        <w:tblInd w:w="0" w:type="dxa"/>
        <w:tblLayout w:type="fixed"/>
        <w:tblCellMar>
          <w:top w:w="0" w:type="dxa"/>
          <w:left w:w="0" w:type="dxa"/>
          <w:bottom w:w="0" w:type="dxa"/>
          <w:right w:w="0" w:type="dxa"/>
        </w:tblCellMar>
      </w:tblPr>
      <w:tblGrid>
        <w:gridCol w:w="425"/>
        <w:gridCol w:w="4400"/>
      </w:tblGrid>
      <w:tr>
        <w:trPr/>
        <w:tc>
          <w:tcPr>
            <w:tcW w:w="42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9.7.6</w:t>
            </w:r>
          </w:p>
        </w:tc>
        <w:tc>
          <w:tcPr>
            <w:tcW w:w="44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Nasdaq suspension of trading of shares and delisting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11, 2023, </w:t>
      </w:r>
      <w:r>
        <w:rPr>
          <w:rFonts w:ascii="Times New Roman" w:hAnsi="Times New Roman"/>
          <w:caps w:val="false"/>
          <w:smallCaps w:val="false"/>
          <w:sz w:val="20"/>
        </w:rPr>
        <w:t>Sono Group received notice advising the Company that Nasdaq has determined to delist the Company’s ordinary shares from the Nasdaq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Sono Group received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delist determination letter on </w:t>
      </w:r>
      <w:r>
        <w:rPr>
          <w:rStyle w:val="Emphasis"/>
          <w:rFonts w:ascii="Times New Roman" w:hAnsi="Times New Roman"/>
          <w:caps w:val="false"/>
          <w:smallCaps w:val="false"/>
          <w:sz w:val="20"/>
        </w:rPr>
        <w:t xml:space="preserve">July 12, 2023 </w:t>
      </w:r>
      <w:r>
        <w:rPr>
          <w:rFonts w:ascii="Times New Roman" w:hAnsi="Times New Roman"/>
          <w:caps w:val="false"/>
          <w:smallCaps w:val="false"/>
          <w:sz w:val="20"/>
        </w:rPr>
        <w:t xml:space="preserve">following the Company’s application for its Preliminary Self-Administration Proceedings. The delist letter additionally found that the Company failed to meet the filing requirement in Listing Rule </w:t>
      </w:r>
      <w:r>
        <w:rPr>
          <w:rStyle w:val="Emphasis"/>
          <w:rFonts w:ascii="Times New Roman" w:hAnsi="Times New Roman"/>
          <w:caps w:val="false"/>
          <w:smallCaps w:val="false"/>
          <w:sz w:val="20"/>
        </w:rPr>
        <w:t>5250</w:t>
      </w:r>
      <w:r>
        <w:rPr>
          <w:rFonts w:ascii="Times New Roman" w:hAnsi="Times New Roman"/>
          <w:caps w:val="false"/>
          <w:smallCaps w:val="false"/>
          <w:sz w:val="20"/>
        </w:rPr>
        <w:t>(c)(</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as it had failed to file its Annual Report on Form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-F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28, 2023, </w:t>
      </w:r>
      <w:r>
        <w:rPr>
          <w:rFonts w:ascii="Times New Roman" w:hAnsi="Times New Roman"/>
          <w:caps w:val="false"/>
          <w:smallCaps w:val="false"/>
          <w:sz w:val="20"/>
        </w:rPr>
        <w:t xml:space="preserve">an additional delist determination letter was issued for the Company’s failure to meet the minimum bid price requirement in Listing Rule </w:t>
      </w:r>
      <w:r>
        <w:rPr>
          <w:rStyle w:val="Emphasis"/>
          <w:rFonts w:ascii="Times New Roman" w:hAnsi="Times New Roman"/>
          <w:caps w:val="false"/>
          <w:smallCaps w:val="false"/>
          <w:sz w:val="20"/>
        </w:rPr>
        <w:t>5450</w:t>
      </w:r>
      <w:r>
        <w:rPr>
          <w:rFonts w:ascii="Times New Roman" w:hAnsi="Times New Roman"/>
          <w:caps w:val="false"/>
          <w:smallCaps w:val="false"/>
          <w:sz w:val="20"/>
        </w:rPr>
        <w:t>(a)(</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the audit committee requirement in Listing Rule </w:t>
      </w:r>
      <w:r>
        <w:rPr>
          <w:rStyle w:val="Emphasis"/>
          <w:rFonts w:ascii="Times New Roman" w:hAnsi="Times New Roman"/>
          <w:caps w:val="false"/>
          <w:smallCaps w:val="false"/>
          <w:sz w:val="20"/>
        </w:rPr>
        <w:t>5605</w:t>
      </w:r>
      <w:r>
        <w:rPr>
          <w:rFonts w:ascii="Times New Roman" w:hAnsi="Times New Roman"/>
          <w:caps w:val="false"/>
          <w:smallCaps w:val="false"/>
          <w:sz w:val="20"/>
        </w:rPr>
        <w:t>(c)(</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Company appealed the determination and appeared before a Nasdaq Hearing Panel (“the Panel”) on </w:t>
      </w:r>
      <w:r>
        <w:rPr>
          <w:rStyle w:val="Emphasis"/>
          <w:rFonts w:ascii="Times New Roman" w:hAnsi="Times New Roman"/>
          <w:caps w:val="false"/>
          <w:smallCaps w:val="false"/>
          <w:sz w:val="20"/>
        </w:rPr>
        <w:t>September 14,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Trading of the Sono Group’s ordinary shares has been suspended since </w:t>
      </w:r>
      <w:r>
        <w:rPr>
          <w:rStyle w:val="Emphasis"/>
          <w:rFonts w:ascii="Times New Roman" w:hAnsi="Times New Roman"/>
          <w:caps w:val="false"/>
          <w:smallCaps w:val="false"/>
          <w:sz w:val="20"/>
        </w:rPr>
        <w:t xml:space="preserve">July 21, 2023. </w:t>
      </w:r>
      <w:r>
        <w:rPr>
          <w:rFonts w:ascii="Times New Roman" w:hAnsi="Times New Roman"/>
          <w:caps w:val="false"/>
          <w:smallCaps w:val="false"/>
          <w:sz w:val="20"/>
        </w:rPr>
        <w:t xml:space="preserve">Since then, the ordinary shares have been trading in over-the-counter markets, which are less visible, less accessible and less liquid markets. Although the delisting process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completed as of the date of this Annual Report, Nasdaq informed the Sono Group that Nasdaq will complete the delisting by filing a Form </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Notification of Delisting with the U.S. Securities Exchange Commission following the lapse of applicable appeal periods. Sono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appeal the Panel’s decision. The Panel’s final delist determination as well as the anticipated completion of the delisting of the Company’s securities from Nasdaq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a loss of investor confidence and further decrease our visibility, credibility and trading volume, all of which could adversely impact the market price of our shares.</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425"/>
        <w:gridCol w:w="4550"/>
      </w:tblGrid>
      <w:tr>
        <w:trPr/>
        <w:tc>
          <w:tcPr>
            <w:tcW w:w="42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9.7.7</w:t>
            </w:r>
          </w:p>
        </w:tc>
        <w:tc>
          <w:tcPr>
            <w:tcW w:w="45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Remuneration based on shares (share-based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supervisory members,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of which were granted RSUs, resigned. Therefore, post year end, 36,631 options were forfeited and a credit of kEUR 239 was recognized in the income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supervisory members,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of which were offered bonus RSUs, resigned and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granted RSUs anymore. Therefore, post year end, 78,351 options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granted and a credit of kEUR </w:t>
      </w:r>
      <w:r>
        <w:rPr>
          <w:rStyle w:val="Emphasis"/>
          <w:rFonts w:ascii="Times New Roman" w:hAnsi="Times New Roman"/>
          <w:caps w:val="false"/>
          <w:smallCaps w:val="false"/>
          <w:sz w:val="20"/>
        </w:rPr>
        <w:t>72</w:t>
      </w:r>
      <w:r>
        <w:rPr>
          <w:rFonts w:ascii="Times New Roman" w:hAnsi="Times New Roman"/>
          <w:caps w:val="false"/>
          <w:smallCaps w:val="false"/>
          <w:sz w:val="20"/>
        </w:rPr>
        <w:t xml:space="preserve"> was recognized in the income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is uncertainty over the future of the ESOP program (see note </w:t>
      </w:r>
      <w:r>
        <w:rPr>
          <w:rStyle w:val="Emphasis"/>
          <w:rFonts w:ascii="Times New Roman" w:hAnsi="Times New Roman"/>
          <w:caps w:val="false"/>
          <w:smallCaps w:val="false"/>
          <w:sz w:val="20"/>
        </w:rPr>
        <w:t>9.3.2</w:t>
      </w:r>
      <w:r>
        <w:rPr>
          <w:rFonts w:ascii="Times New Roman" w:hAnsi="Times New Roman"/>
          <w:caps w:val="false"/>
          <w:smallCaps w:val="false"/>
          <w:sz w:val="20"/>
        </w:rPr>
        <w:t xml:space="preserve">) due to the insolvency proceedings and the plan under the German Insolvency Code submitted to the court. The potential changes in financing, the Nasdaq delisting decision, a potential change in management or ownership structures of the Group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the share options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being formally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CSOP,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subsequent events that had an impact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67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410" w:type="dxa"/>
        <w:jc w:val="left"/>
        <w:tblInd w:w="0" w:type="dxa"/>
        <w:tblLayout w:type="fixed"/>
        <w:tblCellMar>
          <w:top w:w="0" w:type="dxa"/>
          <w:left w:w="0" w:type="dxa"/>
          <w:bottom w:w="0" w:type="dxa"/>
          <w:right w:w="0" w:type="dxa"/>
        </w:tblCellMar>
      </w:tblPr>
      <w:tblGrid>
        <w:gridCol w:w="425"/>
        <w:gridCol w:w="1985"/>
      </w:tblGrid>
      <w:tr>
        <w:trPr/>
        <w:tc>
          <w:tcPr>
            <w:tcW w:w="42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9.7.8</w:t>
            </w:r>
          </w:p>
        </w:tc>
        <w:tc>
          <w:tcPr>
            <w:tcW w:w="19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Convertible debentures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in accordance with the convertible debenture agreements from </w:t>
      </w:r>
      <w:r>
        <w:rPr>
          <w:rStyle w:val="Emphasis"/>
          <w:rFonts w:ascii="Times New Roman" w:hAnsi="Times New Roman"/>
          <w:caps w:val="false"/>
          <w:smallCaps w:val="false"/>
          <w:sz w:val="20"/>
        </w:rPr>
        <w:t xml:space="preserve">December 7, December 8,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20, 2022, </w:t>
      </w:r>
      <w:r>
        <w:rPr>
          <w:rFonts w:ascii="Times New Roman" w:hAnsi="Times New Roman"/>
          <w:caps w:val="false"/>
          <w:smallCaps w:val="false"/>
          <w:sz w:val="20"/>
        </w:rPr>
        <w:t>between the Company and Yorkville, the Company issued 14,625,800 ordinary shares to Yorkville to convert a principal amount of kUSD 10,850 (kEUR 10,099) plus accrued interest of kUSD 145 (kEUR 135).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The insolvency filings on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 xml:space="preserve">constituted an event of default under the contractual agreement between Sono N.V. and the capital provider. Following the contractual provisions, the outstanding principal amount is due immediately upon the occurrence of an event of default. In addition, the nominal interest rate increases from 4% to 12% p.a. upon the occurrence of such an event. The carrying amount of the convertible debentures (host contract) as of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 xml:space="preserve">was kUSD </w:t>
      </w:r>
      <w:r>
        <w:rPr>
          <w:rStyle w:val="Emphasis"/>
          <w:rFonts w:ascii="Times New Roman" w:hAnsi="Times New Roman"/>
          <w:caps w:val="false"/>
          <w:smallCaps w:val="false"/>
          <w:sz w:val="20"/>
        </w:rPr>
        <w:t>20,257</w:t>
      </w:r>
      <w:r>
        <w:rPr>
          <w:rFonts w:ascii="Times New Roman" w:hAnsi="Times New Roman"/>
          <w:caps w:val="false"/>
          <w:smallCaps w:val="false"/>
          <w:sz w:val="20"/>
        </w:rPr>
        <w:t xml:space="preserve"> (kEUR 18,625). As Sono Group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any further conversions to take place after filing for insolvency, the carrying amount of the embedded derivatives was kUSD nil (kEUR nil). In line with this expectation, the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accrual was derecognized on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 xml:space="preserve">The net profit and loss effect of the convertible debentures’ subsequent measurement at amortized cost until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 xml:space="preserve">was a loss of kUSD 3,365 (kEUR 3,116). The subsequent measurement of the embedded derivatives until </w:t>
      </w:r>
      <w:r>
        <w:rPr>
          <w:rStyle w:val="Emphasis"/>
          <w:rFonts w:ascii="Times New Roman" w:hAnsi="Times New Roman"/>
          <w:caps w:val="false"/>
          <w:smallCaps w:val="false"/>
          <w:sz w:val="20"/>
        </w:rPr>
        <w:t xml:space="preserve">May 15, 2023, </w:t>
      </w:r>
      <w:r>
        <w:rPr>
          <w:rFonts w:ascii="Times New Roman" w:hAnsi="Times New Roman"/>
          <w:caps w:val="false"/>
          <w:smallCaps w:val="false"/>
          <w:sz w:val="20"/>
        </w:rPr>
        <w:t>resulted in a profit of kUSD 3,855 (kEUR 3,570). Amortization and derecognition of the day-</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losses accrual upon the debentures becoming due immediately resulted in a total loss of kUSD 3,504 (kEUR 3,273).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pPr>
      <w:r>
        <w:rPr>
          <w:rFonts w:ascii="Times New Roman" w:hAnsi="Times New Roman"/>
          <w:caps w:val="false"/>
          <w:smallCaps w:val="false"/>
          <w:sz w:val="20"/>
        </w:rPr>
        <w:t xml:space="preserve">As part of the signed Prolongation Agreement detailed in note </w:t>
      </w:r>
      <w:r>
        <w:rPr>
          <w:rStyle w:val="Emphasis"/>
          <w:rFonts w:ascii="Times New Roman" w:hAnsi="Times New Roman"/>
          <w:caps w:val="false"/>
          <w:smallCaps w:val="false"/>
          <w:sz w:val="20"/>
        </w:rPr>
        <w:t>9.7.4</w:t>
      </w:r>
      <w:r>
        <w:rPr>
          <w:rFonts w:ascii="Times New Roman" w:hAnsi="Times New Roman"/>
          <w:caps w:val="false"/>
          <w:smallCaps w:val="false"/>
          <w:sz w:val="20"/>
        </w:rPr>
        <w:t xml:space="preserve"> Funding and restructuring agreement, if it closes, Yorkville has extended the repayment date of the existing convertible debentures to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 xml:space="preserve">When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financial statements were approved, management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thoroughly assess the impact of this extension and thus cannot provide an estimate of its consequences on the financial position and/or profit or loss of the Group. Management has calculated the amount that would be immediately due if the contractually agreed immediate repayment obligation came into effect, for example if the agreement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close. As of </w:t>
      </w:r>
      <w:r>
        <w:rPr>
          <w:rStyle w:val="Emphasis"/>
          <w:rFonts w:ascii="Times New Roman" w:hAnsi="Times New Roman"/>
          <w:caps w:val="false"/>
          <w:smallCaps w:val="false"/>
          <w:sz w:val="20"/>
        </w:rPr>
        <w:t xml:space="preserve">November 30, 2023, </w:t>
      </w:r>
      <w:r>
        <w:rPr>
          <w:rFonts w:ascii="Times New Roman" w:hAnsi="Times New Roman"/>
          <w:caps w:val="false"/>
          <w:smallCaps w:val="false"/>
          <w:sz w:val="20"/>
        </w:rPr>
        <w:t>the amount immediately due, which equals the outstanding amount of the short-term financial liability including accrued interest, is kUSD 21,565 (kEUR 19,728).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F-68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Approval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Munich,</w:t>
      </w:r>
      <w:r>
        <w:rPr>
          <w:rFonts w:ascii="Times New Roman" w:hAnsi="Times New Roman"/>
          <w:caps w:val="false"/>
          <w:smallCaps w:val="false"/>
          <w:sz w:val="20"/>
          <w:shd w:fill="FFFFFF" w:val="clear"/>
        </w:rPr>
        <w:t xml:space="preserve"> December 22, </w:t>
      </w:r>
      <w:r>
        <w:rPr>
          <w:rFonts w:ascii="Times New Roman" w:hAnsi="Times New Roman"/>
          <w:caps w:val="false"/>
          <w:smallCaps w:val="false"/>
          <w:sz w:val="20"/>
        </w:rPr>
        <w:t>2023</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N.V.</w:t>
        <w:br/>
        <w:t>represented by the Management of 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3"/>
        <w:gridCol w:w="2642"/>
        <w:gridCol w:w="2546"/>
        <w:gridCol w:w="2604"/>
      </w:tblGrid>
      <w:tr>
        <w:trPr/>
        <w:tc>
          <w:tcPr>
            <w:tcW w:w="24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Laurin Hahn __________________</w:t>
            </w:r>
          </w:p>
        </w:tc>
        <w:tc>
          <w:tcPr>
            <w:tcW w:w="26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Jona Christians __________________</w:t>
            </w:r>
          </w:p>
        </w:tc>
        <w:tc>
          <w:tcPr>
            <w:tcW w:w="25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Torsten Kiedel __________________</w:t>
            </w:r>
          </w:p>
        </w:tc>
        <w:tc>
          <w:tcPr>
            <w:tcW w:w="2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Markus Volmer __________________</w:t>
            </w:r>
          </w:p>
        </w:tc>
      </w:tr>
      <w:tr>
        <w:trPr/>
        <w:tc>
          <w:tcPr>
            <w:tcW w:w="24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Laurin Hahn</w:t>
            </w:r>
          </w:p>
        </w:tc>
        <w:tc>
          <w:tcPr>
            <w:tcW w:w="26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 Christians</w:t>
            </w:r>
          </w:p>
        </w:tc>
        <w:tc>
          <w:tcPr>
            <w:tcW w:w="25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Torsten Kiedel</w:t>
            </w:r>
          </w:p>
        </w:tc>
        <w:tc>
          <w:tcPr>
            <w:tcW w:w="2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Markus Volmer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F-69 </w:t>
      </w:r>
    </w:p>
    <w:p>
      <w:pPr>
        <w:pStyle w:val="TextBody"/>
        <w:bidi w:val="0"/>
        <w:spacing w:before="0" w:after="0"/>
        <w:ind w:left="0" w:right="0" w:hanging="0"/>
        <w:jc w:val="right"/>
        <w:rPr>
          <w:rFonts w:ascii="Times New Roman;Times;serif" w:hAnsi="Times New Roman;Times;serif"/>
          <w:b/>
          <w:sz w:val="20"/>
        </w:rPr>
      </w:pPr>
      <w:bookmarkStart w:id="92" w:name="ex_608863.htm"/>
      <w:bookmarkStart w:id="93" w:name="ksex_608863"/>
      <w:bookmarkEnd w:id="92"/>
      <w:bookmarkEnd w:id="93"/>
      <w:r>
        <w:rPr>
          <w:rFonts w:ascii="Times New Roman;Times;serif" w:hAnsi="Times New Roman;Times;serif"/>
          <w:b/>
          <w:sz w:val="20"/>
        </w:rPr>
        <w:t>Exhibit 1.1</w:t>
      </w:r>
      <w:r>
        <w:br w:type="page"/>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Note: this is a translation into English of the official Dutch version of a deed of amendment to the articles of association of a public company with limited liability under Dutch law. Definitions included in article 1 below appear in the English alphabetical order, but will appear in the Dutch alphabetical order in the official Dutch version. In the event of a conflict between the English and Dutch texts, the Dutch text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DEED OF AMENDMENT TO THE ARTICLES OF ASSOCIATION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this, the seventeenth day of November two thousand and twenty-one, appeared before me, Esther Helena Maria Schreiber, candidate civil law notary, hereinafter referred to as "civil law notary", acting as deputy of Paul Cornelis Simon van der Bijl, civil law notary in Amsterdam: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Federico Koudenburg, born in [OMITTED], Colombia on the [OMITTED], employed at the offices of me, civil law notary, located at Beethovenstraat 400, 1082 PR Amsterdam.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person appearing before me declared that the general meeting of </w:t>
      </w:r>
      <w:r>
        <w:rPr>
          <w:rFonts w:ascii="Times New Roman" w:hAnsi="Times New Roman"/>
          <w:b/>
          <w:caps w:val="false"/>
          <w:smallCaps w:val="false"/>
          <w:sz w:val="20"/>
        </w:rPr>
        <w:t>Sono Group N.V.</w:t>
      </w:r>
      <w:r>
        <w:rPr>
          <w:rFonts w:ascii="Times New Roman" w:hAnsi="Times New Roman"/>
          <w:caps w:val="false"/>
          <w:smallCaps w:val="false"/>
          <w:sz w:val="20"/>
        </w:rPr>
        <w:t>, a public company with limited liability under Dutch law, having its corporate seat at Amsterdam (address: 76 Waldmeisterstrasse, 80935 Munich, Germany trade register number: 80683568) (the "</w:t>
      </w:r>
      <w:r>
        <w:rPr>
          <w:rFonts w:ascii="Times New Roman" w:hAnsi="Times New Roman"/>
          <w:b/>
          <w:caps w:val="false"/>
          <w:smallCaps w:val="false"/>
          <w:sz w:val="20"/>
        </w:rPr>
        <w:t>Company</w:t>
      </w:r>
      <w:r>
        <w:rPr>
          <w:rFonts w:ascii="Times New Roman" w:hAnsi="Times New Roman"/>
          <w:caps w:val="false"/>
          <w:smallCaps w:val="false"/>
          <w:sz w:val="20"/>
        </w:rPr>
        <w:t>"), at a general meeting held at Amsterdam on the third day of November two thousand and twenty-one, decided, among other things, to amend the Company's articles of association (the "</w:t>
      </w:r>
      <w:r>
        <w:rPr>
          <w:rFonts w:ascii="Times New Roman" w:hAnsi="Times New Roman"/>
          <w:b/>
          <w:caps w:val="false"/>
          <w:smallCaps w:val="false"/>
          <w:sz w:val="20"/>
        </w:rPr>
        <w:t>Articles of Association</w:t>
      </w:r>
      <w:r>
        <w:rPr>
          <w:rFonts w:ascii="Times New Roman" w:hAnsi="Times New Roman"/>
          <w:caps w:val="false"/>
          <w:smallCaps w:val="false"/>
          <w:sz w:val="20"/>
        </w:rPr>
        <w:t>") in their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copy of the minutes of the abovementioned meeting will be attached to this Deed as an </w:t>
      </w:r>
      <w:r>
        <w:rPr>
          <w:rFonts w:ascii="Times New Roman" w:hAnsi="Times New Roman"/>
          <w:caps w:val="false"/>
          <w:smallCaps w:val="false"/>
          <w:sz w:val="20"/>
          <w:u w:val="single"/>
        </w:rPr>
        <w:t>annex</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Articles of Association were most recently amended by a deed executed on the twenty-seventh day of November two thousand and twenty before Paul Cornelis Simon van der Bijl, civil law notary at Amsterdam.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carry out the abovementioned decision to amend the Articles of Association, the person appearing declared to hereby amend the Articles of Association in their entirety, as set out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ARTICLES OF ASSOCIATION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 AND INTERPRETATION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1</w:t>
      </w:r>
    </w:p>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290"/>
        <w:gridCol w:w="5540"/>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55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these articles of association the following definitions shall apply:</w:t>
            </w:r>
          </w:p>
        </w:tc>
      </w:tr>
    </w:tbl>
    <w:tbl>
      <w:tblPr>
        <w:tblW w:w="10205" w:type="dxa"/>
        <w:jc w:val="left"/>
        <w:tblInd w:w="0" w:type="dxa"/>
        <w:tblLayout w:type="fixed"/>
        <w:tblCellMar>
          <w:top w:w="0" w:type="dxa"/>
          <w:left w:w="0" w:type="dxa"/>
          <w:bottom w:w="0" w:type="dxa"/>
          <w:right w:w="0" w:type="dxa"/>
        </w:tblCellMar>
      </w:tblPr>
      <w:tblGrid>
        <w:gridCol w:w="75"/>
        <w:gridCol w:w="1344"/>
        <w:gridCol w:w="8786"/>
      </w:tblGrid>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w:t>
            </w:r>
          </w:p>
        </w:tc>
        <w:tc>
          <w:tcPr>
            <w:tcW w:w="87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article of these articles of association.</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CEO</w:t>
            </w:r>
          </w:p>
        </w:tc>
        <w:tc>
          <w:tcPr>
            <w:tcW w:w="87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chief executive officer of the Company.</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Chairperson</w:t>
            </w:r>
          </w:p>
        </w:tc>
        <w:tc>
          <w:tcPr>
            <w:tcW w:w="87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chairperson of the Supervisory Board.</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Class Meeting</w:t>
            </w:r>
          </w:p>
        </w:tc>
        <w:tc>
          <w:tcPr>
            <w:tcW w:w="87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meeting formed by the Persons with Meeting Rights with respect to shares of a certain class.</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w:t>
            </w:r>
          </w:p>
        </w:tc>
        <w:tc>
          <w:tcPr>
            <w:tcW w:w="87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to which these articles of association pertain.</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DCC</w:t>
            </w:r>
          </w:p>
        </w:tc>
        <w:tc>
          <w:tcPr>
            <w:tcW w:w="87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Dutch Civil Code.</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General Meeting</w:t>
            </w:r>
          </w:p>
        </w:tc>
        <w:tc>
          <w:tcPr>
            <w:tcW w:w="87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general meeting.</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Group Company</w:t>
            </w:r>
          </w:p>
        </w:tc>
        <w:tc>
          <w:tcPr>
            <w:tcW w:w="87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entity or partnership which is organisationally connected with the Company in an economic unit within the meaning of Section 2:24b DCC.</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2</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0"/>
        <w:gridCol w:w="8420"/>
      </w:tblGrid>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Indemnified Officer</w:t>
            </w:r>
          </w:p>
        </w:tc>
        <w:tc>
          <w:tcPr>
            <w:tcW w:w="8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current or former Managing Director or Supervisory Director or such other current or former officer or employee of the Company or its Group Companies as designated by the Management Board.</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Majority Shareholders</w:t>
            </w:r>
          </w:p>
        </w:tc>
        <w:tc>
          <w:tcPr>
            <w:tcW w:w="8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Laurin Sinan Paul Hahn, born in [OMITTED], on the [OMITTED], and Jona Johannes Christians, born in [OMITTED], on the [OMITTED].</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 Board</w:t>
            </w:r>
          </w:p>
        </w:tc>
        <w:tc>
          <w:tcPr>
            <w:tcW w:w="8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management board.</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 Board Rules</w:t>
            </w:r>
          </w:p>
        </w:tc>
        <w:tc>
          <w:tcPr>
            <w:tcW w:w="8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internal rules applicable to the Management Board, as drawn up by the Management Board.</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Managing Director</w:t>
            </w:r>
          </w:p>
        </w:tc>
        <w:tc>
          <w:tcPr>
            <w:tcW w:w="8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member of the Management Board.</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Meeting Rights</w:t>
            </w:r>
          </w:p>
        </w:tc>
        <w:tc>
          <w:tcPr>
            <w:tcW w:w="8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 respect to the Company, the rights attributed by law to the holders of depository receipts issued for shares with a company's cooperation, including the right to attend and address a General Meeting.</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Person with Meeting Rights</w:t>
            </w:r>
          </w:p>
        </w:tc>
        <w:tc>
          <w:tcPr>
            <w:tcW w:w="8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shareholder, a usufructuary or pledgee with voting rights or a holder of depository receipts for shares issued with the Company's cooperation.</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Record Date</w:t>
            </w:r>
          </w:p>
        </w:tc>
        <w:tc>
          <w:tcPr>
            <w:tcW w:w="8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of registration for a General Meeting as provided by law.</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Simple Majority</w:t>
            </w:r>
          </w:p>
        </w:tc>
        <w:tc>
          <w:tcPr>
            <w:tcW w:w="8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More than half of the votes cast.</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Subsidiary</w:t>
            </w:r>
          </w:p>
        </w:tc>
        <w:tc>
          <w:tcPr>
            <w:tcW w:w="8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subsidiary of the Company within the meaning of Section 2:24a DCC.</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Supervisory Board</w:t>
            </w:r>
          </w:p>
        </w:tc>
        <w:tc>
          <w:tcPr>
            <w:tcW w:w="8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supervisory board.</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Supervisory Board Rules</w:t>
            </w:r>
          </w:p>
        </w:tc>
        <w:tc>
          <w:tcPr>
            <w:tcW w:w="8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internal rules applicable to the Supervisory Board, as drawn up by the Supervisory Board.</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Supervisory Director</w:t>
            </w:r>
          </w:p>
        </w:tc>
        <w:tc>
          <w:tcPr>
            <w:tcW w:w="8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member of the Supervisory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Unless the context requires otherwise, references to "shares" or "shareholders" without further specification are to shares in the Company's capital, irrespective of their class, or to the holders thereof, respectively.</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References to statutory provisions are to those provisions as they are in force from time to time.</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1.4</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Terms that are defined in the singular have a corresponding meaning in the plural.</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1.5</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Words denoting a gender include each other gender.</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Except as otherwise required by law, the terms "written" and "in writing" include the use of electronic means of communication.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NAME AND SEAT</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2</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90"/>
        <w:gridCol w:w="342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2.1</w:t>
            </w:r>
          </w:p>
        </w:tc>
        <w:tc>
          <w:tcPr>
            <w:tcW w:w="3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Company's name is </w:t>
            </w:r>
            <w:r>
              <w:rPr>
                <w:rFonts w:ascii="Times New Roman;Times;serif" w:hAnsi="Times New Roman;Times;serif"/>
                <w:b/>
                <w:caps w:val="false"/>
                <w:smallCaps w:val="false"/>
                <w:sz w:val="20"/>
              </w:rPr>
              <w:t>Sono Group N.V.</w:t>
            </w:r>
          </w:p>
        </w:tc>
      </w:tr>
    </w:tbl>
    <w:tbl>
      <w:tblPr>
        <w:tblW w:w="4420" w:type="dxa"/>
        <w:jc w:val="left"/>
        <w:tblInd w:w="0" w:type="dxa"/>
        <w:tblLayout w:type="fixed"/>
        <w:tblCellMar>
          <w:top w:w="0" w:type="dxa"/>
          <w:left w:w="0" w:type="dxa"/>
          <w:bottom w:w="0" w:type="dxa"/>
          <w:right w:w="0" w:type="dxa"/>
        </w:tblCellMar>
      </w:tblPr>
      <w:tblGrid>
        <w:gridCol w:w="290"/>
        <w:gridCol w:w="4130"/>
      </w:tblGrid>
      <w:tr>
        <w:trPr/>
        <w:tc>
          <w:tcPr>
            <w:tcW w:w="29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2.2</w:t>
            </w:r>
          </w:p>
        </w:tc>
        <w:tc>
          <w:tcPr>
            <w:tcW w:w="4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has its corporate seat in Amsterdam.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OBJECTS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objects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 development, manufacturing and production of electric vehicles, including with solar integration technology;</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 development, manufacturing, production and licensing of solar panels for mobility applications and consumer products;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 development, licensing and operation of software based mobility services;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develop electronic applications;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incorporate, to participate in, to finance, to hold any other interest in and to conduct the management or supervision of other entities, companies, partnerships and businesses;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acquire, to manage, to invest, to exploit, to encumber and to dispose of assets and liabilities;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furnish guarantees, to provide security, to warrant performance in any other way and to assume liability, whether jointly and severally or otherwise, in respect of obligations of Group Companies or other parties; and</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do anything which, in the widest sense, is connected with or may be conducive to the objects described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ENVIRONMENT</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4.1</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planet, humankind and society are important stakeholders of the Company and the highest principle pursued by the Company as part of its objects is the protection of the environment, nature and humankind. This principle shall form the foundation of the actions of the Company and the decisions of the Management Board and the Supervisory Board. On the basis of that premise:</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monitor for and, to the extent possible and practicable, is expected to favour environmentally friendly alternatives for existing operations of the Company and its Subsidiaries, in particular if those alternatives are more efficient in terms of resource consumption;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costs or other increased expenditures shall not constitute a decisive factor when deciding whether or not to pursue an environmentally superior alternative for existing operations of the Company and its Subsidiaries;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 designed, developed, manufactured or produced by the Company and its Subsidiaries should be durable, recyclable and sustainable;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and the Supervisory Board may let the interests of the planet, humankind and society outweigh the interests of other stakeholders of the Company, provided that the interests of the latter stakeholders are not unnecessarily or disproportionately harmed.</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4.2</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Managing Director or Supervisory Director who repeatedly and consistently violates the principles of this Article 4 shall be considered to have breached his statutory duty to act in the best interests of the Company and its business.</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4.3</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resolution to amend the text or purport of this Article 4 shall require a unanimous vote in a General Meeting where the entire issued share capital is represented. A second meeting as referred to in Section 2:120(3) DCC cannot be convened.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4</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AUTHORISED SHARE CAPITAL AND DEPOSITORY RECEIPTS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5</w:t>
      </w:r>
    </w:p>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290"/>
        <w:gridCol w:w="966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5.1</w:t>
            </w:r>
          </w:p>
        </w:tc>
        <w:tc>
          <w:tcPr>
            <w:tcW w:w="96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authorised share capital amounts to twenty-five million two hundred thousand euro (EUR 25,200,000).</w:t>
            </w:r>
          </w:p>
        </w:tc>
      </w:tr>
      <w:tr>
        <w:trPr/>
        <w:tc>
          <w:tcPr>
            <w:tcW w:w="29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5.2</w:t>
            </w:r>
          </w:p>
        </w:tc>
        <w:tc>
          <w:tcPr>
            <w:tcW w:w="96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authorised share capital is divided into:</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hundred twenty million (320,000,000) ordinary shares, each having a nominal value of six eurocents (EUR 0.06); and</w:t>
            </w:r>
          </w:p>
        </w:tc>
      </w:tr>
    </w:tbl>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5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four million (4,000,000) high voting shares, each having a nominal value of one euro and fifty eurocents (EUR 1.50).</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5.3</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Upon the conversion of one or more high voting shares into ordinary shares in accordance with Article 7, the authorised share capital set out in Article 5.2 shall decrease with the number of high voting shares so converted and shall increase with the number of ordinary shares into which such high voting shares are converted.</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5.4</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may resolve that one or more shares are divided into such number of fractional shares as may be determined by the Management Board. Unless specified differently, the provisions of these articles of association concerning shares and shareholders apply mutatis mutandis to fractional shares and the holders thereof, respectively.</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5.5</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cooperate with the issue of depository receipts for shares in its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FORM AND SHARE REGISTER</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6.1</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shares are in registered form, provided that the Management Board may resolve that one or more ordinary shares are in bearer form. The Company may issue share certificates for shares in registered form as may be approved by the Management Board. Ordinary shares in bearer form shall be issued in the form of a global share certificate approved by the Management Board which is delivered into custody with the central securities depository or an affiliated intermediary within the meaning of Section 1 of the Dutch Giro Transfer Securities Act. Each Managing Director is authorised to sign any such share certificate or global share certificate on behalf of the Company.</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6.2</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is not obliged to grant a request by a shareholder to convert one or more of its registered shares into bearer shares or vice versa. If the Management Board decides to grant such request, the costs of such conversion shall be charged to the relevant shareholder.</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6.3</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Registered shares shall be numbered consecutively per class of shares, starting from 1.</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6.4</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keep a register setting out the names and addresses of all holders of registered shares and all holders of a usufruct or pledge in respect of those shares. The register shall also set out any other particulars that must be included in the register pursuant to applicable law. Part of the register may be kept outside the Netherlands to comply with applicable local law or pursuant to stock exchange rules.</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6.5</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usufructuaries and pledgees shall provide the Management Board with the necessary particulars in a timely fashion. Any consequences of not, or incorrectly, notifying such particulars shall be borne by the party concerned.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5</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6.6</w:t>
            </w:r>
          </w:p>
        </w:tc>
        <w:tc>
          <w:tcPr>
            <w:tcW w:w="9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high voting share can be converted into twenty five (25) ordinary shares subject to the provisions of this Article 7. Ordinary shares cannot be converted into high voting shares.</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6.7</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former holder of a lost global share certificate issued for bearer shares may request the Company to provide him with a duplicate of the lost global share certificate. The Company shall only issue such duplicate:</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requesting party can demonstrate, to the satisfaction of the Management Board, that that party is indeed entitled to receive such duplicate;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 period of four weeks has elapsed since the request was published on the Company's website, without the Company having received any opposition to that request within that period.</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6.8</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Company receives a timely opposition as referred to in Article 6.7 paragraph b., the Company shall only provide the duplicate to the requesting party after it has been provided with a copy of a binding opinion or court order to provide that duplicate, without the need for the Company to examine the authority of the relevant arbitrators or court, respectively, or the validity of that binding opinion or order, respectively.</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6.9</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 a duplicate of a global share certificate issued for bearer shares has been issued by the Company, that duplicate shall replace the original global share certificate and no further rights may be derived from the global share certificate thus replaced.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CONVERSION OF HIGH VOTING SHARES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7.1</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high voting share can be converted into twenty five (25) ordinary shares subject to the provisions of this Article 7. Ordinary shares cannot be converted into high voting shares.</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7.2</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holder of one or more high voting shares may request the conversion of all or part of such high voting shares into ordinary shares in the ratio set out in Article 7.1 by means of a written request addressed to the Management Board. Such a request must be signed by the relevant shareholder (or an authorised representative of such shareholder) and must include:</w:t>
            </w:r>
          </w:p>
        </w:tc>
      </w:tr>
    </w:tbl>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specification of the number of high voting shares to which the request pertains;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6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representations by the shareholder concerned that:</w:t>
            </w:r>
          </w:p>
        </w:tc>
      </w:tr>
    </w:tbl>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98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high voting shares to which the request pertains are not encumbered with any usufruct, pledge or other encumbrance;</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w:t>
            </w:r>
          </w:p>
        </w:tc>
        <w:tc>
          <w:tcPr>
            <w:tcW w:w="98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depository receipts or other derivative financial instruments have been issued for the high voting shares to which the request pertain; and</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iii.</w:t>
            </w:r>
          </w:p>
        </w:tc>
        <w:tc>
          <w:tcPr>
            <w:tcW w:w="98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shareholder concerned has full power to dispose over its assets and is authorised to perform the acts described in Article 7.3;</w:t>
            </w:r>
          </w:p>
        </w:tc>
      </w:tr>
    </w:tbl>
    <w:tbl>
      <w:tblPr>
        <w:tblW w:w="7075" w:type="dxa"/>
        <w:jc w:val="left"/>
        <w:tblInd w:w="0" w:type="dxa"/>
        <w:tblLayout w:type="fixed"/>
        <w:tblCellMar>
          <w:top w:w="0" w:type="dxa"/>
          <w:left w:w="0" w:type="dxa"/>
          <w:bottom w:w="0" w:type="dxa"/>
          <w:right w:w="0" w:type="dxa"/>
        </w:tblCellMar>
      </w:tblPr>
      <w:tblGrid>
        <w:gridCol w:w="75"/>
        <w:gridCol w:w="155"/>
        <w:gridCol w:w="684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c</w:t>
            </w:r>
            <w:r>
              <w:rPr>
                <w:rFonts w:ascii="Times New Roman;Times;serif" w:hAnsi="Times New Roman;Times;serif"/>
                <w:caps w:val="false"/>
                <w:smallCaps w:val="false"/>
                <w:sz w:val="20"/>
              </w:rPr>
              <w:t>.</w:t>
            </w:r>
          </w:p>
        </w:tc>
        <w:tc>
          <w:tcPr>
            <w:tcW w:w="6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irrevocable undertaking in favour of the Company by the shareholder concerned:</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take no action (and not to omit taking any action) which would render the representations referred to in paragraph b. above inaccurate or incomplete upon the performance of the acts described in Article 7.3; and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6</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ii.</w:t>
            </w:r>
          </w:p>
        </w:tc>
        <w:tc>
          <w:tcPr>
            <w:tcW w:w="9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indemnify the Company and hold the Company harmless against any financial losses or damages incurred by the Company and any expense reasonably paid or incurred by the Company in connection with any threatened, pending or completed suit, claim, action or legal proceedings of a civil, criminal, administrative or other nature, formal or informal, in which the Company becomes involved as a result of the conversion so requested, in each case to the extent permitted by applicable law and except to the extent that a competent court or arbitral tribunal has established, without having (or no longer having) the possibility for appeal, that such financial losses, damages, expenses, suit, claim, action or legal proceedings were incurred, arose or were initiated as a result of actions or omissions by the Company which are considered to constitute malice, gross negligence or intentional recklessness attributable to the Company;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irrevocable and unconditional power of attorney granted by the relevant shareholder to the Company, with full power of substitution and governed by Dutch law, to perform the acts described in Article 7.3 on behalf of such shareholder.</w:t>
            </w:r>
          </w:p>
        </w:tc>
      </w:tr>
    </w:tbl>
    <w:tbl>
      <w:tblPr>
        <w:tblW w:w="4390" w:type="dxa"/>
        <w:jc w:val="left"/>
        <w:tblInd w:w="0" w:type="dxa"/>
        <w:tblLayout w:type="fixed"/>
        <w:tblCellMar>
          <w:top w:w="0" w:type="dxa"/>
          <w:left w:w="0" w:type="dxa"/>
          <w:bottom w:w="0" w:type="dxa"/>
          <w:right w:w="0" w:type="dxa"/>
        </w:tblCellMar>
      </w:tblPr>
      <w:tblGrid>
        <w:gridCol w:w="290"/>
        <w:gridCol w:w="4100"/>
      </w:tblGrid>
      <w:tr>
        <w:trPr/>
        <w:tc>
          <w:tcPr>
            <w:tcW w:w="29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7.3</w:t>
            </w:r>
          </w:p>
        </w:tc>
        <w:tc>
          <w:tcPr>
            <w:tcW w:w="41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Upon receipt of a request referred to in Article 7.2:</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resolve to convert the number of high voting shares specified in the request into ordinary shares in the ratio set out in Article 7.1, effective immediately;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promptly following the conversion referred to in paragraph a. above, the shareholder who made such request shall transfer twenty-four out of every twenty-five ordinary shares into which its high voting shares were converted pursuant to the resolution referred to in paragraph a. above to the Company for no consideration and the Company shall accept such ordinary shares.</w:t>
            </w:r>
          </w:p>
        </w:tc>
      </w:tr>
    </w:tbl>
    <w:tbl>
      <w:tblPr>
        <w:tblW w:w="8830" w:type="dxa"/>
        <w:jc w:val="left"/>
        <w:tblInd w:w="0" w:type="dxa"/>
        <w:tblLayout w:type="fixed"/>
        <w:tblCellMar>
          <w:top w:w="0" w:type="dxa"/>
          <w:left w:w="0" w:type="dxa"/>
          <w:bottom w:w="0" w:type="dxa"/>
          <w:right w:w="0" w:type="dxa"/>
        </w:tblCellMar>
      </w:tblPr>
      <w:tblGrid>
        <w:gridCol w:w="290"/>
        <w:gridCol w:w="8540"/>
      </w:tblGrid>
      <w:tr>
        <w:trPr/>
        <w:tc>
          <w:tcPr>
            <w:tcW w:w="29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7.4</w:t>
            </w:r>
          </w:p>
        </w:tc>
        <w:tc>
          <w:tcPr>
            <w:tcW w:w="85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Neither the Management Board nor the Company is required to effect a conversion of high voting shares: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request referred to in Article 7.2 does not comply with the specifications and requirements set out in Article 7.2 or if the Management Board reasonably believes that the information included in such request is incorrect or incomplete;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the extent that the Company would not be permitted under mandatory Dutch law to acquire the relevant number of ordinary shares as described in Article 7.3 paragraph b. in connection with such conversion.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ISSUE</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8.1</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can only issue shares pursuant to a resolution of the General Meeting or of another body authorised by the General Meeting for this purpose for a specified period not exceeding five years. When granting such authorisation, the number of shares that may be issued must be specified. The authorisation may be extended, in each case for a period not exceeding five years. Unless stipulated differently when granting the authorisation, the authorisation cannot be revoked. For as long as and to the extent that another body has been authorised to resolve to issue shares, the General Meeting shall not have this authority.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7</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8.2</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order for a resolution of the General Meeting on an issuance or an authorisation as referred to in Article 8.1 to be valid, a prior or simultaneous approval shall be required from each Class Meeting of shares whose rights are prejudiced by the issuance.</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8.3</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preceding provisions of this Article 8 apply mutatis mutandis to the granting of rights to subscribe for shares, but do not apply in respect of issuing shares to a party exercising a previously acquired right to subscribe for shares.</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8.4</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not subscribe for shares in its own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PRE-EMPTION RIGHTS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9.1</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Upon an issue of ordinary shares or high voting shares, each shareholder shall have a pre-emption right in proportion to the aggregate nominal value of his ordinary shares and/or high voting shares.</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9.2</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deviation of Article 9.1, shareholders do not have pre-emption rights in respect of:</w:t>
            </w:r>
          </w:p>
        </w:tc>
      </w:tr>
    </w:tbl>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5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against non-cash contribution;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5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to employees of the Company or of a Group Company.</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9.3</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announce an issue with pre-emption rights and the period during which those rights can be exercised in the State Gazette and in a daily newspaper with national distribution, unless all shares are in registered form and the announcement is sent in writing to all shareholders at the addresses submitted by them.</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9.4</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Pre-emption rights may be exercised for a period of at least two weeks after the date of announcement in the State Gazette or after the announcement was sent to the shareholders.</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9.5</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Pre-emption rights may be limited or excluded by a resolution of the General Meeting or of the body authorised as referred to in Article 8.1, if that body was authorised by the General Meeting for this purpose for a specified period not exceeding five years. The authorisation may be extended, in each case for a period not exceeding five years. Unless stipulated differently when granting the authorisation, the authorisation cannot be revoked. For as long as and to the extent that another body has been authorised to resolve to limit or exclude pre-emption rights, the General Meeting shall not have this authority.</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9.6</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resolution of the General Meeting to limit or exclude pre-emption rights, or to grant an authorisation as referred to in Article 9.5, shall require a majority of at least two thirds of the votes cast if less than half of the issued share capital is represented at the General Meeting.</w:t>
            </w:r>
          </w:p>
        </w:tc>
      </w:tr>
      <w:tr>
        <w:trPr/>
        <w:tc>
          <w:tcPr>
            <w:tcW w:w="29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9.7</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preceding provisions of this Article 9 apply mutatis mutandis to the granting of rights to subscribe for shares, but do not apply in respect of issuing shares to a party exercising a previously acquired right to subscribe for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PAYMENT</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8</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10.1</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Without prejudice to Section 2:80(2) DCC, the nominal value of a share and, if the share is subscribed for at a higher price, the difference between these amounts must be paid up upon subscription for that share.</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10.2</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must be paid up in cash, except to the extent that payment by means of a contribution in another form has been agreed.</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10.3</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in a currency other than the euro can only be made with the Company's consent. Where such a payment is made, the payment obligation is satisfied for the amount in euro for which the paid amount can be freely exchanged. The date of the payment determines the exchange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FINANCIAL ASSISTANCE</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11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11.1</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not provide security, give a price guarantee, warrant performance in any other way or commit itself jointly and severally or otherwise with or for others with a view to the subscription for or acquisition of shares or depository receipts for shares in its capital by others. This prohibition applies equally to Subsidiaries.</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11.2</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and its Subsidiaries may not provide loans with a view to the subscription for or acquisition of shares or depository receipts for shares in the Company's capital by others, unless the Management Board resolves to do so and Section 2:98c DCC is observed.</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11.3</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preceding provisions of this Article 11 do not apply if shares or depository receipts for shares are subscribed for or acquired by or for employees of the Company or of a Group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ACQUISITION OF OWN SHARES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12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12.1</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acquisition by the Company of shares in its own capital which have not been fully paid up shall be null and void.</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12.2</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only acquire fully paid up shares in its own capital for no consideration or if and to the extent that the General Meeting has authorised the Management Board for this purpose and all other relevant statutory requirements of Section 2:98 DCC are observed.</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authorisation as referred to in Article 12.2 remains valid for no longer than eighteen months. When granting such authorisation, the General Meeting shall determine the number of shares that may be acquired, how they may be acquired and within which range the acquisition price must be. An authorisation shall not be required for the Company to acquire ordinary shares in its own capital in order to transfer them to employees of the Company or of a Group Company pursuant to an arrangement applicable to them, provided that these ordinary shares are included on the price list of a stock exchange.</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12.4</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Without prejudice to Articles 12.1 through 12.3, the Company may acquire shares in its own capital for cash consideration or for consideration satisfied in the form of assets. In the case of a consideration being satisfied in the form of assets, the value thereof, as determined by the Management Board, must be within the range stipulated by the General Meeting as referred to in Article 12.3.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9</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12.5</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previous provisions of this Article 12 do not apply to shares acquired by the Company under universal title of succession.</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12.6</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this Article 12, references to shares include depository receipts for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REDUCTION OF ISSUED SHARE CAPITAL</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13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13.1</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General Meeting can resolve to reduce the Company's issued share capital by cancelling shares or by reducing the nominal value of shares by virtue of an amendment to these articles of association. The resolution must designate the shares to which the resolution relates and it must provide for the implementation of the resolution.</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13.2</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resolution to cancel shares can only relate to:</w:t>
            </w:r>
          </w:p>
        </w:tc>
      </w:tr>
    </w:tbl>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84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held by the Company itself or in respect of which the Company holds the depository receipts;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84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high voting shares, with repayment of the amounts paid up in respect thereof.</w:t>
            </w:r>
          </w:p>
        </w:tc>
      </w:tr>
    </w:tbl>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13.2</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resolution to reduce the Company's issued share capital, shall require a prior or simultaneous approval from each Class Meeting of shares whose rights are prejudiced. However, if such a resolution relates to high voting shares, such resolution shall always require the prior or simultaneous approval of the Class Meeting concerned.</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13.3</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resolution of the General Meeting to reduce the Company's issued share capital shall require a majority of at least two thirds of the votes cast if less than half of the issued share capital is represented at the General Meeting. The previous sentence applies mutatis mutandis to a resolution as referred to in Article 13.3.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ISSUE AND TRANSFER REQUIREMENTS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14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14.1</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Sections 2:86c, 10:138, 10:140 and 10:141 DCC, the issue or transfer of a share or the creation of a limited right in respect of a share shall require a deed to that effect executed before a civil law notary practising in the Netherlands and to which the parties involved are parties.</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14.2</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acknowledgement shall be set out in the deed or shall be made in such other manner as prescribed by law.</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14.3</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 without prejudice to the applicable provisions of Chapters 4 and 5 of Title 10 of Book 10 DCC.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SHARES - USUFRUCT AND PLEDGE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15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15.1</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can be encumbered with a usufruct or pledge. The creation of a pledge on high voting shares shall require the prior approval of the Management Board.</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15.2</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voting rights attached to a share which is subject to a usufruct or pledge vest in the shareholder concerned.</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15.3</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deviation of Article 15.2: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10</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holder of a usufruct or pledge on ordinary shares shall have the voting rights attached thereto if this was provided when the usufruct or pledge was created;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holder of a usufruct or pledge on high voting shares shall have the voting rights attached thereto if this was provided when the usufruct or pledge was created and this was approved by the Management Board.</w:t>
            </w:r>
          </w:p>
        </w:tc>
      </w:tr>
    </w:tbl>
    <w:tbl>
      <w:tblPr>
        <w:tblW w:w="7030" w:type="dxa"/>
        <w:jc w:val="left"/>
        <w:tblInd w:w="0" w:type="dxa"/>
        <w:tblLayout w:type="fixed"/>
        <w:tblCellMar>
          <w:top w:w="0" w:type="dxa"/>
          <w:left w:w="0" w:type="dxa"/>
          <w:bottom w:w="0" w:type="dxa"/>
          <w:right w:w="0" w:type="dxa"/>
        </w:tblCellMar>
      </w:tblPr>
      <w:tblGrid>
        <w:gridCol w:w="395"/>
        <w:gridCol w:w="6635"/>
      </w:tblGrid>
      <w:tr>
        <w:trPr/>
        <w:tc>
          <w:tcPr>
            <w:tcW w:w="39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15.4</w:t>
            </w:r>
          </w:p>
        </w:tc>
        <w:tc>
          <w:tcPr>
            <w:tcW w:w="66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Usufructuaries and pledgees without voting rights shall not have Meeting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SHARES - TRANSFER RESTRICTIONS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16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transfer of high voting shares shall require the prior approval of the Management Board. A high voting shareholder wishing to transfer high voting shares must first request the Management Board to grant such approval.  A transfer of ordinary shares is not subject to transfer restrictions under these articles of association.</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16.2</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transfer of high voting shares to which the request for approval relates must take place within three months after the approval of the Management Board has been granted or is deemed to have been granted pursuant to Article 16.3.</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16.3</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approval of the Management Board shall be deemed to have been granted: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no resolution granting or denying the approval has been passed by the Management Board within three months after the Company has received the request for approval;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Management Board, when denying the approval, does not notify the requesting high voting shareholder of the identity of one or more interested parties willing to purchase the relevant high voting shares.</w:t>
            </w:r>
          </w:p>
        </w:tc>
      </w:tr>
    </w:tbl>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16.4</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Management Board denies the approval and notifies the requesting high voting shareholder of the identity of one or more interested parties, the requesting high voting shareholder shall notify the Management Board within two weeks after having received such notice whether:</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 withdraws his request for approval, in which case the requesting high voting shareholder cannot transfer the relevant high voting shares;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 accepts the interested party(ies), in which case the requesting high voting shareholder shall promptly enter into negotiations with the interested party(ies) regarding the price to be paid for the relevant high voting shares.</w:t>
            </w:r>
          </w:p>
        </w:tc>
      </w:tr>
    </w:tbl>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requesting high voting shareholder does not notify the Management Board of his choice in a timely fashion, he shall be deemed to have withdrawn his request for approval, in which case he cannot transfer the relevant high voting shares.</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16.5</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an agreement is reached in the negotiations referred to in Article 16.4 paragraph b. within two weeks after the end of the period referred to in Article 16.4, the relevant high voting shares shall be transferred for the agreed price within three months after such agreement having been reached. If no agreement is reached in these negotiations in a timely fashion: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requesting high voting shareholder shall promptly notify the Management Board thereof;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price to be paid for the relevant high voting shares shall be equal to the value thereof, as determined by one or more independent experts to be appointed by the requesting high voting shareholder and the interested party(ies) by mutual agreement.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11</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16.6</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no agreement is reached on the appointment of the independent expert(s) as referred to in Article 16.5 paragraph b. within two weeks after the end of the period referred to in Article 16.5:</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requesting high voting shareholder shall promptly notify the Management Board thereof;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requesting high voting shareholder shall promptly request the president of the district court in whose district the Company has its corporate seat to appoint three independent experts to determine the value of the relevant high voting shares.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16.7</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and when the value of the relevant high voting shares has been determined by the independent expert(s), irrespective of whether he/they was/were appointed by mutual agreement or by the president of the relevant district court, the requesting high voting shareholder shall promptly notify the Management Board of the value so determined. The Management Board shall then promptly inform the interested party(ies) of such value, following which the/each interested party may withdraw from the sale procedure by giving notice thereof to the Management Board within two weeks.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16.8</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any interested party withdraws from the sale procedure in accordance with Article 16.7, the Management Board: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shall promptly inform the requesting high voting shareholder and the other interested party(ies), if any, thereof;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shall give the opportunity to the/each other interested party, if any, to declare to the Management Board and the requesting high voting shareholder, within two weeks, his willingness to acquire the high voting shares having become available as a result of the withdrawal, for the price determined by the independent expert(s) (with the Management Board being entitled to determine the allocation of such high voting shares among any such willing interested party(ies) at its absolute discretion).</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16.9</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it becomes apparent to the Management Board that all relevant high voting shares can be transferred to one or more interested parties for the price determined by the independent expert(s), the Management Board shall promptly notify the requesting high voting shareholder and such interested party(ies) thereof. Within three months after sending such notice the relevant high voting shares shall be transferred.</w:t>
            </w:r>
          </w:p>
        </w:tc>
      </w:tr>
      <w:tr>
        <w:trPr/>
        <w:tc>
          <w:tcPr>
            <w:tcW w:w="485"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16.10</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it becomes apparent to the Management Board that not all relevant high voting shares can be transferred to one or more interested parties for the price determined by the independent expert(s):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Management Board shall promptly notify the requesting high voting shareholder thereof;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requesting high voting shareholder shall be free to transfer all relevant high voting shares, provided that the transfer takes place within three months after having received the notice referred to in paragraph a.</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12</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16.11</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may only be an interested party under this Article 16 with the consent of the requesting high voting shareholder.</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16.12</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notices given pursuant to this Article 16 shall be provided in writing.</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16.13</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preceding provisions of this Article 16 do not apply:</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the extent that a high voting shareholder is under a statutory obligation to transfer high voting shares to a previous holder thereof;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it concerns a transfer in connection with an enforcement of a pledge pursuant to Section 3:248 DCC in conjunction with Section 3:250 or 3:251 DCC;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it concerns a transfer to the Company, except in the case that the Company acts as an interested party pursuant to Article 16.11.</w:t>
            </w:r>
          </w:p>
        </w:tc>
      </w:tr>
    </w:tbl>
    <w:tbl>
      <w:tblPr>
        <w:tblW w:w="9010" w:type="dxa"/>
        <w:jc w:val="left"/>
        <w:tblInd w:w="0" w:type="dxa"/>
        <w:tblLayout w:type="fixed"/>
        <w:tblCellMar>
          <w:top w:w="0" w:type="dxa"/>
          <w:left w:w="0" w:type="dxa"/>
          <w:bottom w:w="0" w:type="dxa"/>
          <w:right w:w="0" w:type="dxa"/>
        </w:tblCellMar>
      </w:tblPr>
      <w:tblGrid>
        <w:gridCol w:w="500"/>
        <w:gridCol w:w="8510"/>
      </w:tblGrid>
      <w:tr>
        <w:trPr/>
        <w:tc>
          <w:tcPr>
            <w:tcW w:w="50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16.14</w:t>
            </w:r>
          </w:p>
        </w:tc>
        <w:tc>
          <w:tcPr>
            <w:tcW w:w="8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Article 16 applies mutatis mutandis in case of a transfer of rights to subscribe for high voting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 - COMPOSITION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17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17.1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a Management Board consisting of one or more Managing Directors. The Management Board shall be composed of individuals.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17.2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Supervisory Board shall determine the number of Managing Directors.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17.3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Supervisory Board shall elect one or more Managing Directors to be CEO. The Supervisory Board may dismiss each CEO, provided that the Managing Director so dismissed shall subsequently continue his term of office as a Managing Director without having the title of CEO.</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17.4</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Managing Director is absent or incapacitated, he may be replaced temporarily by a person whom the Management Board has designated for that purpose and, until then, the other Managing Director(s) shall be charged with the management of the Company. If all Managing Directors are absent or incapacitated, the management of the Company shall be attributed to the Supervisory Board. The person(s) charged with the management of the Company in this manner, may designate one or more persons to be charged with the management of the Company instead of, or together with, such person(s).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17.5</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Managing Director shall be considered to be unable to act within the meaning of Article 17.4:</w:t>
            </w:r>
          </w:p>
        </w:tc>
      </w:tr>
    </w:tbl>
    <w:tbl>
      <w:tblPr>
        <w:tblW w:w="7165" w:type="dxa"/>
        <w:jc w:val="left"/>
        <w:tblInd w:w="0" w:type="dxa"/>
        <w:tblLayout w:type="fixed"/>
        <w:tblCellMar>
          <w:top w:w="0" w:type="dxa"/>
          <w:left w:w="0" w:type="dxa"/>
          <w:bottom w:w="0" w:type="dxa"/>
          <w:right w:w="0" w:type="dxa"/>
        </w:tblCellMar>
      </w:tblPr>
      <w:tblGrid>
        <w:gridCol w:w="60"/>
        <w:gridCol w:w="170"/>
        <w:gridCol w:w="6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6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existence of a vacancy on the Management Board, including as a result of:</w:t>
            </w:r>
          </w:p>
        </w:tc>
      </w:tr>
    </w:tbl>
    <w:tbl>
      <w:tblPr>
        <w:tblW w:w="10205" w:type="dxa"/>
        <w:jc w:val="left"/>
        <w:tblInd w:w="0" w:type="dxa"/>
        <w:tblLayout w:type="fixed"/>
        <w:tblCellMar>
          <w:top w:w="0" w:type="dxa"/>
          <w:left w:w="0" w:type="dxa"/>
          <w:bottom w:w="0" w:type="dxa"/>
          <w:right w:w="0" w:type="dxa"/>
        </w:tblCellMar>
      </w:tblPr>
      <w:tblGrid>
        <w:gridCol w:w="60"/>
        <w:gridCol w:w="293"/>
        <w:gridCol w:w="9852"/>
      </w:tblGrid>
      <w:tr>
        <w:trPr/>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85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w:t>
            </w:r>
          </w:p>
        </w:tc>
        <w:tc>
          <w:tcPr>
            <w:tcW w:w="98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 death;</w:t>
            </w:r>
          </w:p>
        </w:tc>
      </w:tr>
      <w:tr>
        <w:trPr/>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85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ii.</w:t>
            </w:r>
          </w:p>
        </w:tc>
        <w:tc>
          <w:tcPr>
            <w:tcW w:w="98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 dismissal by the General Meeting, other than at the proposal of the Supervisory Board; or</w:t>
            </w:r>
          </w:p>
        </w:tc>
      </w:tr>
      <w:tr>
        <w:trPr/>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85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iii.</w:t>
            </w:r>
          </w:p>
        </w:tc>
        <w:tc>
          <w:tcPr>
            <w:tcW w:w="98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 voluntary resignation before his term of office has expired;</w:t>
            </w:r>
          </w:p>
        </w:tc>
      </w:tr>
      <w:tr>
        <w:trPr/>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85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iv.</w:t>
            </w:r>
          </w:p>
        </w:tc>
        <w:tc>
          <w:tcPr>
            <w:tcW w:w="98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being reappointed by the General Meeting, notwithstanding a (binding) nomination to that effect by the Supervisory Board,</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provided that the Supervisory Board may always decide to decrease the number of Managing Directors such that a vacancy no longer exists;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his suspension;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 period during which the Company has not been able to contact him (including as a result of illness), provided that such period lasted longer than five consecutive days (or such other period as determined by the Supervisory Board on the basis of the facts and circumstances at hand); or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13</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and during the deliberations and decision-making of the Management Board on matters in relation to which he has declared to have, or in relation to which the Supervisory Board has established that he has, a conflict of interests as described in Article 20.6.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 - APPOINTMENT, SUSPENSION AND DISMISSAL</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18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shall appoint the Managing Directors and may at any time suspend or dismiss any Managing Director. In addition, the Supervisory Board may at any time suspend a Managing Director. A suspension by the Supervisory Board can at any time be lifted by the General Meeting.</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can only appoint Managing Directors upon a nomination by the Supervisory Board. The General Meeting may at any time resolve to render such nomination to be non-binding by a majority of at least two thirds of the votes cast representing more than half of the issued share capital. If a nomination is rendered non-binding, a new nomination shall be made by the Supervisory Board. If the nomination comprises one candidate for a vacancy, a resolution concerning the nomination shall result in the appointment of the candidate, unless the nomination is rendered non-binding. A second meeting as referred to in Section 2:120(3) DCC cannot be convened.</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a General Meeting, a resolution to appoint a Managing Director can only be passed in respect of candidates whose names are stated for that purpose in the agenda of that General Meeting or the explanatory notes thereto.</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18.4</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resolution of the General Meeting to suspend or dismiss a Managing Director shall require a majority of at least two thirds of the votes cast representing more than half of the issued share capital, unless the resolution is passed at the proposal of the Supervisory Board. A second meeting as referred to in Section 2:120(3) DCC cannot be convened.</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18.5</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Managing Director is suspended and the General Meeting does not resolve to dismiss him within three months from the date of such suspension, the suspension shall lapse.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 - DUTIES AND ORGANISATION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19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19.1</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is charged with the management of the Company, subject to the restrictions contained in these articles of association. This includes in any event setting the Company's policy and strategy. In performing their duties, Managing Directors shall be guided by the interests of the Company and of the business connected with it, with due observance of Article 4.</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19.2</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draw up Management Board Rules concerning its organisation, decision-making and other internal matters, with due observance of these articles of association. In performing their duties, the Managing Directors shall act in compliance with the Management Board Rules.</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19.3</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may perform the legal acts referred to in Section 2:94(1) DCC without the prior approval of the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14</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 - DECISION-MAKING</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20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Without prejudice to Article 20.5, each Managing Director may cast one vote in the decision-making of the Management Board.</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Managing Director can be represented by another Managing Director holding a written proxy for the purpose of the deliberations and the decision-making of the Management Board.</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Resolutions of the Management Board shall be passed, irrespective of whether this occurs at a meeting or otherwise, by Simple Majority unless the Management Board Rules provide differently.</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20.4</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Invalid votes, blank votes and abstentions shall not be counted as votes cast. Managing Directors who casted an invalid or blank vote or who abstained from voting shall be taken into account when determining the number of Managing Directors who are present or represented at a meeting of the Management Board.</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20.5</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Where there is a tie in any vote of the Management Board, the CEOs, collectively, shall have a casting vote, provided that there are at least three Managing Directors in office. Otherwise, or if the CEOs in case of a tied vote do not reach a joint decision on how to exercise their casting vote, the relevant resolution shall not have been passed.</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20.6</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Managing Director shall not participate in the deliberations and decision-making of the Management Board on a matter in relation to which he has a direct or indirect personal interest which conflicts with the interests of the Company and of the business connected with it. If, as a result thereof, no resolution can be passed by the Management Board, the resolution shall be passed by the Supervisory Board.</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20.7</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Meetings of the Management Board can be held through audio-communication facilities, unless a Managing Director objects thereto.</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20.8</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Resolutions of the Management Board may, instead of at a meeting, be passed in writing, provided that all Managing Directors are familiar with the resolution to be passed and none of them objects to this decision-making process. Articles 20.1 through 20.6 apply mutatis mutandis.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20.9</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approval of the Supervisory Board is required for resolutions of the Management Board concerning the following matters:</w:t>
            </w:r>
          </w:p>
        </w:tc>
      </w:tr>
    </w:tbl>
    <w:tbl>
      <w:tblPr>
        <w:tblW w:w="5200" w:type="dxa"/>
        <w:jc w:val="left"/>
        <w:tblInd w:w="0" w:type="dxa"/>
        <w:tblLayout w:type="fixed"/>
        <w:tblCellMar>
          <w:top w:w="0" w:type="dxa"/>
          <w:left w:w="0" w:type="dxa"/>
          <w:bottom w:w="0" w:type="dxa"/>
          <w:right w:w="0" w:type="dxa"/>
        </w:tblCellMar>
      </w:tblPr>
      <w:tblGrid>
        <w:gridCol w:w="60"/>
        <w:gridCol w:w="170"/>
        <w:gridCol w:w="4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4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making of a proposal to the General Meeting concerning:</w:t>
            </w:r>
          </w:p>
        </w:tc>
      </w:tr>
    </w:tbl>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issue of shares or the granting of rights to subscribe for shares;</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limitation or exclusion of pre-emption rights;</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iii.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designation or granting of an authorisation as referred to in Articles 8.1, 9.5 and 12.2, respectively, or the disapplication or revocation of any such designation or authorisation;</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iv.</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reduction of the Company's issued share capital;</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making of a distribution from the Company's profits or reserves;</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w:t>
            </w:r>
          </w:p>
        </w:tc>
        <w:tc>
          <w:tcPr>
            <w:tcW w:w="9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determination that all or part of a distribution, instead of being made in cash, shall be made in the form of shares in the Company's capital or in the form of assets;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15</w:t>
      </w:r>
    </w:p>
    <w:p>
      <w:pPr>
        <w:pStyle w:val="TextBody"/>
        <w:bidi w:val="0"/>
        <w:spacing w:before="0" w:after="0"/>
        <w:ind w:left="0" w:right="0" w:hanging="0"/>
        <w:jc w:val="left"/>
        <w:rPr/>
      </w:pPr>
      <w:r>
        <w:rPr/>
        <w:t> </w:t>
      </w:r>
    </w:p>
    <w:tbl>
      <w:tblPr>
        <w:tblW w:w="7390" w:type="dxa"/>
        <w:jc w:val="left"/>
        <w:tblInd w:w="0" w:type="dxa"/>
        <w:tblLayout w:type="fixed"/>
        <w:tblCellMar>
          <w:top w:w="0" w:type="dxa"/>
          <w:left w:w="0" w:type="dxa"/>
          <w:bottom w:w="0" w:type="dxa"/>
          <w:right w:w="0" w:type="dxa"/>
        </w:tblCellMar>
      </w:tblPr>
      <w:tblGrid>
        <w:gridCol w:w="60"/>
        <w:gridCol w:w="350"/>
        <w:gridCol w:w="6980"/>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vii.</w:t>
            </w:r>
          </w:p>
        </w:tc>
        <w:tc>
          <w:tcPr>
            <w:tcW w:w="6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amendment of these articles of association;</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viii.</w:t>
            </w:r>
          </w:p>
        </w:tc>
        <w:tc>
          <w:tcPr>
            <w:tcW w:w="6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entering into of a merger or demerger;</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ix.</w:t>
            </w:r>
          </w:p>
        </w:tc>
        <w:tc>
          <w:tcPr>
            <w:tcW w:w="6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instruction of the Management Board to apply for the Company's bankruptcy; and</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x.</w:t>
            </w:r>
          </w:p>
        </w:tc>
        <w:tc>
          <w:tcPr>
            <w:tcW w:w="6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dissolution;</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issue of shares or the granting of rights to subscribe for shares, except in the operation of the Company's equity incentive plans;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limitation or exclusion of pre-emption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acquisition of shares by the Company in its own capital, including the determination of the value of a non-cash consideration for such an acquisition as referred to in Article 12.4;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granting of an approval for the creation of a pledge as referred to in Article 15.1;</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granting of an approval for a transfer as referred to in Article 16.1;</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drawing up or amendment of the Management Board Rules;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performance of the legal acts described in Article 19.3 and 20.10;</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charging of amounts to be paid up on shares against the Company's reserves as described in Article 38.3;</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making of an interim distribution;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k.</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such other resolutions of the Management Board as the Supervisory Board shall have specified in a resolution to that effect and notified to the Management Board.</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20.10</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approval of the General Meeting is required for resolutions of the Management Board concerning a material change to the identity or the character of the Company or the business, including in any event: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transferring the business or materially all of the business to a third party;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entering into or terminating a long-lasting alliance of the Company or of a Subsidiary either with another entity or company, or as a fully liable partner of a limited partnership or general partnership, if this alliance or termination is of significant importance for the Company;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acquiring or disposing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20.11</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absence of the approval of the Supervisory Board or the General Meeting of a resolution as referred to in Articles 20.9 or 20.10, respectively, shall result in the relevant resolution being null and void pursuant to Section 2:14(1) DCC but shall not affect the powers of representation of the Management Board or of the Managing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 - COMPENSATION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21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21.1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shall determine the Company's policy concerning the compensation of the Management Board with due observance of the relevant statutory requirements.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16</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21.2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compensation of Managing Directors shall be determined by the Supervisory Board with due observance of the policy referred to in Article 21.1.</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21.3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Supervisory Board shall submit proposals concerning compensation arrangements for the Management Board in the form of shares or rights to subscribe for shares to the General Meeting for approval. This proposal must at least include the number of shares or rights to subscribe for shares that may be awarded to the Management Board and which criteria apply for such awards or changes thereto. The absence of the approval of the General Meeting shall not affect the powers of representation.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BOARD - REPRESENTATION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22.1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Management Board is entitled to represent the Company.</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22.2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power to represent the Company also vests in any two Managing Directors acting jointly.</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22.3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may also be represented by the holder of a power of attorney to that effect. If the Company grants a power of attorney to an individual, the Management Board may grant an appropriate title to such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COMPOSITION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23.1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a Supervisory Board consisting of one or more Supervisory Directors. The Supervisory Board shall be composed of individuals.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23.2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Supervisory Board shall determine the number of Supervisory Directors, which shall be no less than the number of Supervisory Directors as are necessary in order to allow the Majority Shareholders to exercise their respective nomination rights under Article 24.2.</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23.3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Supervisory Board shall elect a Supervisory Director to be the Chairperson. The Supervisory Board may dismiss the Chairperson, provided that the Supervisory Director so dismissed shall subsequently continue his term of office as a Supervisory Director without having the title of Chairperson.</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23.4</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Where a Supervisory Director is no longer in office or is unable to act, he may be replaced temporarily by a person whom the Supervisory Board has designated for that purpose and, until then, the other Supervisory Director(s) shall be charged with the supervision of the Company. Where all Supervisory Directors are no longer in office or are unable to act, the supervision of the Company shall be attributed to the former Supervisory Director who most recently ceased to hold office as the Chairperson, provided that he is willing and able to accept that position, who may designate one or more other persons to be charged with the supervision of the Company (instead of, or together with, such former Supervisory Director). The person(s) charged with the supervision of the Company pursuant to the previous sentence shall cease to hold that position when the General Meeting has appointed one or more persons as Supervisory Director(s). Article 17.5 applies mutatis mutandis.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APPOINTMENT, SUSPENSION AND DISMISSAL</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17</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24.1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shall appoint the Supervisory Directors and may at any time suspend or dismiss any Supervisory Director.</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24.2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can only appoint a Supervisory Director upon a nomination by the Majority Shareholders or the Supervisory Board as follows: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Majority Shareholder shall have the right to make a binding nomination for one (1) Supervisory Director for as long as such Majority Shareholder holds at least five percent (5%) of the voting rights that are attached to all shares in the Company's issued share capital;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Supervisory Board shall make a binding nomination for all other Supervisory Directors.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The General Meeting may at any time resolve to render any such nomination to be non-binding by a majority of at least two thirds of the votes cast representing more than half of the issued share capital. If a nomination is rendered non-binding, a new nomination shall be made by the relevant Majority Shareholder or the Supervisory Board, as applicable. A second meeting as referred to in Section 2:120(3) DCC cannot be convened.</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24.3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the making of a nomination for the appointment of a Supervisory Director, the following information shall be provided with respect to the candidate: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 age and profession;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aggregate nominal value of the shares held by him in the Company's capital;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 present and past positions, to the extent that these are relevant for the performance of the tasks of a Supervisory Director;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names of any entities of which he is already a supervisory director or a non-executive director; if these include entities that form part of the same group, a specification of the group's name shall suffice.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The nomination must be supported by reasons. In the case of a reappointment, the manner in which the candidate has fulfilled his duties as a Supervisory Director shall be taken into account.</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24.4</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a General Meeting, a resolution to appoint a Supervisory Director can only be passed in respect of candidates whose names are stated for that purpose in the agenda of that General Meeting or the explanatory notes thereto.</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24.5</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resolution of the General Meeting to suspend or dismiss a Supervisory Director shall require a majority of at least two thirds of the votes cast representing more than half of the issued share capital, unless the resolution is passed at the proposal of the Supervisory Board. A second meeting as referred to in Section 2:120(3) DCC cannot be convened.</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24.6</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Supervisory Director is suspended and the General Meeting does not resolve to dismiss him within three months from the date of such suspension, the suspension shall lapse.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DUTIES AND ORGANISATION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25.1</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Supervisory Board is charged with the supervision of the policy of the Management Board and the general course of affairs of the Company and of the business connected with it. The Supervisory Board shall provide the Management Board with advice. In performing their duties, Supervisory Directors shall be guided by the interests of the Company and of the business connected with it, with due observance of Article 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18</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25.2</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provide the Supervisory Board with the information necessary for the performance of its tasks in a timely fashion. At least once a year, the Management Board shall inform the Supervisory Board in writing of the main features of the strategic policy, the general and financial risks and the administration and control system of the Company.</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25.3</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Supervisory Board shall draw up Supervisory Board Rules concerning its organisation, decision-making and other internal matters, with due observance of these articles of association. In performing their duties, the Supervisory Directors shall act in compliance with the Supervisory Board Rules.</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25.4</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Supervisory Board shall establish the committees which the Company is required to have and otherwise such committees as are deemed to be appropriate by the Supervisory Board. The Supervisory Board shall draw up (and/or include in the Supervisory Board Rules) rules concerning the organisation, decision-making and other internal matters of its committees.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DECISION-MAKING</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26.1</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Without prejudice to Article 26.5, each Supervisory Director may cast one vote in the decision-making of the Supervisory Board.</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26.2</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Supervisory Director can be represented by another Supervisory Director holding a written proxy for the purpose of the deliberations and the decision-making of the Supervisory Board.</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26.3</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Resolutions of the Supervisory Board shall be passed, irrespective of whether this occurs at a meeting or otherwise, by Simple Majority unless the Supervisory Board Rules provide differently.</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26.4</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Invalid votes, blank votes and abstentions shall not be counted as votes cast. Supervisory Directors who casted an invalid or blank vote or who abstained from voting shall be taken into account when determining the number of Supervisory Directors who are present or represented at a meeting of the Supervisory Board.</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26.5</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there is a tie in any vote of the Supervisory Board, the Chairperson shall have a casting vote, provided that there are at least three Supervisory Directors in office. Otherwise, the relevant resolution shall not have been passed.</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26.6</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Supervisory Director shall not participate in the deliberations and decision-making of the Supervisory Board on a matter in relation to which he has a direct or indirect personal interest which conflicts with the interests of the Company and of the business connected with it. If, as a result thereof, no resolution can be passed by the Supervisory Board, the resolution may nevertheless be passed by the Supervisory Board as if none of the Supervisory Directors has a conflict of interests as described in the previous sentence.</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26.7</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Meetings of the Supervisory Board can be held through audio-communication facilities, unless a Supervisory Director objects thereto.</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26.8</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Resolutions of the Supervisory Board may, instead of at a meeting, be passed in writing, provided that all Supervisory Directors are familiar with the resolution to be passed and none of them objects to this decision-making process. Articles 26.1 through 26.6 apply mutatis mutandis.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19</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SUPERVISORY BOARD - COMPENSATION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may grant a compensation to the Supervisory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INDEMNITY</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28</w:t>
      </w:r>
    </w:p>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380"/>
        <w:gridCol w:w="7280"/>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28.1</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shall indemnify and hold harmless each of its Indemnified Officers against:</w:t>
            </w:r>
          </w:p>
        </w:tc>
      </w:tr>
      <w:tr>
        <w:trPr/>
        <w:tc>
          <w:tcPr>
            <w:tcW w:w="38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financial losses or damages incurred by such Indemnified Officer;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expense reasonably paid or incurred by such Indemnified Officer in connection with any threatened, pending or completed suit, claim, action or legal proceedings of a civil, criminal, administrative or other nature, formal or informal, in which he becomes involved,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to the extent this relates to his current or former position with the Company and/or a Group Company and in each case to the extent permitted by applicable law.</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bl>
    <w:tbl>
      <w:tblPr>
        <w:tblW w:w="5320" w:type="dxa"/>
        <w:jc w:val="left"/>
        <w:tblInd w:w="0" w:type="dxa"/>
        <w:tblLayout w:type="fixed"/>
        <w:tblCellMar>
          <w:top w:w="0" w:type="dxa"/>
          <w:left w:w="0" w:type="dxa"/>
          <w:bottom w:w="0" w:type="dxa"/>
          <w:right w:w="0" w:type="dxa"/>
        </w:tblCellMar>
      </w:tblPr>
      <w:tblGrid>
        <w:gridCol w:w="380"/>
        <w:gridCol w:w="4940"/>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28.2</w:t>
            </w:r>
          </w:p>
        </w:tc>
        <w:tc>
          <w:tcPr>
            <w:tcW w:w="4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indemnification shall be given to an Indemnified Officer: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competent court or arbitral tribunal has established, without having (or no longer having) the possibility for appeal, that the acts or omissions of such Indemnified Officer that led to the financial losses, damages, expenses, suit, claim, action or legal proceedings as described in Article 28.1 are of an unlawful nature (including acts or omissions which are considered to constitute malice, gross negligence, intentional recklessness and/or serious culpability attributable to such Indemnified Officer);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that his financial losses, damages and expenses are covered under insurance and the relevant insurer has settled, or has provided reimbursement for, these financial losses, damages and expenses (or has irrevocably undertaken to do so);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relation to proceedings brought by such Indemnified Officer against the Company, except for proceedings brought to enforce indemnification to which he is entitled pursuant to these articles of association, pursuant to an agreement between such Indemnified Officer and the Company which has been approved by the Management Board or pursuant to insurance taken out by the Company for the benefit of such Indemnified Officer;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any financial losses, damages or expenses incurred in connection with a settlement of any proceedings effected without the Company's prior consent.</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28.3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Management Board may stipulate additional terms, conditions and restrictions in relation to the indemnification referred to in Article 28.1.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MEETING - CONVENING AND HOLDING MEETINGS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29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29.1</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Annually, at least one General Meeting shall be held. This annual General Meeting shall be held within six months after the end of the Company's financial year.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20</w:t>
      </w:r>
    </w:p>
    <w:p>
      <w:pPr>
        <w:pStyle w:val="TextBody"/>
        <w:bidi w:val="0"/>
        <w:spacing w:before="0" w:after="0"/>
        <w:ind w:left="0" w:right="0" w:hanging="0"/>
        <w:jc w:val="left"/>
        <w:rPr/>
      </w:pPr>
      <w:r>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29.2</w:t>
            </w:r>
          </w:p>
        </w:tc>
        <w:tc>
          <w:tcPr>
            <w:tcW w:w="3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General Meeting shall also be held: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within three months after the Management Board has considered it to be likely that the Company's equity has decreased to an amount equal to or lower than half of its paid up and called up capital, in order to discuss the measures to be taken if so required;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whenever the Management Board or the Supervisory Board so decides.</w:t>
            </w:r>
          </w:p>
        </w:tc>
      </w:tr>
    </w:tbl>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29.3</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Meetings must be held in the place where the Company has its corporate seat or in Arnhem, Assen, The Hague, Haarlem, 's-Hertogenbosch, Groningen, Leeuwarden, Lelystad, Maastricht, Middelburg, Rotterdam, Schiphol (Haarlemmermeer), Utrecht or Zwolle.</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29.4</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Management Board and the Supervisory Board have failed to ensure that a General Meeting as referred to in Articles 29.1 or 29.2 paragraph a. is held, each Person with Meeting Rights may be authorised by the court in preliminary relief proceedings to do so.</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29.5</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 or more Persons with Meeting Rights who collectively represent at least the part of the Company's issued share capital prescribed by law for this purpose may request the Management Board and the Supervisory Board in writing to convene a General Meeting, setting out in detail the matters to be discussed. If neither the Management Board nor the Supervisory Board (each in that case being equally authorised for this purpose) has taken the steps necessary to ensure that the General Meeting could be held within the relevant statutory period after the request, the requesting Person(s) with Meeting Rights may be authorised, at his/their request, by the court in preliminary relief proceedings to convene a General Meeting.</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29.6</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matter of which the discussion has been requested in writing by one or more Persons with Meeting Rights who, individually or collectively, represent at least the part of the Company's issued share capital prescribed by law for this purpose shall be included in the convening notice or announced in the same manner, if the Company has received the substantiated request or a proposal for a resolution no later than on the sixtieth day prior to that of the General Meeting.</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29.7</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Persons with Meeting Rights who wish to exercise their rights as described in Articles 29.5 and 29.6 must first consult the Management Board. In that respect, the Management Board shall have, and Persons with Meeting Rights must observe, the right to invoke any cooling-off period and response period provided under applicable law and/or the Dutch Corporate Governance Code.</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29.8</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General Meeting must be convened with due observance of the relevant statutory minimum convening period.</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29.9</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Persons with Meeting Rights must be convened for the General Meeting in accordance with applicable law. The holders of registered shares may be convened for the General Meeting by means of convening letters sent to the addresses of those shareholders in accordance with Article 6.6. The previous sentence does not prejudice the possibility of sending a convening notice by electronic means in accordance with Section 2:113(4) DCC.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MEETING - PROCEDURAL RULES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21</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30.1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shall be chaired by one of the following individuals, taking into account the following order of priority: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the Chairperson, if there is a Chairperson who is present at the General Meeting;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another Supervisory Director who is chosen by the Supervisory Directors present at the General Meeting from their midst;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one of the CEOs who is chosen by the CEOs present at the General Meeting from their midst;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another Managing Director who is chosen by the Managing Directors present at the General Meeting from their midst;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another person appointed by the General Meeting.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The person who should chair the General Meeting pursuant to paragraphs a. through e. may appoint another person to chair the General Meeting instead of him.</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30.2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chairperson of the General Meeting shall appoint another person present at the General Meeting to act as secretary and to minute the proceedings at the General Meeting. The minutes of a General Meeting shall be adopted by the chairperson of that General Meeting or by the Management Board. Where an official report of the proceedings is drawn up by a civil law notary, no minutes need to be prepared. Every Managing Director and Supervisory Director may instruct a civil law notary to draw up such an official report at the Company's expense.</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30.3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chairperson of the General Meeting shall decide on the admittance to the General Meeting of persons other than:</w:t>
            </w:r>
          </w:p>
        </w:tc>
      </w:tr>
    </w:tbl>
    <w:tbl>
      <w:tblPr>
        <w:tblW w:w="7480" w:type="dxa"/>
        <w:jc w:val="left"/>
        <w:tblInd w:w="0" w:type="dxa"/>
        <w:tblLayout w:type="fixed"/>
        <w:tblCellMar>
          <w:top w:w="0" w:type="dxa"/>
          <w:left w:w="0" w:type="dxa"/>
          <w:bottom w:w="0" w:type="dxa"/>
          <w:right w:w="0" w:type="dxa"/>
        </w:tblCellMar>
      </w:tblPr>
      <w:tblGrid>
        <w:gridCol w:w="60"/>
        <w:gridCol w:w="170"/>
        <w:gridCol w:w="7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7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persons who have Meeting Rights at that General Meeting, or their proxyholders;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7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those who have a statutory right to attend that General Meeting on other grounds.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30.4</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holder of a written proxy from a Person with Meeting Rights who is entitled to attend a General Meeting shall only be admitted to that General Meeting if the proxy is determined to be acceptable by the chairperson of that General Meeting.</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30.5</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may direct that any person, before being admitted to a General Meeting, identify himself by means of a valid passport or driver's license and/or should be submitted to such security arrangements as the Company may consider to be appropriate under the given circumstances. Persons who do not comply with these requirements may be refused entry to the General Meeting.</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30.6</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chairperson of the General Meeting has the right to eject any person from the General Meeting if the chairperson considers such person to disrupt the orderly proceedings at the General Meeting.</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30.7</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may be conducted in a language other than the Dutch language, if so determined by the chairperson of the General Meeting.</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30.8</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chairperson of the General Meeting may limit the amount of time that persons present at the General Meeting are allowed to take in addressing the General Meeting and the number of questions they are allowed to raise, with a view to safeguarding the orderly proceedings at the General Meeting. The chairperson of the General Meeting may also adjourn the meeting if he considers that this shall safeguard the orderly proceedings at the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22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MEETING - EXERCISE OF MEETING AND VOTING RIGHTS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31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31.1</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Person with Meeting Rights has the right to attend, address and, if applicable, vote at General Meetings, whether in person or represented by the holder of a written proxy. Holders of fractional shares together constituting the nominal value of a share of the relevant class shall exercise these rights collectively, whether through one of them or through the holder of a written proxy.</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31.2</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may decide that each Person with Meeting Rights is entitled, whether in person or represented by the holder of a written proxy, to participate in, address and, if applicable, vote at the General Meeting by electronic means of communication. For the purpose of applying the preceding sentence it must be possible, by electronic means of communication, for the Person with Meeting Rights to be identified, to observe in real time the proceedings at the General Meeting and, if applicable, to vote. The Management Board may impose conditions on the use of the electronic means of communication, provided that these conditions are reasonable and necessary for the identification of the Person with Meeting Rights and the reliability and security of the communication. Such conditions must be announced in the convening notice.</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31.3</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can also decide that votes cast through electronic means of communication or by means of a letter prior to the General Meeting are considered to be votes that are cast during the General Meeting. These votes shall not be cast prior to the Record Date.</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31.4</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purpose of Articles 31.1 through 31.3, those who have voting rights and/or Meeting Rights on the Record Date and are recorded as such in a register designated by the Management Board shall be considered to have those rights, irrespective of whoever is entitled to the shares or depository receipts at the time of the General Meeting. Unless Dutch law requires otherwise, the Management Board is authorised to determine at its discretion, when convening a General Meeting, (i) whether the previous sentence applies and (ii) that the Record Date is applied with respect to shares of a specific class only.</w:t>
            </w:r>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31.5</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Person with Meeting Rights must notify the Company in writing of his identity and his intention to attend the General Meeting. This notice must be received by the Company ultimately on the seventh day prior to the General Meeting, unless indicated otherwise when such General Meeting is convened. Persons with Meeting Rights that have not complied with this requirement may be refused entry to the General Meeting. When a General Meeting is convened the Management Board may stipulate not to apply the previous provisions of this Article 31.5 in respect of the exercise of Meeting Rights and/or voting rights attached to high voting shares at such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MEETING - DECISION-MAKING</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23</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32.1</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ordinary share, except for a high voting share, shall give the right to cast one vote at the General Meeting. Each high voting share shall give the right to cast twenty-five votes at the General Meeting. Fractional shares of a certain class, if any, collectively constituting the nominal value of a share of that class shall be considered to be equivalent to such share.</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32.2</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vote can be cast at a General Meeting in respect of a share belonging to the Company or a Subsidiary or in respect of a share for which any of them holds the depository receipts. Usufructuaries and pledgees of shares belonging to the Company or its Subsidiaries are not, however, precluded from exercising their voting rights if the usufruct or pledge was created before the relevant share belonged to the Company or a Subsidiary. Neither the Company nor a Subsidiary can vote shares in respect of which it holds a usufruct or a pledge.</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32.3</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Unless a greater majority is required by law or by these articles of association, all resolutions of the General Meeting shall be passed by Simple Majority. If applicable law requires a greater majority for resolutions of the General Meeting and allows the articles of association to provide for a lower majority, those resolutions shall be passed with the lowest possible majority, except if these articles of association explicitly provide otherwise.</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32.4</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Invalid votes, blank votes and abstentions shall not be counted as votes cast. Shares in respect of which an invalid or blank vote has been cast and shares in respect of which an abstention has been made shall be taken into account when determining the part of the issued share capital that is represented at a General Meeting.</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32.5</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there is a tie in any vote of the General Meeting, the relevant resolution shall not have been passed.</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32.6</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chairperson of the General Meeting shall decide on the method of voting and the voting procedure at the General Meeting.</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32.7</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determination during the General Meeting made by the chairperson of that General Meeting with regard to the results of a vote shall be decisive. If the accuracy of the chairperson's determination is contested immediately after it has been made, a new vote shall take place if the majority of the General Meeting so requires or, where the original vote did not take place by response to a roll call or in writing, if any party with voting rights who is present so requires. The legal consequences of the original vote shall lapse as a result of the new vote.</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32.8</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Board shall keep a record of the resolutions passed. The record shall be available at the Company's office for inspection by Persons with Meeting Rights. Each of them shall, upon request, be provided with a copy of or extract from the record, at no more than the cost price.</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32.9</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may pass resolutions outside a meeting, unless the Company has issued bearer shares or cooperated with the issuance of depository receipts for shares in its capital. Such resolutions can only be passed by a unanimous vote of all shareholders with voting rights. The votes shall be cast in writing and may be cast through electronic means.</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32.10</w:t>
            </w:r>
          </w:p>
        </w:tc>
        <w:tc>
          <w:tcPr>
            <w:tcW w:w="9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Managing Directors and Supervisory Directors shall, in that capacity, have an advisory vote at the General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24</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MEETING - SPECIAL RESOLUTIONS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33</w:t>
      </w:r>
    </w:p>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380"/>
        <w:gridCol w:w="91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33.1</w:t>
            </w:r>
          </w:p>
        </w:tc>
        <w:tc>
          <w:tcPr>
            <w:tcW w:w="9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resolutions can only be passed by the General Meeting at the proposal of the Management Board: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issue of shares or the granting of rights to subscribe for shares;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limitation or exclusion of pre-emption rights;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designation or granting of an authorisation as referred to in Articles 8.1, 9.5 and 12.2, respectively, or the disapplication or revocation of any such designation or authorisation;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reduction of the Company's issued share capital;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making of a distribution on the ordinary shares or on the high voting shares from the Company's profits or reserves;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making of a distribution in the form of shares in the Company's capital or in the form of assets, instead of in cash;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amendment of these articles of association;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entering into of a merger or demerger;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instruction of the Management Board to apply for the Company's bankruptcy;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dissolution.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33.2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matter which has been included in the convening notice or announced in the same manner by or at the request of one or more Persons with Meeting Rights pursuant to Articles 29.5 and/or 29.6 shall not be considered to have been proposed by the Management Board for purposes of Article 33.1, unless the Management Board has expressly indicated that it supports the discussion of such matter in the agenda of the General Meeting concerned or in the explanatory notes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 MEETINGS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34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34.1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Class Meeting shall be held whenever a resolution of that Class Meeting is required by Dutch law or under these articles of association and otherwise whenever the Management Board or the Supervisory Board so decides.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34.2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Without prejudice to Article 34.1, for Class Meetings of ordinary shares, the provisions concerning the convening of, drawing up of the agenda for, holding of and decision-making by the General Meeting apply mutatis mutandis.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34.3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Class Meetings of high voting shares, the following shall apply: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Articles 29.3, 29.9, 30.3, 32.1, 32.2 through 32.10 apply mutatis mutandis;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Class Meeting must be convened no later than on the eighth day prior to that of the meeting;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Class Meeting shall appoint its own chairperson;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where the rules laid down by these articles of association in relation to the convening, location of or drawing up of the agenda for a Class Meeting have not been complied with, legally valid resolutions may still be passed by that Class Meeting by a unanimous vote at a meeting at which all shares of the relevant class are represented.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REPORTING - FINANCIAL YEAR, ANNUAL ACCOUNTS AND MANAGEMENT REPORT</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35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35.1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financial year shall coincide with the calendar year.</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35.2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Annually, within the relevant statutory period, the Management Board shall prepare the annual accounts and the management report and deposit them at the Company's office for inspection by the shareholders.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35.3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annual accounts shall be signed by the Managing Directors and the Supervisory Directors. If any of their signatures is missing, this shall be mentioned, stating the reasons.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35.4</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shall ensure that the annual accounts, the management report and the particulars to be added pursuant to Section 2:392(1) DCC shall be available at its offices as from the convening of the General Meeting at which they are to be discussed. The Persons with Meeting Rights are entitled to inspect such documents at that location and to obtain a copy at no cost.</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35.5</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annual accounts shall be adopted by the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REPORTING - AUDIT</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36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36.1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shall instruct an external auditor as referred to in Section 2:393 DCC to audit the annual accounts. Where the General Meeting fails to do so, the Supervisory Board shall be authorised to do so.</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36.2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instruction may be revoked by the General Meeting and by the body that has granted the instruction. The instruction can only be revoked for well-founded reasons; a difference of opinion regarding the reporting or auditing methods shall not constitute such a reason.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DISTRIBUTIONS - GENERAL</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37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37.1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distribution can only be made to the extent that the Company's equity exceeds the amount of the paid up and called up part of its capital plus the reserves which must be maintained by law.</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37.2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Management Board may resolve to make interim distributions, provided that it appears from interim accounts to be prepared in accordance with Section 2:105(4) DCC that the requirement referred to in Article 37.1 has been met .</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37.3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Distributions shall be made in proportion to the aggregate number of shares held, with the ordinary shares and the high voting shares being considered to be shares of the same class.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37.4</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parties entitled to a distribution shall be the relevant shareholders, usufructuaries and pledgees, as the case may be, at a date to be determined by the Management Board for that purpose. This date shall not be earlier than the date on which the distribution was announced.</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37.5</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may resolve, subject to Article 33, that all or part of a distribution, instead of being made in cash, shall be made in the form of shares in the Company's capital or in the form of the Company's assets.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26</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37.6</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distribution shall be payable on such date and, if it concerns a distribution in cash, in such currency or currencies as determined by the Management Board. If it concerns a distribution in the form of the Company's assets, the Management Board shall determine the value attributed to such distribution for purposes of recording the distribution in the Company's accounts with due observance of applicable law (including the applicable accounting principles).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37.7</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claim for payment of a distribution shall lapse after five years have expired after the distribution became payable.</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37.8</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purpose of calculating the amount or allocation of any distribution, shares held by the Company in its own capital shall not be taken into account. No distribution shall be made to the Company in respect of shares held by it in its own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DISTRIBUTIONS - RESERVES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38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38.1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reserves maintained by the Company shall be attached exclusively to the ordinary shares and the high voting shares, with those classes of shares being considered to be shares of the same class in respect of distributions from the reserves and entitlements to such distributions.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38.2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Article 33, the General Meeting is authorised to resolve to make a distribution from the Company's reserves.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38.3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Management Board may resolve to charge amounts to be paid up on shares against the Company's reserves, irrespective of whether those shares are issued to existing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DISTRIBUTIONS - PROFITS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39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39.1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Article 37.1, the profits shown in the Company's annual accounts in respect of a financial year shall be appropriated as follows, and in the following order of priority:</w:t>
            </w:r>
          </w:p>
        </w:tc>
      </w:tr>
    </w:tbl>
    <w:tbl>
      <w:tblPr>
        <w:tblW w:w="9190" w:type="dxa"/>
        <w:jc w:val="left"/>
        <w:tblInd w:w="0" w:type="dxa"/>
        <w:tblLayout w:type="fixed"/>
        <w:tblCellMar>
          <w:top w:w="0" w:type="dxa"/>
          <w:left w:w="0" w:type="dxa"/>
          <w:bottom w:w="0" w:type="dxa"/>
          <w:right w:w="0" w:type="dxa"/>
        </w:tblCellMar>
      </w:tblPr>
      <w:tblGrid>
        <w:gridCol w:w="60"/>
        <w:gridCol w:w="170"/>
        <w:gridCol w:w="8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8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Management Board shall determine which part of the profits shall be added to the Company's reserves;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Article 33, the remaining profits shall be at the disposal of the General Meeting for distribution on the ordinary shares and the high voting shares.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39.2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Article 37.1, a distribution of profits shall be made after the adoption of the annual accounts that show that such distribution is allowed.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DISSOLUTION AND LIQUIDATION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40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40.1</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of the Company being dissolved, the liquidation shall be effected by the Management Board under the supervision of the Supervisory Board, unless the General Meeting decides otherwise.</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40.2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possible, these articles of association shall remain in effect during the liquidation.</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40.3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that any assets remain after payment of all of the Company's debts, those assets shall be distributed as follows, and in the following order of priority:</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remaining assets shall be distributed to the holders of ordinary shares and the high voting shares (with Article 37.3 applying to such distribution mutatis mutandis).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27</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40.4</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After the Company has ceased to exist, its books, records and other information carriers shall be kept for the period prescribed by law by the person designated for that purpose in the resolution of the General Meeting to dissolve the Company. Where the General Meeting has not designated such a person, the liquidators shall do 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FEDERAL FORUM PROVISION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the Company consents in writing to the selection of an alternative forum, the sole and exclusive forum for any complaint asserting a cause of action arising under the United States Securities Act of 1933, as amended, or the United States Securities Exchange Act of 1934, as amended, to the fullest extent permitted by applicable law, shall be the United States federal district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TRANSITIONAL PROVISIONS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Article 42</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380"/>
        <w:gridCol w:w="9770"/>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42.1</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the Company's issued share capital increasing to an amount of at least twenty-five million euro (EUR 25,000,000):</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authorised share capital described in Article 5.1 shall immediately and automatically increase to an amount of one hundred two million euro (EUR 102,000,000);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composition of the authorised share capital described in Article 5.2 shall immediately and automatically be adjusted, such that the authorised share capital shall be divided into:</w:t>
            </w:r>
          </w:p>
        </w:tc>
      </w:tr>
    </w:tbl>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billion five hundred million (1,500,000,000) ordinary shares, each having a nominal value of six eurocents (EUR 0.06); and</w:t>
            </w:r>
          </w:p>
        </w:tc>
      </w:tr>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eight million (8,000,000) high voting shares, each having a nominal value of one euro and fifty eurocents (EUR 1.50).</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This Article 42.1 shall lapse and shall no longer form part of these articles of association at the moment immediately after the increase of the Company's issued share capital as described in the first sentence of this Article 42.1 shall have become effective.</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42.2</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provisions of Article 24 and Article 25 as well as the other provisions of these articles of association regarding the Supervisory Board, the Supervisory Directors and their respective rights, powers and duties shall only come into effect if and from the time that a resolution of the Management Board to establish a Supervisory Board has been passed (and, until that time, any such provision shall be disregarded); the Management Board shall pass such resolution ultimately with effect from the date of pricing of an initial public offering of the ordinary shares in the Company's capital and the admission to trading of those ordinary shares on a recognised stock exchange. Until that time, all rights, powers and duties vested in the Supervisory Board under these articles of association shall, to the extent allowed under applicable law, be vested in the Management Board. This Article 42.2 shall lapse and shall no longer form part of these articles of association immediately upon a resolution of the Management Board as described in the first sentence of this Article 42.2 becoming effective.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28</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42.3</w:t>
            </w:r>
          </w:p>
        </w:tc>
        <w:tc>
          <w:tcPr>
            <w:tcW w:w="9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entire Article 42 shall lapse and shall no longer form part of these articles of association once Articles 42.1, 42.2 and 41.3 have lapsed in accordance with their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Finally, the person appearing declared, as evidenced by by a written resolution of the Company's management board dated the eighth day of November two thousand and twenty-one (the "</w:t>
      </w:r>
      <w:r>
        <w:rPr>
          <w:rFonts w:ascii="Times New Roman" w:hAnsi="Times New Roman"/>
          <w:b/>
          <w:caps w:val="false"/>
          <w:smallCaps w:val="false"/>
          <w:sz w:val="20"/>
        </w:rPr>
        <w:t>Management Board Resolution</w:t>
      </w:r>
      <w:r>
        <w:rPr>
          <w:rFonts w:ascii="Times New Roman" w:hAnsi="Times New Roman"/>
          <w:caps w:val="false"/>
          <w:smallCaps w:val="false"/>
          <w:sz w:val="20"/>
        </w:rPr>
        <w:t xml:space="preserve">"), to be authorised to execute this Deed. A copy of the Management Board Resolution will be attached to this Deed as an </w:t>
      </w:r>
      <w:r>
        <w:rPr>
          <w:rFonts w:ascii="Times New Roman" w:hAnsi="Times New Roman"/>
          <w:caps w:val="false"/>
          <w:smallCaps w:val="false"/>
          <w:sz w:val="20"/>
          <w:u w:val="single"/>
        </w:rPr>
        <w:t>annex</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person appearing is known to me, civil law notary.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Deed was executed in Amsterdam on the date mentioned in its heading.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After I, civil law notary, had conveyed and explained the contents of the Deed in substance to the person appearing, the person appearing declared to have taken note of the contents of the Deed, to be in agreement with the contents and not to wish them to be read out in full. Following a partial reading, the Deed was signed by the person appearing and by me, civil law notary.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(signatures follow)</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ISSUED FOR TRUE COPY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me, E.H.M. Schreiber, candidate civil law notary, acting as deputy of P.C.S. van der Bijl, civil law notary in Amsterdam, on this day 17 November 2021.</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(Signed: E.H.M. Schreiber)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94" w:name="ex_607672.htm"/>
      <w:bookmarkStart w:id="95" w:name="ksex_607672"/>
      <w:bookmarkEnd w:id="94"/>
      <w:bookmarkEnd w:id="95"/>
      <w:r>
        <w:rPr>
          <w:rFonts w:ascii="Times New Roman" w:hAnsi="Times New Roman"/>
          <w:b/>
          <w:caps w:val="false"/>
          <w:smallCaps w:val="false"/>
          <w:sz w:val="20"/>
        </w:rPr>
        <w:t>Exhibit 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Rights of Each Applicable Class of Securities Registered Under Section 12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N.V.’s (“us, “we,” “our” or the “Company”) ordinary shares are registered under Section 12 of the Securities Exchange Act of 1934, as amended. Our ordinary shares are listed on the Nasdaq Global Market under the symbol “SEV.” We are registered with the Trade Register of the Chamber of Commerce (</w:t>
      </w:r>
      <w:r>
        <w:rPr>
          <w:rFonts w:ascii="Times New Roman" w:hAnsi="Times New Roman"/>
          <w:i/>
          <w:caps w:val="false"/>
          <w:smallCaps w:val="false"/>
          <w:sz w:val="20"/>
        </w:rPr>
        <w:t>Kamer van Koophandel</w:t>
      </w:r>
      <w:r>
        <w:rPr>
          <w:rFonts w:ascii="Times New Roman" w:hAnsi="Times New Roman"/>
          <w:caps w:val="false"/>
          <w:smallCaps w:val="false"/>
          <w:sz w:val="20"/>
        </w:rPr>
        <w:t>). Our business address is Waldmeisterstraße 76, 80935 Munich,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summary of the general terms and provisions of our ordinary shares does not purport to be complete and is subject to and qualified in its entirety by reference to our articles of association (as amended from time to time, our “Articles of Association”) and applicable Dutch law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ordinary shares are issued in registered form. Our authorized share capital is €25,200,000, divided into 320,000,000 ordinary shares, each with a nominal value of €0.06, and 4,000,000 high voting shares, each with a nominal value of €1.50. Upon an increase of our issued share capital to at least €25,000,000, our authorized share capital will automatically increase to €102,000,000, divided into 1,500,000,000 ordinary shares, each with a nominal value of €0.06, and 8,000,000 high voting shares, each with a nominal value of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Dutch law, our authorized share capital is the maximum capital that we may issue without amending our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Dutch law, in the event of an issuance of shares, each shareholder will have a pro rata preemptive right in proportion to the aggregate nominal value of the shares held by such holder (with the exception of shares to be issued to employees or shares issued against a contribution other than in cash or pursuant to the exercise of a previously acquired right to subscribe for shares). Under our Articles of Association, the preemptive rights in respect of newly issued shares may be restricted or excluded by a resolution of the general meeting. Another corporate body, such as the management board, may restrict or exclude the preemptive rights in respect of newly issued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 Our management board has been authorized for a period of five years following the date of the Company's annual general meeting which took place on December 21, 2022, to limit or exclude preemptive rights in relation to an issuance of shares or a grant of rights to subscribe for shares that the management board is authorized to resolve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Transfer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as otherwise provided or allowed by Dutch law, the issue or transfer of a share shall require a deed to that effect and, in the case of a transfer and unless the Company itself is a party to the transaction, acknowledgement of the transfer by the Company. The acknowledgement shall be set out in the deed or shall be made in such other manner as prescribed by law. 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Repurchase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acquisition of ordinary shares for a consideration must be authorized by our general meeting of shareholders.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by a resolution of our management board, with the approval of our supervisory board. No authorization of the general meeting of shareholders is required if fully paid ordinary shares are acquired by us with the intention of transferring such ordinary shares to our employees under an applicable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Requirements for Amendments to our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amendment of our Articles of Association would require a resolution of the general meeting upon proposal by the management board with the approval of our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Limitations on the Right to Own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Articles of Association contain no limitation on the rights to own our shares. Pursuant to our Articles of Association, for as long as any of our ordinary shares are admitted to trading on any regulated stock exchange operating in the United States of America, the laws of the State of New York shall apply to the property law aspects of our ordinary shares reflected in the register administered by the relevant transfer agent. However, certain other aspects relating to our ordinary shares remain subject to Dutch law and Dutch law continues to determine, for example, how new shares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Shareholders</w:t>
      </w:r>
      <w:r>
        <w:rPr>
          <w:rFonts w:ascii="Times New Roman" w:hAnsi="Times New Roman"/>
          <w:caps w:val="false"/>
          <w:smallCaps w:val="false"/>
          <w:sz w:val="20"/>
        </w:rPr>
        <w:t xml:space="preserve">’ </w:t>
      </w:r>
      <w:r>
        <w:rPr>
          <w:rFonts w:ascii="Times New Roman" w:hAnsi="Times New Roman"/>
          <w:b/>
          <w:caps w:val="false"/>
          <w:smallCaps w:val="false"/>
          <w:sz w:val="20"/>
        </w:rPr>
        <w:t>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meetings may be held in Amsterdam, Arnhem, Assen, The Hague, Haarlem, ‘s-Hertogenbosch, Groningen, Leeuwarden, Lelystad, Maastricht, Middelburg, Rotterdam, Schiphol (</w:t>
      </w:r>
      <w:r>
        <w:rPr>
          <w:rFonts w:ascii="Times New Roman" w:hAnsi="Times New Roman"/>
          <w:i/>
          <w:caps w:val="false"/>
          <w:smallCaps w:val="false"/>
          <w:sz w:val="20"/>
        </w:rPr>
        <w:t>Haarlemmermeer</w:t>
      </w:r>
      <w:r>
        <w:rPr>
          <w:rFonts w:ascii="Times New Roman" w:hAnsi="Times New Roman"/>
          <w:caps w:val="false"/>
          <w:smallCaps w:val="false"/>
          <w:sz w:val="20"/>
        </w:rPr>
        <w:t>), Utrecht or Zwolle, all in the Netherlands. The annual general meeting shall be held within six months of the end of each financial year. Additional extraordinary general meetings may also be held, whenever considered appropriate by the management board or the supervisory board and shall be held within three months after our management board has considered it to be likely that our equity has decreased to an amount equal to or lower than half of its paid-in and called-up share capital, in order to discuss the measures to be taken if so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Dutch law, one or more shareholders or others with meeting rights under Dutch law that jointly represent at least one-tenth of the issued share capital may request us to convene a general meeting, setting out in detail the matters to be discussed. If we have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management board and our supervisory board to convene a general meeting and neither our management board nor our supervisory board has taken the necessary steps so that the general meeting could be held within six weeks after the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among other things, the adoption of the annual accounts, appropriation of our profits and proposals relating to the composition of the management board and supervisory board, including the filling of any vacancies in such bodies. In addition, the agenda shall include such items as have been included therein by the management board or the supervisory board. The agenda shall also include such items requested by one or more shareholders, or others with meeting rights under Dutch law, representing at least 3% of the issued share capital. Requests must be made in writing or by electronic means and received by us at least 60 days before the day of the meeting. No resolutions shall be adopted on items other than those that have been included in the agenda.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Dutch Corporate Governance Code (the “DCGC”)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management board member or supervisory board members),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or a statutory cooling-off period (as discussed below)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w:t>
      </w:r>
      <w:r>
        <w:rPr>
          <w:rFonts w:ascii="Times New Roman" w:hAnsi="Times New Roman"/>
          <w:i/>
          <w:caps w:val="false"/>
          <w:smallCaps w:val="false"/>
          <w:sz w:val="20"/>
        </w:rPr>
        <w:t>Ondernemingskamer</w:t>
      </w:r>
      <w:r>
        <w:rPr>
          <w:rFonts w:ascii="Times New Roman" w:hAnsi="Times New Roman"/>
          <w:caps w:val="false"/>
          <w:smallCaps w:val="false"/>
          <w:sz w:val="20"/>
        </w:rPr>
        <w:t>), for early termination of the cooling-off period. The Enterprise Chamber must rule in favor of the request if the shareholders can demonstrate that:</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board, in light of the circumstances at hand when the cooling-off period was invoked, could not reasonably have concluded that the relevant proposal or hostile offer constituted a material conflict with the interests of our company and its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board cannot reasonably believe that a continuation of the cooling-off period would contribute to careful policy-making;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meeting is presided over by the chairperson of the supervisory board. If no chairperson has been elected or if he or she is not present at the meeting, the general meeting shall be presided over by another supervisory board member present at the meeting. If no supervisory board member is present, the meeting shall be presided over by one of our CEOs. If no CEOs have been elected or if he or she is not present at the meeting, the general meeting shall be presided over by another management board member present at the meeting. If no management board member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Management board members and supervisory board members may always attend a general meeting. In these meetings, they have an advisory vote. The chairman of the meeting may decide, at his or her discretion, to admit other persons to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shareholders and others with meeting rights under Dutch law are authorized to attend the general meeting, to address the meeting and, insofar as they have such right, to vote pro rata to the total nominal value of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ordinary share confers the right on the holder to cast one vote at the general meeting and each high voting share confers the right on the holder to cast twenty-five votes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Times New Roman" w:hAnsi="Times New Roman"/>
          <w:i/>
          <w:caps w:val="false"/>
          <w:smallCaps w:val="false"/>
          <w:sz w:val="20"/>
        </w:rPr>
        <w:t>vruchtgebruik</w:t>
      </w:r>
      <w:r>
        <w:rPr>
          <w:rFonts w:ascii="Times New Roman" w:hAnsi="Times New Roman"/>
          <w:caps w:val="false"/>
          <w:smallCaps w:val="false"/>
          <w:sz w:val="20"/>
        </w:rPr>
        <w:t>) and the holders of a right of pledge (</w:t>
      </w:r>
      <w:r>
        <w:rPr>
          <w:rFonts w:ascii="Times New Roman" w:hAnsi="Times New Roman"/>
          <w:i/>
          <w:caps w:val="false"/>
          <w:smallCaps w:val="false"/>
          <w:sz w:val="20"/>
        </w:rPr>
        <w:t>pandrecht</w:t>
      </w:r>
      <w:r>
        <w:rPr>
          <w:rFonts w:ascii="Times New Roman" w:hAnsi="Times New Roman"/>
          <w:caps w:val="false"/>
          <w:smallCaps w:val="false"/>
          <w:sz w:val="20"/>
        </w:rPr>
        <w:t>) in respect of shares held by us or our subsidiaries in our share capital are not excluded from the right to vote on such shares, if the right of usufruct (</w:t>
      </w:r>
      <w:r>
        <w:rPr>
          <w:rFonts w:ascii="Times New Roman" w:hAnsi="Times New Roman"/>
          <w:i/>
          <w:caps w:val="false"/>
          <w:smallCaps w:val="false"/>
          <w:sz w:val="20"/>
        </w:rPr>
        <w:t>vruchtgebruik</w:t>
      </w:r>
      <w:r>
        <w:rPr>
          <w:rFonts w:ascii="Times New Roman" w:hAnsi="Times New Roman"/>
          <w:caps w:val="false"/>
          <w:smallCaps w:val="false"/>
          <w:sz w:val="20"/>
        </w:rPr>
        <w:t>) or the right of pledge (</w:t>
      </w:r>
      <w:r>
        <w:rPr>
          <w:rFonts w:ascii="Times New Roman" w:hAnsi="Times New Roman"/>
          <w:i/>
          <w:caps w:val="false"/>
          <w:smallCaps w:val="false"/>
          <w:sz w:val="20"/>
        </w:rPr>
        <w:t>pandrecht</w:t>
      </w:r>
      <w:r>
        <w:rPr>
          <w:rFonts w:ascii="Times New Roman" w:hAnsi="Times New Roman"/>
          <w:caps w:val="false"/>
          <w:smallCaps w:val="false"/>
          <w:sz w:val="20"/>
        </w:rPr>
        <w:t>) was granted prior to the time such shares were acquired by us or any of our subsidiaries. Neither we nor any of our subsidiaries may cast votes in respect of a share on which we or such subsidiary holds a right of usufruct (</w:t>
      </w:r>
      <w:r>
        <w:rPr>
          <w:rFonts w:ascii="Times New Roman" w:hAnsi="Times New Roman"/>
          <w:i/>
          <w:caps w:val="false"/>
          <w:smallCaps w:val="false"/>
          <w:sz w:val="20"/>
        </w:rPr>
        <w:t>vruchtgebruik</w:t>
      </w:r>
      <w:r>
        <w:rPr>
          <w:rFonts w:ascii="Times New Roman" w:hAnsi="Times New Roman"/>
          <w:caps w:val="false"/>
          <w:smallCaps w:val="false"/>
          <w:sz w:val="20"/>
        </w:rPr>
        <w:t>) or a right of pledge (</w:t>
      </w:r>
      <w:r>
        <w:rPr>
          <w:rFonts w:ascii="Times New Roman" w:hAnsi="Times New Roman"/>
          <w:i/>
          <w:caps w:val="false"/>
          <w:smallCaps w:val="false"/>
          <w:sz w:val="20"/>
        </w:rPr>
        <w:t>pandrecht</w:t>
      </w:r>
      <w:r>
        <w:rPr>
          <w:rFonts w:ascii="Times New Roman" w:hAnsi="Times New Roman"/>
          <w:caps w:val="false"/>
          <w:smallCaps w:val="false"/>
          <w:sz w:val="20"/>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Decisions of the general meeting are taken by a simple majority of votes cast, except where Dutch law or our Articles of Association provide for a qualified majority or unanimity.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only make distributions, whether a distribution of profits or of freely distributable reserves, to our shareholders to the extent our shareholders’ equity (</w:t>
      </w:r>
      <w:r>
        <w:rPr>
          <w:rFonts w:ascii="Times New Roman" w:hAnsi="Times New Roman"/>
          <w:i/>
          <w:caps w:val="false"/>
          <w:smallCaps w:val="false"/>
          <w:sz w:val="20"/>
        </w:rPr>
        <w:t>eigen vermogen</w:t>
      </w:r>
      <w:r>
        <w:rPr>
          <w:rFonts w:ascii="Times New Roman" w:hAnsi="Times New Roman"/>
          <w:caps w:val="false"/>
          <w:smallCaps w:val="false"/>
          <w:sz w:val="20"/>
        </w:rPr>
        <w:t>) exceeds the sum of the paid-in and called-up share capital plus any reserves required by Dutch law or by our Articles of Association. Under our Articles of Association, our management board may decide that all or part of the profits are carried to reserves. After reservation by the management board of any profit, any remaining profit will be at the disposal of the general meeting for distribution, subject to restrictions of Dutch law and approval by our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only make a distribution of dividends to our shareholders after the adoption of our annual accounts demonstrating that such distribution is legally permitted. The management board is permitted, subject to certain requirements, to declare interim dividends without the approval of the general meeting, but only with the approval of the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Times New Roman" w:hAnsi="Times New Roman"/>
          <w:i/>
          <w:caps w:val="false"/>
          <w:smallCaps w:val="false"/>
          <w:sz w:val="20"/>
        </w:rPr>
        <w:t>verjaring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Exchange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Dutch law, there are no exchange controls applicable to the transfer to persons outside of the Netherlands of dividends or other distributions with respect to, or of the proceeds from the sale of, shares of a Dutch company, albeit those transfers being subject to applicable restrictions under trade and economic sanctions and measures, including those concerning export control, pursuant to European Union regulations, the Sanctions Act 1977 (</w:t>
      </w:r>
      <w:r>
        <w:rPr>
          <w:rFonts w:ascii="Times New Roman" w:hAnsi="Times New Roman"/>
          <w:i/>
          <w:caps w:val="false"/>
          <w:smallCaps w:val="false"/>
          <w:sz w:val="20"/>
        </w:rPr>
        <w:t>Sanctiewet 1977</w:t>
      </w:r>
      <w:r>
        <w:rPr>
          <w:rFonts w:ascii="Times New Roman" w:hAnsi="Times New Roman"/>
          <w:caps w:val="false"/>
          <w:smallCaps w:val="false"/>
          <w:sz w:val="20"/>
        </w:rPr>
        <w:t>) or other legislation, applicable anti-boycott regulations, applicable anti-money-laundering regulations and similar rules and provided that, under circumstances, such dividends or other distributions must be reported to the Dutch Central Bank for statistical purposes. There are no special restrictions in the Articles of Association or Dutch law that limit the right of shareholders who are not citizens or residents of the Netherlands to hold or vote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Squeeze-Out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shareholder who holds at least 95% of our issued share capital for his or her own account, alone or together with group companies,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Times New Roman" w:hAnsi="Times New Roman"/>
          <w:i/>
          <w:caps w:val="false"/>
          <w:smallCaps w:val="false"/>
          <w:sz w:val="20"/>
        </w:rPr>
        <w:t>Wetboek van Burgerlijke Rechtsvordering</w:t>
      </w:r>
      <w:r>
        <w:rPr>
          <w:rFonts w:ascii="Times New Roman" w:hAnsi="Times New Roman"/>
          <w:caps w:val="false"/>
          <w:smallCaps w:val="false"/>
          <w:sz w:val="20"/>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Dissolution and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our Articles of Association, we may be dissolved by a resolution of the general meeting, subject to a proposal of the management board approved by our supervisory board. In the event of a dissolution, the liquidation shall be effected by the management board, under supervision of our supervisory board, unless the general meeting decides otherwise. During liquidation, the provisions of our Articles of Association will remain in force as far as possible. To the extent that any assets remain after payment of all debts, those remaining assets shall be distributed to our shareholders in proportion of their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Provisions Impacting any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provisions include:</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dual-class share structure, which consists of ordinary shares and high voting shares, with ordinary shares carrying one vote per share and high voting shares carrying 25 votes per share;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provision that each of our two founders and co-Chief Executive Officers, Laurin Hahn and Jona Christians, as long as the relevant founder holds at least 5% of our voting rights, can make a binding nomination for the appointment of one supervisory board member, which can only be overruled by a two-thirds majority of votes cast representing more than half of our issued share capital;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provision that our management board members and the supervisory board members, not appointed on the basis of a binding nomination by one of our founders as described above, are appointed on the basis of a binding nomination prepared by our supervisory board which can only be overruled by a two-thirds majority of votes cast representing more than half of our issued share capital;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requirement that certain matters, including an amendment of our Articles of Association, may only be brought to our general meeting for a vote upon a proposal by our management board with the approval of our supervisory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DCGC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management board members or supervisory board members),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or a statutory cooling-off period (as discussed below)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w:t>
      </w:r>
      <w:r>
        <w:rPr>
          <w:rFonts w:ascii="Times New Roman" w:hAnsi="Times New Roman"/>
          <w:i/>
          <w:caps w:val="false"/>
          <w:smallCaps w:val="false"/>
          <w:sz w:val="20"/>
        </w:rPr>
        <w:t>Ondernemingskamer</w:t>
      </w:r>
      <w:r>
        <w:rPr>
          <w:rFonts w:ascii="Times New Roman" w:hAnsi="Times New Roman"/>
          <w:caps w:val="false"/>
          <w:smallCaps w:val="false"/>
          <w:sz w:val="20"/>
        </w:rPr>
        <w:t>), for early termination of the cooling-off period. The Enterprise Chamber must rule in favor of the request if the shareholders can demonstrate that:</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board, in light of the circumstances at hand when the cooling-off period was invoked, could not reasonably have concluded that the relevant proposal or hostile offer constituted a material conflict with the interests of our company and its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board cannot reasonably believe that a continuation of the cooling-off period would contribute to careful policy-making;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tc>
      </w:tr>
    </w:tbl>
    <w:p>
      <w:pPr>
        <w:pStyle w:val="TextBody"/>
        <w:bidi w:val="0"/>
        <w:spacing w:before="0" w:after="283"/>
        <w:jc w:val="left"/>
        <w:rPr/>
      </w:pPr>
      <w:r>
        <w:rPr/>
        <w:t> </w:t>
      </w:r>
    </w:p>
    <w:p>
      <w:pPr>
        <w:pStyle w:val="TextBody"/>
        <w:bidi w:val="0"/>
        <w:jc w:val="left"/>
        <w:rPr/>
      </w:pPr>
      <w:bookmarkStart w:id="96" w:name="ex_607674.htm"/>
      <w:bookmarkStart w:id="97" w:name="ksex_607674"/>
      <w:bookmarkEnd w:id="96"/>
      <w:bookmarkEnd w:id="97"/>
      <w:r>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right"/>
        <w:rPr>
          <w:rFonts w:ascii="Times New Roman" w:hAnsi="Times New Roman"/>
          <w:b/>
          <w:caps w:val="false"/>
          <w:smallCaps w:val="false"/>
          <w:sz w:val="20"/>
        </w:rPr>
      </w:pPr>
      <w:r>
        <w:rPr>
          <w:rFonts w:ascii="Times New Roman" w:hAnsi="Times New Roman"/>
          <w:b/>
          <w:caps w:val="false"/>
          <w:smallCaps w:val="false"/>
          <w:sz w:val="20"/>
        </w:rPr>
        <w:t>Execution Copy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DATED 20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BETWEEN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preliminary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YA II PN,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RESTRUCTURING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relation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THIS RESTRUCTURING AGREEMENT </w:t>
      </w:r>
      <w:r>
        <w:rPr>
          <w:rFonts w:ascii="Times New Roman" w:hAnsi="Times New Roman"/>
          <w:caps w:val="false"/>
          <w:smallCaps w:val="false"/>
          <w:sz w:val="20"/>
        </w:rPr>
        <w:t>(the “</w:t>
      </w:r>
      <w:r>
        <w:rPr>
          <w:rFonts w:ascii="Times New Roman" w:hAnsi="Times New Roman"/>
          <w:b/>
          <w:caps w:val="false"/>
          <w:smallCaps w:val="false"/>
          <w:sz w:val="20"/>
        </w:rPr>
        <w:t>Agreement</w:t>
      </w:r>
      <w:r>
        <w:rPr>
          <w:rFonts w:ascii="Times New Roman" w:hAnsi="Times New Roman"/>
          <w:caps w:val="false"/>
          <w:smallCaps w:val="false"/>
          <w:sz w:val="20"/>
        </w:rPr>
        <w:t xml:space="preserve">”) is dated 17 November 2023 and made between: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b/>
          <w:caps w:val="false"/>
          <w:smallCaps w:val="false"/>
          <w:sz w:val="20"/>
        </w:rPr>
        <w:t xml:space="preserve">SONO GROUP N.V. </w:t>
      </w:r>
      <w:r>
        <w:rPr>
          <w:rFonts w:ascii="Times New Roman" w:hAnsi="Times New Roman"/>
          <w:caps w:val="false"/>
          <w:smallCaps w:val="false"/>
          <w:sz w:val="20"/>
        </w:rPr>
        <w:t>a stock corporation (</w:t>
      </w:r>
      <w:r>
        <w:rPr>
          <w:rFonts w:ascii="Times New Roman" w:hAnsi="Times New Roman"/>
          <w:i/>
          <w:caps w:val="false"/>
          <w:smallCaps w:val="false"/>
          <w:sz w:val="20"/>
        </w:rPr>
        <w:t>naamloze vennootschap</w:t>
      </w:r>
      <w:r>
        <w:rPr>
          <w:rFonts w:ascii="Times New Roman" w:hAnsi="Times New Roman"/>
          <w:caps w:val="false"/>
          <w:smallCaps w:val="false"/>
          <w:sz w:val="20"/>
        </w:rPr>
        <w:t>) incorporated under the laws of the Netherlands with business address at Waldmeisterstraße 76, 80935 Munich, Germany (“</w:t>
      </w:r>
      <w:r>
        <w:rPr>
          <w:rFonts w:ascii="Times New Roman" w:hAnsi="Times New Roman"/>
          <w:b/>
          <w:caps w:val="false"/>
          <w:smallCaps w:val="false"/>
          <w:sz w:val="20"/>
        </w:rPr>
        <w:t>Sono NV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b/>
          <w:caps w:val="false"/>
          <w:smallCaps w:val="false"/>
          <w:sz w:val="20"/>
        </w:rPr>
        <w:t xml:space="preserve">YA II PN, Ltd., </w:t>
      </w:r>
      <w:r>
        <w:rPr>
          <w:rFonts w:ascii="Times New Roman" w:hAnsi="Times New Roman"/>
          <w:caps w:val="false"/>
          <w:smallCaps w:val="false"/>
          <w:sz w:val="20"/>
        </w:rPr>
        <w:t>an exempted limited company organized and existing under the laws of the Cayman Islands with its registered office at Maples Corporate Service, 309, Ugland House, Grand Cayman, KY1-1104, Cayman Islands and its mailing address at 1012 Springfield Avenue Moutainside New Jersey 07092 (“</w:t>
      </w:r>
      <w:r>
        <w:rPr>
          <w:rFonts w:ascii="Times New Roman" w:hAnsi="Times New Roman"/>
          <w:b/>
          <w:caps w:val="false"/>
          <w:smallCaps w:val="false"/>
          <w:sz w:val="20"/>
        </w:rPr>
        <w:t>Yorkville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and Yorkville each a “</w:t>
      </w:r>
      <w:r>
        <w:rPr>
          <w:rFonts w:ascii="Times New Roman" w:hAnsi="Times New Roman"/>
          <w:b/>
          <w:caps w:val="false"/>
          <w:smallCaps w:val="false"/>
          <w:sz w:val="20"/>
        </w:rPr>
        <w:t>Party</w:t>
      </w:r>
      <w:r>
        <w:rPr>
          <w:rFonts w:ascii="Times New Roman" w:hAnsi="Times New Roman"/>
          <w:caps w:val="false"/>
          <w:smallCaps w:val="false"/>
          <w:sz w:val="20"/>
        </w:rPr>
        <w:t>” and, together, the “</w:t>
      </w:r>
      <w:r>
        <w:rPr>
          <w:rFonts w:ascii="Times New Roman" w:hAnsi="Times New Roman"/>
          <w:b/>
          <w:caps w:val="false"/>
          <w:smallCaps w:val="false"/>
          <w:sz w:val="20"/>
        </w:rPr>
        <w:t>Parties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the date hereof, this Agreement and the restructuring documents listed in lit. (B) (“</w:t>
            </w:r>
            <w:r>
              <w:rPr>
                <w:rFonts w:ascii="Times New Roman" w:hAnsi="Times New Roman"/>
                <w:b/>
                <w:caps w:val="false"/>
                <w:smallCaps w:val="false"/>
                <w:sz w:val="20"/>
              </w:rPr>
              <w:t>Restructuring Documents</w:t>
            </w:r>
            <w:r>
              <w:rPr>
                <w:rFonts w:ascii="Times New Roman" w:hAnsi="Times New Roman"/>
                <w:caps w:val="false"/>
                <w:smallCaps w:val="false"/>
                <w:sz w:val="20"/>
              </w:rPr>
              <w:t>”) have been entered into with the aim to (i) restructure Sono NV and Sono Motors GmbH (“</w:t>
            </w:r>
            <w:r>
              <w:rPr>
                <w:rFonts w:ascii="Times New Roman" w:hAnsi="Times New Roman"/>
                <w:b/>
                <w:caps w:val="false"/>
                <w:smallCaps w:val="false"/>
                <w:sz w:val="20"/>
              </w:rPr>
              <w:t>Sono GmbH</w:t>
            </w:r>
            <w:r>
              <w:rPr>
                <w:rFonts w:ascii="Times New Roman" w:hAnsi="Times New Roman"/>
                <w:caps w:val="false"/>
                <w:smallCaps w:val="false"/>
                <w:sz w:val="20"/>
              </w:rPr>
              <w:t>” and, together with Sono NV, “</w:t>
            </w:r>
            <w:r>
              <w:rPr>
                <w:rFonts w:ascii="Times New Roman" w:hAnsi="Times New Roman"/>
                <w:b/>
                <w:caps w:val="false"/>
                <w:smallCaps w:val="false"/>
                <w:sz w:val="20"/>
              </w:rPr>
              <w:t>Sono Group</w:t>
            </w:r>
            <w:r>
              <w:rPr>
                <w:rFonts w:ascii="Times New Roman" w:hAnsi="Times New Roman"/>
                <w:caps w:val="false"/>
                <w:smallCaps w:val="false"/>
                <w:sz w:val="20"/>
              </w:rPr>
              <w:t>”), (ii) enable Sono NV to file its SEC Form 20-F for the year ending on 31 December 2022 (the “</w:t>
            </w:r>
            <w:r>
              <w:rPr>
                <w:rFonts w:ascii="Times New Roman" w:hAnsi="Times New Roman"/>
                <w:b/>
                <w:caps w:val="false"/>
                <w:smallCaps w:val="false"/>
                <w:sz w:val="20"/>
              </w:rPr>
              <w:t>SEC Form 20-F Filing</w:t>
            </w:r>
            <w:r>
              <w:rPr>
                <w:rFonts w:ascii="Times New Roman" w:hAnsi="Times New Roman"/>
                <w:caps w:val="false"/>
                <w:smallCaps w:val="false"/>
                <w:sz w:val="20"/>
              </w:rPr>
              <w:t>”), and to file its SEC Form 6K regarding the annual accounts for the first fiscal half-year 2023 (the “</w:t>
            </w:r>
            <w:r>
              <w:rPr>
                <w:rFonts w:ascii="Times New Roman" w:hAnsi="Times New Roman"/>
                <w:b/>
                <w:caps w:val="false"/>
                <w:smallCaps w:val="false"/>
                <w:sz w:val="20"/>
              </w:rPr>
              <w:t>SEC Form 6K HY 2023</w:t>
            </w:r>
            <w:r>
              <w:rPr>
                <w:rFonts w:ascii="Times New Roman" w:hAnsi="Times New Roman"/>
                <w:caps w:val="false"/>
                <w:smallCaps w:val="false"/>
                <w:sz w:val="20"/>
              </w:rPr>
              <w:t>”) so that Sono NV becomes current with SEC filing requirements, (iii) allow Sono NV and Sono GmbH to exit from insolvency proceedings with a positive going-concern. While Sono NV shall exit insolvency proceedings through withdrawing its insolvency filing, Sono GmbH shall exit insolvency proceedings through an insolvency plan.</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60"/>
        <w:gridCol w:w="275"/>
        <w:gridCol w:w="31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Restructuring Documents include: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2"/>
        <w:gridCol w:w="9893"/>
      </w:tblGrid>
      <w:tr>
        <w:trPr/>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8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Funding Commitment (as defined in Section 5.1) pursuant to which Yorkville undertakes vis-à-vis Sono NV to fund the going-concern budget for Sono Group agreed upon between Yorkville, Sono NV and Sono GmbH attached as </w:t>
            </w:r>
            <w:r>
              <w:rPr>
                <w:rFonts w:ascii="Times New Roman" w:hAnsi="Times New Roman"/>
                <w:b/>
                <w:caps w:val="false"/>
                <w:smallCaps w:val="false"/>
                <w:sz w:val="20"/>
              </w:rPr>
              <w:t>Annex (B)(1)</w:t>
            </w:r>
            <w:r>
              <w:rPr>
                <w:rFonts w:ascii="Times New Roman" w:hAnsi="Times New Roman"/>
                <w:caps w:val="false"/>
                <w:smallCaps w:val="false"/>
                <w:sz w:val="20"/>
              </w:rPr>
              <w:t xml:space="preserve"> (this budget – as amended from time to time by an agreement between Yorkville, Sono NV and Sono GmbH – the “</w:t>
            </w:r>
            <w:r>
              <w:rPr>
                <w:rFonts w:ascii="Times New Roman" w:hAnsi="Times New Roman"/>
                <w:b/>
                <w:caps w:val="false"/>
                <w:smallCaps w:val="false"/>
                <w:sz w:val="20"/>
              </w:rPr>
              <w:t>Going-Concern Budget</w:t>
            </w:r>
            <w:r>
              <w:rPr>
                <w:rFonts w:ascii="Times New Roman" w:hAnsi="Times New Roman"/>
                <w:caps w:val="false"/>
                <w:smallCaps w:val="false"/>
                <w:sz w:val="20"/>
              </w:rPr>
              <w:t>”);</w:t>
            </w:r>
          </w:p>
        </w:tc>
      </w:tr>
      <w:tr>
        <w:trPr/>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89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(2) </w:t>
            </w:r>
          </w:p>
        </w:tc>
        <w:tc>
          <w:tcPr>
            <w:tcW w:w="9893" w:type="dxa"/>
            <w:tcBorders/>
            <w:vAlign w:val="center"/>
          </w:tcPr>
          <w:p>
            <w:pPr>
              <w:pStyle w:val="TableContents"/>
              <w:bidi w:val="0"/>
              <w:spacing w:before="0" w:after="283"/>
              <w:jc w:val="left"/>
              <w:rPr/>
            </w:pPr>
            <w:r>
              <w:rPr/>
              <w:t>the Prolongation Agreement (as defined in Section 8.1) between Yorkville and Sono NV pursuant to which Yorkville defers the maturity of the Existing Convertible Debentures (as defined in lit. (G));</w:t>
            </w:r>
          </w:p>
        </w:tc>
      </w:tr>
      <w:tr>
        <w:trPr/>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89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(3)</w:t>
            </w:r>
          </w:p>
        </w:tc>
        <w:tc>
          <w:tcPr>
            <w:tcW w:w="9893" w:type="dxa"/>
            <w:tcBorders/>
            <w:vAlign w:val="center"/>
          </w:tcPr>
          <w:p>
            <w:pPr>
              <w:pStyle w:val="TableContents"/>
              <w:bidi w:val="0"/>
              <w:spacing w:before="0" w:after="283"/>
              <w:jc w:val="left"/>
              <w:rPr/>
            </w:pPr>
            <w:r>
              <w:rPr/>
              <w:t xml:space="preserve">the continuation agreement (attached – including exhibits – as </w:t>
            </w:r>
            <w:r>
              <w:rPr>
                <w:b/>
              </w:rPr>
              <w:t>Annex (B)(3)</w:t>
            </w:r>
            <w:r>
              <w:rPr/>
              <w:t>) (the “</w:t>
            </w:r>
            <w:r>
              <w:rPr>
                <w:b/>
              </w:rPr>
              <w:t>Continuation Agreement</w:t>
            </w:r>
            <w:r>
              <w:rPr/>
              <w:t>”) between Sono NV and Sono GmbH setting out – inter alia – the key features of the insolvency plan Sono GmbH intends to submit to the insolvency court;</w:t>
            </w:r>
          </w:p>
        </w:tc>
      </w:tr>
      <w:tr>
        <w:trPr/>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89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(4) </w:t>
            </w:r>
          </w:p>
        </w:tc>
        <w:tc>
          <w:tcPr>
            <w:tcW w:w="9893" w:type="dxa"/>
            <w:tcBorders/>
            <w:vAlign w:val="center"/>
          </w:tcPr>
          <w:p>
            <w:pPr>
              <w:pStyle w:val="TableContents"/>
              <w:bidi w:val="0"/>
              <w:spacing w:before="0" w:after="283"/>
              <w:jc w:val="left"/>
              <w:rPr/>
            </w:pPr>
            <w:r>
              <w:rPr/>
              <w:t>the settlement agreement (Exhibit 1.1 to the Continuation Agreement) (the “</w:t>
            </w:r>
            <w:r>
              <w:rPr>
                <w:b/>
              </w:rPr>
              <w:t>Settlement Agreement</w:t>
            </w:r>
            <w:r>
              <w:rPr/>
              <w:t>”) between Sono NV and Sono GmbH pursuant to which certain claims between Sono NV and Sono GmbH shall be settled;</w:t>
            </w:r>
          </w:p>
        </w:tc>
      </w:tr>
      <w:tr>
        <w:trPr/>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89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(5)</w:t>
            </w:r>
          </w:p>
        </w:tc>
        <w:tc>
          <w:tcPr>
            <w:tcW w:w="9893" w:type="dxa"/>
            <w:tcBorders/>
            <w:vAlign w:val="center"/>
          </w:tcPr>
          <w:p>
            <w:pPr>
              <w:pStyle w:val="TableContents"/>
              <w:bidi w:val="0"/>
              <w:spacing w:before="0" w:after="283"/>
              <w:jc w:val="left"/>
              <w:rPr/>
            </w:pPr>
            <w:r>
              <w:rPr/>
              <w:t>the back-to-back letter of comfort (Exhibit 1.2 to the Continuation Agreement) (the “</w:t>
            </w:r>
            <w:r>
              <w:rPr>
                <w:b/>
              </w:rPr>
              <w:t>Back-to-Back LoC</w:t>
            </w:r>
            <w:r>
              <w:rPr/>
              <w:t>”) between Sono NV and Sono GmbH pursuant to which Sono NV undertakes vis-à-vis Sono GmbH to fund – by way of a back-to-back financing – the budget of Sono GmbH as provided for in the Going-Concern Budget;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99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Commitment letter (attached as </w:t>
            </w:r>
            <w:r>
              <w:rPr>
                <w:rFonts w:ascii="Times New Roman" w:hAnsi="Times New Roman"/>
                <w:b/>
                <w:caps w:val="false"/>
                <w:smallCaps w:val="false"/>
                <w:sz w:val="20"/>
              </w:rPr>
              <w:t>Annex (B)(6)</w:t>
            </w:r>
            <w:r>
              <w:rPr>
                <w:rFonts w:ascii="Times New Roman" w:hAnsi="Times New Roman"/>
                <w:caps w:val="false"/>
                <w:smallCaps w:val="false"/>
                <w:sz w:val="20"/>
              </w:rPr>
              <w:t>) (the “</w:t>
            </w:r>
            <w:r>
              <w:rPr>
                <w:rFonts w:ascii="Times New Roman" w:hAnsi="Times New Roman"/>
                <w:b/>
                <w:caps w:val="false"/>
                <w:smallCaps w:val="false"/>
                <w:sz w:val="20"/>
              </w:rPr>
              <w:t>NV Shareholders Commitment Letter</w:t>
            </w:r>
            <w:r>
              <w:rPr>
                <w:rFonts w:ascii="Times New Roman" w:hAnsi="Times New Roman"/>
                <w:caps w:val="false"/>
                <w:smallCaps w:val="false"/>
                <w:sz w:val="20"/>
              </w:rPr>
              <w:t>”) issued by Laurin Hahn and Jona Christians (the “</w:t>
            </w:r>
            <w:r>
              <w:rPr>
                <w:rFonts w:ascii="Times New Roman" w:hAnsi="Times New Roman"/>
                <w:b/>
                <w:caps w:val="false"/>
                <w:smallCaps w:val="false"/>
                <w:sz w:val="20"/>
              </w:rPr>
              <w:t>Founders</w:t>
            </w:r>
            <w:r>
              <w:rPr>
                <w:rFonts w:ascii="Times New Roman" w:hAnsi="Times New Roman"/>
                <w:caps w:val="false"/>
                <w:smallCaps w:val="false"/>
                <w:sz w:val="20"/>
              </w:rPr>
              <w:t xml:space="preserve">”) to Sono NV and Sono GmbH pursuant to which the Founders undertake to exercise their voting rights, </w:t>
            </w:r>
            <w:r>
              <w:rPr>
                <w:rFonts w:ascii="Times New Roman" w:hAnsi="Times New Roman"/>
                <w:i/>
                <w:caps w:val="false"/>
                <w:smallCaps w:val="false"/>
                <w:sz w:val="20"/>
              </w:rPr>
              <w:t>inter alia,</w:t>
            </w:r>
            <w:r>
              <w:rPr>
                <w:rFonts w:ascii="Times New Roman" w:hAnsi="Times New Roman"/>
                <w:caps w:val="false"/>
                <w:smallCaps w:val="false"/>
                <w:sz w:val="20"/>
              </w:rPr>
              <w:t xml:space="preserve"> to establish a new management for Sono NV (the “</w:t>
            </w:r>
            <w:r>
              <w:rPr>
                <w:rFonts w:ascii="Times New Roman" w:hAnsi="Times New Roman"/>
                <w:b/>
                <w:caps w:val="false"/>
                <w:smallCaps w:val="false"/>
                <w:sz w:val="20"/>
              </w:rPr>
              <w:t>New Management Implementation</w:t>
            </w:r>
            <w:r>
              <w:rPr>
                <w:rFonts w:ascii="Times New Roman" w:hAnsi="Times New Roman"/>
                <w:caps w:val="false"/>
                <w:smallCaps w:val="false"/>
                <w:sz w:val="20"/>
              </w:rPr>
              <w:t>”) and pursuant to which each of the Founders further undertakes to – upon request – enter into a share sale and transfer agreement (attached as Exhibit 3.2 to the NV Shareholders Commitment Letter) (each of these share sale and transfer agreement, a “</w:t>
            </w:r>
            <w:r>
              <w:rPr>
                <w:rFonts w:ascii="Times New Roman" w:hAnsi="Times New Roman"/>
                <w:b/>
                <w:caps w:val="false"/>
                <w:smallCaps w:val="false"/>
                <w:sz w:val="20"/>
              </w:rPr>
              <w:t>NV Share Sale and Transfer Agreement</w:t>
            </w:r>
            <w:r>
              <w:rPr>
                <w:rFonts w:ascii="Times New Roman" w:hAnsi="Times New Roman"/>
                <w:caps w:val="false"/>
                <w:smallCaps w:val="false"/>
                <w:sz w:val="20"/>
              </w:rPr>
              <w:t>”) with a trustee of Sono GmbH’s creditors (the “</w:t>
            </w:r>
            <w:r>
              <w:rPr>
                <w:rFonts w:ascii="Times New Roman" w:hAnsi="Times New Roman"/>
                <w:b/>
                <w:caps w:val="false"/>
                <w:smallCaps w:val="false"/>
                <w:sz w:val="20"/>
              </w:rPr>
              <w:t>Sono GmbH Creditors</w:t>
            </w:r>
            <w:r>
              <w:rPr>
                <w:rFonts w:ascii="Times New Roman" w:hAnsi="Times New Roman"/>
                <w:caps w:val="false"/>
                <w:smallCaps w:val="false"/>
                <w:sz w:val="20"/>
              </w:rPr>
              <w:t xml:space="preserve">’ </w:t>
            </w:r>
            <w:r>
              <w:rPr>
                <w:rFonts w:ascii="Times New Roman" w:hAnsi="Times New Roman"/>
                <w:b/>
                <w:caps w:val="false"/>
                <w:smallCaps w:val="false"/>
                <w:sz w:val="20"/>
              </w:rPr>
              <w:t>Trustee</w:t>
            </w:r>
            <w:r>
              <w:rPr>
                <w:rFonts w:ascii="Times New Roman" w:hAnsi="Times New Roman"/>
                <w:caps w:val="false"/>
                <w:smallCaps w:val="false"/>
                <w:sz w:val="20"/>
              </w:rPr>
              <w:t>”) and Sono NV or, as the case may be, Sono NV’s management.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8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Parties consider the following main actions (“</w:t>
            </w:r>
            <w:r>
              <w:rPr>
                <w:rFonts w:ascii="Times New Roman" w:hAnsi="Times New Roman"/>
                <w:b/>
                <w:caps w:val="false"/>
                <w:smallCaps w:val="false"/>
                <w:sz w:val="20"/>
              </w:rPr>
              <w:t>Restructuring Steps</w:t>
            </w:r>
            <w:r>
              <w:rPr>
                <w:rFonts w:ascii="Times New Roman" w:hAnsi="Times New Roman"/>
                <w:caps w:val="false"/>
                <w:smallCaps w:val="false"/>
                <w:sz w:val="20"/>
              </w:rPr>
              <w:t>”) to be necessary for the restructuring of the Sono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0"/>
        <w:gridCol w:w="985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8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submission of the SEC Form 20-F Filing by Sono NV pursuant to Section 4;</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(ii) submission of the SEC Form 6K HY 2023 by Sono NV pursuant to Section 4;</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9855" w:type="dxa"/>
            <w:tcBorders/>
            <w:vAlign w:val="center"/>
          </w:tcPr>
          <w:p>
            <w:pPr>
              <w:pStyle w:val="TableContents"/>
              <w:bidi w:val="0"/>
              <w:spacing w:before="0" w:after="283"/>
              <w:jc w:val="left"/>
              <w:rPr/>
            </w:pPr>
            <w:r>
              <w:rPr/>
              <w:t>payment by Yorkville of the Initial Funding Amount (as defined in Section 5.3) promptly after the Closing Date as provided for in the Funding Commitment;</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 </w:t>
            </w:r>
          </w:p>
        </w:tc>
        <w:tc>
          <w:tcPr>
            <w:tcW w:w="9855" w:type="dxa"/>
            <w:tcBorders/>
            <w:vAlign w:val="center"/>
          </w:tcPr>
          <w:p>
            <w:pPr>
              <w:pStyle w:val="TableContents"/>
              <w:bidi w:val="0"/>
              <w:spacing w:before="0" w:after="283"/>
              <w:jc w:val="left"/>
              <w:rPr/>
            </w:pPr>
            <w:r>
              <w:rPr/>
              <w:t>Sono NV’s and Sono GmbH’s entering into the Continuation Agreement, the Settlement Agreement and issuing/accepting the Back-to-Back LoC, each pursuant to Section 7;</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9855" w:type="dxa"/>
            <w:tcBorders/>
            <w:vAlign w:val="center"/>
          </w:tcPr>
          <w:p>
            <w:pPr>
              <w:pStyle w:val="TableContents"/>
              <w:bidi w:val="0"/>
              <w:spacing w:before="0" w:after="283"/>
              <w:jc w:val="left"/>
              <w:rPr/>
            </w:pPr>
            <w:r>
              <w:rPr/>
              <w:t>Yorkville’s and Sono NV’s entering into the Prolongation Agreement pursuant to Section 8.1;</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9855" w:type="dxa"/>
            <w:tcBorders/>
            <w:vAlign w:val="center"/>
          </w:tcPr>
          <w:p>
            <w:pPr>
              <w:pStyle w:val="TableContents"/>
              <w:bidi w:val="0"/>
              <w:spacing w:before="0" w:after="283"/>
              <w:jc w:val="left"/>
              <w:rPr/>
            </w:pPr>
            <w:r>
              <w:rPr/>
              <w:t>withdrawal of the Sono NV Insolvency Filing pursuant to Section 6;</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(6) </w:t>
            </w:r>
          </w:p>
        </w:tc>
        <w:tc>
          <w:tcPr>
            <w:tcW w:w="9855" w:type="dxa"/>
            <w:tcBorders/>
            <w:vAlign w:val="center"/>
          </w:tcPr>
          <w:p>
            <w:pPr>
              <w:pStyle w:val="TableContents"/>
              <w:bidi w:val="0"/>
              <w:spacing w:before="0" w:after="283"/>
              <w:jc w:val="left"/>
              <w:rPr/>
            </w:pPr>
            <w:r>
              <w:rPr/>
              <w:t>Sono NV’s implementation of the NV Waterfall pursuant to Section 9;</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(7) </w:t>
            </w:r>
          </w:p>
        </w:tc>
        <w:tc>
          <w:tcPr>
            <w:tcW w:w="9855" w:type="dxa"/>
            <w:tcBorders/>
            <w:vAlign w:val="center"/>
          </w:tcPr>
          <w:p>
            <w:pPr>
              <w:pStyle w:val="TableContents"/>
              <w:bidi w:val="0"/>
              <w:spacing w:before="0" w:after="283"/>
              <w:jc w:val="left"/>
              <w:rPr/>
            </w:pPr>
            <w:r>
              <w:rPr/>
              <w:t>shareholders’ meeting of Sono NV and New Management Implementation pursuant to Section 4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is listed on The Nasdaq Global Market in New York, USA (“</w:t>
            </w:r>
            <w:r>
              <w:rPr>
                <w:rFonts w:ascii="Times New Roman" w:hAnsi="Times New Roman"/>
                <w:b/>
                <w:caps w:val="false"/>
                <w:smallCaps w:val="false"/>
                <w:sz w:val="20"/>
              </w:rPr>
              <w:t>Nasdaq</w:t>
            </w:r>
            <w:r>
              <w:rPr>
                <w:rFonts w:ascii="Times New Roman" w:hAnsi="Times New Roman"/>
                <w:caps w:val="false"/>
                <w:smallCaps w:val="false"/>
                <w:sz w:val="20"/>
              </w:rPr>
              <w:t>”). Sono NV is the 100 % shareholder of Sono GmbH. Sono Group is operating in the business of solar tech, retrofitting and integrating solar technology onto third party vehicles. Sono Group used to be active in the business of solar electric vehicles.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Sono NV is currently not in compliance with certain listing requirements under Nasdaq rules, </w:t>
            </w:r>
            <w:r>
              <w:rPr>
                <w:rFonts w:ascii="Times New Roman" w:hAnsi="Times New Roman"/>
                <w:i/>
                <w:caps w:val="false"/>
                <w:smallCaps w:val="false"/>
                <w:sz w:val="20"/>
              </w:rPr>
              <w:t>inter alia</w:t>
            </w:r>
            <w:r>
              <w:rPr>
                <w:rFonts w:ascii="Times New Roman" w:hAnsi="Times New Roman"/>
                <w:caps w:val="false"/>
                <w:smallCaps w:val="false"/>
                <w:sz w:val="20"/>
              </w:rPr>
              <w:t> Sono NV has not yet filed the SEC Form 20-F Filing. The auditor (“</w:t>
            </w:r>
            <w:r>
              <w:rPr>
                <w:rFonts w:ascii="Times New Roman" w:hAnsi="Times New Roman"/>
                <w:b/>
                <w:caps w:val="false"/>
                <w:smallCaps w:val="false"/>
                <w:sz w:val="20"/>
              </w:rPr>
              <w:t>Auditor</w:t>
            </w:r>
            <w:r>
              <w:rPr>
                <w:rFonts w:ascii="Times New Roman" w:hAnsi="Times New Roman"/>
                <w:caps w:val="false"/>
                <w:smallCaps w:val="false"/>
                <w:sz w:val="20"/>
              </w:rPr>
              <w:t>”) is engaged with performing the audit which is a prerequisite for the SEC Form 20-F Filing. It is envisaged to make the SEC Form 20-F Filing by 31 December 2023, at the latest. Furthermore, Sono NV is due to submit SEC Form 6K HY 2023 by 31 January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9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envisaged that a meeting of the shareholders of Sono NV will be convened in the course of December 2023 to resolve on the New Management Implementation as provided for in the NV Shareholders Commitment Letter.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2"/>
        <w:gridCol w:w="9913"/>
      </w:tblGrid>
      <w:tr>
        <w:trPr/>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Yorkville is amongst the largest creditors of Sono NV, having purchased convertible debentures in an aggregate principal amount of USD 31.1 million (of which an aggregate amount of approx. USD 21 million is outstanding) (the “</w:t>
            </w:r>
            <w:r>
              <w:rPr>
                <w:rFonts w:ascii="Times New Roman" w:hAnsi="Times New Roman"/>
                <w:b/>
                <w:caps w:val="false"/>
                <w:smallCaps w:val="false"/>
                <w:sz w:val="20"/>
              </w:rPr>
              <w:t>Existing Convertible Debentures</w:t>
            </w:r>
            <w:r>
              <w:rPr>
                <w:rFonts w:ascii="Times New Roman" w:hAnsi="Times New Roman"/>
                <w:caps w:val="false"/>
                <w:smallCaps w:val="false"/>
                <w:sz w:val="20"/>
              </w:rPr>
              <w:t>”) from Sono NV pursuant to the securities purchase agreement dated 7 December 2022 between YA II PN, Ltd. and Sono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applied for the opening of debtor-in-possession proceedings pursuant to Section 270 (b) of the German Insolvency Code (</w:t>
            </w:r>
            <w:r>
              <w:rPr>
                <w:rFonts w:ascii="Times New Roman" w:hAnsi="Times New Roman"/>
                <w:i/>
                <w:caps w:val="false"/>
                <w:smallCaps w:val="false"/>
                <w:sz w:val="20"/>
              </w:rPr>
              <w:t>Eigenverwaltung</w:t>
            </w:r>
            <w:r>
              <w:rPr>
                <w:rFonts w:ascii="Times New Roman" w:hAnsi="Times New Roman"/>
                <w:caps w:val="false"/>
                <w:smallCaps w:val="false"/>
                <w:sz w:val="20"/>
              </w:rPr>
              <w:t>) at the insolvency court of Munich on 15 May 2023 (“</w:t>
            </w:r>
            <w:r>
              <w:rPr>
                <w:rFonts w:ascii="Times New Roman" w:hAnsi="Times New Roman"/>
                <w:b/>
                <w:caps w:val="false"/>
                <w:smallCaps w:val="false"/>
                <w:sz w:val="20"/>
              </w:rPr>
              <w:t>NV Insolvency Filing</w:t>
            </w:r>
            <w:r>
              <w:rPr>
                <w:rFonts w:ascii="Times New Roman" w:hAnsi="Times New Roman"/>
                <w:caps w:val="false"/>
                <w:smallCaps w:val="false"/>
                <w:sz w:val="20"/>
              </w:rPr>
              <w:t>”); by court resolution, preliminary debtor-in-possession proceedings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 Eigenverwaltung</w:t>
            </w:r>
            <w:r>
              <w:rPr>
                <w:rFonts w:ascii="Times New Roman" w:hAnsi="Times New Roman"/>
                <w:caps w:val="false"/>
                <w:smallCaps w:val="false"/>
                <w:sz w:val="20"/>
              </w:rPr>
              <w:t>) have been ordered with effect from 17 May 2023, 2:00 pm CET (“</w:t>
            </w:r>
            <w:r>
              <w:rPr>
                <w:rFonts w:ascii="Times New Roman" w:hAnsi="Times New Roman"/>
                <w:b/>
                <w:caps w:val="false"/>
                <w:smallCaps w:val="false"/>
                <w:sz w:val="20"/>
              </w:rPr>
              <w:t>NV Preliminary DIP Proceedings</w:t>
            </w:r>
            <w:r>
              <w:rPr>
                <w:rFonts w:ascii="Times New Roman" w:hAnsi="Times New Roman"/>
                <w:caps w:val="false"/>
                <w:smallCaps w:val="false"/>
                <w:sz w:val="20"/>
              </w:rPr>
              <w:t>”). The insolvency court appointed Mrs. Marlene Scheinert as preliminary custodian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 Sachwalterin</w:t>
            </w:r>
            <w:r>
              <w:rPr>
                <w:rFonts w:ascii="Times New Roman" w:hAnsi="Times New Roman"/>
                <w:caps w:val="false"/>
                <w:smallCaps w:val="false"/>
                <w:sz w:val="20"/>
              </w:rPr>
              <w:t>) of Sono NV (“</w:t>
            </w:r>
            <w:r>
              <w:rPr>
                <w:rFonts w:ascii="Times New Roman" w:hAnsi="Times New Roman"/>
                <w:b/>
                <w:caps w:val="false"/>
                <w:smallCaps w:val="false"/>
                <w:sz w:val="20"/>
              </w:rPr>
              <w:t>NV Custodian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GmbH applied for the opening of debtor-in-possession proceedings in the form of protective shield proceedings pursuant Section 270 (d) of the German Insolvency Code (</w:t>
            </w:r>
            <w:r>
              <w:rPr>
                <w:rFonts w:ascii="Times New Roman" w:hAnsi="Times New Roman"/>
                <w:i/>
                <w:caps w:val="false"/>
                <w:smallCaps w:val="false"/>
                <w:sz w:val="20"/>
              </w:rPr>
              <w:t>Schutzschirmverfahren</w:t>
            </w:r>
            <w:r>
              <w:rPr>
                <w:rFonts w:ascii="Times New Roman" w:hAnsi="Times New Roman"/>
                <w:caps w:val="false"/>
                <w:smallCaps w:val="false"/>
                <w:sz w:val="20"/>
              </w:rPr>
              <w:t>) at the insolvency court of Munich on 15 May 2023; by court resolution, debtor-in-possession proceedings (</w:t>
            </w:r>
            <w:r>
              <w:rPr>
                <w:rFonts w:ascii="Times New Roman" w:hAnsi="Times New Roman"/>
                <w:i/>
                <w:caps w:val="false"/>
                <w:smallCaps w:val="false"/>
                <w:sz w:val="20"/>
              </w:rPr>
              <w:t>Eigenverwaltung</w:t>
            </w:r>
            <w:r>
              <w:rPr>
                <w:rFonts w:ascii="Times New Roman" w:hAnsi="Times New Roman"/>
                <w:caps w:val="false"/>
                <w:smallCaps w:val="false"/>
                <w:sz w:val="20"/>
              </w:rPr>
              <w:t>) have been ordered with effect from 1 September 2023. The court appointed Mr. Ivo-Meinert Willrodt as custodian (</w:t>
            </w:r>
            <w:r>
              <w:rPr>
                <w:rFonts w:ascii="Times New Roman" w:hAnsi="Times New Roman"/>
                <w:i/>
                <w:caps w:val="false"/>
                <w:smallCaps w:val="false"/>
                <w:sz w:val="20"/>
              </w:rPr>
              <w:t>Sachwalter</w:t>
            </w:r>
            <w:r>
              <w:rPr>
                <w:rFonts w:ascii="Times New Roman" w:hAnsi="Times New Roman"/>
                <w:caps w:val="false"/>
                <w:smallCaps w:val="false"/>
                <w:sz w:val="20"/>
              </w:rPr>
              <w:t>) of Sono GmbH (“</w:t>
            </w:r>
            <w:r>
              <w:rPr>
                <w:rFonts w:ascii="Times New Roman" w:hAnsi="Times New Roman"/>
                <w:b/>
                <w:caps w:val="false"/>
                <w:smallCaps w:val="false"/>
                <w:sz w:val="20"/>
              </w:rPr>
              <w:t>GmbH Custodian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997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13 November 2023, Sono NV has available cash in the amount of EUR 8.327 million as shown in Annex (L) (NV Waterfall) in line #1 ‘</w:t>
            </w:r>
            <w:r>
              <w:rPr>
                <w:rFonts w:ascii="Times New Roman" w:hAnsi="Times New Roman"/>
                <w:i/>
                <w:caps w:val="false"/>
                <w:smallCaps w:val="false"/>
                <w:sz w:val="20"/>
              </w:rPr>
              <w:t>Bank balance November, 13, 2023 (actual)</w:t>
            </w:r>
            <w:r>
              <w:rPr>
                <w:rFonts w:ascii="Times New Roman" w:hAnsi="Times New Roman"/>
                <w:caps w:val="false"/>
                <w:smallCaps w:val="false"/>
                <w:sz w:val="20"/>
              </w:rPr>
              <w:t>’ (“</w:t>
            </w:r>
            <w:r>
              <w:rPr>
                <w:rFonts w:ascii="Times New Roman" w:hAnsi="Times New Roman"/>
                <w:b/>
                <w:caps w:val="false"/>
                <w:smallCaps w:val="false"/>
                <w:sz w:val="20"/>
              </w:rPr>
              <w:t>Available NV Cash</w:t>
            </w:r>
            <w:r>
              <w:rPr>
                <w:rFonts w:ascii="Times New Roman" w:hAnsi="Times New Roman"/>
                <w:caps w:val="false"/>
                <w:smallCaps w:val="false"/>
                <w:sz w:val="20"/>
              </w:rPr>
              <w:t>”). Taking into account the payments envisaged in Annex (L) (NV Waterfall), the cash amount left over as of 1 December 2023 for the disposition of Sono NV in line with the Going-Concern Budget (for the Sono NV) shall be EUR 2.048 million as shown in line #17 ‘</w:t>
            </w:r>
            <w:r>
              <w:rPr>
                <w:rFonts w:ascii="Times New Roman" w:hAnsi="Times New Roman"/>
                <w:i/>
                <w:caps w:val="false"/>
                <w:smallCaps w:val="false"/>
                <w:sz w:val="20"/>
              </w:rPr>
              <w:t>Remaining cash at date of takeover N.V.</w:t>
            </w:r>
            <w:r>
              <w:rPr>
                <w:rFonts w:ascii="Times New Roman" w:hAnsi="Times New Roman"/>
                <w:caps w:val="false"/>
                <w:smallCaps w:val="false"/>
                <w:sz w:val="20"/>
              </w:rPr>
              <w:t>’ (“</w:t>
            </w:r>
            <w:r>
              <w:rPr>
                <w:rFonts w:ascii="Times New Roman" w:hAnsi="Times New Roman"/>
                <w:b/>
                <w:caps w:val="false"/>
                <w:smallCaps w:val="false"/>
                <w:sz w:val="20"/>
              </w:rPr>
              <w:t>Cash-Left-Over</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60"/>
        <w:gridCol w:w="275"/>
        <w:gridCol w:w="288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28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[INTENTIONALLY LEFT BLANK]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w:t>
            </w:r>
          </w:p>
        </w:tc>
        <w:tc>
          <w:tcPr>
            <w:tcW w:w="99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Parties aim to agree on the settlement of the creditors of Sono NV by, </w:t>
            </w:r>
            <w:r>
              <w:rPr>
                <w:rFonts w:ascii="Times New Roman" w:hAnsi="Times New Roman"/>
                <w:i/>
                <w:caps w:val="false"/>
                <w:smallCaps w:val="false"/>
                <w:sz w:val="20"/>
              </w:rPr>
              <w:t>inter alia</w:t>
            </w:r>
            <w:r>
              <w:rPr>
                <w:rFonts w:ascii="Times New Roman" w:hAnsi="Times New Roman"/>
                <w:caps w:val="false"/>
                <w:smallCaps w:val="false"/>
                <w:sz w:val="20"/>
              </w:rPr>
              <w:t xml:space="preserve">, applying the Available NV Cash pursuant to the waterfall for Sono NV as outlined in </w:t>
            </w:r>
            <w:r>
              <w:rPr>
                <w:rFonts w:ascii="Times New Roman" w:hAnsi="Times New Roman"/>
                <w:b/>
                <w:caps w:val="false"/>
                <w:smallCaps w:val="false"/>
                <w:sz w:val="20"/>
              </w:rPr>
              <w:t xml:space="preserve">Annex (L) </w:t>
            </w:r>
            <w:r>
              <w:rPr>
                <w:rFonts w:ascii="Times New Roman" w:hAnsi="Times New Roman"/>
                <w:caps w:val="false"/>
                <w:smallCaps w:val="false"/>
                <w:sz w:val="20"/>
              </w:rPr>
              <w:t>(“</w:t>
            </w:r>
            <w:r>
              <w:rPr>
                <w:rFonts w:ascii="Times New Roman" w:hAnsi="Times New Roman"/>
                <w:b/>
                <w:caps w:val="false"/>
                <w:smallCaps w:val="false"/>
                <w:sz w:val="20"/>
              </w:rPr>
              <w:t>NV Waterfall</w:t>
            </w:r>
            <w:r>
              <w:rPr>
                <w:rFonts w:ascii="Times New Roman" w:hAnsi="Times New Roman"/>
                <w:caps w:val="false"/>
                <w:smallCaps w:val="false"/>
                <w:sz w:val="20"/>
              </w:rPr>
              <w:t>”), or by otherwise stipulating a settlement (</w:t>
            </w:r>
            <w:r>
              <w:rPr>
                <w:rFonts w:ascii="Times New Roman" w:hAnsi="Times New Roman"/>
                <w:i/>
                <w:caps w:val="false"/>
                <w:smallCaps w:val="false"/>
                <w:sz w:val="20"/>
              </w:rPr>
              <w:t>Vergleich</w:t>
            </w:r>
            <w:r>
              <w:rPr>
                <w:rFonts w:ascii="Times New Roman" w:hAnsi="Times New Roman"/>
                <w:caps w:val="false"/>
                <w:smallCaps w:val="false"/>
                <w:sz w:val="20"/>
              </w:rPr>
              <w:t>) pursuant to the terms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FOR THIS IT IS AGREED </w:t>
      </w:r>
      <w:r>
        <w:rPr>
          <w:rFonts w:ascii="Times New Roman" w:hAnsi="Times New Roman"/>
          <w:caps w:val="false"/>
          <w:smallCaps w:val="false"/>
          <w:sz w:val="20"/>
        </w:rPr>
        <w:t>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745" w:type="dxa"/>
        <w:jc w:val="left"/>
        <w:tblInd w:w="0" w:type="dxa"/>
        <w:tblLayout w:type="fixed"/>
        <w:tblCellMar>
          <w:top w:w="0" w:type="dxa"/>
          <w:left w:w="0" w:type="dxa"/>
          <w:bottom w:w="0" w:type="dxa"/>
          <w:right w:w="0" w:type="dxa"/>
        </w:tblCellMar>
      </w:tblPr>
      <w:tblGrid>
        <w:gridCol w:w="60"/>
        <w:gridCol w:w="125"/>
        <w:gridCol w:w="356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35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 AND 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60"/>
        <w:gridCol w:w="275"/>
        <w:gridCol w:w="9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Terms defined in this Agreement including its Annexes shall have the meaning ascribed to them therein.</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60"/>
        <w:gridCol w:w="275"/>
        <w:gridCol w:w="11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Interpretation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In this Agreement, unless a contrary indication appears: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reference to a “</w:t>
            </w:r>
            <w:r>
              <w:rPr>
                <w:rFonts w:ascii="Times New Roman" w:hAnsi="Times New Roman"/>
                <w:b/>
                <w:caps w:val="false"/>
                <w:smallCaps w:val="false"/>
                <w:sz w:val="20"/>
              </w:rPr>
              <w:t>clause</w:t>
            </w:r>
            <w:r>
              <w:rPr>
                <w:rFonts w:ascii="Times New Roman" w:hAnsi="Times New Roman"/>
                <w:caps w:val="false"/>
                <w:smallCaps w:val="false"/>
                <w:sz w:val="20"/>
              </w:rPr>
              <w:t>” or a “</w:t>
            </w:r>
            <w:r>
              <w:rPr>
                <w:rFonts w:ascii="Times New Roman" w:hAnsi="Times New Roman"/>
                <w:b/>
                <w:caps w:val="false"/>
                <w:smallCaps w:val="false"/>
                <w:sz w:val="20"/>
              </w:rPr>
              <w:t>schedule</w:t>
            </w:r>
            <w:r>
              <w:rPr>
                <w:rFonts w:ascii="Times New Roman" w:hAnsi="Times New Roman"/>
                <w:caps w:val="false"/>
                <w:smallCaps w:val="false"/>
                <w:sz w:val="20"/>
              </w:rPr>
              <w:t>” is a reference to a clause of, or a schedule to, this Agreement and schedules shall form an integral part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60"/>
        <w:gridCol w:w="245"/>
        <w:gridCol w:w="66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65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caps w:val="false"/>
                <w:smallCaps w:val="false"/>
                <w:sz w:val="20"/>
              </w:rPr>
              <w:t>include</w:t>
            </w:r>
            <w:r>
              <w:rPr>
                <w:rFonts w:ascii="Times New Roman" w:hAnsi="Times New Roman"/>
                <w:caps w:val="false"/>
                <w:smallCaps w:val="false"/>
                <w:sz w:val="20"/>
              </w:rPr>
              <w:t>”, “</w:t>
            </w:r>
            <w:r>
              <w:rPr>
                <w:rFonts w:ascii="Times New Roman" w:hAnsi="Times New Roman"/>
                <w:b/>
                <w:caps w:val="false"/>
                <w:smallCaps w:val="false"/>
                <w:sz w:val="20"/>
              </w:rPr>
              <w:t>including</w:t>
            </w:r>
            <w:r>
              <w:rPr>
                <w:rFonts w:ascii="Times New Roman" w:hAnsi="Times New Roman"/>
                <w:caps w:val="false"/>
                <w:smallCaps w:val="false"/>
                <w:sz w:val="20"/>
              </w:rPr>
              <w:t>” and “</w:t>
            </w:r>
            <w:r>
              <w:rPr>
                <w:rFonts w:ascii="Times New Roman" w:hAnsi="Times New Roman"/>
                <w:b/>
                <w:caps w:val="false"/>
                <w:smallCaps w:val="false"/>
                <w:sz w:val="20"/>
              </w:rPr>
              <w:t>in particular</w:t>
            </w:r>
            <w:r>
              <w:rPr>
                <w:rFonts w:ascii="Times New Roman" w:hAnsi="Times New Roman"/>
                <w:caps w:val="false"/>
                <w:smallCaps w:val="false"/>
                <w:sz w:val="20"/>
              </w:rPr>
              <w:t>” shall be construed without limitation;</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60"/>
        <w:gridCol w:w="230"/>
        <w:gridCol w:w="224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2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reference to a “</w:t>
            </w:r>
            <w:r>
              <w:rPr>
                <w:rFonts w:ascii="Times New Roman" w:hAnsi="Times New Roman"/>
                <w:b/>
                <w:caps w:val="false"/>
                <w:smallCaps w:val="false"/>
                <w:sz w:val="20"/>
              </w:rPr>
              <w:t>person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includes any individual, firm, company, corporation, government, state or agency, any unincorporated association or body (including a partnership, trust, joint venture or consortium) or other entity (whether or not having separate legal personality); and/or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4"/>
        <w:gridCol w:w="9901"/>
      </w:tblGrid>
      <w:tr>
        <w:trPr/>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shall be construed so as to include its successors in title, permitted assignees and permitted transferees to, or of, its rights and/or obligations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245"/>
        <w:gridCol w:w="59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599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caps w:val="false"/>
                <w:smallCaps w:val="false"/>
                <w:sz w:val="20"/>
              </w:rPr>
              <w:t>promptly</w:t>
            </w:r>
            <w:r>
              <w:rPr>
                <w:rFonts w:ascii="Times New Roman" w:hAnsi="Times New Roman"/>
                <w:caps w:val="false"/>
                <w:smallCaps w:val="false"/>
                <w:sz w:val="20"/>
              </w:rPr>
              <w:t>” shall mean without undue delay (</w:t>
            </w:r>
            <w:r>
              <w:rPr>
                <w:rFonts w:ascii="Times New Roman" w:hAnsi="Times New Roman"/>
                <w:i/>
                <w:caps w:val="false"/>
                <w:smallCaps w:val="false"/>
                <w:sz w:val="20"/>
              </w:rPr>
              <w:t>ohne schuldhaftes Z</w:t>
            </w:r>
            <w:r>
              <w:rPr>
                <w:rFonts w:ascii="Times New Roman" w:hAnsi="Times New Roman"/>
                <w:caps w:val="false"/>
                <w:smallCaps w:val="false"/>
                <w:sz w:val="20"/>
              </w:rPr>
              <w:t>ö</w:t>
            </w:r>
            <w:r>
              <w:rPr>
                <w:rFonts w:ascii="Times New Roman" w:hAnsi="Times New Roman"/>
                <w:i/>
                <w:caps w:val="false"/>
                <w:smallCaps w:val="false"/>
                <w:sz w:val="20"/>
              </w:rPr>
              <w:t>gern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49"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caps w:val="false"/>
                <w:smallCaps w:val="false"/>
                <w:sz w:val="20"/>
              </w:rPr>
              <w:t>transfer</w:t>
            </w:r>
            <w:r>
              <w:rPr>
                <w:rFonts w:ascii="Times New Roman" w:hAnsi="Times New Roman"/>
                <w:caps w:val="false"/>
                <w:smallCaps w:val="false"/>
                <w:sz w:val="20"/>
              </w:rPr>
              <w:t>” shall, include assignment (</w:t>
            </w:r>
            <w:r>
              <w:rPr>
                <w:rFonts w:ascii="Times New Roman" w:hAnsi="Times New Roman"/>
                <w:i/>
                <w:caps w:val="false"/>
                <w:smallCaps w:val="false"/>
                <w:sz w:val="20"/>
              </w:rPr>
              <w:t>Abtretung</w:t>
            </w:r>
            <w:r>
              <w:rPr>
                <w:rFonts w:ascii="Times New Roman" w:hAnsi="Times New Roman"/>
                <w:caps w:val="false"/>
                <w:smallCaps w:val="false"/>
                <w:sz w:val="20"/>
              </w:rPr>
              <w:t>), assignment and transfer by assumption of contract (</w:t>
            </w:r>
            <w:r>
              <w:rPr>
                <w:rFonts w:ascii="Times New Roman" w:hAnsi="Times New Roman"/>
                <w:i/>
                <w:caps w:val="false"/>
                <w:smallCaps w:val="false"/>
                <w:sz w:val="20"/>
              </w:rPr>
              <w:t>Vertrags</w:t>
            </w:r>
            <w:r>
              <w:rPr>
                <w:rFonts w:ascii="Times New Roman" w:hAnsi="Times New Roman"/>
                <w:caps w:val="false"/>
                <w:smallCaps w:val="false"/>
                <w:sz w:val="20"/>
              </w:rPr>
              <w:t>ü</w:t>
            </w:r>
            <w:r>
              <w:rPr>
                <w:rFonts w:ascii="Times New Roman" w:hAnsi="Times New Roman"/>
                <w:i/>
                <w:caps w:val="false"/>
                <w:smallCaps w:val="false"/>
                <w:sz w:val="20"/>
              </w:rPr>
              <w:t>bernahme</w:t>
            </w:r>
            <w:r>
              <w:rPr>
                <w:rFonts w:ascii="Times New Roman" w:hAnsi="Times New Roman"/>
                <w:caps w:val="false"/>
                <w:smallCaps w:val="false"/>
                <w:sz w:val="20"/>
              </w:rPr>
              <w:t>), novation (</w:t>
            </w:r>
            <w:r>
              <w:rPr>
                <w:rFonts w:ascii="Times New Roman" w:hAnsi="Times New Roman"/>
                <w:i/>
                <w:caps w:val="false"/>
                <w:smallCaps w:val="false"/>
                <w:sz w:val="20"/>
              </w:rPr>
              <w:t>Schuldumschaffung</w:t>
            </w:r>
            <w:r>
              <w:rPr>
                <w:rFonts w:ascii="Times New Roman" w:hAnsi="Times New Roman"/>
                <w:caps w:val="false"/>
                <w:smallCaps w:val="false"/>
                <w:sz w:val="20"/>
              </w:rPr>
              <w:t>) and universal succession (</w:t>
            </w:r>
            <w:r>
              <w:rPr>
                <w:rFonts w:ascii="Times New Roman" w:hAnsi="Times New Roman"/>
                <w:i/>
                <w:caps w:val="false"/>
                <w:smallCaps w:val="false"/>
                <w:sz w:val="20"/>
              </w:rPr>
              <w:t>Gesamtrechtsnachfolge</w:t>
            </w:r>
            <w:r>
              <w:rPr>
                <w:rFonts w:ascii="Times New Roman" w:hAnsi="Times New Roman"/>
                <w:caps w:val="false"/>
                <w:smallCaps w:val="false"/>
                <w:sz w:val="20"/>
              </w:rPr>
              <w:t>) or any equivalent under any jurisdiction;</w:t>
            </w:r>
          </w:p>
        </w:tc>
      </w:tr>
    </w:tbl>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60"/>
        <w:gridCol w:w="200"/>
        <w:gridCol w:w="732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7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where the context so permits, a reference to the singular includes the plural and </w:t>
            </w:r>
            <w:r>
              <w:rPr>
                <w:rFonts w:ascii="Times New Roman" w:hAnsi="Times New Roman"/>
                <w:i/>
                <w:caps w:val="false"/>
                <w:smallCaps w:val="false"/>
                <w:sz w:val="20"/>
              </w:rPr>
              <w:t>vice versa</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reference to a document or provision of statutory law is a reference to that document or provision as amended, supplemented, restated or novated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60"/>
        <w:gridCol w:w="245"/>
        <w:gridCol w:w="79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7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headings are for ease of reference only and shall be ignored in the construction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9"/>
        <w:gridCol w:w="9966"/>
      </w:tblGrid>
      <w:tr>
        <w:trPr/>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where a German language term has been added to an English language term, such German term shall be decisive for the purpose of construction of this Agreement throughout;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of a conflict between this Agreement and any other agreement, the relevant provision of this Agreement (to the extent permitted by law) prevails.</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125"/>
        <w:gridCol w:w="381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3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EFFECTIVENESS; CLOSING CONDITONS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Agreement shall become effective and legally binding between the Parties on the date on which it has been executed by every Party (the “</w:t>
            </w:r>
            <w:r>
              <w:rPr>
                <w:rFonts w:ascii="Times New Roman" w:hAnsi="Times New Roman"/>
                <w:b/>
                <w:caps w:val="false"/>
                <w:smallCaps w:val="false"/>
                <w:sz w:val="20"/>
              </w:rPr>
              <w:t>Effective Date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effectiveness of the Funding Commitment and the Prolongation Agreement shall be subject to the satisfaction of all of the following conditions (jointly, the “</w:t>
            </w:r>
            <w:r>
              <w:rPr>
                <w:rFonts w:ascii="Times New Roman" w:hAnsi="Times New Roman"/>
                <w:b/>
                <w:caps w:val="false"/>
                <w:smallCaps w:val="false"/>
                <w:sz w:val="20"/>
              </w:rPr>
              <w:t>Closing Condition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has filed the SEC Form 20-F Filing with the U.S. Securities and Exchange Commission (the condition pursuant to this lit. (a), the “</w:t>
            </w:r>
            <w:r>
              <w:rPr>
                <w:rFonts w:ascii="Times New Roman" w:hAnsi="Times New Roman"/>
                <w:b/>
                <w:caps w:val="false"/>
                <w:smallCaps w:val="false"/>
                <w:sz w:val="20"/>
              </w:rPr>
              <w:t>Condition (20-F Filing)</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Qualifying Insolvency Plan for Sono GmbH (as defined in the Continuation Agreement) has become legally binding (</w:t>
            </w:r>
            <w:r>
              <w:rPr>
                <w:rFonts w:ascii="Times New Roman" w:hAnsi="Times New Roman"/>
                <w:i/>
                <w:caps w:val="false"/>
                <w:smallCaps w:val="false"/>
                <w:sz w:val="20"/>
              </w:rPr>
              <w:t>rechtskr</w:t>
            </w:r>
            <w:r>
              <w:rPr>
                <w:rFonts w:ascii="Times New Roman" w:hAnsi="Times New Roman"/>
                <w:caps w:val="false"/>
                <w:smallCaps w:val="false"/>
                <w:sz w:val="20"/>
              </w:rPr>
              <w:t>ä</w:t>
            </w:r>
            <w:r>
              <w:rPr>
                <w:rFonts w:ascii="Times New Roman" w:hAnsi="Times New Roman"/>
                <w:i/>
                <w:caps w:val="false"/>
                <w:smallCaps w:val="false"/>
                <w:sz w:val="20"/>
              </w:rPr>
              <w:t>ftig</w:t>
            </w:r>
            <w:r>
              <w:rPr>
                <w:rFonts w:ascii="Times New Roman" w:hAnsi="Times New Roman"/>
                <w:caps w:val="false"/>
                <w:smallCaps w:val="false"/>
                <w:sz w:val="20"/>
              </w:rPr>
              <w:t>) (the conditions pursuant to this lit. (b), the “</w:t>
            </w:r>
            <w:r>
              <w:rPr>
                <w:rFonts w:ascii="Times New Roman" w:hAnsi="Times New Roman"/>
                <w:b/>
                <w:caps w:val="false"/>
                <w:smallCaps w:val="false"/>
                <w:sz w:val="20"/>
              </w:rPr>
              <w:t>Condition (Plan)</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has filed the SEC Form 6K HY 2023 (in form unreviewed by an auditor) with the U.S. Securities and Exchange Commission (the condition pursuant to this lit. (c), the “</w:t>
            </w:r>
            <w:r>
              <w:rPr>
                <w:rFonts w:ascii="Times New Roman" w:hAnsi="Times New Roman"/>
                <w:b/>
                <w:caps w:val="false"/>
                <w:smallCaps w:val="false"/>
                <w:sz w:val="20"/>
              </w:rPr>
              <w:t>Condition (6K Filing</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has withdrawn the NV Insolvency Filing and no other petition to open insolvency proceedings regarding the assets of Sono NV is pending, and all securing measures (</w:t>
            </w:r>
            <w:r>
              <w:rPr>
                <w:rFonts w:ascii="Times New Roman" w:hAnsi="Times New Roman"/>
                <w:i/>
                <w:caps w:val="false"/>
                <w:smallCaps w:val="false"/>
                <w:sz w:val="20"/>
              </w:rPr>
              <w:t>Sicherungsma</w:t>
            </w:r>
            <w:r>
              <w:rPr>
                <w:rFonts w:ascii="Times New Roman" w:hAnsi="Times New Roman"/>
                <w:caps w:val="false"/>
                <w:smallCaps w:val="false"/>
                <w:sz w:val="20"/>
              </w:rPr>
              <w:t>ß</w:t>
            </w:r>
            <w:r>
              <w:rPr>
                <w:rFonts w:ascii="Times New Roman" w:hAnsi="Times New Roman"/>
                <w:i/>
                <w:caps w:val="false"/>
                <w:smallCaps w:val="false"/>
                <w:sz w:val="20"/>
              </w:rPr>
              <w:t>nahmen</w:t>
            </w:r>
            <w:r>
              <w:rPr>
                <w:rFonts w:ascii="Times New Roman" w:hAnsi="Times New Roman"/>
                <w:caps w:val="false"/>
                <w:smallCaps w:val="false"/>
                <w:sz w:val="20"/>
              </w:rPr>
              <w:t>) taken by the local court of Munich, insolvency court, in its decision dated 17 May 2023 (case number 1513 IN 1347/23) and afterwards have been finally (</w:t>
            </w:r>
            <w:r>
              <w:rPr>
                <w:rFonts w:ascii="Times New Roman" w:hAnsi="Times New Roman"/>
                <w:i/>
                <w:caps w:val="false"/>
                <w:smallCaps w:val="false"/>
                <w:sz w:val="20"/>
              </w:rPr>
              <w:t>rechtskr</w:t>
            </w:r>
            <w:r>
              <w:rPr>
                <w:rFonts w:ascii="Times New Roman" w:hAnsi="Times New Roman"/>
                <w:caps w:val="false"/>
                <w:smallCaps w:val="false"/>
                <w:sz w:val="20"/>
              </w:rPr>
              <w:t>ä</w:t>
            </w:r>
            <w:r>
              <w:rPr>
                <w:rFonts w:ascii="Times New Roman" w:hAnsi="Times New Roman"/>
                <w:i/>
                <w:caps w:val="false"/>
                <w:smallCaps w:val="false"/>
                <w:sz w:val="20"/>
              </w:rPr>
              <w:t>ftig</w:t>
            </w:r>
            <w:r>
              <w:rPr>
                <w:rFonts w:ascii="Times New Roman" w:hAnsi="Times New Roman"/>
                <w:caps w:val="false"/>
                <w:smallCaps w:val="false"/>
                <w:sz w:val="20"/>
              </w:rPr>
              <w:t>) removed (the conditions pursuant to this lit. (c) jointly, the “</w:t>
            </w:r>
            <w:r>
              <w:rPr>
                <w:rFonts w:ascii="Times New Roman" w:hAnsi="Times New Roman"/>
                <w:b/>
                <w:caps w:val="false"/>
                <w:smallCaps w:val="false"/>
                <w:sz w:val="20"/>
              </w:rPr>
              <w:t>Condition (Withdrawal)</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Save section 6.2, upon satisfaction of the Closing Condition Sono NV shall notify Yorkville without undue delay (</w:t>
      </w:r>
      <w:r>
        <w:rPr>
          <w:rFonts w:ascii="Times New Roman" w:hAnsi="Times New Roman"/>
          <w:i/>
          <w:caps w:val="false"/>
          <w:smallCaps w:val="false"/>
          <w:sz w:val="20"/>
        </w:rPr>
        <w:t>unverz</w:t>
      </w:r>
      <w:r>
        <w:rPr>
          <w:rFonts w:ascii="Times New Roman" w:hAnsi="Times New Roman"/>
          <w:caps w:val="false"/>
          <w:smallCaps w:val="false"/>
          <w:sz w:val="20"/>
        </w:rPr>
        <w:t>ü</w:t>
      </w:r>
      <w:r>
        <w:rPr>
          <w:rFonts w:ascii="Times New Roman" w:hAnsi="Times New Roman"/>
          <w:i/>
          <w:caps w:val="false"/>
          <w:smallCaps w:val="false"/>
          <w:sz w:val="20"/>
        </w:rPr>
        <w:t>glich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60"/>
        <w:gridCol w:w="275"/>
        <w:gridCol w:w="78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w:t>
            </w:r>
          </w:p>
        </w:tc>
        <w:tc>
          <w:tcPr>
            <w:tcW w:w="7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Satisfaction of the Closing Condition shall be effected, satisfied and evidenced by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 (20-F Filing) and Condition (6K Filing): Upload of and made available to the public the SEC Form 20-F Filing, respectively the SEC Form 6K HY 2023 on the webpage of Sono NV in compliance with the SEC publication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 (Plan): Expiration of 15 calendar days upon the date of the Court resolution (including) approving the Qualifying Insolvency Plan, provided that no objections or appeals have been raised against the Qualifying Insolvency Plan during this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 (Withdrawal): Court resolution documenting that the preliminary insolvency proceedings regarding Sono NV have ended and lifting all securing measures (</w:t>
            </w:r>
            <w:r>
              <w:rPr>
                <w:rFonts w:ascii="Times New Roman" w:hAnsi="Times New Roman"/>
                <w:i/>
                <w:caps w:val="false"/>
                <w:smallCaps w:val="false"/>
                <w:sz w:val="20"/>
              </w:rPr>
              <w:t>Sicherungsma</w:t>
            </w:r>
            <w:r>
              <w:rPr>
                <w:rFonts w:ascii="Times New Roman" w:hAnsi="Times New Roman"/>
                <w:caps w:val="false"/>
                <w:smallCaps w:val="false"/>
                <w:sz w:val="20"/>
              </w:rPr>
              <w:t>ß</w:t>
            </w:r>
            <w:r>
              <w:rPr>
                <w:rFonts w:ascii="Times New Roman" w:hAnsi="Times New Roman"/>
                <w:i/>
                <w:caps w:val="false"/>
                <w:smallCaps w:val="false"/>
                <w:sz w:val="20"/>
              </w:rPr>
              <w:t>nahmen</w:t>
            </w:r>
            <w:r>
              <w:rPr>
                <w:rFonts w:ascii="Times New Roman" w:hAnsi="Times New Roman"/>
                <w:caps w:val="false"/>
                <w:smallCaps w:val="false"/>
                <w:sz w:val="20"/>
              </w:rPr>
              <w:t>) taken by the local court of Munich.</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60"/>
        <w:gridCol w:w="275"/>
        <w:gridCol w:w="807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w:t>
            </w:r>
          </w:p>
        </w:tc>
        <w:tc>
          <w:tcPr>
            <w:tcW w:w="8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Yorkville has the right to waive the Closing Condition (6K Filing) at any time in its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2.5</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satisfaction of the Closing Condition shall constitute the “</w:t>
            </w:r>
            <w:r>
              <w:rPr>
                <w:rFonts w:ascii="Times New Roman" w:hAnsi="Times New Roman"/>
                <w:b/>
                <w:caps w:val="false"/>
                <w:smallCaps w:val="false"/>
                <w:sz w:val="20"/>
              </w:rPr>
              <w:t>Closing</w:t>
            </w:r>
            <w:r>
              <w:rPr>
                <w:rFonts w:ascii="Times New Roman" w:hAnsi="Times New Roman"/>
                <w:caps w:val="false"/>
                <w:smallCaps w:val="false"/>
                <w:sz w:val="20"/>
              </w:rPr>
              <w:t>”, and the day of the satisfaction of the Closing Condition shall be referred to as the “</w:t>
            </w:r>
            <w:r>
              <w:rPr>
                <w:rFonts w:ascii="Times New Roman" w:hAnsi="Times New Roman"/>
                <w:b/>
                <w:caps w:val="false"/>
                <w:smallCaps w:val="false"/>
                <w:sz w:val="20"/>
              </w:rPr>
              <w:t>Closing Date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2.6</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effectiveness of the other Restructuring Documents (i.e., of the Continuation Agreement, the Settlement Agreement, the Back-to-Back LoC, the NV Share Sale and Transfer Agreement(s) and/or the NV Shareholders Commitment Letter) shall be subject to the satisfaction of the conditions – if any – as provided for therein.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Save compliance with the obligations under this Agreement, neither Party to this Agreement shall be liable vis-à-vis the other Party, if</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60"/>
        <w:gridCol w:w="230"/>
        <w:gridCol w:w="444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44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Auditor is not releasing the SEC 20F Filing, and/or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Courts will not approve the Qualifying Insolvency Plan or the NV Withdrawal, or if third parties will raise objections or appeal to such actions.</w:t>
            </w:r>
          </w:p>
        </w:tc>
      </w:tr>
    </w:tbl>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60"/>
        <w:gridCol w:w="125"/>
        <w:gridCol w:w="144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1445"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TERMINATION</w:t>
            </w:r>
          </w:p>
        </w:tc>
      </w:tr>
    </w:tbl>
    <w:p>
      <w:pPr>
        <w:pStyle w:val="TextBody"/>
        <w:bidi w:val="0"/>
        <w:spacing w:before="0" w:after="0"/>
        <w:ind w:left="0" w:right="0" w:hanging="0"/>
        <w:jc w:val="left"/>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60"/>
        <w:gridCol w:w="275"/>
        <w:gridCol w:w="4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1"/>
        <w:gridCol w:w="9864"/>
      </w:tblGrid>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8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end of 31 December 2023 (or by such other date the Parties mutually agree upon (e-mail with signed consent attached as PDF file sufficient)) the Condition (20-F Filing) has not been satisfied; and/or</w:t>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86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(b) </w:t>
            </w:r>
          </w:p>
        </w:tc>
        <w:tc>
          <w:tcPr>
            <w:tcW w:w="9864" w:type="dxa"/>
            <w:tcBorders/>
            <w:vAlign w:val="center"/>
          </w:tcPr>
          <w:p>
            <w:pPr>
              <w:pStyle w:val="TableContents"/>
              <w:bidi w:val="0"/>
              <w:spacing w:before="0" w:after="283"/>
              <w:jc w:val="left"/>
              <w:rPr/>
            </w:pPr>
            <w:r>
              <w:rPr/>
              <w:t>the end of 31 December 2023 (or by such other date the Parties mutually agree upon (e-mail with signed consent attached as PDF file sufficient)) the Condition (6K Filing) has not been satisfied; and/or</w:t>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86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(c)</w:t>
            </w:r>
          </w:p>
        </w:tc>
        <w:tc>
          <w:tcPr>
            <w:tcW w:w="9864" w:type="dxa"/>
            <w:tcBorders/>
            <w:vAlign w:val="center"/>
          </w:tcPr>
          <w:p>
            <w:pPr>
              <w:pStyle w:val="TableContents"/>
              <w:bidi w:val="0"/>
              <w:spacing w:before="0" w:after="283"/>
              <w:jc w:val="left"/>
              <w:rPr/>
            </w:pPr>
            <w:r>
              <w:rPr/>
              <w:t>the end of 31 January 2024 (or by such other date the Parties mutually agree upon (e-mail with signed consent attached as PDF file sufficient)) the Closing Condition has not been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each Party shall be entitled to terminate this Agreement with immediate effect.</w:t>
      </w:r>
    </w:p>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60"/>
        <w:gridCol w:w="275"/>
        <w:gridCol w:w="780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7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Extraordinary termination rights of the Parties under mandatory statutory law remain unaffected.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termination pursuant to Section 3.1 shall be possible at any time, as long as the reason for the termination is still existing. Section 350 of the German Civil Code shall not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termination pursuant to Section 3.1 needs to be notified by the terminating Party to the respective other Party in writing (e-mail with signed termination notice attached as PDF file sufficient).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consequence, with effect from the termination this Agreement, this Agreement as well as the Funding Commitment and the Prolongation Agreement shall no longer be valid and binding – except that Section 16 and 17 shall survive such termination and continue to apply.</w:t>
            </w:r>
          </w:p>
        </w:tc>
      </w:tr>
    </w:tbl>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60"/>
        <w:gridCol w:w="125"/>
        <w:gridCol w:w="833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8330"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 xml:space="preserve">SEC FORM 20-F FILING, SEC FORM 6K FILING, NEW MANAGEMENT IMPLEMENTATION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undertakes (i) to promptly (</w:t>
            </w:r>
            <w:r>
              <w:rPr>
                <w:rFonts w:ascii="Times New Roman" w:hAnsi="Times New Roman"/>
                <w:i/>
                <w:caps w:val="false"/>
                <w:smallCaps w:val="false"/>
                <w:sz w:val="20"/>
              </w:rPr>
              <w:t>unverz</w:t>
            </w:r>
            <w:r>
              <w:rPr>
                <w:rFonts w:ascii="Times New Roman" w:hAnsi="Times New Roman"/>
                <w:caps w:val="false"/>
                <w:smallCaps w:val="false"/>
                <w:sz w:val="20"/>
              </w:rPr>
              <w:t>ü</w:t>
            </w:r>
            <w:r>
              <w:rPr>
                <w:rFonts w:ascii="Times New Roman" w:hAnsi="Times New Roman"/>
                <w:i/>
                <w:caps w:val="false"/>
                <w:smallCaps w:val="false"/>
                <w:sz w:val="20"/>
              </w:rPr>
              <w:t>glich</w:t>
            </w:r>
            <w:r>
              <w:rPr>
                <w:rFonts w:ascii="Times New Roman" w:hAnsi="Times New Roman"/>
                <w:caps w:val="false"/>
                <w:smallCaps w:val="false"/>
                <w:sz w:val="20"/>
              </w:rPr>
              <w:t>) further engage and instruct the Auditor to finalize the SEC Form 20-F Filing in order to deliver the draft SEC Form 20-F Filing as soon as possible and to submit the final SEC Form 20-F Filing as soon as possible and (ii) to prepare and submit the SEC Form 6K HY 2023 (in form unreviewed by an auditor) as soon as possible, each before the 31 December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Yorkville hereby consents to Sono NV (i) further engaging the Auditor to finalize the SEC Form 20-F Filing, and (ii) Sono NV to pay necessary costs – up to a reasonable extent – related to such SEC Form 20-F Filing with funds from the Available NV Cash, provided such costs have been taken into account in the NV Waterfall.</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
        <w:gridCol w:w="275"/>
        <w:gridCol w:w="72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7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will convene the 2023 general shareholders’ meeting in the calendar year 2023.</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275"/>
        <w:gridCol w:w="960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9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Yorkville may propose that Sono NV convenes shareholders’ meeting(s) at any time to implement Restructuring Steps.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575" w:type="dxa"/>
        <w:jc w:val="left"/>
        <w:tblInd w:w="0" w:type="dxa"/>
        <w:tblLayout w:type="fixed"/>
        <w:tblCellMar>
          <w:top w:w="0" w:type="dxa"/>
          <w:left w:w="0" w:type="dxa"/>
          <w:bottom w:w="0" w:type="dxa"/>
          <w:right w:w="0" w:type="dxa"/>
        </w:tblCellMar>
      </w:tblPr>
      <w:tblGrid>
        <w:gridCol w:w="60"/>
        <w:gridCol w:w="275"/>
        <w:gridCol w:w="82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4.5</w:t>
            </w:r>
          </w:p>
        </w:tc>
        <w:tc>
          <w:tcPr>
            <w:tcW w:w="8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to Closing, the shareholders meeting of Sono NV must have adopted all required resolutions for: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reduction in the nominal value per ordinary share of Sono NV from €0.06 to €0.01 per ordinary share or such lower amount as may be legally permissible and, for the avoidance of any doubt, without any (re)payment or distribution to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60"/>
        <w:gridCol w:w="245"/>
        <w:gridCol w:w="73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reverse stock split without cash components after good faith consultation with Yorkville;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amendment of the articles of association necessary to increase the authorised capital of Sono NV up to 600 million ordinary shares; and</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245"/>
        <w:gridCol w:w="36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363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the Restructuring Steps becoming effective;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unless, in each case, not legally possible under applicable law for Sono NV. Sono NV shall use best efforts to implement and initiate these resolutions as soon as possible, once they have been adopted, with a view to have these resolutions –by using best efforts- implemented before Closing.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4.6</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procures that the transferees under the NV Sale and Transfer Agreement(s) will exercise the voting rights they hold for shares in the capital of Sono NV in favour of any resolutions proposed by Sono NV to give effect to the Restructuring Steps.</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60"/>
        <w:gridCol w:w="125"/>
        <w:gridCol w:w="239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2390"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FUNDING COMMITMENT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Yorkville hereby issues to Sono NV the funding commitment letter attached as </w:t>
            </w:r>
            <w:r>
              <w:rPr>
                <w:rFonts w:ascii="Times New Roman" w:hAnsi="Times New Roman"/>
                <w:b/>
                <w:caps w:val="false"/>
                <w:smallCaps w:val="false"/>
                <w:sz w:val="20"/>
              </w:rPr>
              <w:t>Annex 5.1</w:t>
            </w:r>
            <w:r>
              <w:rPr>
                <w:rFonts w:ascii="Times New Roman" w:hAnsi="Times New Roman"/>
                <w:caps w:val="false"/>
                <w:smallCaps w:val="false"/>
                <w:sz w:val="20"/>
              </w:rPr>
              <w:t> (the “</w:t>
            </w:r>
            <w:r>
              <w:rPr>
                <w:rFonts w:ascii="Times New Roman" w:hAnsi="Times New Roman"/>
                <w:b/>
                <w:caps w:val="false"/>
                <w:smallCaps w:val="false"/>
                <w:sz w:val="20"/>
              </w:rPr>
              <w:t>Funding Commitment</w:t>
            </w:r>
            <w:r>
              <w:rPr>
                <w:rFonts w:ascii="Times New Roman" w:hAnsi="Times New Roman"/>
                <w:caps w:val="false"/>
                <w:smallCaps w:val="false"/>
                <w:sz w:val="20"/>
              </w:rPr>
              <w:t>”), and Sono NV hereby acknowledges and agrees to the Funding Commitment. The effectiveness of the Funding Commitment shall be subject to the satisfaction of the Closing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Under the Funding Commitment, Yorkville shall facilitate Sono NV with funds of up to EUR 9 million </w:t>
            </w:r>
            <w:r>
              <w:rPr>
                <w:rFonts w:ascii="Times New Roman" w:hAnsi="Times New Roman"/>
                <w:i/>
                <w:caps w:val="false"/>
                <w:smallCaps w:val="false"/>
                <w:sz w:val="20"/>
              </w:rPr>
              <w:t>minus</w:t>
            </w:r>
            <w:r>
              <w:rPr>
                <w:rFonts w:ascii="Times New Roman" w:hAnsi="Times New Roman"/>
                <w:caps w:val="false"/>
                <w:smallCaps w:val="false"/>
                <w:sz w:val="20"/>
              </w:rPr>
              <w:t> the amount of the Cash Left-Over at Sono NV, in any case, however, not more than required from 1 December 2023 until 31 December 2024 pursuant to the Going-Concern Budget. Accordingly, a funding of up to EUR 6.952 million would be required pursuant to the Going-Concern Budget.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Promptly after the Closing Date Yorkville will facilitate in accordance with the Funding Commitment the amount of EUR 4 million in cash (the “</w:t>
            </w:r>
            <w:r>
              <w:rPr>
                <w:rFonts w:ascii="Times New Roman" w:hAnsi="Times New Roman"/>
                <w:b/>
                <w:caps w:val="false"/>
                <w:smallCaps w:val="false"/>
                <w:sz w:val="20"/>
              </w:rPr>
              <w:t>Initial Funding Amount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5.4</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second funding will take place in accordance with the Going-Concern Budget as set out in the Funding Commitment.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5.5</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of a negative deviation from the Going-Concern Budget Yorkville will provide further funds to Sono NV, provided that Yorkville and Sono NV – acting in good faith – reach an agreement on an adjusted Going-Concern Budget.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5.6</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funds will be provided by way of one or several convertible debenture(s) as interest-bearing loan maturing on 1 July 2025. The floor price pursuant to the Existing Convertible Debentures and the (new) debenture(s) shall not be applicable if the ordinary shares are not listed and/or traded on Nasdaq on the relevant conversion date; if the ordinary shares are listed and/or traded on Nasdaq on the relevant conversion date, the holder may agree to have the floor price reinstated; for the avoidance of doubt, under no circumstances, will the conversion price per ordinary share be less than the nominal value of one ordinary share unless legally permissibly.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5.7</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Provided the business and financial development is according to plan, in particular in accordance with the Going-Concern Budget, the Parties undertake – acting reasonably and in good faith – to extend the maturity when needed, and to agree on a subordination if and when (legally) needed. It is Yorkville’s intention to equitize the debt between now and then.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5.8</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Parties agree that the Going-Concern-Budget shows to the best of their knowledge all cost and expenses the Parties foresee and anticipate at the date of this Agreement that are required to operate the going concern of Sono Group for the period shown.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5.9</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Save all rights by Yorkville under the Funding Commitment, the Parties acting in good faith will monitor closely the capital expenditure and any costs agreed and foreseen under the Going-Concern Budget, and to amend the Going-Concern Budget provided such amendment is commercially reasonable and necessary.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5.10 </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Parties mutually agree and consent to Sono NV’s making payments of necessary costs – up to a reasonable extent – arising from or in connection with the restructuring of Sono Group, provided such costs have been taken into account in the NV Waterfall.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5.11 </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amendment to the Funding Commitment and any amendment to the Going-Concern Budget shall require consultation with and consent by Sono GmbH, such consent by Sono GmbH not unreasonably withheld.</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0"/>
        <w:gridCol w:w="125"/>
        <w:gridCol w:w="246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2465"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SONO NV COMMITMENTS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(i) the satisfaction of the Condition (20-F Filing), (ii) the satisfaction of the Condition (Plan), (iii) the satisfaction of the Condition (6K Filing), and (iv) the rectification of all Sono NV’s mandatory insolvency filing reasons under German law – illiquidity (Section 17 of the German Insolvency Code) and over-indebtedness (Section 19 of the German Insolvency Code) – Sono NV hereby undertakes toward Yorkville to:</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60"/>
        <w:gridCol w:w="230"/>
        <w:gridCol w:w="500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5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withdraw the NV Insolvency Filing without undue delay;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take all further actions, if any, so that the local court of Munich (insolvency court) issues a resolution documenting that the preliminary insolvency proceedings regarding Sono NV have ended and lifting all securing measures (</w:t>
            </w:r>
            <w:r>
              <w:rPr>
                <w:rFonts w:ascii="Times New Roman" w:hAnsi="Times New Roman"/>
                <w:i/>
                <w:caps w:val="false"/>
                <w:smallCaps w:val="false"/>
                <w:sz w:val="20"/>
              </w:rPr>
              <w:t>Sicherungsma</w:t>
            </w:r>
            <w:r>
              <w:rPr>
                <w:rFonts w:ascii="Times New Roman" w:hAnsi="Times New Roman"/>
                <w:caps w:val="false"/>
                <w:smallCaps w:val="false"/>
                <w:sz w:val="20"/>
              </w:rPr>
              <w:t>ß</w:t>
            </w:r>
            <w:r>
              <w:rPr>
                <w:rFonts w:ascii="Times New Roman" w:hAnsi="Times New Roman"/>
                <w:i/>
                <w:caps w:val="false"/>
                <w:smallCaps w:val="false"/>
                <w:sz w:val="20"/>
              </w:rPr>
              <w:t>nahmen</w:t>
            </w:r>
            <w:r>
              <w:rPr>
                <w:rFonts w:ascii="Times New Roman" w:hAnsi="Times New Roman"/>
                <w:caps w:val="false"/>
                <w:smallCaps w:val="false"/>
                <w:sz w:val="20"/>
              </w:rPr>
              <w:t>) taken ((a) and (b) together the “</w:t>
            </w:r>
            <w:r>
              <w:rPr>
                <w:rFonts w:ascii="Times New Roman" w:hAnsi="Times New Roman"/>
                <w:b/>
                <w:caps w:val="false"/>
                <w:smallCaps w:val="false"/>
                <w:sz w:val="20"/>
              </w:rPr>
              <w:t>NV Withdrawal</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undertakes to notify Yorkville with a copy of each (i) the withdrawal of the NV Insolvency Filing, and (ii) the court order referred to in clause 6.1 (b) above.</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60"/>
        <w:gridCol w:w="125"/>
        <w:gridCol w:w="771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w:t>
            </w:r>
          </w:p>
        </w:tc>
        <w:tc>
          <w:tcPr>
            <w:tcW w:w="77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CONTINUATION AGREEMENT, SETTLEMENT AGREEMENT, BACK-TO-BACK LOC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NV and Sono GmbH have entered into the Continuation Agreement including – inter alia – the Settlement Agreement and the Back-to-Back LoC.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effectiveness of the Continuation Agreement, the Settlement Agreement and the Back-to-Back LoC shall be subject to the (deemed) satisfaction of the conditions as provided for therein.</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60"/>
        <w:gridCol w:w="125"/>
        <w:gridCol w:w="299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w:t>
            </w:r>
          </w:p>
        </w:tc>
        <w:tc>
          <w:tcPr>
            <w:tcW w:w="2990"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 xml:space="preserve">PROLONGATION AGREEMENT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Yorkville and Sono NV have entered into the prolongation agreement attached as </w:t>
            </w:r>
            <w:r>
              <w:rPr>
                <w:rFonts w:ascii="Times New Roman" w:hAnsi="Times New Roman"/>
                <w:b/>
                <w:caps w:val="false"/>
                <w:smallCaps w:val="false"/>
                <w:sz w:val="20"/>
              </w:rPr>
              <w:t>Annex 8.1</w:t>
            </w:r>
            <w:r>
              <w:rPr>
                <w:rFonts w:ascii="Times New Roman" w:hAnsi="Times New Roman"/>
                <w:caps w:val="false"/>
                <w:smallCaps w:val="false"/>
                <w:sz w:val="20"/>
              </w:rPr>
              <w:t> (the “</w:t>
            </w:r>
            <w:r>
              <w:rPr>
                <w:rFonts w:ascii="Times New Roman" w:hAnsi="Times New Roman"/>
                <w:b/>
                <w:caps w:val="false"/>
                <w:smallCaps w:val="false"/>
                <w:sz w:val="20"/>
              </w:rPr>
              <w:t>Prolongation Agreement</w:t>
            </w:r>
            <w:r>
              <w:rPr>
                <w:rFonts w:ascii="Times New Roman" w:hAnsi="Times New Roman"/>
                <w:caps w:val="false"/>
                <w:smallCaps w:val="false"/>
                <w:sz w:val="20"/>
              </w:rPr>
              <w:t xml:space="preserve">”) providing for the deferral of the Existing Convertible Debentures until 1 July 2025. Section 5.7 shall apply </w:t>
            </w:r>
            <w:r>
              <w:rPr>
                <w:rFonts w:ascii="Times New Roman" w:hAnsi="Times New Roman"/>
                <w:i/>
                <w:caps w:val="false"/>
                <w:smallCaps w:val="false"/>
                <w:sz w:val="20"/>
              </w:rPr>
              <w:t>mutatis mutandis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235" w:type="dxa"/>
        <w:jc w:val="left"/>
        <w:tblInd w:w="0" w:type="dxa"/>
        <w:tblLayout w:type="fixed"/>
        <w:tblCellMar>
          <w:top w:w="0" w:type="dxa"/>
          <w:left w:w="0" w:type="dxa"/>
          <w:bottom w:w="0" w:type="dxa"/>
          <w:right w:w="0" w:type="dxa"/>
        </w:tblCellMar>
      </w:tblPr>
      <w:tblGrid>
        <w:gridCol w:w="60"/>
        <w:gridCol w:w="275"/>
        <w:gridCol w:w="89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8.2</w:t>
            </w:r>
          </w:p>
        </w:tc>
        <w:tc>
          <w:tcPr>
            <w:tcW w:w="8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effectiveness of the Prolongation Agreement shall be subject to the satisfaction of the Closing Condition.</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25"/>
        <w:gridCol w:w="27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w:t>
            </w:r>
          </w:p>
        </w:tc>
        <w:tc>
          <w:tcPr>
            <w:tcW w:w="2720"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NV WATERFALL PAYMENTS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(i) the satisfaction of the Closing Condition Sono NV hereby undertakes toward Yorkville to procure any payment as agreed under the NV Waterfall, provided that payments on claims which are not yet due, as indicated in the NV Waterfall, shall be made once the respective claim has become due, and provided further that payments on claims which are disputed shall be made once and to the extent the respective dispute has been resolved.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Parties mutually agree and consent to Sono NV to apply the Available NV Cash pursuant to the NV Waterfall, and to make the payments required thereunder and/or permitted under this Agreement, thereby securing the amount of the Cash Left-Over shall remain with Sono NV for the free disposition of Sono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part of the payments under the NV Waterfall, Sono NV shall pay the Settlement Amount (as defined in the Continuation Agreement), and eventually as adjusted in accordance with the Settlement Agreement.</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0"/>
        <w:gridCol w:w="275"/>
        <w:gridCol w:w="73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9.4</w:t>
            </w:r>
          </w:p>
        </w:tc>
        <w:tc>
          <w:tcPr>
            <w:tcW w:w="7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Parties acknowledge the Available NV Cash and the NV Waterfall as mutually agreed.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9.5</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best knowledge of Sono NV, the annexes to this Agreement, outlining the Available NV Cash and the NV Waterfall are accurate and complete.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9.6</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ensure the availability of the NV Cash Left-Over for Sono NV and the payment of the creditors in the amounts as envisaged under the NV Waterfall, the Parties mutually agree to appoint a trustee promptly after the execution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60"/>
        <w:gridCol w:w="230"/>
        <w:gridCol w:w="324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w:t>
            </w:r>
          </w:p>
        </w:tc>
        <w:tc>
          <w:tcPr>
            <w:tcW w:w="3245"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MUTUAL SETTLEMENT / WAIVER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10.1 </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the occurrence of the Closing, Yorkville hereby agrees – by way of a genuine contract for the benefit of a third party (Section 328 of the German Civil Code) – a pactum de non petendo regarding all potential claims – if any – arising from and/or in connection with the issuance of the Existing Convertible Debentures against (i) the following members of the management (managing directors (</w:t>
            </w:r>
            <w:r>
              <w:rPr>
                <w:rFonts w:ascii="Times New Roman" w:hAnsi="Times New Roman"/>
                <w:i/>
                <w:caps w:val="false"/>
                <w:smallCaps w:val="false"/>
                <w:sz w:val="20"/>
              </w:rPr>
              <w:t>bestuurders</w:t>
            </w:r>
            <w:r>
              <w:rPr>
                <w:rFonts w:ascii="Times New Roman" w:hAnsi="Times New Roman"/>
                <w:caps w:val="false"/>
                <w:smallCaps w:val="false"/>
                <w:sz w:val="20"/>
              </w:rPr>
              <w:t>) and supervisory directors) of Sono NV: Laurin Hahn (CEO), Jona Christians (CEO), Torsten Kiedel (CFO), Markus Volmer (CTO), Johannes Trischler; and/or the following former members of the management (managing directors (</w:t>
            </w:r>
            <w:r>
              <w:rPr>
                <w:rFonts w:ascii="Times New Roman" w:hAnsi="Times New Roman"/>
                <w:i/>
                <w:caps w:val="false"/>
                <w:smallCaps w:val="false"/>
                <w:sz w:val="20"/>
              </w:rPr>
              <w:t>bestuurders</w:t>
            </w:r>
            <w:r>
              <w:rPr>
                <w:rFonts w:ascii="Times New Roman" w:hAnsi="Times New Roman"/>
                <w:caps w:val="false"/>
                <w:smallCaps w:val="false"/>
                <w:sz w:val="20"/>
              </w:rPr>
              <w:t>) and supervisory directors) of Sono NV: Thomas Hausch, Martina Buchhauser, Sebastian Böttger, Robert Jeffe, and Arnd Schwierholz; and/or the management (</w:t>
            </w:r>
            <w:r>
              <w:rPr>
                <w:rFonts w:ascii="Times New Roman" w:hAnsi="Times New Roman"/>
                <w:i/>
                <w:caps w:val="false"/>
                <w:smallCaps w:val="false"/>
                <w:sz w:val="20"/>
              </w:rPr>
              <w:t>Gesch</w:t>
            </w:r>
            <w:r>
              <w:rPr>
                <w:rFonts w:ascii="Times New Roman" w:hAnsi="Times New Roman"/>
                <w:caps w:val="false"/>
                <w:smallCaps w:val="false"/>
                <w:sz w:val="20"/>
              </w:rPr>
              <w:t>ä</w:t>
            </w:r>
            <w:r>
              <w:rPr>
                <w:rFonts w:ascii="Times New Roman" w:hAnsi="Times New Roman"/>
                <w:i/>
                <w:caps w:val="false"/>
                <w:smallCaps w:val="false"/>
                <w:sz w:val="20"/>
              </w:rPr>
              <w:t>ftsf</w:t>
            </w:r>
            <w:r>
              <w:rPr>
                <w:rFonts w:ascii="Times New Roman" w:hAnsi="Times New Roman"/>
                <w:caps w:val="false"/>
                <w:smallCaps w:val="false"/>
                <w:sz w:val="20"/>
              </w:rPr>
              <w:t>ü</w:t>
            </w:r>
            <w:r>
              <w:rPr>
                <w:rFonts w:ascii="Times New Roman" w:hAnsi="Times New Roman"/>
                <w:i/>
                <w:caps w:val="false"/>
                <w:smallCaps w:val="false"/>
                <w:sz w:val="20"/>
              </w:rPr>
              <w:t>hrer</w:t>
            </w:r>
            <w:r>
              <w:rPr>
                <w:rFonts w:ascii="Times New Roman" w:hAnsi="Times New Roman"/>
                <w:caps w:val="false"/>
                <w:smallCaps w:val="false"/>
                <w:sz w:val="20"/>
              </w:rPr>
              <w:t>) of Sono GmbH.</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425"/>
        <w:gridCol w:w="5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10.2 </w:t>
            </w:r>
          </w:p>
        </w:tc>
        <w:tc>
          <w:tcPr>
            <w:tcW w:w="5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pactum de non petendo is subject to the following qualifications: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pactum de non petendo as per section 10.1 shall be lifted and has no effect (</w:t>
            </w:r>
            <w:r>
              <w:rPr>
                <w:rFonts w:ascii="Times New Roman" w:hAnsi="Times New Roman"/>
                <w:i/>
                <w:caps w:val="false"/>
                <w:smallCaps w:val="false"/>
                <w:sz w:val="20"/>
              </w:rPr>
              <w:t>aufl</w:t>
            </w:r>
            <w:r>
              <w:rPr>
                <w:rFonts w:ascii="Times New Roman" w:hAnsi="Times New Roman"/>
                <w:caps w:val="false"/>
                <w:smallCaps w:val="false"/>
                <w:sz w:val="20"/>
              </w:rPr>
              <w:t>ö</w:t>
            </w:r>
            <w:r>
              <w:rPr>
                <w:rFonts w:ascii="Times New Roman" w:hAnsi="Times New Roman"/>
                <w:i/>
                <w:caps w:val="false"/>
                <w:smallCaps w:val="false"/>
                <w:sz w:val="20"/>
              </w:rPr>
              <w:t>sende Bedingung</w:t>
            </w:r>
            <w:r>
              <w:rPr>
                <w:rFonts w:ascii="Times New Roman" w:hAnsi="Times New Roman"/>
                <w:caps w:val="false"/>
                <w:smallCaps w:val="false"/>
                <w:sz w:val="20"/>
              </w:rPr>
              <w:t>) if and to the extent this is preventing or otherwise limiting recourse to any D&amp;O insurance cover.</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60"/>
        <w:gridCol w:w="245"/>
        <w:gridCol w:w="76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7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is no intention to pursue such claims if there is no D&amp;O insurance cover for such claims.</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0"/>
        <w:gridCol w:w="230"/>
        <w:gridCol w:w="54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5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Claims will only be pursued at the earliest 18 months after Closing.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required, the person affected will give a rolling agreement to make sure claims will not be lost because of expiration of statute of limitations. Not delivery of such declaration upon request within 20 Business Days is a condition subsequent (</w:t>
            </w:r>
            <w:r>
              <w:rPr>
                <w:rFonts w:ascii="Times New Roman" w:hAnsi="Times New Roman"/>
                <w:i/>
                <w:caps w:val="false"/>
                <w:smallCaps w:val="false"/>
                <w:sz w:val="20"/>
              </w:rPr>
              <w:t>aufl</w:t>
            </w:r>
            <w:r>
              <w:rPr>
                <w:rFonts w:ascii="Times New Roman" w:hAnsi="Times New Roman"/>
                <w:caps w:val="false"/>
                <w:smallCaps w:val="false"/>
                <w:sz w:val="20"/>
              </w:rPr>
              <w:t>ö</w:t>
            </w:r>
            <w:r>
              <w:rPr>
                <w:rFonts w:ascii="Times New Roman" w:hAnsi="Times New Roman"/>
                <w:i/>
                <w:caps w:val="false"/>
                <w:smallCaps w:val="false"/>
                <w:sz w:val="20"/>
              </w:rPr>
              <w:t>sende Bedingung</w:t>
            </w:r>
            <w:r>
              <w:rPr>
                <w:rFonts w:ascii="Times New Roman" w:hAnsi="Times New Roman"/>
                <w:caps w:val="false"/>
                <w:smallCaps w:val="false"/>
                <w:sz w:val="20"/>
              </w:rPr>
              <w:t>) to section 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claims will be pursued, once 80 per cent of the Existing Convertible Debentures (i) have been sold by Yorkville, (ii) have been fully repaid to Yorkville, and/or (iii) converted.</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0"/>
        <w:gridCol w:w="200"/>
        <w:gridCol w:w="644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64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Lock-up: 12 months (as stipulated under the Shareholders Commitment Letter).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Sono NV confirms to its best knowledge that claims made have been notified to D&amp;O insurer.</w:t>
      </w:r>
    </w:p>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60"/>
        <w:gridCol w:w="230"/>
        <w:gridCol w:w="294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w:t>
            </w:r>
          </w:p>
        </w:tc>
        <w:tc>
          <w:tcPr>
            <w:tcW w:w="2945"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INFORMATION UNDERTAKING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Sono NV shall provide Yorkville with information in relation to its insolvency proceedings to the extent legally permissible.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In particular as regards the Restructuring Steps and the Restructuring Documents Sono NV will use best efforts to comply with all of its filing and reporting obligations, in particular SEC requirements.</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230"/>
        <w:gridCol w:w="192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12</w:t>
            </w:r>
          </w:p>
        </w:tc>
        <w:tc>
          <w:tcPr>
            <w:tcW w:w="1925"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REPRESENTATIONS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Each Party represents and warrants to each other Party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duly incorporated or duly established and validly existing under the law of its jurisdiction of incorporation or 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taking into account the consent of the NV Custodian, it has the power to enter into and perform, and has taken all necessary action to authorize the entry into and performance of this Agreement and the transactions contemplated by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taking into account the consent of the NV Custodian, all acts, conditions and things required to be done, fulfilled and performed in order: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8"/>
        <w:gridCol w:w="9967"/>
      </w:tblGrid>
      <w:tr>
        <w:trPr/>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enable it lawfully to enter into, exercise its rights under and perform and comply with the obligations expressed to be assumed by it in this Agreement are legal, valid and binding; and</w:t>
            </w:r>
          </w:p>
        </w:tc>
      </w:tr>
    </w:tbl>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0"/>
        <w:gridCol w:w="260"/>
        <w:gridCol w:w="864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8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ensure that the obligations expressed to be assumed by it in this Agreement are legal, valid and binding,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have been done, fulfilled and performed and are in full force and effect.</w:t>
      </w:r>
    </w:p>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230"/>
        <w:gridCol w:w="626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13</w:t>
            </w:r>
          </w:p>
        </w:tc>
        <w:tc>
          <w:tcPr>
            <w:tcW w:w="6260"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TRANSFERS AND ACCESSIONS; SET-OFF AND RETENTION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13.1 </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Party may assign or transfer its rights and/or obligations under this Agreement without the prior written consent of the respective other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13.2 </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set-off or retention right of a Party shall be excluded, unless the existence of such right is undisputed or confirmed by a final court decision.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470" w:type="dxa"/>
        <w:jc w:val="left"/>
        <w:tblInd w:w="0" w:type="dxa"/>
        <w:tblLayout w:type="fixed"/>
        <w:tblCellMar>
          <w:top w:w="0" w:type="dxa"/>
          <w:left w:w="0" w:type="dxa"/>
          <w:bottom w:w="0" w:type="dxa"/>
          <w:right w:w="0" w:type="dxa"/>
        </w:tblCellMar>
      </w:tblPr>
      <w:tblGrid>
        <w:gridCol w:w="60"/>
        <w:gridCol w:w="230"/>
        <w:gridCol w:w="51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14</w:t>
            </w:r>
          </w:p>
        </w:tc>
        <w:tc>
          <w:tcPr>
            <w:tcW w:w="5180"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FURTHER ASSURANCE; MATERIAL ADVERSE 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14.1 </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14.2 </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between the execution of this Agreement and the Closing Date circumstances occur which materially impact the economics of the transaction contemplated by the Restructuring Documents, the Parties undertake to discuss in good faith options to still achieve a mutually satisfactory outcome.</w:t>
            </w:r>
          </w:p>
        </w:tc>
      </w:tr>
    </w:tbl>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60"/>
        <w:gridCol w:w="230"/>
        <w:gridCol w:w="8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15</w:t>
            </w:r>
          </w:p>
        </w:tc>
        <w:tc>
          <w:tcPr>
            <w:tcW w:w="890"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NOTICES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15.1 </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Save otherwise provided for in this Agreement, any notice or other communication of the Parties in connection with this Agreement must be sent in written form in the English language (incl. by e-mail having signed declarations/notices attached as PDF file) to the following addresses: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60"/>
        <w:gridCol w:w="230"/>
        <w:gridCol w:w="72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7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Sono NV, then to the address of Sono NV set out at the beginning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Attention: Christian Plail, Matthias Räupke, and Torsten Kiedel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E-mail (PDF of letter): christian.plail@schneidergeiwitz.de; Matthias.raeupke@schneidergeiwitz.de; torsten.kiedel@sonomotors.com</w:t>
      </w:r>
    </w:p>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60"/>
        <w:gridCol w:w="245"/>
        <w:gridCol w:w="73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7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Yorkville, then to the address of Yorkville set out at the beginning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Attention: Mr Michael Rosselli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E-mail (pdf of letter): mrosselli@yorkvilleadvisors.com</w:t>
      </w:r>
    </w:p>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60"/>
        <w:gridCol w:w="425"/>
        <w:gridCol w:w="800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15.2 </w:t>
            </w:r>
          </w:p>
        </w:tc>
        <w:tc>
          <w:tcPr>
            <w:tcW w:w="8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changes to addresses shall become effective not until actual receipt of a corresponding notice.</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60"/>
        <w:gridCol w:w="230"/>
        <w:gridCol w:w="14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16</w:t>
            </w:r>
          </w:p>
        </w:tc>
        <w:tc>
          <w:tcPr>
            <w:tcW w:w="1490"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SEVERABILITY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any provision of this Agreement should be or become void (</w:t>
      </w:r>
      <w:r>
        <w:rPr>
          <w:rFonts w:ascii="Times New Roman" w:hAnsi="Times New Roman"/>
          <w:i/>
          <w:caps w:val="false"/>
          <w:smallCaps w:val="false"/>
          <w:sz w:val="20"/>
        </w:rPr>
        <w:t>nichtig</w:t>
      </w:r>
      <w:r>
        <w:rPr>
          <w:rFonts w:ascii="Times New Roman" w:hAnsi="Times New Roman"/>
          <w:caps w:val="false"/>
          <w:smallCaps w:val="false"/>
          <w:sz w:val="20"/>
        </w:rPr>
        <w:t>), invalid (</w:t>
      </w:r>
      <w:r>
        <w:rPr>
          <w:rFonts w:ascii="Times New Roman" w:hAnsi="Times New Roman"/>
          <w:i/>
          <w:caps w:val="false"/>
          <w:smallCaps w:val="false"/>
          <w:sz w:val="20"/>
        </w:rPr>
        <w:t>unwirksam</w:t>
      </w:r>
      <w:r>
        <w:rPr>
          <w:rFonts w:ascii="Times New Roman" w:hAnsi="Times New Roman"/>
          <w:caps w:val="false"/>
          <w:smallCaps w:val="false"/>
          <w:sz w:val="20"/>
        </w:rPr>
        <w:t>) or unenforceable (</w:t>
      </w:r>
      <w:r>
        <w:rPr>
          <w:rFonts w:ascii="Times New Roman" w:hAnsi="Times New Roman"/>
          <w:i/>
          <w:caps w:val="false"/>
          <w:smallCaps w:val="false"/>
          <w:sz w:val="20"/>
        </w:rPr>
        <w:t>nicht durchsetzbar</w:t>
      </w:r>
      <w:r>
        <w:rPr>
          <w:rFonts w:ascii="Times New Roman" w:hAnsi="Times New Roman"/>
          <w:caps w:val="false"/>
          <w:smallCaps w:val="false"/>
          <w:sz w:val="20"/>
        </w:rPr>
        <w:t>) in whole or in part, this shall indisputably (</w:t>
      </w:r>
      <w:r>
        <w:rPr>
          <w:rFonts w:ascii="Times New Roman" w:hAnsi="Times New Roman"/>
          <w:i/>
          <w:caps w:val="false"/>
          <w:smallCaps w:val="false"/>
          <w:sz w:val="20"/>
        </w:rPr>
        <w:t>unwiderlegbar</w:t>
      </w:r>
      <w:r>
        <w:rPr>
          <w:rFonts w:ascii="Times New Roman" w:hAnsi="Times New Roman"/>
          <w:caps w:val="false"/>
          <w:smallCaps w:val="false"/>
          <w:sz w:val="20"/>
        </w:rPr>
        <w:t xml:space="preserve">) not affect the validity or the balance of this Agreement. The invalid or unenforceable provision shall be deemed replaced by such provision which best meets the intent and the economic purpose of the invalid or unenforceable provision. The same shall apply </w:t>
      </w:r>
      <w:r>
        <w:rPr>
          <w:rFonts w:ascii="Times New Roman" w:hAnsi="Times New Roman"/>
          <w:i/>
          <w:caps w:val="false"/>
          <w:smallCaps w:val="false"/>
          <w:sz w:val="20"/>
        </w:rPr>
        <w:t>mutatis mutandis</w:t>
      </w:r>
      <w:r>
        <w:rPr>
          <w:rFonts w:ascii="Times New Roman" w:hAnsi="Times New Roman"/>
          <w:caps w:val="false"/>
          <w:smallCaps w:val="false"/>
          <w:sz w:val="20"/>
        </w:rPr>
        <w:t xml:space="preserve"> in case of omissions (</w:t>
      </w:r>
      <w:r>
        <w:rPr>
          <w:rFonts w:ascii="Times New Roman" w:hAnsi="Times New Roman"/>
          <w:i/>
          <w:caps w:val="false"/>
          <w:smallCaps w:val="false"/>
          <w:sz w:val="20"/>
        </w:rPr>
        <w:t>Vertragsl</w:t>
      </w:r>
      <w:r>
        <w:rPr>
          <w:rFonts w:ascii="Times New Roman" w:hAnsi="Times New Roman"/>
          <w:caps w:val="false"/>
          <w:smallCaps w:val="false"/>
          <w:sz w:val="20"/>
        </w:rPr>
        <w:t>ü</w:t>
      </w:r>
      <w:r>
        <w:rPr>
          <w:rFonts w:ascii="Times New Roman" w:hAnsi="Times New Roman"/>
          <w:i/>
          <w:caps w:val="false"/>
          <w:smallCaps w:val="false"/>
          <w:sz w:val="20"/>
        </w:rPr>
        <w:t>cken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60"/>
        <w:gridCol w:w="230"/>
        <w:gridCol w:w="375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17</w:t>
            </w:r>
          </w:p>
        </w:tc>
        <w:tc>
          <w:tcPr>
            <w:tcW w:w="3755"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GOVERNING LAW AND ENFORCEMENT</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60"/>
        <w:gridCol w:w="425"/>
        <w:gridCol w:w="135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17.1 </w:t>
            </w:r>
          </w:p>
        </w:tc>
        <w:tc>
          <w:tcPr>
            <w:tcW w:w="13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This Agreement and any non-contractual obligations arising out of or in connection with it shall be governed by and construed in accordance with German (substantive) law without giving effect to its conflict of law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525" w:type="dxa"/>
        <w:jc w:val="left"/>
        <w:tblInd w:w="0" w:type="dxa"/>
        <w:tblLayout w:type="fixed"/>
        <w:tblCellMar>
          <w:top w:w="0" w:type="dxa"/>
          <w:left w:w="0" w:type="dxa"/>
          <w:bottom w:w="0" w:type="dxa"/>
          <w:right w:w="0" w:type="dxa"/>
        </w:tblCellMar>
      </w:tblPr>
      <w:tblGrid>
        <w:gridCol w:w="60"/>
        <w:gridCol w:w="425"/>
        <w:gridCol w:w="104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17.2 </w:t>
            </w:r>
          </w:p>
        </w:tc>
        <w:tc>
          <w:tcPr>
            <w:tcW w:w="10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Jurisdiction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Parties agree that the German courts have exclusive jurisdiction to settle any dispute in connection with this Agreement or any non-contractual obligations arising out of or in connection with it. The exclusive place of jurisdiction shall be Munich, Germany.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Parties agree that the courts of Germany are the most appropriate and convenient courts to settle any dispute in connection with this Agreement. Each Party irrevocably waives any right that it may have to object to an action being brought in the courts of Germany, to claim that the action has been brought in an inconvenient forum, or to claim that the courts of Germany does not have jurisdiction.</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60"/>
        <w:gridCol w:w="230"/>
        <w:gridCol w:w="105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w:t>
            </w:r>
          </w:p>
        </w:tc>
        <w:tc>
          <w:tcPr>
            <w:tcW w:w="1055"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Any (personal) liability of the NV Custodian and/or the representatives of Sono NV (including its management and its general representatives by general power of attorney) under, or in connection with, this Agreement, in particular pursuant to Sections 60, 61 of the German Insolvency Code (including their analogous application), shall be excluded (genuine contract for the benefit of a third party, Section 328 of the German Civil Code); this shall not apply in case of intent or fraudulent intent.</w:t>
      </w:r>
    </w:p>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60"/>
        <w:gridCol w:w="230"/>
        <w:gridCol w:w="143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19</w:t>
            </w:r>
          </w:p>
        </w:tc>
        <w:tc>
          <w:tcPr>
            <w:tcW w:w="1430"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AMENDMENTS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Unless otherwise explicitly provided for in this Agreement, any amendment or supplement to this Agreement must be made in writing to be effective unless a stricter form is required by law. This shall also apply to any deviation from this written form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 xml:space="preserve">SIGNATURE PAGE: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3035"/>
        <w:gridCol w:w="60"/>
        <w:gridCol w:w="300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Torsten Kiedel</w:t>
            </w:r>
            <w:r>
              <w:rPr>
                <w:rFonts w:ascii="Times New Roman" w:hAnsi="Times New Roman"/>
                <w:caps w:val="false"/>
                <w:smallCaps w:val="false"/>
                <w:sz w:val="20"/>
              </w:rPr>
              <w:t>______________</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Jona Christians</w:t>
            </w:r>
            <w:r>
              <w:rPr>
                <w:rFonts w:ascii="Times New Roman" w:hAnsi="Times New Roman"/>
                <w:caps w:val="false"/>
                <w:smallCaps w:val="false"/>
                <w:sz w:val="20"/>
              </w:rPr>
              <w:t>______________</w:t>
            </w:r>
          </w:p>
        </w:tc>
      </w:tr>
      <w:tr>
        <w:trPr/>
        <w:tc>
          <w:tcPr>
            <w:tcW w:w="3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r>
      <w:tr>
        <w:trPr/>
        <w:tc>
          <w:tcPr>
            <w:tcW w:w="3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Torsten Kiedel</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Jona Christians</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Markus Volmer</w:t>
            </w:r>
            <w:r>
              <w:rPr>
                <w:rFonts w:ascii="Times New Roman" w:hAnsi="Times New Roman"/>
                <w:caps w:val="false"/>
                <w:smallCaps w:val="false"/>
                <w:sz w:val="20"/>
              </w:rPr>
              <w:t>______________</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Christian Plail</w:t>
            </w:r>
            <w:r>
              <w:rPr>
                <w:rFonts w:ascii="Times New Roman" w:hAnsi="Times New Roman"/>
                <w:caps w:val="false"/>
                <w:smallCaps w:val="false"/>
                <w:sz w:val="20"/>
              </w:rPr>
              <w:t>_______________</w:t>
            </w:r>
          </w:p>
        </w:tc>
      </w:tr>
      <w:tr>
        <w:trPr/>
        <w:tc>
          <w:tcPr>
            <w:tcW w:w="3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r>
      <w:tr>
        <w:trPr/>
        <w:tc>
          <w:tcPr>
            <w:tcW w:w="3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Markus Volmer</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Generalhandlungsbevollm</w:t>
            </w:r>
            <w:r>
              <w:rPr>
                <w:rFonts w:ascii="Times New Roman" w:hAnsi="Times New Roman"/>
                <w:caps w:val="false"/>
                <w:smallCaps w:val="false"/>
                <w:sz w:val="20"/>
              </w:rPr>
              <w:t>ä</w:t>
            </w:r>
            <w:r>
              <w:rPr>
                <w:rFonts w:ascii="Times New Roman" w:hAnsi="Times New Roman"/>
                <w:i/>
                <w:caps w:val="false"/>
                <w:smallCaps w:val="false"/>
                <w:sz w:val="20"/>
              </w:rPr>
              <w:t>chtigter</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Matt Beckman</w:t>
            </w:r>
            <w:r>
              <w:rPr>
                <w:rFonts w:ascii="Times New Roman" w:hAnsi="Times New Roman"/>
                <w:caps w:val="false"/>
                <w:smallCaps w:val="false"/>
                <w:sz w:val="20"/>
              </w:rPr>
              <w:t>_______________</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Yorkville</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Matt Beckman</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consent of:</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 Marlene Scheinert</w:t>
            </w:r>
            <w:r>
              <w:rPr>
                <w:rFonts w:ascii="Times New Roman" w:hAnsi="Times New Roman"/>
                <w:caps w:val="false"/>
                <w:smallCaps w:val="false"/>
                <w:sz w:val="20"/>
              </w:rPr>
              <w:t>____________</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Marlene Scheinert</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Preliminary Custodian</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 Sachwalterin</w:t>
            </w:r>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(B)(1)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Going-Concern Budget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 w:hAnsi="Times New Roman"/>
          <w:caps w:val="false"/>
          <w:smallCaps w:val="false"/>
          <w:sz w:val="20"/>
        </w:rPr>
      </w:pPr>
      <w:r>
        <w:rPr>
          <w:rFonts w:ascii="Times New Roman" w:hAnsi="Times New Roman"/>
          <w:caps w:val="false"/>
          <w:smallCaps w:val="false"/>
          <w:sz w:val="20"/>
        </w:rPr>
        <w:t>[OMITTED]</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(B)(3)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Continuation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caps w:val="false"/>
          <w:smallCaps w:val="false"/>
          <w:sz w:val="20"/>
        </w:rPr>
      </w:pPr>
      <w:r>
        <w:rPr>
          <w:rFonts w:ascii="Times New Roman" w:hAnsi="Times New Roman"/>
          <w:caps w:val="false"/>
          <w:smallCaps w:val="false"/>
          <w:sz w:val="20"/>
        </w:rPr>
        <w:t>[incorporated herein by reference to Exhibit 4.9 of the Company’s Annual Report on Form 20-F</w:t>
        <w:br/>
        <w:t>for the year ended December 31,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(B)(6)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Shareholders Commitment Letter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caps w:val="false"/>
          <w:smallCaps w:val="false"/>
          <w:sz w:val="20"/>
        </w:rPr>
      </w:pPr>
      <w:r>
        <w:rPr>
          <w:rFonts w:ascii="Times New Roman" w:hAnsi="Times New Roman"/>
          <w:caps w:val="false"/>
          <w:smallCaps w:val="false"/>
          <w:sz w:val="20"/>
        </w:rPr>
        <w:t>[incorporated herein by reference to Exhibit 4.11 of the Company’s Annual Report on Form 20-F</w:t>
        <w:br/>
        <w:t>for the year ended December 31, 2022]</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(L)</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NV Waterfall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[OMITTED]</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5.1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Funding Commitment Letter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[incorporated herein by reference to Exhibit 4.10 of the Company’s Annual Report on Form 20-F</w:t>
        <w:br/>
        <w:t>for the year ended December 31,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8.1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Prolongation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caps w:val="false"/>
          <w:smallCaps w:val="false"/>
          <w:sz w:val="20"/>
        </w:rPr>
      </w:pPr>
      <w:r>
        <w:rPr>
          <w:rFonts w:ascii="Times New Roman" w:hAnsi="Times New Roman"/>
          <w:caps w:val="false"/>
          <w:smallCaps w:val="false"/>
          <w:sz w:val="20"/>
        </w:rPr>
        <w:t>[incorporated herein by reference to Exhibit 4.14 of the Company’s Annual Report on Form 20-F</w:t>
        <w:br/>
        <w:t>for the year ended December 31, 2022]</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98" w:name="ex_607675.htm"/>
      <w:bookmarkStart w:id="99" w:name="ksex_607675"/>
      <w:bookmarkEnd w:id="98"/>
      <w:bookmarkEnd w:id="99"/>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4.9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color w:val="FF0000"/>
          <w:sz w:val="20"/>
        </w:rPr>
      </w:pPr>
      <w:r>
        <w:rPr>
          <w:rFonts w:ascii="Times New Roman" w:hAnsi="Times New Roman"/>
          <w:b/>
          <w:caps w:val="false"/>
          <w:smallCaps w:val="false"/>
          <w:color w:val="FF0000"/>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70" w:type="dxa"/>
        <w:jc w:val="left"/>
        <w:tblInd w:w="0" w:type="dxa"/>
        <w:tblLayout w:type="fixed"/>
        <w:tblCellMar>
          <w:top w:w="0" w:type="dxa"/>
          <w:left w:w="0" w:type="dxa"/>
          <w:bottom w:w="0" w:type="dxa"/>
          <w:right w:w="0" w:type="dxa"/>
        </w:tblCellMar>
      </w:tblPr>
      <w:tblGrid>
        <w:gridCol w:w="2870"/>
      </w:tblGrid>
      <w:tr>
        <w:trPr/>
        <w:tc>
          <w:tcPr>
            <w:tcW w:w="2870" w:type="dxa"/>
            <w:tcBorders/>
            <w:vAlign w:val="center"/>
          </w:tcPr>
          <w:p>
            <w:pPr>
              <w:pStyle w:val="TableContents"/>
              <w:bidi w:val="0"/>
              <w:spacing w:before="0" w:after="283"/>
              <w:jc w:val="left"/>
              <w:rPr/>
            </w:pPr>
            <w:r>
              <w:rPr/>
              <w:t> </w:t>
            </w:r>
          </w:p>
        </w:tc>
      </w:tr>
      <w:tr>
        <w:trPr/>
        <w:tc>
          <w:tcPr>
            <w:tcW w:w="287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70" w:type="dxa"/>
            <w:tcBorders>
              <w:bottom w:val="single" w:sz="2" w:space="0" w:color="000000"/>
            </w:tcBorders>
            <w:tcMar>
              <w:bottom w:w="28" w:type="dxa"/>
            </w:tcMar>
            <w:vAlign w:val="center"/>
          </w:tcPr>
          <w:p>
            <w:pPr>
              <w:pStyle w:val="TableContents"/>
              <w:bidi w:val="0"/>
              <w:spacing w:before="0" w:after="0"/>
              <w:ind w:left="0" w:right="0" w:hanging="0"/>
              <w:jc w:val="center"/>
              <w:rPr>
                <w:smallCaps/>
              </w:rPr>
            </w:pPr>
            <w:r>
              <w:rPr>
                <w:smallCaps/>
              </w:rPr>
              <w:t> </w:t>
            </w:r>
          </w:p>
          <w:p>
            <w:pPr>
              <w:pStyle w:val="TableContents"/>
              <w:bidi w:val="0"/>
              <w:spacing w:before="0" w:after="0"/>
              <w:ind w:left="0" w:right="0" w:hanging="0"/>
              <w:jc w:val="center"/>
              <w:rPr>
                <w:smallCaps/>
              </w:rPr>
            </w:pPr>
            <w:r>
              <w:rPr>
                <w:smallCaps/>
              </w:rPr>
              <w:t> </w:t>
            </w:r>
          </w:p>
          <w:p>
            <w:pPr>
              <w:pStyle w:val="TableContents"/>
              <w:bidi w:val="0"/>
              <w:spacing w:before="0" w:after="0"/>
              <w:ind w:left="0" w:right="0" w:hanging="0"/>
              <w:jc w:val="center"/>
              <w:rPr>
                <w:rFonts w:ascii="Times New Roman" w:hAnsi="Times New Roman"/>
                <w:b/>
                <w:smallCaps/>
                <w:sz w:val="20"/>
              </w:rPr>
            </w:pPr>
            <w:r>
              <w:rPr>
                <w:rFonts w:ascii="Times New Roman" w:hAnsi="Times New Roman"/>
                <w:b/>
                <w:smallCaps/>
                <w:sz w:val="20"/>
              </w:rPr>
              <w:t>CONTINUATION AGREEMENT</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regarding</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smallCaps/>
                <w:sz w:val="20"/>
              </w:rPr>
            </w:pPr>
            <w:r>
              <w:rPr>
                <w:rFonts w:ascii="Times New Roman" w:hAnsi="Times New Roman"/>
                <w:b/>
                <w:smallCaps/>
                <w:sz w:val="20"/>
              </w:rPr>
              <w:t>SONO MOTORS GMBH</w:t>
            </w:r>
          </w:p>
          <w:p>
            <w:pPr>
              <w:pStyle w:val="TableContents"/>
              <w:bidi w:val="0"/>
              <w:spacing w:before="0" w:after="0"/>
              <w:ind w:left="0" w:right="0" w:hanging="0"/>
              <w:jc w:val="center"/>
              <w:rPr>
                <w:smallCaps/>
              </w:rPr>
            </w:pPr>
            <w:r>
              <w:rPr>
                <w:smallCaps/>
              </w:rPr>
              <w:t> </w:t>
            </w:r>
          </w:p>
          <w:p>
            <w:pPr>
              <w:pStyle w:val="TableContents"/>
              <w:bidi w:val="0"/>
              <w:spacing w:before="0" w:after="0"/>
              <w:ind w:left="0" w:right="0" w:hanging="0"/>
              <w:jc w:val="center"/>
              <w:rPr>
                <w:smallCaps/>
              </w:rPr>
            </w:pPr>
            <w:r>
              <w:rPr>
                <w:smallCaps/>
              </w:rPr>
              <w:t> </w:t>
            </w:r>
          </w:p>
          <w:p>
            <w:pPr>
              <w:pStyle w:val="TableContents"/>
              <w:bidi w:val="0"/>
              <w:spacing w:before="0" w:after="0"/>
              <w:ind w:left="0" w:right="0" w:hanging="0"/>
              <w:jc w:val="center"/>
              <w:rPr>
                <w:smallCaps/>
              </w:rPr>
            </w:pPr>
            <w:r>
              <w:rPr>
                <w:smallCaps/>
              </w:rPr>
              <w:t> </w:t>
            </w:r>
          </w:p>
        </w:tc>
      </w:tr>
      <w:tr>
        <w:trPr/>
        <w:tc>
          <w:tcPr>
            <w:tcW w:w="28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1295400" cy="438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8"/>
                    <a:stretch>
                      <a:fillRect/>
                    </a:stretch>
                  </pic:blipFill>
                  <pic:spPr bwMode="auto">
                    <a:xfrm>
                      <a:off x="0" y="0"/>
                      <a:ext cx="1295400" cy="438150"/>
                    </a:xfrm>
                    <a:prstGeom prst="rect">
                      <a:avLst/>
                    </a:prstGeom>
                  </pic:spPr>
                </pic:pic>
              </a:graphicData>
            </a:graphic>
          </wp:inline>
        </w:drawing>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Dentons Europe (Germany) GmbH &amp; Co. KG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5545" w:type="dxa"/>
        <w:jc w:val="left"/>
        <w:tblInd w:w="0" w:type="dxa"/>
        <w:tblLayout w:type="fixed"/>
        <w:tblCellMar>
          <w:top w:w="0" w:type="dxa"/>
          <w:left w:w="0" w:type="dxa"/>
          <w:bottom w:w="28" w:type="dxa"/>
          <w:right w:w="0" w:type="dxa"/>
        </w:tblCellMar>
      </w:tblPr>
      <w:tblGrid>
        <w:gridCol w:w="3905"/>
        <w:gridCol w:w="60"/>
        <w:gridCol w:w="15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November 2023</w:t>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CONTINUATION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regarding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SONO MOTORS GMBH</w:t>
      </w:r>
    </w:p>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between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Sono Motors GmbH</w:t>
            </w:r>
            <w:r>
              <w:rPr>
                <w:rFonts w:ascii="Times New Roman" w:hAnsi="Times New Roman"/>
                <w:caps w:val="false"/>
                <w:smallCaps w:val="false"/>
                <w:sz w:val="20"/>
              </w:rPr>
              <w:t>, a limited liability company (</w:t>
            </w:r>
            <w:r>
              <w:rPr>
                <w:rFonts w:ascii="Times New Roman" w:hAnsi="Times New Roman"/>
                <w:i/>
                <w:caps w:val="false"/>
                <w:smallCaps w:val="false"/>
                <w:sz w:val="20"/>
              </w:rPr>
              <w:t>Gesellschaft mit beschr</w:t>
            </w:r>
            <w:r>
              <w:rPr>
                <w:rFonts w:ascii="Times New Roman" w:hAnsi="Times New Roman"/>
                <w:caps w:val="false"/>
                <w:smallCaps w:val="false"/>
                <w:sz w:val="20"/>
              </w:rPr>
              <w:t>ä</w:t>
            </w:r>
            <w:r>
              <w:rPr>
                <w:rFonts w:ascii="Times New Roman" w:hAnsi="Times New Roman"/>
                <w:i/>
                <w:caps w:val="false"/>
                <w:smallCaps w:val="false"/>
                <w:sz w:val="20"/>
              </w:rPr>
              <w:t>nkter Haftung</w:t>
            </w:r>
            <w:r>
              <w:rPr>
                <w:rFonts w:ascii="Times New Roman" w:hAnsi="Times New Roman"/>
                <w:caps w:val="false"/>
                <w:smallCaps w:val="false"/>
                <w:sz w:val="20"/>
              </w:rPr>
              <w:t>) formed and existing under the laws of the Federal Republic of Germany with corporate seat in Munich and business address at Waldmeisterstraße 76, 80935 München, Germany, registered with the commercial register at the local court of Munich under HRB 224131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right"/>
        <w:rPr>
          <w:caps w:val="false"/>
          <w:smallCaps w:val="false"/>
        </w:rPr>
      </w:pPr>
      <w:r>
        <w:rPr>
          <w:caps w:val="false"/>
          <w:smallCaps w:val="false"/>
        </w:rPr>
        <w:t>– “</w:t>
      </w:r>
      <w:r>
        <w:rPr>
          <w:rFonts w:ascii="Times New Roman" w:hAnsi="Times New Roman"/>
          <w:b/>
          <w:caps w:val="false"/>
          <w:smallCaps w:val="false"/>
          <w:sz w:val="20"/>
        </w:rPr>
        <w:t>Sono GmbH</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60"/>
        <w:gridCol w:w="320"/>
        <w:gridCol w:w="6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Sono Group N.V.</w:t>
            </w:r>
            <w:r>
              <w:rPr>
                <w:rFonts w:ascii="Times New Roman" w:hAnsi="Times New Roman"/>
                <w:caps w:val="false"/>
                <w:smallCaps w:val="false"/>
                <w:sz w:val="20"/>
              </w:rPr>
              <w:t>, a stock corporation (</w:t>
            </w:r>
            <w:r>
              <w:rPr>
                <w:rFonts w:ascii="Times New Roman" w:hAnsi="Times New Roman"/>
                <w:i/>
                <w:caps w:val="false"/>
                <w:smallCaps w:val="false"/>
                <w:sz w:val="20"/>
              </w:rPr>
              <w:t>naamloze vennootschap</w:t>
            </w:r>
            <w:r>
              <w:rPr>
                <w:rFonts w:ascii="Times New Roman" w:hAnsi="Times New Roman"/>
                <w:caps w:val="false"/>
                <w:smallCaps w:val="false"/>
                <w:sz w:val="20"/>
              </w:rPr>
              <w:t>) formed and existing under the laws of the Netherlands with corporate seat in Amsterdam, The Netherlands, and business address at Waldmeisterstraße 76, 80935 München, registered with the Dutch commercial register (</w:t>
            </w:r>
            <w:r>
              <w:rPr>
                <w:rFonts w:ascii="Times New Roman" w:hAnsi="Times New Roman"/>
                <w:i/>
                <w:caps w:val="false"/>
                <w:smallCaps w:val="false"/>
                <w:sz w:val="20"/>
              </w:rPr>
              <w:t>Kamer van Koophandel</w:t>
            </w:r>
            <w:r>
              <w:rPr>
                <w:rFonts w:ascii="Times New Roman" w:hAnsi="Times New Roman"/>
                <w:caps w:val="false"/>
                <w:smallCaps w:val="false"/>
                <w:sz w:val="20"/>
              </w:rPr>
              <w:t>) under KVK 80683568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right"/>
        <w:rPr>
          <w:caps w:val="false"/>
          <w:smallCaps w:val="false"/>
        </w:rPr>
      </w:pPr>
      <w:r>
        <w:rPr>
          <w:caps w:val="false"/>
          <w:smallCaps w:val="false"/>
        </w:rPr>
        <w:t>– “</w:t>
      </w:r>
      <w:r>
        <w:rPr>
          <w:rFonts w:ascii="Times New Roman" w:hAnsi="Times New Roman"/>
          <w:b/>
          <w:caps w:val="false"/>
          <w:smallCaps w:val="false"/>
          <w:sz w:val="20"/>
        </w:rPr>
        <w:t>Sono NV</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right"/>
        <w:rPr>
          <w:caps w:val="false"/>
          <w:smallCaps w:val="false"/>
        </w:rPr>
      </w:pPr>
      <w:r>
        <w:rPr>
          <w:caps w:val="false"/>
          <w:smallCaps w:val="false"/>
        </w:rPr>
        <w:t xml:space="preserve">– </w:t>
      </w:r>
      <w:r>
        <w:rPr>
          <w:rFonts w:ascii="Times New Roman" w:hAnsi="Times New Roman"/>
          <w:caps w:val="false"/>
          <w:smallCaps w:val="false"/>
          <w:sz w:val="20"/>
        </w:rPr>
        <w:t>Sono GmbH and Sono NV each a “</w:t>
      </w:r>
      <w:r>
        <w:rPr>
          <w:rFonts w:ascii="Times New Roman" w:hAnsi="Times New Roman"/>
          <w:b/>
          <w:caps w:val="false"/>
          <w:smallCaps w:val="false"/>
          <w:sz w:val="20"/>
        </w:rPr>
        <w:t>Party</w:t>
      </w:r>
      <w:r>
        <w:rPr>
          <w:rFonts w:ascii="Times New Roman" w:hAnsi="Times New Roman"/>
          <w:caps w:val="false"/>
          <w:smallCaps w:val="false"/>
          <w:sz w:val="20"/>
        </w:rPr>
        <w:t>” and, collectively, the “</w:t>
      </w:r>
      <w:r>
        <w:rPr>
          <w:rFonts w:ascii="Times New Roman" w:hAnsi="Times New Roman"/>
          <w:b/>
          <w:caps w:val="false"/>
          <w:smallCaps w:val="false"/>
          <w:sz w:val="20"/>
        </w:rPr>
        <w:t>Parties</w:t>
      </w:r>
      <w:r>
        <w:rPr>
          <w:rFonts w:ascii="Times New Roman" w:hAnsi="Times New Roman"/>
          <w:caps w:val="false"/>
          <w:smallCaps w:val="false"/>
          <w:sz w:val="20"/>
        </w:rPr>
        <w:t>” –.</w:t>
      </w:r>
    </w:p>
    <w:p>
      <w:pPr>
        <w:pStyle w:val="TextBody"/>
        <w:bidi w:val="0"/>
        <w:spacing w:before="0" w:after="0"/>
        <w:ind w:left="580" w:right="0" w:hanging="580"/>
        <w:jc w:val="righ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Parties hereby agree on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1 of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3905"/>
        <w:gridCol w:w="60"/>
        <w:gridCol w:w="15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November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CONTINUATION AGREEMENT</w:t>
      </w:r>
    </w:p>
    <w:p>
      <w:pPr>
        <w:pStyle w:val="TextBody"/>
        <w:bidi w:val="0"/>
        <w:spacing w:before="0" w:after="0"/>
        <w:ind w:left="580" w:right="0" w:hanging="580"/>
        <w:jc w:val="center"/>
        <w:rPr>
          <w:rFonts w:ascii="Times New Roman" w:hAnsi="Times New Roman"/>
          <w:caps w:val="false"/>
          <w:smallCaps w:val="false"/>
          <w:sz w:val="20"/>
        </w:rPr>
      </w:pPr>
      <w:r>
        <w:rPr>
          <w:rFonts w:ascii="Times New Roman" w:hAnsi="Times New Roman"/>
          <w:caps w:val="false"/>
          <w:smallCaps w:val="false"/>
          <w:sz w:val="20"/>
        </w:rPr>
        <w:t>(the “</w:t>
      </w:r>
      <w:r>
        <w:rPr>
          <w:rFonts w:ascii="Times New Roman" w:hAnsi="Times New Roman"/>
          <w:b/>
          <w:caps w:val="false"/>
          <w:smallCaps w:val="false"/>
          <w:sz w:val="20"/>
        </w:rPr>
        <w:t>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45" w:type="dxa"/>
        <w:jc w:val="left"/>
        <w:tblInd w:w="0" w:type="dxa"/>
        <w:tblLayout w:type="fixed"/>
        <w:tblCellMar>
          <w:top w:w="0" w:type="dxa"/>
          <w:left w:w="0" w:type="dxa"/>
          <w:bottom w:w="0" w:type="dxa"/>
          <w:right w:w="0" w:type="dxa"/>
        </w:tblCellMar>
      </w:tblPr>
      <w:tblGrid>
        <w:gridCol w:w="845"/>
      </w:tblGrid>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Preamble</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245"/>
        <w:gridCol w:w="67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7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Sono NV is the U.S.-listed parent company and the sole shareholder of Sono GmbH.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resolution of the local court of Munich, insolvency court, dated 1 September 2023 (case number 1513 IN 1350/2023), insolvency proceedings regarding the assets of Sono GmbH were commenced and self-administration (</w:t>
            </w:r>
            <w:r>
              <w:rPr>
                <w:rFonts w:ascii="Times New Roman" w:hAnsi="Times New Roman"/>
                <w:i/>
                <w:caps w:val="false"/>
                <w:smallCaps w:val="false"/>
                <w:sz w:val="20"/>
              </w:rPr>
              <w:t>Eigenverwaltung</w:t>
            </w:r>
            <w:r>
              <w:rPr>
                <w:rFonts w:ascii="Times New Roman" w:hAnsi="Times New Roman"/>
                <w:caps w:val="false"/>
                <w:smallCaps w:val="false"/>
                <w:sz w:val="20"/>
              </w:rPr>
              <w:t>) (Sec. 270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 “</w:t>
            </w:r>
            <w:r>
              <w:rPr>
                <w:rFonts w:ascii="Times New Roman" w:hAnsi="Times New Roman"/>
                <w:b/>
                <w:caps w:val="false"/>
                <w:smallCaps w:val="false"/>
                <w:sz w:val="20"/>
              </w:rPr>
              <w:t>InsO</w:t>
            </w:r>
            <w:r>
              <w:rPr>
                <w:rFonts w:ascii="Times New Roman" w:hAnsi="Times New Roman"/>
                <w:caps w:val="false"/>
                <w:smallCaps w:val="false"/>
                <w:sz w:val="20"/>
              </w:rPr>
              <w:t>”)) was granted. Mr. Ivo-Meinert Willrodt, c/o PLUTA Rechtsanwalts GmbH, Barthstraße 16, 80339 München, has been appointed as custodian (</w:t>
            </w:r>
            <w:r>
              <w:rPr>
                <w:rFonts w:ascii="Times New Roman" w:hAnsi="Times New Roman"/>
                <w:i/>
                <w:caps w:val="false"/>
                <w:smallCaps w:val="false"/>
                <w:sz w:val="20"/>
              </w:rPr>
              <w:t>Sachwalter</w:t>
            </w:r>
            <w:r>
              <w:rPr>
                <w:rFonts w:ascii="Times New Roman" w:hAnsi="Times New Roman"/>
                <w:caps w:val="false"/>
                <w:smallCaps w:val="false"/>
                <w:sz w:val="20"/>
              </w:rPr>
              <w:t>) of Sono GmbH (the “</w:t>
            </w:r>
            <w:r>
              <w:rPr>
                <w:rFonts w:ascii="Times New Roman" w:hAnsi="Times New Roman"/>
                <w:b/>
                <w:caps w:val="false"/>
                <w:smallCaps w:val="false"/>
                <w:sz w:val="20"/>
              </w:rPr>
              <w:t>GmbH Custodian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resolution of the local court of Munich, insolvency court, dated 17 May 2023 (case number 1513 IN 1347/23), preliminary insolvency proceedings regarding the assets of Sono NV were commenced and preliminary self-administration (</w:t>
            </w:r>
            <w:r>
              <w:rPr>
                <w:rFonts w:ascii="Times New Roman" w:hAnsi="Times New Roman"/>
                <w:i/>
                <w:caps w:val="false"/>
                <w:smallCaps w:val="false"/>
                <w:sz w:val="20"/>
              </w:rPr>
              <w:t>Eigenverwaltung</w:t>
            </w:r>
            <w:r>
              <w:rPr>
                <w:rFonts w:ascii="Times New Roman" w:hAnsi="Times New Roman"/>
                <w:caps w:val="false"/>
                <w:smallCaps w:val="false"/>
                <w:sz w:val="20"/>
              </w:rPr>
              <w:t>) (Sec. 270b InsO) was granted. Mrs. Marlene Scheinert, c/o PLUTA Rechtsanwalts GmbH, Barthstraße 16, 80339 München, was appointed as preliminary custodian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 Sachwalterin</w:t>
            </w:r>
            <w:r>
              <w:rPr>
                <w:rFonts w:ascii="Times New Roman" w:hAnsi="Times New Roman"/>
                <w:caps w:val="false"/>
                <w:smallCaps w:val="false"/>
                <w:sz w:val="20"/>
              </w:rPr>
              <w:t>) of Sono NV (the “</w:t>
            </w:r>
            <w:r>
              <w:rPr>
                <w:rFonts w:ascii="Times New Roman" w:hAnsi="Times New Roman"/>
                <w:b/>
                <w:caps w:val="false"/>
                <w:smallCaps w:val="false"/>
                <w:sz w:val="20"/>
              </w:rPr>
              <w:t>NV Custodian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17 November 2023, Sono NV and YA II PN, Ltd. (“</w:t>
            </w:r>
            <w:r>
              <w:rPr>
                <w:rFonts w:ascii="Times New Roman" w:hAnsi="Times New Roman"/>
                <w:b/>
                <w:caps w:val="false"/>
                <w:smallCaps w:val="false"/>
                <w:sz w:val="20"/>
              </w:rPr>
              <w:t>Yorkville</w:t>
            </w:r>
            <w:r>
              <w:rPr>
                <w:rFonts w:ascii="Times New Roman" w:hAnsi="Times New Roman"/>
                <w:caps w:val="false"/>
                <w:smallCaps w:val="false"/>
                <w:sz w:val="20"/>
              </w:rPr>
              <w:t>”) have signed an agreement regarding the restructuring of Sono NV (the “</w:t>
            </w:r>
            <w:r>
              <w:rPr>
                <w:rFonts w:ascii="Times New Roman" w:hAnsi="Times New Roman"/>
                <w:b/>
                <w:caps w:val="false"/>
                <w:smallCaps w:val="false"/>
                <w:sz w:val="20"/>
              </w:rPr>
              <w:t>Restructuring Agreement</w:t>
            </w:r>
            <w:r>
              <w:rPr>
                <w:rFonts w:ascii="Times New Roman" w:hAnsi="Times New Roman"/>
                <w:caps w:val="false"/>
                <w:smallCaps w:val="false"/>
                <w:sz w:val="20"/>
              </w:rPr>
              <w:t xml:space="preserve">”). A copy of the Restructuring Agreement (including Annexes thereto) is attached as </w:t>
            </w:r>
            <w:r>
              <w:rPr>
                <w:rFonts w:ascii="Times New Roman" w:hAnsi="Times New Roman"/>
                <w:b/>
                <w:caps w:val="false"/>
                <w:smallCaps w:val="false"/>
                <w:sz w:val="20"/>
                <w:u w:val="single"/>
              </w:rPr>
              <w:t>Exhibit P.4</w:t>
            </w:r>
            <w:r>
              <w:rPr>
                <w:rFonts w:ascii="Times New Roman" w:hAnsi="Times New Roman"/>
                <w:caps w:val="false"/>
                <w:smallCaps w:val="false"/>
                <w:sz w:val="20"/>
              </w:rPr>
              <w:t>. Unless otherwise defined herein. Terms defined in the Restructuring Agreement shall have the same meaning in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going-concern budget for Sono NV and Sono GmbH – as agreed upon between Yorkville, Sono NV and Sono GmbH – is in excerpts attached as </w:t>
            </w:r>
            <w:r>
              <w:rPr>
                <w:rFonts w:ascii="Times New Roman" w:hAnsi="Times New Roman"/>
                <w:b/>
                <w:caps w:val="false"/>
                <w:smallCaps w:val="false"/>
                <w:sz w:val="20"/>
                <w:u w:val="single"/>
              </w:rPr>
              <w:t>Exhibit P.5</w:t>
            </w:r>
            <w:r>
              <w:rPr>
                <w:rFonts w:ascii="Times New Roman" w:hAnsi="Times New Roman"/>
                <w:caps w:val="false"/>
                <w:smallCaps w:val="false"/>
                <w:sz w:val="20"/>
              </w:rPr>
              <w:t> (this budget – as amended from time to time – the “</w:t>
            </w:r>
            <w:r>
              <w:rPr>
                <w:rFonts w:ascii="Times New Roman" w:hAnsi="Times New Roman"/>
                <w:b/>
                <w:caps w:val="false"/>
                <w:smallCaps w:val="false"/>
                <w:sz w:val="20"/>
              </w:rPr>
              <w:t>Going-Concern Budget</w:t>
            </w:r>
            <w:r>
              <w:rPr>
                <w:rFonts w:ascii="Times New Roman" w:hAnsi="Times New Roman"/>
                <w:caps w:val="false"/>
                <w:smallCaps w:val="false"/>
                <w:sz w:val="20"/>
              </w:rPr>
              <w:t xml:space="preserve">”). Supplemented to the execution of the Restructuring Documents (as defined in the Restructuring Agreement) the Parties have also exchanged the underlying excel spreadsheet (file name: </w:t>
            </w:r>
            <w:r>
              <w:rPr>
                <w:rFonts w:ascii="Times New Roman" w:hAnsi="Times New Roman"/>
                <w:i/>
                <w:caps w:val="false"/>
                <w:smallCaps w:val="false"/>
                <w:sz w:val="20"/>
              </w:rPr>
              <w:t>231115_Financial Model Sono Solar_v01.xlsx</w:t>
            </w:r>
            <w:r>
              <w:rPr>
                <w:rFonts w:ascii="Times New Roman" w:hAnsi="Times New Roman"/>
                <w:caps w:val="false"/>
                <w:smallCaps w:val="false"/>
                <w:sz w:val="20"/>
              </w:rPr>
              <w:t>) a detailed breakdown of the Going-Concern Budget. The Parties have knowledge of the contents of the Restructuring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99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its own restructuring, Sono NV is – under certain conditions – interested in contributing to the restructuring of Sono GmbH by (a) entering into a settlement agreement with Sono GmbH on the settlement of all claims under hard letters of comfort issued by Sono NV to Sono GmbH and – with limited exceptions – any other claims of Sono GmbH against Sono NV and </w:t>
            </w:r>
            <w:r>
              <w:rPr>
                <w:rFonts w:ascii="Times New Roman" w:hAnsi="Times New Roman"/>
                <w:i/>
                <w:caps w:val="false"/>
                <w:smallCaps w:val="false"/>
                <w:sz w:val="20"/>
              </w:rPr>
              <w:t>vice versa</w:t>
            </w:r>
            <w:r>
              <w:rPr>
                <w:rFonts w:ascii="Times New Roman" w:hAnsi="Times New Roman"/>
                <w:caps w:val="false"/>
                <w:smallCaps w:val="false"/>
                <w:sz w:val="20"/>
              </w:rPr>
              <w:t> – the overall amount of which is disputed between Sono NV and Sono GmbH –, and (b) by issuing a hard back-to-back letter of comfort to Sono GmbH, so that Sono GmbH has a positive going concern prognosis (</w:t>
            </w:r>
            <w:r>
              <w:rPr>
                <w:rFonts w:ascii="Times New Roman" w:hAnsi="Times New Roman"/>
                <w:i/>
                <w:caps w:val="false"/>
                <w:smallCaps w:val="false"/>
                <w:sz w:val="20"/>
              </w:rPr>
              <w:t>positive Fortbestehensprognose</w:t>
            </w:r>
            <w:r>
              <w:rPr>
                <w:rFonts w:ascii="Times New Roman" w:hAnsi="Times New Roman"/>
                <w:caps w:val="false"/>
                <w:smallCaps w:val="false"/>
                <w:sz w:val="20"/>
              </w:rPr>
              <w:t>) at least until (and including) 1 July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2 of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3905"/>
        <w:gridCol w:w="60"/>
        <w:gridCol w:w="15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November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99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17 November 2023 2023, Laurin Hahn, Jona Christians (the "</w:t>
            </w:r>
            <w:r>
              <w:rPr>
                <w:rFonts w:ascii="Times New Roman" w:hAnsi="Times New Roman"/>
                <w:b/>
                <w:caps w:val="false"/>
                <w:smallCaps w:val="false"/>
                <w:sz w:val="20"/>
              </w:rPr>
              <w:t>Founders</w:t>
            </w:r>
            <w:r>
              <w:rPr>
                <w:rFonts w:ascii="Times New Roman" w:hAnsi="Times New Roman"/>
                <w:caps w:val="false"/>
                <w:smallCaps w:val="false"/>
                <w:sz w:val="20"/>
              </w:rPr>
              <w:t>") have issued a commitment letter (the “</w:t>
            </w:r>
            <w:r>
              <w:rPr>
                <w:rFonts w:ascii="Times New Roman" w:hAnsi="Times New Roman"/>
                <w:b/>
                <w:caps w:val="false"/>
                <w:smallCaps w:val="false"/>
                <w:sz w:val="20"/>
              </w:rPr>
              <w:t>Shareholders Commitment Letter</w:t>
            </w:r>
            <w:r>
              <w:rPr>
                <w:rFonts w:ascii="Times New Roman" w:hAnsi="Times New Roman"/>
                <w:caps w:val="false"/>
                <w:smallCaps w:val="false"/>
                <w:sz w:val="20"/>
              </w:rPr>
              <w:t>”) which has been agreed to, and acknowledged by, Sono NV and Sono GmbH, pursuant to which Sono NV and Sono GmbH are entitled to request that each of the Founders enters into a share sale and transfer agreement pursuant to which the respective Founder, sells and transfers shares in Sono NV to (i) the new management of Sono NV and (ii) a trustee to be designated by Sono GmbH as a trustee of Sono GmbH’s creditors who shall be entitled to sell such shares for the benefit of Sono GmbH’s creditors (each of this share sale and transfer agreement, a “</w:t>
            </w:r>
            <w:r>
              <w:rPr>
                <w:rFonts w:ascii="Times New Roman" w:hAnsi="Times New Roman"/>
                <w:b/>
                <w:caps w:val="false"/>
                <w:smallCaps w:val="false"/>
                <w:sz w:val="20"/>
              </w:rPr>
              <w:t>NV Share Sale and Transfer Agreement</w:t>
            </w:r>
            <w:r>
              <w:rPr>
                <w:rFonts w:ascii="Times New Roman" w:hAnsi="Times New Roman"/>
                <w:caps w:val="false"/>
                <w:smallCaps w:val="false"/>
                <w:sz w:val="20"/>
              </w:rPr>
              <w:t>” and, collectively, the “</w:t>
            </w:r>
            <w:r>
              <w:rPr>
                <w:rFonts w:ascii="Times New Roman" w:hAnsi="Times New Roman"/>
                <w:b/>
                <w:caps w:val="false"/>
                <w:smallCaps w:val="false"/>
                <w:sz w:val="20"/>
              </w:rPr>
              <w:t>NV Share Sale and Transfer Agreements</w:t>
            </w:r>
            <w:r>
              <w:rPr>
                <w:rFonts w:ascii="Times New Roman" w:hAnsi="Times New Roman"/>
                <w:caps w:val="false"/>
                <w:smallCaps w:val="false"/>
                <w:sz w:val="20"/>
              </w:rPr>
              <w:t xml:space="preserve">”). A copy of the Shareholders Commitment Letter (including all exhibits thereto) is attached as </w:t>
            </w:r>
            <w:r>
              <w:rPr>
                <w:rFonts w:ascii="Times New Roman" w:hAnsi="Times New Roman"/>
                <w:b/>
                <w:caps w:val="false"/>
                <w:smallCaps w:val="false"/>
                <w:sz w:val="20"/>
                <w:u w:val="single"/>
              </w:rPr>
              <w:t>Exhibit P.7</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99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creditors’ committee of Sono GmbH has consented to Sono GmbH’s entering into this Agreement on 13 November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 1</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Contributions by Sono NV to Sono GmbH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and Sono GmbH – with the consent of the NV Custodian and the GmbH Custodian – hereby enter into the agreement to settle the claims of the Parties under the “</w:t>
            </w:r>
            <w:r>
              <w:rPr>
                <w:rFonts w:ascii="Times New Roman" w:hAnsi="Times New Roman"/>
                <w:i/>
                <w:caps w:val="false"/>
                <w:smallCaps w:val="false"/>
                <w:sz w:val="20"/>
              </w:rPr>
              <w:t>Hard Comfort Letter (Harte Patronatserkl</w:t>
            </w:r>
            <w:r>
              <w:rPr>
                <w:rFonts w:ascii="Times New Roman" w:hAnsi="Times New Roman"/>
                <w:caps w:val="false"/>
                <w:smallCaps w:val="false"/>
                <w:sz w:val="20"/>
              </w:rPr>
              <w:t>ä</w:t>
            </w:r>
            <w:r>
              <w:rPr>
                <w:rFonts w:ascii="Times New Roman" w:hAnsi="Times New Roman"/>
                <w:i/>
                <w:caps w:val="false"/>
                <w:smallCaps w:val="false"/>
                <w:sz w:val="20"/>
              </w:rPr>
              <w:t>rung)</w:t>
            </w:r>
            <w:r>
              <w:rPr>
                <w:rFonts w:ascii="Times New Roman" w:hAnsi="Times New Roman"/>
                <w:caps w:val="false"/>
                <w:smallCaps w:val="false"/>
                <w:sz w:val="20"/>
              </w:rPr>
              <w:t>” issued by Sono NV to Sono GmbH on 11 January 2021 and the “</w:t>
            </w:r>
            <w:r>
              <w:rPr>
                <w:rFonts w:ascii="Times New Roman" w:hAnsi="Times New Roman"/>
                <w:i/>
                <w:caps w:val="false"/>
                <w:smallCaps w:val="false"/>
                <w:sz w:val="20"/>
              </w:rPr>
              <w:t>Patronatserkl</w:t>
            </w:r>
            <w:r>
              <w:rPr>
                <w:rFonts w:ascii="Times New Roman" w:hAnsi="Times New Roman"/>
                <w:caps w:val="false"/>
                <w:smallCaps w:val="false"/>
                <w:sz w:val="20"/>
              </w:rPr>
              <w:t>ä</w:t>
            </w:r>
            <w:r>
              <w:rPr>
                <w:rFonts w:ascii="Times New Roman" w:hAnsi="Times New Roman"/>
                <w:i/>
                <w:caps w:val="false"/>
                <w:smallCaps w:val="false"/>
                <w:sz w:val="20"/>
              </w:rPr>
              <w:t>rung zugunsten der Sono Motors GmbH</w:t>
            </w:r>
            <w:r>
              <w:rPr>
                <w:rFonts w:ascii="Times New Roman" w:hAnsi="Times New Roman"/>
                <w:caps w:val="false"/>
                <w:smallCaps w:val="false"/>
                <w:sz w:val="20"/>
              </w:rPr>
              <w:t>” issued by Sono NV to Sono GmbH on 30 March 2022, and – with limited exceptions – any other claims between the Parties, against a payment by Sono NV to Sono GmbH of which the Parties estimate to be approximately EUR 4,000,000.00 (in words: four million Euro) (such payment, the “</w:t>
            </w:r>
            <w:r>
              <w:rPr>
                <w:rFonts w:ascii="Times New Roman" w:hAnsi="Times New Roman"/>
                <w:b/>
                <w:caps w:val="false"/>
                <w:smallCaps w:val="false"/>
                <w:sz w:val="20"/>
              </w:rPr>
              <w:t>Settlement Amount</w:t>
            </w:r>
            <w:r>
              <w:rPr>
                <w:rFonts w:ascii="Times New Roman" w:hAnsi="Times New Roman"/>
                <w:caps w:val="false"/>
                <w:smallCaps w:val="false"/>
                <w:sz w:val="20"/>
              </w:rPr>
              <w:t xml:space="preserve">”) attached as </w:t>
            </w:r>
            <w:r>
              <w:rPr>
                <w:rFonts w:ascii="Times New Roman" w:hAnsi="Times New Roman"/>
                <w:b/>
                <w:caps w:val="false"/>
                <w:smallCaps w:val="false"/>
                <w:sz w:val="20"/>
                <w:u w:val="single"/>
              </w:rPr>
              <w:t>Exhibit</w:t>
            </w:r>
            <w:r>
              <w:rPr>
                <w:rFonts w:ascii="Times New Roman" w:hAnsi="Times New Roman"/>
                <w:caps w:val="false"/>
                <w:smallCaps w:val="false"/>
                <w:sz w:val="20"/>
                <w:u w:val="single"/>
              </w:rPr>
              <w:t> </w:t>
            </w:r>
            <w:r>
              <w:rPr>
                <w:rFonts w:ascii="Times New Roman" w:hAnsi="Times New Roman"/>
                <w:b/>
                <w:caps w:val="false"/>
                <w:smallCaps w:val="false"/>
                <w:sz w:val="20"/>
                <w:u w:val="single"/>
              </w:rPr>
              <w:t>1.1</w:t>
            </w:r>
            <w:r>
              <w:rPr>
                <w:rFonts w:ascii="Times New Roman" w:hAnsi="Times New Roman"/>
                <w:caps w:val="false"/>
                <w:smallCaps w:val="false"/>
                <w:sz w:val="20"/>
              </w:rPr>
              <w:t> (the “</w:t>
            </w:r>
            <w:r>
              <w:rPr>
                <w:rFonts w:ascii="Times New Roman" w:hAnsi="Times New Roman"/>
                <w:b/>
                <w:caps w:val="false"/>
                <w:smallCaps w:val="false"/>
                <w:sz w:val="20"/>
              </w:rPr>
              <w:t>Settlement Agreement</w:t>
            </w:r>
            <w:r>
              <w:rPr>
                <w:rFonts w:ascii="Times New Roman" w:hAnsi="Times New Roman"/>
                <w:caps w:val="false"/>
                <w:smallCaps w:val="false"/>
                <w:sz w:val="20"/>
              </w:rPr>
              <w:t>”). The effectiveness of the Settlement Agreement shall be subject to the satisfaction of the Closing Condition (Section 4 para. (5)).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Sono NV – with the consent of the NV Custodian – hereby issues a hard back-to-back letter of comfort, attached as </w:t>
            </w:r>
            <w:r>
              <w:rPr>
                <w:rFonts w:ascii="Times New Roman" w:hAnsi="Times New Roman"/>
                <w:b/>
                <w:caps w:val="false"/>
                <w:smallCaps w:val="false"/>
                <w:sz w:val="20"/>
                <w:u w:val="single"/>
              </w:rPr>
              <w:t>Exhibit</w:t>
            </w:r>
            <w:r>
              <w:rPr>
                <w:rFonts w:ascii="Times New Roman" w:hAnsi="Times New Roman"/>
                <w:caps w:val="false"/>
                <w:smallCaps w:val="false"/>
                <w:sz w:val="20"/>
                <w:u w:val="single"/>
              </w:rPr>
              <w:t> </w:t>
            </w:r>
            <w:r>
              <w:rPr>
                <w:rFonts w:ascii="Times New Roman" w:hAnsi="Times New Roman"/>
                <w:b/>
                <w:caps w:val="false"/>
                <w:smallCaps w:val="false"/>
                <w:sz w:val="20"/>
                <w:u w:val="single"/>
              </w:rPr>
              <w:t>1.2</w:t>
            </w:r>
            <w:r>
              <w:rPr>
                <w:rFonts w:ascii="Times New Roman" w:hAnsi="Times New Roman"/>
                <w:caps w:val="false"/>
                <w:smallCaps w:val="false"/>
                <w:sz w:val="20"/>
              </w:rPr>
              <w:t> (the “</w:t>
            </w:r>
            <w:r>
              <w:rPr>
                <w:rFonts w:ascii="Times New Roman" w:hAnsi="Times New Roman"/>
                <w:b/>
                <w:caps w:val="false"/>
                <w:smallCaps w:val="false"/>
                <w:sz w:val="20"/>
              </w:rPr>
              <w:t>Back-to-Back LoC</w:t>
            </w:r>
            <w:r>
              <w:rPr>
                <w:rFonts w:ascii="Times New Roman" w:hAnsi="Times New Roman"/>
                <w:caps w:val="false"/>
                <w:smallCaps w:val="false"/>
                <w:sz w:val="20"/>
              </w:rPr>
              <w:t>”), to Sono GmbH so that Sono GmbH – based on the Going-Concern Budget has a positive going-concern prognosis (</w:t>
            </w:r>
            <w:r>
              <w:rPr>
                <w:rFonts w:ascii="Times New Roman" w:hAnsi="Times New Roman"/>
                <w:i/>
                <w:caps w:val="false"/>
                <w:smallCaps w:val="false"/>
                <w:sz w:val="20"/>
              </w:rPr>
              <w:t>positive Fortbestehensprognose</w:t>
            </w:r>
            <w:r>
              <w:rPr>
                <w:rFonts w:ascii="Times New Roman" w:hAnsi="Times New Roman"/>
                <w:caps w:val="false"/>
                <w:smallCaps w:val="false"/>
                <w:sz w:val="20"/>
              </w:rPr>
              <w:t>) and Sono GmbH – with the consent of the GmbH Custodian – hereby accepts the Back-to-Back LoC. The effectiveness of the Back-to-Back LoC shall be subject to the satisfaction of the Closing Condition (Section 4 para. (5)).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(i) the satisfaction of the Condition (20-F Filing), (ii) the satisfaction of the Condition (Plan), (iii) the satisfaction of the Condition (6K Filing) and (iv) the rectification of all Sono NV’s mandatory insolvency filing reasons under German law – illiquidity (Sec. 17 InsO) and over-indebtedness (Sec. 19 InsO) – Sono NV hereby undertakes to:</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60"/>
        <w:gridCol w:w="230"/>
        <w:gridCol w:w="45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45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withdraw its insolvency filing without undue delay;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satisfy all of its creditors (including all claims of GmbH under the Settlement Agreement), provided that payments on claims which are not yet due, as indicated in the NV Waterfall, shall be made once the respective claim has become due, and provided further that payments on claims which are disputed shall be made once and to the extent the respective dispute has been resolved;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3 of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3905"/>
        <w:gridCol w:w="60"/>
        <w:gridCol w:w="15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November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3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take all further actions, if any, so that all insolvency court measures taken during Sono NV’s preliminary insolvency proceedings are lifted and the preliminary proceedings are terminated.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(4)</w:t>
            </w:r>
          </w:p>
        </w:tc>
        <w:tc>
          <w:tcPr>
            <w:tcW w:w="987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Sono GmbH’s request, Sono NV shall provide Sono GmbH with the signed original of a declaration of undertaking (</w:t>
            </w:r>
            <w:r>
              <w:rPr>
                <w:rFonts w:ascii="Times New Roman" w:hAnsi="Times New Roman"/>
                <w:i/>
                <w:caps w:val="false"/>
                <w:smallCaps w:val="false"/>
                <w:sz w:val="20"/>
              </w:rPr>
              <w:t>Verpflichtungserkl</w:t>
            </w:r>
            <w:r>
              <w:rPr>
                <w:rFonts w:ascii="Times New Roman" w:hAnsi="Times New Roman"/>
                <w:caps w:val="false"/>
                <w:smallCaps w:val="false"/>
                <w:sz w:val="20"/>
              </w:rPr>
              <w:t>ä</w:t>
            </w:r>
            <w:r>
              <w:rPr>
                <w:rFonts w:ascii="Times New Roman" w:hAnsi="Times New Roman"/>
                <w:i/>
                <w:caps w:val="false"/>
                <w:smallCaps w:val="false"/>
                <w:sz w:val="20"/>
              </w:rPr>
              <w:t xml:space="preserve">rung gem. </w:t>
            </w:r>
            <w:r>
              <w:rPr>
                <w:rFonts w:ascii="Times New Roman" w:hAnsi="Times New Roman"/>
                <w:caps w:val="false"/>
                <w:smallCaps w:val="false"/>
                <w:sz w:val="20"/>
              </w:rPr>
              <w:t>§ </w:t>
            </w:r>
            <w:r>
              <w:rPr>
                <w:rFonts w:ascii="Times New Roman" w:hAnsi="Times New Roman"/>
                <w:i/>
                <w:caps w:val="false"/>
                <w:smallCaps w:val="false"/>
                <w:sz w:val="20"/>
              </w:rPr>
              <w:t>230 InsO</w:t>
            </w:r>
            <w:r>
              <w:rPr>
                <w:rFonts w:ascii="Times New Roman" w:hAnsi="Times New Roman"/>
                <w:caps w:val="false"/>
                <w:smallCaps w:val="false"/>
                <w:sz w:val="20"/>
              </w:rPr>
              <w:t>) confirming/repeating its obligations and undertakings towards Sono GmbH.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Without undue delay after the singing of this Agreement, Sono NV shall set-up the trust structure as provided for under Section 9.6 of the Restructuring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 2</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Insolvency Plan for Sono GmbH</w:t>
      </w:r>
    </w:p>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60"/>
        <w:gridCol w:w="245"/>
        <w:gridCol w:w="74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74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Sono GmbH intends to restructure itself by submitting an insolvency plan which, </w:t>
            </w:r>
            <w:r>
              <w:rPr>
                <w:rFonts w:ascii="Times New Roman" w:hAnsi="Times New Roman"/>
                <w:i/>
                <w:caps w:val="false"/>
                <w:smallCaps w:val="false"/>
                <w:sz w:val="20"/>
              </w:rPr>
              <w:t>inter alia</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2"/>
        <w:gridCol w:w="9963"/>
      </w:tblGrid>
      <w:tr>
        <w:trPr/>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shall envisage (i) a whole satisfaction of all estate creditors (</w:t>
            </w:r>
            <w:r>
              <w:rPr>
                <w:rFonts w:ascii="Times New Roman" w:hAnsi="Times New Roman"/>
                <w:i/>
                <w:caps w:val="false"/>
                <w:smallCaps w:val="false"/>
                <w:sz w:val="20"/>
              </w:rPr>
              <w:t>Massegl</w:t>
            </w:r>
            <w:r>
              <w:rPr>
                <w:rFonts w:ascii="Times New Roman" w:hAnsi="Times New Roman"/>
                <w:caps w:val="false"/>
                <w:smallCaps w:val="false"/>
                <w:sz w:val="20"/>
              </w:rPr>
              <w:t>ä</w:t>
            </w:r>
            <w:r>
              <w:rPr>
                <w:rFonts w:ascii="Times New Roman" w:hAnsi="Times New Roman"/>
                <w:i/>
                <w:caps w:val="false"/>
                <w:smallCaps w:val="false"/>
                <w:sz w:val="20"/>
              </w:rPr>
              <w:t>ubiger</w:t>
            </w:r>
            <w:r>
              <w:rPr>
                <w:rFonts w:ascii="Times New Roman" w:hAnsi="Times New Roman"/>
                <w:caps w:val="false"/>
                <w:smallCaps w:val="false"/>
                <w:sz w:val="20"/>
              </w:rPr>
              <w:t> – Sec. 53 InsO), (ii) a whole or partial satisfaction of all creditors entitled to separate satisfaction (</w:t>
            </w:r>
            <w:r>
              <w:rPr>
                <w:rFonts w:ascii="Times New Roman" w:hAnsi="Times New Roman"/>
                <w:i/>
                <w:caps w:val="false"/>
                <w:smallCaps w:val="false"/>
                <w:sz w:val="20"/>
              </w:rPr>
              <w:t>Absonderungsberechtigte</w:t>
            </w:r>
            <w:r>
              <w:rPr>
                <w:rFonts w:ascii="Times New Roman" w:hAnsi="Times New Roman"/>
                <w:caps w:val="false"/>
                <w:smallCaps w:val="false"/>
                <w:sz w:val="20"/>
              </w:rPr>
              <w:t> – Sec. 49 et seq. InsO), (iii) a whole or partial satisfaction of all insolvency creditors (</w:t>
            </w:r>
            <w:r>
              <w:rPr>
                <w:rFonts w:ascii="Times New Roman" w:hAnsi="Times New Roman"/>
                <w:i/>
                <w:caps w:val="false"/>
                <w:smallCaps w:val="false"/>
                <w:sz w:val="20"/>
              </w:rPr>
              <w:t>Insolvenzgl</w:t>
            </w:r>
            <w:r>
              <w:rPr>
                <w:rFonts w:ascii="Times New Roman" w:hAnsi="Times New Roman"/>
                <w:caps w:val="false"/>
                <w:smallCaps w:val="false"/>
                <w:sz w:val="20"/>
              </w:rPr>
              <w:t>ä</w:t>
            </w:r>
            <w:r>
              <w:rPr>
                <w:rFonts w:ascii="Times New Roman" w:hAnsi="Times New Roman"/>
                <w:i/>
                <w:caps w:val="false"/>
                <w:smallCaps w:val="false"/>
                <w:sz w:val="20"/>
              </w:rPr>
              <w:t>ubiger</w:t>
            </w:r>
            <w:r>
              <w:rPr>
                <w:rFonts w:ascii="Times New Roman" w:hAnsi="Times New Roman"/>
                <w:caps w:val="false"/>
                <w:smallCaps w:val="false"/>
                <w:sz w:val="20"/>
              </w:rPr>
              <w:t> – Sec. 38 InsO), and (iv) – taking into account the contributions pursuant to Section 1 – the termination of the insolvency proceedings pursuant to Sec. 258 InsO;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shall include a resolution pursuant to which Sono GmbH shall be continued with effect from the date of termination of the insolvency proceedings pursuant to Sec. 225a para. 3 InsO in connection with Sec. 60 para. 1 no. 4 of the German Limited Liability Company Act (</w:t>
            </w:r>
            <w:r>
              <w:rPr>
                <w:rFonts w:ascii="Times New Roman" w:hAnsi="Times New Roman"/>
                <w:i/>
                <w:caps w:val="false"/>
                <w:smallCaps w:val="false"/>
                <w:sz w:val="20"/>
              </w:rPr>
              <w:t>Gesetz betreffend die Gesellschaften mit beschr</w:t>
            </w:r>
            <w:r>
              <w:rPr>
                <w:rFonts w:ascii="Times New Roman" w:hAnsi="Times New Roman"/>
                <w:caps w:val="false"/>
                <w:smallCaps w:val="false"/>
                <w:sz w:val="20"/>
              </w:rPr>
              <w:t>ä</w:t>
            </w:r>
            <w:r>
              <w:rPr>
                <w:rFonts w:ascii="Times New Roman" w:hAnsi="Times New Roman"/>
                <w:i/>
                <w:caps w:val="false"/>
                <w:smallCaps w:val="false"/>
                <w:sz w:val="20"/>
              </w:rPr>
              <w:t>nkter Haftung</w:t>
            </w:r>
            <w:r>
              <w:rPr>
                <w:rFonts w:ascii="Times New Roman" w:hAnsi="Times New Roman"/>
                <w:caps w:val="false"/>
                <w:smallCaps w:val="false"/>
                <w:sz w:val="20"/>
              </w:rPr>
              <w:t> – “</w:t>
            </w:r>
            <w:r>
              <w:rPr>
                <w:rFonts w:ascii="Times New Roman" w:hAnsi="Times New Roman"/>
                <w:b/>
                <w:caps w:val="false"/>
                <w:smallCaps w:val="false"/>
                <w:sz w:val="20"/>
              </w:rPr>
              <w:t>GmbHG</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8"/>
        <w:gridCol w:w="9967"/>
      </w:tblGrid>
      <w:tr>
        <w:trPr/>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(or may not) include a resolution pursuant to which the current managing directors of Sono GmbH are removed and Mr. Jan Schiermeister (and/or any other person as designated in the insolvency plan) is appointed as managing director of Sono GmbH with immediate effect. As managing director of Sono GmbH, Jan Schiermeister (or the other person designated in the insolvency plan) shall be entitled to represent Sono GmbH singly and shall be released from the restrictions on self-dealing under Sec. 181 of the German Civil Code (</w:t>
            </w:r>
            <w:r>
              <w:rPr>
                <w:rFonts w:ascii="Times New Roman" w:hAnsi="Times New Roman"/>
                <w:i/>
                <w:caps w:val="false"/>
                <w:smallCaps w:val="false"/>
                <w:sz w:val="20"/>
              </w:rPr>
              <w:t>B</w:t>
            </w:r>
            <w:r>
              <w:rPr>
                <w:rFonts w:ascii="Times New Roman" w:hAnsi="Times New Roman"/>
                <w:caps w:val="false"/>
                <w:smallCaps w:val="false"/>
                <w:sz w:val="20"/>
              </w:rPr>
              <w:t>ü</w:t>
            </w:r>
            <w:r>
              <w:rPr>
                <w:rFonts w:ascii="Times New Roman" w:hAnsi="Times New Roman"/>
                <w:i/>
                <w:caps w:val="false"/>
                <w:smallCaps w:val="false"/>
                <w:sz w:val="20"/>
              </w:rPr>
              <w:t>rgerliches Gesetzbuch</w:t>
            </w:r>
            <w:r>
              <w:rPr>
                <w:rFonts w:ascii="Times New Roman" w:hAnsi="Times New Roman"/>
                <w:caps w:val="false"/>
                <w:smallCaps w:val="false"/>
                <w:sz w:val="20"/>
              </w:rPr>
              <w:t> – “</w:t>
            </w:r>
            <w:r>
              <w:rPr>
                <w:rFonts w:ascii="Times New Roman" w:hAnsi="Times New Roman"/>
                <w:b/>
                <w:caps w:val="false"/>
                <w:smallCaps w:val="false"/>
                <w:sz w:val="20"/>
              </w:rPr>
              <w:t>BGB</w:t>
            </w:r>
            <w:r>
              <w:rPr>
                <w:rFonts w:ascii="Times New Roman" w:hAnsi="Times New Roman"/>
                <w:caps w:val="false"/>
                <w:smallCaps w:val="false"/>
                <w:sz w:val="20"/>
              </w:rPr>
              <w:t>”) (if the removal of the current managing directors and/or the appointment of new managing directors is not included in the plan, Sono NV will take care of such removal/appointment outside of the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0"/>
        <w:gridCol w:w="9905"/>
      </w:tblGrid>
      <w:tr>
        <w:trPr/>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(or may not) provide for a supervision of the plan (Sec. 260 InsO) by a plan supervisor (Sec. 261 InsO) (the “</w:t>
            </w:r>
            <w:r>
              <w:rPr>
                <w:rFonts w:ascii="Times New Roman" w:hAnsi="Times New Roman"/>
                <w:b/>
                <w:caps w:val="false"/>
                <w:smallCaps w:val="false"/>
                <w:sz w:val="20"/>
              </w:rPr>
              <w:t>Plan Supervisor</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(or may not) include plan conditions (Sec. 249 InsO) (including, but not limited to, the condition that the SEC Form 20-F Filing for the year ending on 31 December 2022 (the “</w:t>
            </w:r>
            <w:r>
              <w:rPr>
                <w:rFonts w:ascii="Times New Roman" w:hAnsi="Times New Roman"/>
                <w:b/>
                <w:caps w:val="false"/>
                <w:smallCaps w:val="false"/>
                <w:sz w:val="20"/>
              </w:rPr>
              <w:t>SEC Form 20-F Filing</w:t>
            </w:r>
            <w:r>
              <w:rPr>
                <w:rFonts w:ascii="Times New Roman" w:hAnsi="Times New Roman"/>
                <w:caps w:val="false"/>
                <w:smallCaps w:val="false"/>
                <w:sz w:val="20"/>
              </w:rPr>
              <w:t>”) and/or that the SEC Form 6K HY 2023 (as defined in the Restructuring Agreement) filing has to be made prior to the confirmation of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4 of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3905"/>
        <w:gridCol w:w="60"/>
        <w:gridCol w:w="15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November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99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shall not provide for any change in the shareholdings of Sono GmbH (i.e., no capital measures; no forced transfer of shares).</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60"/>
        <w:gridCol w:w="245"/>
        <w:gridCol w:w="86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GmbH shall be entitled (but not be obligated) to use for the satisfaction pursuant to paragraph (1) (a):</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0"/>
        <w:gridCol w:w="230"/>
        <w:gridCol w:w="39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3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t>
            </w:r>
            <w:r>
              <w:rPr>
                <w:rFonts w:ascii="Times New Roman" w:hAnsi="Times New Roman"/>
                <w:b/>
                <w:caps w:val="false"/>
                <w:smallCaps w:val="false"/>
                <w:sz w:val="20"/>
              </w:rPr>
              <w:t>Distributable Assets</w:t>
            </w:r>
            <w:r>
              <w:rPr>
                <w:rFonts w:ascii="Times New Roman" w:hAnsi="Times New Roman"/>
                <w:caps w:val="false"/>
                <w:smallCaps w:val="false"/>
                <w:sz w:val="20"/>
              </w:rPr>
              <w:t>” which shall comprise: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current assets (</w:t>
            </w:r>
            <w:r>
              <w:rPr>
                <w:rFonts w:ascii="Times New Roman" w:hAnsi="Times New Roman"/>
                <w:i/>
                <w:caps w:val="false"/>
                <w:smallCaps w:val="false"/>
                <w:sz w:val="20"/>
              </w:rPr>
              <w:t>Umlaufverm</w:t>
            </w:r>
            <w:r>
              <w:rPr>
                <w:rFonts w:ascii="Times New Roman" w:hAnsi="Times New Roman"/>
                <w:caps w:val="false"/>
                <w:smallCaps w:val="false"/>
                <w:sz w:val="20"/>
              </w:rPr>
              <w:t>ö</w:t>
            </w:r>
            <w:r>
              <w:rPr>
                <w:rFonts w:ascii="Times New Roman" w:hAnsi="Times New Roman"/>
                <w:i/>
                <w:caps w:val="false"/>
                <w:smallCaps w:val="false"/>
                <w:sz w:val="20"/>
              </w:rPr>
              <w:t>gen</w:t>
            </w:r>
            <w:r>
              <w:rPr>
                <w:rFonts w:ascii="Times New Roman" w:hAnsi="Times New Roman"/>
                <w:caps w:val="false"/>
                <w:smallCaps w:val="false"/>
                <w:sz w:val="20"/>
              </w:rPr>
              <w:t>) pursuant to Sec. 266 para. 2 lit. B Ii. through Iv. of the German Commercial Code (</w:t>
            </w:r>
            <w:r>
              <w:rPr>
                <w:rFonts w:ascii="Times New Roman" w:hAnsi="Times New Roman"/>
                <w:i/>
                <w:caps w:val="false"/>
                <w:smallCaps w:val="false"/>
                <w:sz w:val="20"/>
              </w:rPr>
              <w:t>Handelsgesetzbuch</w:t>
            </w:r>
            <w:r>
              <w:rPr>
                <w:rFonts w:ascii="Times New Roman" w:hAnsi="Times New Roman"/>
                <w:caps w:val="false"/>
                <w:smallCaps w:val="false"/>
                <w:sz w:val="20"/>
              </w:rPr>
              <w:t> – “</w:t>
            </w:r>
            <w:r>
              <w:rPr>
                <w:rFonts w:ascii="Times New Roman" w:hAnsi="Times New Roman"/>
                <w:b/>
                <w:caps w:val="false"/>
                <w:smallCaps w:val="false"/>
                <w:sz w:val="20"/>
              </w:rPr>
              <w:t>HGB</w:t>
            </w:r>
            <w:r>
              <w:rPr>
                <w:rFonts w:ascii="Times New Roman" w:hAnsi="Times New Roman"/>
                <w:caps w:val="false"/>
                <w:smallCaps w:val="false"/>
                <w:sz w:val="20"/>
              </w:rPr>
              <w:t>”)) of Sono GmbH relating to the period until 1 December 2023 and/or the proceeds generated therefrom, including (but not limited to):</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left"/>
              <w:rPr/>
            </w:pPr>
            <w:r>
              <w:rPr/>
              <w:t>accounts receivables within the meaning of Sec. 266 para. 2 lit. B. no. II.1 HGB (except for revenues taken into account in the Going-Concern Budget for the period commencing on 1 December 2023);</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prepayments made (</w:t>
            </w:r>
            <w:r>
              <w:rPr>
                <w:rFonts w:ascii="Times New Roman" w:hAnsi="Times New Roman"/>
                <w:i/>
                <w:caps w:val="false"/>
                <w:smallCaps w:val="false"/>
                <w:sz w:val="20"/>
              </w:rPr>
              <w:t>geleistete Anzahlungen</w:t>
            </w:r>
            <w:r>
              <w:rPr>
                <w:rFonts w:ascii="Times New Roman" w:hAnsi="Times New Roman"/>
                <w:caps w:val="false"/>
                <w:smallCaps w:val="false"/>
                <w:sz w:val="20"/>
              </w:rPr>
              <w:t>);</w:t>
            </w:r>
          </w:p>
        </w:tc>
      </w:tr>
    </w:tbl>
    <w:tbl>
      <w:tblPr>
        <w:tblW w:w="6985" w:type="dxa"/>
        <w:jc w:val="left"/>
        <w:tblInd w:w="0" w:type="dxa"/>
        <w:tblLayout w:type="fixed"/>
        <w:tblCellMar>
          <w:top w:w="0" w:type="dxa"/>
          <w:left w:w="0" w:type="dxa"/>
          <w:bottom w:w="0" w:type="dxa"/>
          <w:right w:w="0" w:type="dxa"/>
        </w:tblCellMar>
      </w:tblPr>
      <w:tblGrid>
        <w:gridCol w:w="60"/>
        <w:gridCol w:w="140"/>
        <w:gridCol w:w="678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credit balances (</w:t>
            </w:r>
            <w:r>
              <w:rPr>
                <w:rFonts w:ascii="Times New Roman" w:hAnsi="Times New Roman"/>
                <w:i/>
                <w:caps w:val="false"/>
                <w:smallCaps w:val="false"/>
                <w:sz w:val="20"/>
              </w:rPr>
              <w:t>Guthaben</w:t>
            </w:r>
            <w:r>
              <w:rPr>
                <w:rFonts w:ascii="Times New Roman" w:hAnsi="Times New Roman"/>
                <w:caps w:val="false"/>
                <w:smallCaps w:val="false"/>
                <w:sz w:val="20"/>
              </w:rPr>
              <w:t>) with paypal, relating to credit cards, and/or with Adyen;</w:t>
            </w:r>
          </w:p>
        </w:tc>
      </w:tr>
    </w:tbl>
    <w:tbl>
      <w:tblPr>
        <w:tblW w:w="2200" w:type="dxa"/>
        <w:jc w:val="left"/>
        <w:tblInd w:w="0" w:type="dxa"/>
        <w:tblLayout w:type="fixed"/>
        <w:tblCellMar>
          <w:top w:w="0" w:type="dxa"/>
          <w:left w:w="0" w:type="dxa"/>
          <w:bottom w:w="0" w:type="dxa"/>
          <w:right w:w="0" w:type="dxa"/>
        </w:tblCellMar>
      </w:tblPr>
      <w:tblGrid>
        <w:gridCol w:w="60"/>
        <w:gridCol w:w="140"/>
        <w:gridCol w:w="200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funds on bank accounts;</w:t>
            </w:r>
          </w:p>
        </w:tc>
      </w:tr>
    </w:tbl>
    <w:tbl>
      <w:tblPr>
        <w:tblW w:w="8560" w:type="dxa"/>
        <w:jc w:val="left"/>
        <w:tblInd w:w="0" w:type="dxa"/>
        <w:tblLayout w:type="fixed"/>
        <w:tblCellMar>
          <w:top w:w="0" w:type="dxa"/>
          <w:left w:w="0" w:type="dxa"/>
          <w:bottom w:w="0" w:type="dxa"/>
          <w:right w:w="0" w:type="dxa"/>
        </w:tblCellMar>
      </w:tblPr>
      <w:tblGrid>
        <w:gridCol w:w="60"/>
        <w:gridCol w:w="140"/>
        <w:gridCol w:w="836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funds deposited on escrow (</w:t>
            </w:r>
            <w:r>
              <w:rPr>
                <w:rFonts w:ascii="Times New Roman" w:hAnsi="Times New Roman"/>
                <w:i/>
                <w:caps w:val="false"/>
                <w:smallCaps w:val="false"/>
                <w:sz w:val="20"/>
              </w:rPr>
              <w:t>Treuhandguthaben</w:t>
            </w:r>
            <w:r>
              <w:rPr>
                <w:rFonts w:ascii="Times New Roman" w:hAnsi="Times New Roman"/>
                <w:caps w:val="false"/>
                <w:smallCaps w:val="false"/>
                <w:sz w:val="20"/>
              </w:rPr>
              <w:t>), including on escrow accounts held by the Custodian ;</w:t>
            </w:r>
          </w:p>
        </w:tc>
      </w:tr>
    </w:tbl>
    <w:tbl>
      <w:tblPr>
        <w:tblW w:w="4135" w:type="dxa"/>
        <w:jc w:val="left"/>
        <w:tblInd w:w="0" w:type="dxa"/>
        <w:tblLayout w:type="fixed"/>
        <w:tblCellMar>
          <w:top w:w="0" w:type="dxa"/>
          <w:left w:w="0" w:type="dxa"/>
          <w:bottom w:w="0" w:type="dxa"/>
          <w:right w:w="0" w:type="dxa"/>
        </w:tblCellMar>
      </w:tblPr>
      <w:tblGrid>
        <w:gridCol w:w="60"/>
        <w:gridCol w:w="140"/>
        <w:gridCol w:w="393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 refund claims (</w:t>
            </w:r>
            <w:r>
              <w:rPr>
                <w:rFonts w:ascii="Times New Roman" w:hAnsi="Times New Roman"/>
                <w:i/>
                <w:caps w:val="false"/>
                <w:smallCaps w:val="false"/>
                <w:sz w:val="20"/>
              </w:rPr>
              <w:t>Steuererstattungsanspr</w:t>
            </w:r>
            <w:r>
              <w:rPr>
                <w:rFonts w:ascii="Times New Roman" w:hAnsi="Times New Roman"/>
                <w:caps w:val="false"/>
                <w:smallCaps w:val="false"/>
                <w:sz w:val="20"/>
              </w:rPr>
              <w:t>ü</w:t>
            </w:r>
            <w:r>
              <w:rPr>
                <w:rFonts w:ascii="Times New Roman" w:hAnsi="Times New Roman"/>
                <w:i/>
                <w:caps w:val="false"/>
                <w:smallCaps w:val="false"/>
                <w:sz w:val="20"/>
              </w:rPr>
              <w:t>che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20" w:right="0" w:hanging="0"/>
        <w:jc w:val="both"/>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60"/>
        <w:gridCol w:w="260"/>
        <w:gridCol w:w="968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6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claims relating to insolvency avoidance actions (Sec. 129 et seq. InsO) and/or the proceeds generated therefrom; and</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320"/>
        <w:gridCol w:w="738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73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liability claims pursuant to Sec. 15b InsO) and/or the proceeds generated therefrom; and</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60"/>
        <w:gridCol w:w="305"/>
        <w:gridCol w:w="807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80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SION Assets (Section 3 para. (2)(e)) and/or any proceeds generated by a sale of SION Assets;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all other assets pursuant to Sec. 266 para. 2 HGB as conclusively listed in </w:t>
            </w:r>
            <w:r>
              <w:rPr>
                <w:rFonts w:ascii="Times New Roman" w:hAnsi="Times New Roman"/>
                <w:b/>
                <w:caps w:val="false"/>
                <w:smallCaps w:val="false"/>
                <w:sz w:val="20"/>
                <w:u w:val="single"/>
              </w:rPr>
              <w:t>Exhibit 2.2(a)</w:t>
            </w:r>
            <w:r>
              <w:rPr>
                <w:rFonts w:ascii="Times New Roman" w:hAnsi="Times New Roman"/>
                <w:caps w:val="false"/>
                <w:smallCaps w:val="false"/>
                <w:sz w:val="20"/>
              </w:rPr>
              <w:t>, in each case irrespective of whether such Distributable Assets can be liquidated or collected in the insolvency proceedings or afterwards (e.g., by a trustee); and</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60"/>
        <w:gridCol w:w="245"/>
        <w:gridCol w:w="803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80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Interim Period Reimbursement as defined in Section 2.4 para. (b) of the Back-to-Back LoC; and</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0"/>
        <w:gridCol w:w="230"/>
        <w:gridCol w:w="39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39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Settlement Amount (Section 1 para. (1));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shares in Sono NV acquired by the trustee of Sono GmbH’s creditors under any NV Share Sale and Transfer Agreement (Preamble (7)) and/or the proceeds generated by a sale of such shares in Sono NV.</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5 of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3905"/>
        <w:gridCol w:w="60"/>
        <w:gridCol w:w="15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November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GmbH shall not be entitled to use for the satisfaction pursuant to paragraph (1) (a) the “</w:t>
            </w:r>
            <w:r>
              <w:rPr>
                <w:rFonts w:ascii="Times New Roman" w:hAnsi="Times New Roman"/>
                <w:b/>
                <w:caps w:val="false"/>
                <w:smallCaps w:val="false"/>
                <w:sz w:val="20"/>
              </w:rPr>
              <w:t>Excluded Assets</w:t>
            </w:r>
            <w:r>
              <w:rPr>
                <w:rFonts w:ascii="Times New Roman" w:hAnsi="Times New Roman"/>
                <w:caps w:val="false"/>
                <w:smallCaps w:val="false"/>
                <w:sz w:val="20"/>
              </w:rPr>
              <w:t>” which shall comprise all assets required for operating Sono GmbH’s business of solar integration in vehicles (the “</w:t>
            </w:r>
            <w:r>
              <w:rPr>
                <w:rFonts w:ascii="Times New Roman" w:hAnsi="Times New Roman"/>
                <w:b/>
                <w:caps w:val="false"/>
                <w:smallCaps w:val="false"/>
                <w:sz w:val="20"/>
              </w:rPr>
              <w:t>Integration Business</w:t>
            </w:r>
            <w:r>
              <w:rPr>
                <w:rFonts w:ascii="Times New Roman" w:hAnsi="Times New Roman"/>
                <w:caps w:val="false"/>
                <w:smallCaps w:val="false"/>
                <w:sz w:val="20"/>
              </w:rPr>
              <w:t>”), namely: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6"/>
        <w:gridCol w:w="176"/>
        <w:gridCol w:w="9763"/>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7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current assets (</w:t>
            </w:r>
            <w:r>
              <w:rPr>
                <w:rFonts w:ascii="Times New Roman" w:hAnsi="Times New Roman"/>
                <w:i/>
                <w:caps w:val="false"/>
                <w:smallCaps w:val="false"/>
                <w:sz w:val="20"/>
              </w:rPr>
              <w:t>Umlaufverm</w:t>
            </w:r>
            <w:r>
              <w:rPr>
                <w:rFonts w:ascii="Times New Roman" w:hAnsi="Times New Roman"/>
                <w:caps w:val="false"/>
                <w:smallCaps w:val="false"/>
                <w:sz w:val="20"/>
              </w:rPr>
              <w:t>ö</w:t>
            </w:r>
            <w:r>
              <w:rPr>
                <w:rFonts w:ascii="Times New Roman" w:hAnsi="Times New Roman"/>
                <w:i/>
                <w:caps w:val="false"/>
                <w:smallCaps w:val="false"/>
                <w:sz w:val="20"/>
              </w:rPr>
              <w:t>gen</w:t>
            </w:r>
            <w:r>
              <w:rPr>
                <w:rFonts w:ascii="Times New Roman" w:hAnsi="Times New Roman"/>
                <w:caps w:val="false"/>
                <w:smallCaps w:val="false"/>
                <w:sz w:val="20"/>
              </w:rPr>
              <w:t>) pursuant to Sec. 266 para. 2 lit. B HGB of Sono GmbH – other than those pursuant to Section 2 para. (2) – and/or the proceeds generated therefrom;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225"/>
        <w:gridCol w:w="98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8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GmbH’s intangible assets (</w:t>
            </w:r>
            <w:r>
              <w:rPr>
                <w:rFonts w:ascii="Times New Roman" w:hAnsi="Times New Roman"/>
                <w:i/>
                <w:caps w:val="false"/>
                <w:smallCaps w:val="false"/>
                <w:sz w:val="20"/>
              </w:rPr>
              <w:t>immaterielle Verm</w:t>
            </w:r>
            <w:r>
              <w:rPr>
                <w:rFonts w:ascii="Times New Roman" w:hAnsi="Times New Roman"/>
                <w:caps w:val="false"/>
                <w:smallCaps w:val="false"/>
                <w:sz w:val="20"/>
              </w:rPr>
              <w:t>ö</w:t>
            </w:r>
            <w:r>
              <w:rPr>
                <w:rFonts w:ascii="Times New Roman" w:hAnsi="Times New Roman"/>
                <w:i/>
                <w:caps w:val="false"/>
                <w:smallCaps w:val="false"/>
                <w:sz w:val="20"/>
              </w:rPr>
              <w:t>gensgegenst</w:t>
            </w:r>
            <w:r>
              <w:rPr>
                <w:rFonts w:ascii="Times New Roman" w:hAnsi="Times New Roman"/>
                <w:caps w:val="false"/>
                <w:smallCaps w:val="false"/>
                <w:sz w:val="20"/>
              </w:rPr>
              <w:t>ä</w:t>
            </w:r>
            <w:r>
              <w:rPr>
                <w:rFonts w:ascii="Times New Roman" w:hAnsi="Times New Roman"/>
                <w:i/>
                <w:caps w:val="false"/>
                <w:smallCaps w:val="false"/>
                <w:sz w:val="20"/>
              </w:rPr>
              <w:t>nde</w:t>
            </w:r>
            <w:r>
              <w:rPr>
                <w:rFonts w:ascii="Times New Roman" w:hAnsi="Times New Roman"/>
                <w:caps w:val="false"/>
                <w:smallCaps w:val="false"/>
                <w:sz w:val="20"/>
              </w:rPr>
              <w:t xml:space="preserve">) pursuant to Sec. 266 para. 2 lit. A. I. HGB (other than any SION Assets listed on </w:t>
            </w:r>
            <w:r>
              <w:rPr>
                <w:rFonts w:ascii="Times New Roman" w:hAnsi="Times New Roman"/>
                <w:b/>
                <w:caps w:val="false"/>
                <w:smallCaps w:val="false"/>
                <w:sz w:val="20"/>
                <w:u w:val="single"/>
              </w:rPr>
              <w:t>Exhibit 3.2(e)-1</w:t>
            </w:r>
            <w:r>
              <w:rPr>
                <w:rFonts w:ascii="Times New Roman" w:hAnsi="Times New Roman"/>
                <w:caps w:val="false"/>
                <w:smallCaps w:val="false"/>
                <w:sz w:val="20"/>
              </w:rPr>
              <w:t> and subject to Sono GmbH’s right to grant licenses pursuant to Section 3 para. (2)(e));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296"/>
        <w:gridCol w:w="9789"/>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78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GmbH’s tangible assets (</w:t>
            </w:r>
            <w:r>
              <w:rPr>
                <w:rFonts w:ascii="Times New Roman" w:hAnsi="Times New Roman"/>
                <w:i/>
                <w:caps w:val="false"/>
                <w:smallCaps w:val="false"/>
                <w:sz w:val="20"/>
              </w:rPr>
              <w:t>Sachanlagen</w:t>
            </w:r>
            <w:r>
              <w:rPr>
                <w:rFonts w:ascii="Times New Roman" w:hAnsi="Times New Roman"/>
                <w:caps w:val="false"/>
                <w:smallCaps w:val="false"/>
                <w:sz w:val="20"/>
              </w:rPr>
              <w:t xml:space="preserve">) pursuant to Sec. 266 para. 2 lit. A. II. HGB (other than any assets listed on </w:t>
            </w:r>
            <w:r>
              <w:rPr>
                <w:rFonts w:ascii="Times New Roman" w:hAnsi="Times New Roman"/>
                <w:b/>
                <w:caps w:val="false"/>
                <w:smallCaps w:val="false"/>
                <w:sz w:val="20"/>
                <w:u w:val="single"/>
              </w:rPr>
              <w:t>Exhibit 2.2(a)</w:t>
            </w:r>
            <w:r>
              <w:rPr>
                <w:rFonts w:ascii="Times New Roman" w:hAnsi="Times New Roman"/>
                <w:caps w:val="false"/>
                <w:smallCaps w:val="false"/>
                <w:sz w:val="20"/>
              </w:rPr>
              <w:t xml:space="preserve"> and/or any SION Assets listed on </w:t>
            </w:r>
            <w:r>
              <w:rPr>
                <w:rFonts w:ascii="Times New Roman" w:hAnsi="Times New Roman"/>
                <w:b/>
                <w:caps w:val="false"/>
                <w:smallCaps w:val="false"/>
                <w:sz w:val="20"/>
                <w:u w:val="single"/>
              </w:rPr>
              <w:t>Exhibit 3.2(e)-1</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60"/>
        <w:gridCol w:w="305"/>
        <w:gridCol w:w="939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3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GmbH’s stock (</w:t>
            </w:r>
            <w:r>
              <w:rPr>
                <w:rFonts w:ascii="Times New Roman" w:hAnsi="Times New Roman"/>
                <w:i/>
                <w:caps w:val="false"/>
                <w:smallCaps w:val="false"/>
                <w:sz w:val="20"/>
              </w:rPr>
              <w:t>Vorr</w:t>
            </w:r>
            <w:r>
              <w:rPr>
                <w:rFonts w:ascii="Times New Roman" w:hAnsi="Times New Roman"/>
                <w:caps w:val="false"/>
                <w:smallCaps w:val="false"/>
                <w:sz w:val="20"/>
              </w:rPr>
              <w:t>ä</w:t>
            </w:r>
            <w:r>
              <w:rPr>
                <w:rFonts w:ascii="Times New Roman" w:hAnsi="Times New Roman"/>
                <w:i/>
                <w:caps w:val="false"/>
                <w:smallCaps w:val="false"/>
                <w:sz w:val="20"/>
              </w:rPr>
              <w:t>te</w:t>
            </w:r>
            <w:r>
              <w:rPr>
                <w:rFonts w:ascii="Times New Roman" w:hAnsi="Times New Roman"/>
                <w:caps w:val="false"/>
                <w:smallCaps w:val="false"/>
                <w:sz w:val="20"/>
              </w:rPr>
              <w:t>) pursuant to Sec. 266 para. 2 lit. B. I. existing on the Closing Date (Section 7 para.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intangible assets pursuant to (ii) and the tangible assets pursuant to (iii) above are listed in </w:t>
      </w:r>
      <w:r>
        <w:rPr>
          <w:rFonts w:ascii="Times New Roman" w:hAnsi="Times New Roman"/>
          <w:b/>
          <w:caps w:val="false"/>
          <w:smallCaps w:val="false"/>
          <w:sz w:val="20"/>
          <w:u w:val="single"/>
        </w:rPr>
        <w:t>Exhibit 2.3(a)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ind w:left="1620" w:right="0" w:hanging="0"/>
              <w:jc w:val="left"/>
              <w:rPr>
                <w:rFonts w:ascii="Times New Roman" w:hAnsi="Times New Roman"/>
                <w:caps w:val="false"/>
                <w:smallCaps w:val="false"/>
                <w:sz w:val="20"/>
              </w:rPr>
            </w:pPr>
            <w:r>
              <w:rPr>
                <w:rFonts w:ascii="Times New Roman" w:hAnsi="Times New Roman"/>
                <w:caps w:val="false"/>
                <w:smallCaps w:val="false"/>
                <w:sz w:val="20"/>
              </w:rPr>
              <w:t>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2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for the Interim Period Reimbursement as defined in Section 2.4 para. (b) of the Back-to-Back LoC, the funds provided to Sono GmbH by Sono NV under the Back-to-Back LoC (Section 1 para. (2)).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3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insolvency plan for Sono GmbH satisfying the requirements pursuant to paragraph (1) (a) through (f) shall be referred to as a “</w:t>
            </w:r>
            <w:r>
              <w:rPr>
                <w:rFonts w:ascii="Times New Roman" w:hAnsi="Times New Roman"/>
                <w:b/>
                <w:caps w:val="false"/>
                <w:smallCaps w:val="false"/>
                <w:sz w:val="20"/>
              </w:rPr>
              <w:t>Qualifying Insolvency Plan</w:t>
            </w:r>
            <w:r>
              <w:rPr>
                <w:rFonts w:ascii="Times New Roman" w:hAnsi="Times New Roman"/>
                <w:caps w:val="false"/>
                <w:smallCaps w:val="false"/>
                <w:sz w:val="20"/>
              </w:rPr>
              <w:t>”. For the avoidance of doubt, and unless otherwise provided for in Section 3, Sono GmbH shall not be obligated to submit a Qualifying Insolvency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0"/>
        <w:gridCol w:w="9935"/>
      </w:tblGrid>
      <w:tr>
        <w:trPr/>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If </w:t>
            </w:r>
            <w:r>
              <w:rPr>
                <w:rFonts w:ascii="Times New Roman" w:hAnsi="Times New Roman"/>
                <w:b/>
                <w:caps w:val="false"/>
                <w:smallCaps w:val="false"/>
                <w:sz w:val="20"/>
                <w:u w:val="single"/>
              </w:rPr>
              <w:t>Exhibit 2.2(a), Exhibit 2.3(a)</w:t>
            </w:r>
            <w:r>
              <w:rPr>
                <w:rFonts w:ascii="Times New Roman" w:hAnsi="Times New Roman"/>
                <w:caps w:val="false"/>
                <w:smallCaps w:val="false"/>
                <w:sz w:val="20"/>
              </w:rPr>
              <w:t xml:space="preserve">, and/or </w:t>
            </w:r>
            <w:r>
              <w:rPr>
                <w:rFonts w:ascii="Times New Roman" w:hAnsi="Times New Roman"/>
                <w:b/>
                <w:caps w:val="false"/>
                <w:smallCaps w:val="false"/>
                <w:sz w:val="20"/>
                <w:u w:val="single"/>
              </w:rPr>
              <w:t>Exhibit</w:t>
            </w:r>
            <w:r>
              <w:rPr>
                <w:rFonts w:ascii="Times New Roman" w:hAnsi="Times New Roman"/>
                <w:caps w:val="false"/>
                <w:smallCaps w:val="false"/>
                <w:sz w:val="20"/>
                <w:u w:val="single"/>
              </w:rPr>
              <w:t> </w:t>
            </w:r>
            <w:r>
              <w:rPr>
                <w:rFonts w:ascii="Times New Roman" w:hAnsi="Times New Roman"/>
                <w:b/>
                <w:caps w:val="false"/>
                <w:smallCaps w:val="false"/>
                <w:sz w:val="20"/>
                <w:u w:val="single"/>
              </w:rPr>
              <w:t xml:space="preserve">3.2(e)-1 </w:t>
            </w:r>
            <w:r>
              <w:rPr>
                <w:rFonts w:ascii="Times New Roman" w:hAnsi="Times New Roman"/>
                <w:caps w:val="false"/>
                <w:smallCaps w:val="false"/>
                <w:sz w:val="20"/>
              </w:rPr>
              <w:t xml:space="preserve">should be incorrect and/or incomplete, the Parties shall determine in good faith if and, if so, to what extent, </w:t>
            </w:r>
            <w:r>
              <w:rPr>
                <w:rFonts w:ascii="Times New Roman" w:hAnsi="Times New Roman"/>
                <w:b/>
                <w:caps w:val="false"/>
                <w:smallCaps w:val="false"/>
                <w:sz w:val="20"/>
                <w:u w:val="single"/>
              </w:rPr>
              <w:t>Exhibit 2.2(a)</w:t>
            </w:r>
            <w:r>
              <w:rPr>
                <w:rFonts w:ascii="Times New Roman" w:hAnsi="Times New Roman"/>
                <w:caps w:val="false"/>
                <w:smallCaps w:val="false"/>
                <w:sz w:val="20"/>
              </w:rPr>
              <w:t xml:space="preserve">, </w:t>
            </w:r>
            <w:r>
              <w:rPr>
                <w:rFonts w:ascii="Times New Roman" w:hAnsi="Times New Roman"/>
                <w:b/>
                <w:caps w:val="false"/>
                <w:smallCaps w:val="false"/>
                <w:sz w:val="20"/>
                <w:u w:val="single"/>
              </w:rPr>
              <w:t>Exhibit 2.3(a)</w:t>
            </w:r>
            <w:r>
              <w:rPr>
                <w:rFonts w:ascii="Times New Roman" w:hAnsi="Times New Roman"/>
                <w:caps w:val="false"/>
                <w:smallCaps w:val="false"/>
                <w:sz w:val="20"/>
              </w:rPr>
              <w:t xml:space="preserve"> and/or, as the case may be, </w:t>
            </w:r>
            <w:r>
              <w:rPr>
                <w:rFonts w:ascii="Times New Roman" w:hAnsi="Times New Roman"/>
                <w:b/>
                <w:caps w:val="false"/>
                <w:smallCaps w:val="false"/>
                <w:sz w:val="20"/>
                <w:u w:val="single"/>
              </w:rPr>
              <w:t>Exhibit</w:t>
            </w:r>
            <w:r>
              <w:rPr>
                <w:rFonts w:ascii="Times New Roman" w:hAnsi="Times New Roman"/>
                <w:caps w:val="false"/>
                <w:smallCaps w:val="false"/>
                <w:sz w:val="20"/>
                <w:u w:val="single"/>
              </w:rPr>
              <w:t> </w:t>
            </w:r>
            <w:r>
              <w:rPr>
                <w:rFonts w:ascii="Times New Roman" w:hAnsi="Times New Roman"/>
                <w:b/>
                <w:caps w:val="false"/>
                <w:smallCaps w:val="false"/>
                <w:sz w:val="20"/>
                <w:u w:val="single"/>
              </w:rPr>
              <w:t>3.2(e)-1</w:t>
            </w:r>
            <w:r>
              <w:rPr>
                <w:rFonts w:ascii="Times New Roman" w:hAnsi="Times New Roman"/>
                <w:caps w:val="false"/>
                <w:smallCaps w:val="false"/>
                <w:sz w:val="20"/>
              </w:rPr>
              <w:t> shall be corrected and/or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 3</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Insolvency Proceedings of GmbH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otherwise required by mandatory statutory law or provided for in paragraph (2), Sono GmbH, the GmbH Custodian and any future custodian / insolvency administrator of Sono GmbH shall be free to conduct the insolvency proceedings regarding the assets of Sono GmbH in their sole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6 of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3905"/>
        <w:gridCol w:w="60"/>
        <w:gridCol w:w="15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November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Until this Agreement has been terminated pursuant to Section 5 and/or applicable statutory law, Sono GmbH shall use reasonable efforts:</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230"/>
        <w:gridCol w:w="957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5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continue its business operations to maintain or regain a going-concern status as soon as reasonably practicable;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to sell, transfer, or otherwise dispose of any of its assets other than the Distributable Assets outside the ordinary course of business; and</w:t>
            </w:r>
          </w:p>
        </w:tc>
      </w:tr>
    </w:tbl>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60"/>
        <w:gridCol w:w="230"/>
        <w:gridCol w:w="708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70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submit to the insolvency court a Qualifying Insolvency Plan pursuant to Sec. 218 InsO;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00" w:right="0" w:hanging="58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GmbH’s compliance with paragraphs (2) (a), (b) and (c) is (i) factually possible and legally permissible, and (ii) in the best interest of Sono GmbH’s estate creditors (</w:t>
            </w:r>
            <w:r>
              <w:rPr>
                <w:rFonts w:ascii="Times New Roman" w:hAnsi="Times New Roman"/>
                <w:i/>
                <w:caps w:val="false"/>
                <w:smallCaps w:val="false"/>
                <w:sz w:val="20"/>
              </w:rPr>
              <w:t>Massegl</w:t>
            </w:r>
            <w:r>
              <w:rPr>
                <w:rFonts w:ascii="Times New Roman" w:hAnsi="Times New Roman"/>
                <w:caps w:val="false"/>
                <w:smallCaps w:val="false"/>
                <w:sz w:val="20"/>
              </w:rPr>
              <w:t>ä</w:t>
            </w:r>
            <w:r>
              <w:rPr>
                <w:rFonts w:ascii="Times New Roman" w:hAnsi="Times New Roman"/>
                <w:i/>
                <w:caps w:val="false"/>
                <w:smallCaps w:val="false"/>
                <w:sz w:val="20"/>
              </w:rPr>
              <w:t>ubiger</w:t>
            </w:r>
            <w:r>
              <w:rPr>
                <w:rFonts w:ascii="Times New Roman" w:hAnsi="Times New Roman"/>
                <w:caps w:val="false"/>
                <w:smallCaps w:val="false"/>
                <w:sz w:val="20"/>
              </w:rPr>
              <w:t> – Sec. 53 InsO), Sono GmbH’s creditors entitled to separate satisfaction (</w:t>
            </w:r>
            <w:r>
              <w:rPr>
                <w:rFonts w:ascii="Times New Roman" w:hAnsi="Times New Roman"/>
                <w:i/>
                <w:caps w:val="false"/>
                <w:smallCaps w:val="false"/>
                <w:sz w:val="20"/>
              </w:rPr>
              <w:t>Absonderungsberechtigte</w:t>
            </w:r>
            <w:r>
              <w:rPr>
                <w:rFonts w:ascii="Times New Roman" w:hAnsi="Times New Roman"/>
                <w:caps w:val="false"/>
                <w:smallCaps w:val="false"/>
                <w:sz w:val="20"/>
              </w:rPr>
              <w:t> – Sec. 49 et seq. InsO) and Sono GmbH’s insolvency creditors (</w:t>
            </w:r>
            <w:r>
              <w:rPr>
                <w:rFonts w:ascii="Times New Roman" w:hAnsi="Times New Roman"/>
                <w:i/>
                <w:caps w:val="false"/>
                <w:smallCaps w:val="false"/>
                <w:sz w:val="20"/>
              </w:rPr>
              <w:t>Insolvenzgl</w:t>
            </w:r>
            <w:r>
              <w:rPr>
                <w:rFonts w:ascii="Times New Roman" w:hAnsi="Times New Roman"/>
                <w:caps w:val="false"/>
                <w:smallCaps w:val="false"/>
                <w:sz w:val="20"/>
              </w:rPr>
              <w:t>ä</w:t>
            </w:r>
            <w:r>
              <w:rPr>
                <w:rFonts w:ascii="Times New Roman" w:hAnsi="Times New Roman"/>
                <w:i/>
                <w:caps w:val="false"/>
                <w:smallCaps w:val="false"/>
                <w:sz w:val="20"/>
              </w:rPr>
              <w:t>ubiger</w:t>
            </w:r>
            <w:r>
              <w:rPr>
                <w:rFonts w:ascii="Times New Roman" w:hAnsi="Times New Roman"/>
                <w:caps w:val="false"/>
                <w:smallCaps w:val="false"/>
                <w:sz w:val="20"/>
              </w:rPr>
              <w:t> – Sec. 38 InsO);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00" w:right="0" w:hanging="58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further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4"/>
        <w:gridCol w:w="9971"/>
      </w:tblGrid>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in this Agreement, Sono GmbH shall – at any time – be entitled to sell, transfer, or otherwise dispose of – wholly or partially – all assets, rights, contracts and/or other positions of any kind exclusively belonging to Sono GmbH’s development of the solar-powered vehicle called “SION” (the “</w:t>
            </w:r>
            <w:r>
              <w:rPr>
                <w:rFonts w:ascii="Times New Roman" w:hAnsi="Times New Roman"/>
                <w:b/>
                <w:caps w:val="false"/>
                <w:smallCaps w:val="false"/>
                <w:sz w:val="20"/>
              </w:rPr>
              <w:t>SION Project</w:t>
            </w:r>
            <w:r>
              <w:rPr>
                <w:rFonts w:ascii="Times New Roman" w:hAnsi="Times New Roman"/>
                <w:caps w:val="false"/>
                <w:smallCaps w:val="false"/>
                <w:sz w:val="20"/>
              </w:rPr>
              <w:t>”, and such rights, contracts and/or other positions of any kind – the “</w:t>
            </w:r>
            <w:r>
              <w:rPr>
                <w:rFonts w:ascii="Times New Roman" w:hAnsi="Times New Roman"/>
                <w:b/>
                <w:caps w:val="false"/>
                <w:smallCaps w:val="false"/>
                <w:sz w:val="20"/>
              </w:rPr>
              <w:t>SION Assets</w:t>
            </w:r>
            <w:r>
              <w:rPr>
                <w:rFonts w:ascii="Times New Roman" w:hAnsi="Times New Roman"/>
                <w:caps w:val="false"/>
                <w:smallCaps w:val="false"/>
                <w:sz w:val="20"/>
              </w:rPr>
              <w:t xml:space="preserve">”) to any person (including, but not limited to, a trustee for Sono GmbH’s creditors). The SION Assets are (not necessarily conclusively) listed in </w:t>
            </w:r>
            <w:r>
              <w:rPr>
                <w:rFonts w:ascii="Times New Roman" w:hAnsi="Times New Roman"/>
                <w:b/>
                <w:caps w:val="false"/>
                <w:smallCaps w:val="false"/>
                <w:sz w:val="20"/>
                <w:u w:val="single"/>
              </w:rPr>
              <w:t>Exhibit</w:t>
            </w:r>
            <w:r>
              <w:rPr>
                <w:rFonts w:ascii="Times New Roman" w:hAnsi="Times New Roman"/>
                <w:caps w:val="false"/>
                <w:smallCaps w:val="false"/>
                <w:sz w:val="20"/>
                <w:u w:val="single"/>
              </w:rPr>
              <w:t> </w:t>
            </w:r>
            <w:r>
              <w:rPr>
                <w:rFonts w:ascii="Times New Roman" w:hAnsi="Times New Roman"/>
                <w:b/>
                <w:caps w:val="false"/>
                <w:smallCaps w:val="false"/>
                <w:sz w:val="20"/>
                <w:u w:val="single"/>
              </w:rPr>
              <w:t>3.2(e)-1</w:t>
            </w:r>
            <w:r>
              <w:rPr>
                <w:rFonts w:ascii="Times New Roman" w:hAnsi="Times New Roman"/>
                <w:caps w:val="false"/>
                <w:smallCaps w:val="false"/>
                <w:sz w:val="20"/>
              </w:rPr>
              <w:t xml:space="preserve">. Sono GmbH (or, as the case may be, the trustee for Sono GmbH’s creditors) shall also be entitled to grant any acquirer of the SION Project unrestricted rights to use (e.g., licenses) any assets which do not qualify as SION Assets but which are necessary or useful to continue and/or further develop the SION Project on a non-exclusive basis, including (but not limited to) unrestricted non-exclusive licenses to the intellectual property rights (not necessarily conclusively) listed in </w:t>
            </w:r>
            <w:r>
              <w:rPr>
                <w:rFonts w:ascii="Times New Roman" w:hAnsi="Times New Roman"/>
                <w:b/>
                <w:caps w:val="false"/>
                <w:smallCaps w:val="false"/>
                <w:sz w:val="20"/>
                <w:u w:val="single"/>
              </w:rPr>
              <w:t>Exhibit 3.2(e)-2</w:t>
            </w:r>
            <w:r>
              <w:rPr>
                <w:rFonts w:ascii="Times New Roman" w:hAnsi="Times New Roman"/>
                <w:caps w:val="false"/>
                <w:smallCaps w:val="false"/>
                <w:sz w:val="20"/>
              </w:rPr>
              <w:t> (the “</w:t>
            </w:r>
            <w:r>
              <w:rPr>
                <w:rFonts w:ascii="Times New Roman" w:hAnsi="Times New Roman"/>
                <w:b/>
                <w:caps w:val="false"/>
                <w:smallCaps w:val="false"/>
                <w:sz w:val="20"/>
              </w:rPr>
              <w:t>Non-Exclusive IP Rights</w:t>
            </w:r>
            <w:r>
              <w:rPr>
                <w:rFonts w:ascii="Times New Roman" w:hAnsi="Times New Roman"/>
                <w:caps w:val="false"/>
                <w:smallCaps w:val="false"/>
                <w:sz w:val="20"/>
              </w:rPr>
              <w:t>”); provided, however, that – under, or in connection with, such rights – Sono GmbH shall not incur any payment obligations (</w:t>
            </w:r>
            <w:r>
              <w:rPr>
                <w:rFonts w:ascii="Times New Roman" w:hAnsi="Times New Roman"/>
                <w:i/>
                <w:caps w:val="false"/>
                <w:smallCaps w:val="false"/>
                <w:sz w:val="20"/>
              </w:rPr>
              <w:t>Zahlungsverbindlichkeiten</w:t>
            </w:r>
            <w:r>
              <w:rPr>
                <w:rFonts w:ascii="Times New Roman" w:hAnsi="Times New Roman"/>
                <w:caps w:val="false"/>
                <w:smallCaps w:val="false"/>
                <w:sz w:val="20"/>
              </w:rPr>
              <w:t>) and/or assume any other obligation which would have a negative effect on the Going-Concern Budget.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 4</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Conditions Precedent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1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t>
            </w:r>
            <w:r>
              <w:rPr>
                <w:rFonts w:ascii="Times New Roman" w:hAnsi="Times New Roman"/>
                <w:b/>
                <w:caps w:val="false"/>
                <w:smallCaps w:val="false"/>
                <w:sz w:val="20"/>
              </w:rPr>
              <w:t>Condition (20-F Filing)</w:t>
            </w:r>
            <w:r>
              <w:rPr>
                <w:rFonts w:ascii="Times New Roman" w:hAnsi="Times New Roman"/>
                <w:caps w:val="false"/>
                <w:smallCaps w:val="false"/>
                <w:sz w:val="20"/>
              </w:rPr>
              <w:t>” shall be satisfied if Sono NV has filed the SEC Form 20-F Filing with the U.S.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9"/>
        <w:gridCol w:w="9906"/>
      </w:tblGrid>
      <w:tr>
        <w:trPr/>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0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t>
            </w:r>
            <w:r>
              <w:rPr>
                <w:rFonts w:ascii="Times New Roman" w:hAnsi="Times New Roman"/>
                <w:b/>
                <w:caps w:val="false"/>
                <w:smallCaps w:val="false"/>
                <w:sz w:val="20"/>
              </w:rPr>
              <w:t>Condition (Plan)</w:t>
            </w:r>
            <w:r>
              <w:rPr>
                <w:rFonts w:ascii="Times New Roman" w:hAnsi="Times New Roman"/>
                <w:caps w:val="false"/>
                <w:smallCaps w:val="false"/>
                <w:sz w:val="20"/>
              </w:rPr>
              <w:t>” shall be satisfied if a Qualifying Insolvency Plan for Sono GmbH has become legally binding (</w:t>
            </w:r>
            <w:r>
              <w:rPr>
                <w:rFonts w:ascii="Times New Roman" w:hAnsi="Times New Roman"/>
                <w:i/>
                <w:caps w:val="false"/>
                <w:smallCaps w:val="false"/>
                <w:sz w:val="20"/>
              </w:rPr>
              <w:t>rechtskr</w:t>
            </w:r>
            <w:r>
              <w:rPr>
                <w:rFonts w:ascii="Times New Roman" w:hAnsi="Times New Roman"/>
                <w:caps w:val="false"/>
                <w:smallCaps w:val="false"/>
                <w:sz w:val="20"/>
              </w:rPr>
              <w:t>ä</w:t>
            </w:r>
            <w:r>
              <w:rPr>
                <w:rFonts w:ascii="Times New Roman" w:hAnsi="Times New Roman"/>
                <w:i/>
                <w:caps w:val="false"/>
                <w:smallCaps w:val="false"/>
                <w:sz w:val="20"/>
              </w:rPr>
              <w:t>ftig</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7 of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3905"/>
        <w:gridCol w:w="60"/>
        <w:gridCol w:w="15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November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t>
            </w:r>
            <w:r>
              <w:rPr>
                <w:rFonts w:ascii="Times New Roman" w:hAnsi="Times New Roman"/>
                <w:b/>
                <w:caps w:val="false"/>
                <w:smallCaps w:val="false"/>
                <w:sz w:val="20"/>
              </w:rPr>
              <w:t>Condition (6K Filing)</w:t>
            </w:r>
            <w:r>
              <w:rPr>
                <w:rFonts w:ascii="Times New Roman" w:hAnsi="Times New Roman"/>
                <w:caps w:val="false"/>
                <w:smallCaps w:val="false"/>
                <w:sz w:val="20"/>
              </w:rPr>
              <w:t>” shall be satisfied (i) if Sono NV has filed the SEC Form 6K HY 2023 (as defined in Preamble (A) of the Restructuring Agreement) (in form unreviewed by an auditor) with the U.S. Securities and Exchange Commission or (ii) if Yorkville has waived the corresponding Condition (6K Filing) in the Restructuring Agreement in accordance with section 2.4 of the Restructuring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t>
            </w:r>
            <w:r>
              <w:rPr>
                <w:rFonts w:ascii="Times New Roman" w:hAnsi="Times New Roman"/>
                <w:b/>
                <w:caps w:val="false"/>
                <w:smallCaps w:val="false"/>
                <w:sz w:val="20"/>
              </w:rPr>
              <w:t>Condition (Withdrawal)</w:t>
            </w:r>
            <w:r>
              <w:rPr>
                <w:rFonts w:ascii="Times New Roman" w:hAnsi="Times New Roman"/>
                <w:caps w:val="false"/>
                <w:smallCaps w:val="false"/>
                <w:sz w:val="20"/>
              </w:rPr>
              <w:t>” shall be satisfied if Sono NV has withdrawn its petition to open insolvency proceedings regarding the assets of Sono NV dated 15 May 2023 and no other petition to open insolvency proceedings regarding the assets of Sono NV is pending, and all securing measures (</w:t>
            </w:r>
            <w:r>
              <w:rPr>
                <w:rFonts w:ascii="Times New Roman" w:hAnsi="Times New Roman"/>
                <w:i/>
                <w:caps w:val="false"/>
                <w:smallCaps w:val="false"/>
                <w:sz w:val="20"/>
              </w:rPr>
              <w:t>Sicherungsma</w:t>
            </w:r>
            <w:r>
              <w:rPr>
                <w:rFonts w:ascii="Times New Roman" w:hAnsi="Times New Roman"/>
                <w:caps w:val="false"/>
                <w:smallCaps w:val="false"/>
                <w:sz w:val="20"/>
              </w:rPr>
              <w:t>ß</w:t>
            </w:r>
            <w:r>
              <w:rPr>
                <w:rFonts w:ascii="Times New Roman" w:hAnsi="Times New Roman"/>
                <w:i/>
                <w:caps w:val="false"/>
                <w:smallCaps w:val="false"/>
                <w:sz w:val="20"/>
              </w:rPr>
              <w:t>nahmen</w:t>
            </w:r>
            <w:r>
              <w:rPr>
                <w:rFonts w:ascii="Times New Roman" w:hAnsi="Times New Roman"/>
                <w:caps w:val="false"/>
                <w:smallCaps w:val="false"/>
                <w:sz w:val="20"/>
              </w:rPr>
              <w:t>) taken by the local court of Munich, insolvency court, in its resolution dated 17 May 2023 (case number 1513 IN 1513/23) and afterwards have been removed.</w:t>
            </w:r>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60"/>
        <w:gridCol w:w="245"/>
        <w:gridCol w:w="37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3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t>
            </w:r>
            <w:r>
              <w:rPr>
                <w:rFonts w:ascii="Times New Roman" w:hAnsi="Times New Roman"/>
                <w:b/>
                <w:caps w:val="false"/>
                <w:smallCaps w:val="false"/>
                <w:sz w:val="20"/>
              </w:rPr>
              <w:t>Closing Condition</w:t>
            </w:r>
            <w:r>
              <w:rPr>
                <w:rFonts w:ascii="Times New Roman" w:hAnsi="Times New Roman"/>
                <w:caps w:val="false"/>
                <w:smallCaps w:val="false"/>
                <w:sz w:val="20"/>
              </w:rPr>
              <w:t>” shall be satisfied if:</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230"/>
        <w:gridCol w:w="354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3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Condition (20-F Filing) is satisfied; and</w:t>
            </w:r>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60"/>
        <w:gridCol w:w="245"/>
        <w:gridCol w:w="29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2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Condition (Plan) is satisfied; and</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60"/>
        <w:gridCol w:w="230"/>
        <w:gridCol w:w="34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34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Condition (6K Filing) is satisfied; and</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245"/>
        <w:gridCol w:w="32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3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Condition (Withdrawal) is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60" w:right="0" w:hanging="0"/>
        <w:jc w:val="both"/>
        <w:rPr>
          <w:rFonts w:ascii="Times New Roman" w:hAnsi="Times New Roman"/>
          <w:caps w:val="false"/>
          <w:smallCaps w:val="false"/>
          <w:sz w:val="20"/>
        </w:rPr>
      </w:pPr>
      <w:r>
        <w:rPr>
          <w:rFonts w:ascii="Times New Roman" w:hAnsi="Times New Roman"/>
          <w:caps w:val="false"/>
          <w:smallCaps w:val="false"/>
          <w:sz w:val="20"/>
        </w:rPr>
        <w:t>Furthermore, the Closing Condition shall be deemed satisfied if the Closing Condition under the Restructuring Agreement has occurred.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201"/>
        <w:gridCol w:w="9751"/>
      </w:tblGrid>
      <w:tr>
        <w:trPr/>
        <w:tc>
          <w:tcPr>
            <w:tcW w:w="253" w:type="dxa"/>
            <w:tcBorders/>
            <w:vAlign w:val="center"/>
          </w:tcPr>
          <w:p>
            <w:pPr>
              <w:pStyle w:val="TableContents"/>
              <w:bidi w:val="0"/>
              <w:spacing w:before="0" w:after="283"/>
              <w:jc w:val="left"/>
              <w:rPr/>
            </w:pPr>
            <w:r>
              <w:rPr/>
              <w:t>(6)</w:t>
            </w:r>
          </w:p>
        </w:tc>
        <w:tc>
          <w:tcPr>
            <w:tcW w:w="2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7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shall confirm to Sono GmbH in writing (e-mail with signed confirmation attached as PDF file sufficient) that the filing pursuant to paragraph (1) has been made without undue delay once the filing has been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3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GmbH shall confirm to Sono NV in writing (e-mail with signed confirmation attached as PDF file sufficient) that a Qualifying Insolvency Plan for Sono GmbH has become legally binding (</w:t>
            </w:r>
            <w:r>
              <w:rPr>
                <w:rFonts w:ascii="Times New Roman" w:hAnsi="Times New Roman"/>
                <w:i/>
                <w:caps w:val="false"/>
                <w:smallCaps w:val="false"/>
                <w:sz w:val="20"/>
              </w:rPr>
              <w:t>rechtskr</w:t>
            </w:r>
            <w:r>
              <w:rPr>
                <w:rFonts w:ascii="Times New Roman" w:hAnsi="Times New Roman"/>
                <w:caps w:val="false"/>
                <w:smallCaps w:val="false"/>
                <w:sz w:val="20"/>
              </w:rPr>
              <w:t>ä</w:t>
            </w:r>
            <w:r>
              <w:rPr>
                <w:rFonts w:ascii="Times New Roman" w:hAnsi="Times New Roman"/>
                <w:i/>
                <w:caps w:val="false"/>
                <w:smallCaps w:val="false"/>
                <w:sz w:val="20"/>
              </w:rPr>
              <w:t>ftig</w:t>
            </w:r>
            <w:r>
              <w:rPr>
                <w:rFonts w:ascii="Times New Roman" w:hAnsi="Times New Roman"/>
                <w:caps w:val="false"/>
                <w:smallCaps w:val="false"/>
                <w:sz w:val="20"/>
              </w:rPr>
              <w:t>) without undue delay once a Qualifying Insolvency Plan for GmbH has become legally binding (</w:t>
            </w:r>
            <w:r>
              <w:rPr>
                <w:rFonts w:ascii="Times New Roman" w:hAnsi="Times New Roman"/>
                <w:i/>
                <w:caps w:val="false"/>
                <w:smallCaps w:val="false"/>
                <w:sz w:val="20"/>
              </w:rPr>
              <w:t>rechtskr</w:t>
            </w:r>
            <w:r>
              <w:rPr>
                <w:rFonts w:ascii="Times New Roman" w:hAnsi="Times New Roman"/>
                <w:caps w:val="false"/>
                <w:smallCaps w:val="false"/>
                <w:sz w:val="20"/>
              </w:rPr>
              <w:t>ä</w:t>
            </w:r>
            <w:r>
              <w:rPr>
                <w:rFonts w:ascii="Times New Roman" w:hAnsi="Times New Roman"/>
                <w:i/>
                <w:caps w:val="false"/>
                <w:smallCaps w:val="false"/>
                <w:sz w:val="20"/>
              </w:rPr>
              <w:t>ftig</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shall confirm to Sono GmbH in writing (e-mail with signed confirmation attached as PDF file sufficient) that the filing pursuant to paragraph (3) has been made without undue delay once the filing has been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3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shall confirm to GmbH in writing (e-mail with signed confirmation attached as PDF file sufficient) that all actions pursuant to paragraph (4) have been taken without undue delay once all actions pursuant to paragraph (4) have been taken.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99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Condition (20-F Filing), the Condition (Plan), the Condition (6K Filing) and/or the Condition (Withdrawal) shall be deemed satisfied if the Parties – with the consent of Yorkville – agree in writing (e-mail with signed declarations/consent attached as PDF file sufficient) that the Condition (Filing/Plan) and/or, respectively, the Condition (Withdrawal) have been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8 of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3905"/>
        <w:gridCol w:w="60"/>
        <w:gridCol w:w="15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November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99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the avoidance of doubt, the Parties shall not be obligated to satisfy any of the conditions set out in paragraphs (1), (2), (3), (4) and/or (5); </w:t>
            </w:r>
            <w:r>
              <w:rPr>
                <w:rFonts w:ascii="Times New Roman" w:hAnsi="Times New Roman"/>
                <w:caps w:val="false"/>
                <w:smallCaps w:val="false"/>
                <w:sz w:val="20"/>
                <w:u w:val="single"/>
              </w:rPr>
              <w:t>provided</w:t>
            </w:r>
            <w:r>
              <w:rPr>
                <w:rFonts w:ascii="Times New Roman" w:hAnsi="Times New Roman"/>
                <w:caps w:val="false"/>
                <w:smallCaps w:val="false"/>
                <w:sz w:val="20"/>
              </w:rPr>
              <w:t>, however,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shall use reasonable efforts to file the SEC Form 20-F with the U.S. Securities and Exchange Commission in accordance with applicable law;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NV shall use reasonable efforts to file the SEC Form 6 K HY 2023 (as defined in Section 2.3 of the Restructuring Agreement) with the U.S. Securities and Exchange Commission in accordance with applicable law; and</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60"/>
        <w:gridCol w:w="230"/>
        <w:gridCol w:w="437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43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 para. (3) and Section 3 shall not be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 5</w:t>
      </w:r>
    </w:p>
    <w:tbl>
      <w:tblPr>
        <w:tblW w:w="1100" w:type="dxa"/>
        <w:jc w:val="left"/>
        <w:tblInd w:w="0" w:type="dxa"/>
        <w:tblLayout w:type="fixed"/>
        <w:tblCellMar>
          <w:top w:w="0" w:type="dxa"/>
          <w:left w:w="0" w:type="dxa"/>
          <w:bottom w:w="0" w:type="dxa"/>
          <w:right w:w="0" w:type="dxa"/>
        </w:tblCellMar>
      </w:tblPr>
      <w:tblGrid>
        <w:gridCol w:w="1100"/>
      </w:tblGrid>
      <w:tr>
        <w:trPr/>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Termination</w:t>
            </w:r>
          </w:p>
        </w:tc>
      </w:tr>
    </w:tbl>
    <w:p>
      <w:pPr>
        <w:pStyle w:val="TextBody"/>
        <w:bidi w:val="0"/>
        <w:spacing w:before="0" w:after="0"/>
        <w:ind w:left="0" w:right="0" w:hanging="0"/>
        <w:jc w:val="left"/>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60"/>
        <w:gridCol w:w="245"/>
        <w:gridCol w:w="45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end of 31 December 2023 (or by such other date the Parties mutually agree upon (e-mail with signed consent attached as PDF file sufficient)) the Condition (20-F Filing) has not been satisfied; and/or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0"/>
        <w:gridCol w:w="9925"/>
      </w:tblGrid>
      <w:tr>
        <w:trPr/>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end of 31 December 2023 (or by such other date the Parties mutually agree upon (e-mail with signed consent attached as PDF file sufficient)) the Condition (6K Filing) has not been satisfied; and/or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end of 31 January 2024 (or by such other date the Parties mutually agree upon (e-mail with signed consent attached as PDF file sufficient)) the Closing Condition has not been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both"/>
        <w:rPr>
          <w:rFonts w:ascii="Times New Roman" w:hAnsi="Times New Roman"/>
          <w:caps w:val="false"/>
          <w:smallCaps w:val="false"/>
          <w:sz w:val="20"/>
        </w:rPr>
      </w:pPr>
      <w:r>
        <w:rPr>
          <w:rFonts w:ascii="Times New Roman" w:hAnsi="Times New Roman"/>
          <w:caps w:val="false"/>
          <w:smallCaps w:val="false"/>
          <w:sz w:val="20"/>
        </w:rPr>
        <w:t>each Party shall be entitled to terminate this Agreement with immediate effect.</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305"/>
        <w:gridCol w:w="780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(2)</w:t>
            </w:r>
          </w:p>
        </w:tc>
        <w:tc>
          <w:tcPr>
            <w:tcW w:w="78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Extraordinary termination rights of the Parties under mandatory statutory law remain unaffected.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termination pursuant to paragraph (1) shall be possible at any time, as long as the reason for the termination is still existing. Sec. 350 BGB shall not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1"/>
        <w:gridCol w:w="9924"/>
      </w:tblGrid>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2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termination pursuant to paragraph (1) needs to be declared by the terminating Party to the respective other Party in writing (e-mail with signed termination notice attached as PDF file sufficient).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a consequence of a termination pursuant to paragraph (1), this Agreement and all exhibits thereto shall no longer have any legal effect between the Parties; </w:t>
            </w:r>
            <w:r>
              <w:rPr>
                <w:rFonts w:ascii="Times New Roman" w:hAnsi="Times New Roman"/>
                <w:caps w:val="false"/>
                <w:smallCaps w:val="false"/>
                <w:sz w:val="20"/>
                <w:u w:val="single"/>
              </w:rPr>
              <w:t>provided</w:t>
            </w:r>
            <w:r>
              <w:rPr>
                <w:rFonts w:ascii="Times New Roman" w:hAnsi="Times New Roman"/>
                <w:caps w:val="false"/>
                <w:smallCaps w:val="false"/>
                <w:sz w:val="20"/>
              </w:rPr>
              <w:t>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2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6 (costs), Section 7 para. (8) (choice of law; venue) and this Section 5 para. (5) (consequences of termination) shall survive the termination;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9 of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3905"/>
        <w:gridCol w:w="60"/>
        <w:gridCol w:w="15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November 2023</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245"/>
        <w:gridCol w:w="593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5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damage claims of the Parties shall not be affected by the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 6</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paragraph (2), Sono NV shall bear all costs arising from, or in connection with, the preparation, execution and/or consummation of this Agreement, provided such costs have been taken into account in the NV Waterfall.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Party shall bear the costs of its own advisors in connection with the preparation, execution and/or consummation of this Agreement. All costs for the implementation and enforcement of the Qualifying Insolvency Plan pursuant to Section 2 para. (4) shall be borne by Sono GmbH.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 7</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Final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14"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Closing Date</w:t>
            </w:r>
            <w:r>
              <w:rPr>
                <w:rFonts w:ascii="Times New Roman" w:hAnsi="Times New Roman"/>
                <w:caps w:val="false"/>
                <w:smallCaps w:val="false"/>
                <w:sz w:val="20"/>
              </w:rPr>
              <w:t>” shall be the date on which the insolvency proceedings regarding the assets of Sono GmbH have been terminated pursuant to Sec. 258 InsO.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8"/>
        <w:gridCol w:w="9887"/>
      </w:tblGrid>
      <w:tr>
        <w:trPr/>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(2)</w:t>
            </w:r>
          </w:p>
        </w:tc>
        <w:tc>
          <w:tcPr>
            <w:tcW w:w="988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personal liability of the GmbH Custodian, the NV Custodian, the management of Sono NV and/or the management of Sono GmbH (including, in each case, of their respective representatives and advisors) under, or in connection with, this Agreement, in particular pursuant to Sec. 60, 61 InsO (including their analogous application), shall be excluded (genuine contract for the benefit of a third party pursuant to Sec. 328 BGB); this shall not apply in case of intent or fraudulent intent.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Rights and obligations under this Agreement may not be assigned or transferred – wholly or partially – without the prior written consent of the respective other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set-off or retention right of Sono NV shall be excluded, unless the existence of such right is undisputed or confirmed by a final court decision.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4"/>
        <w:gridCol w:w="9881"/>
      </w:tblGrid>
      <w:tr>
        <w:trPr/>
        <w:tc>
          <w:tcPr>
            <w:tcW w:w="6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(5)</w:t>
            </w:r>
          </w:p>
        </w:tc>
        <w:tc>
          <w:tcPr>
            <w:tcW w:w="98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payments to be made any Party under, or in connection with, this Agreement shall be made without any deductions. For a payment to be made in time, the irrevocable crediting of the respective recipient's account shall be decisive. In the event of default with payment (</w:t>
            </w:r>
            <w:r>
              <w:rPr>
                <w:rFonts w:ascii="Times New Roman" w:hAnsi="Times New Roman"/>
                <w:i/>
                <w:caps w:val="false"/>
                <w:smallCaps w:val="false"/>
                <w:sz w:val="20"/>
              </w:rPr>
              <w:t>Zahlungsverzug</w:t>
            </w:r>
            <w:r>
              <w:rPr>
                <w:rFonts w:ascii="Times New Roman" w:hAnsi="Times New Roman"/>
                <w:caps w:val="false"/>
                <w:smallCaps w:val="false"/>
                <w:sz w:val="20"/>
              </w:rPr>
              <w:t>) the default interest rate (</w:t>
            </w:r>
            <w:r>
              <w:rPr>
                <w:rFonts w:ascii="Times New Roman" w:hAnsi="Times New Roman"/>
                <w:i/>
                <w:caps w:val="false"/>
                <w:smallCaps w:val="false"/>
                <w:sz w:val="20"/>
              </w:rPr>
              <w:t>Verzugszins</w:t>
            </w:r>
            <w:r>
              <w:rPr>
                <w:rFonts w:ascii="Times New Roman" w:hAnsi="Times New Roman"/>
                <w:caps w:val="false"/>
                <w:smallCaps w:val="false"/>
                <w:sz w:val="20"/>
              </w:rPr>
              <w:t>) shall be 10 % p.a.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(6)</w:t>
            </w:r>
          </w:p>
        </w:tc>
        <w:tc>
          <w:tcPr>
            <w:tcW w:w="987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otherwise explicitly provided for in this Agreement, any amendment or supplement to this Agreement must be made in writing to be effective unless a stricter form is required by law. This shall also apply to any deviation from this written form requirement.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10 of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3905"/>
        <w:gridCol w:w="60"/>
        <w:gridCol w:w="15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November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99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provision of this Agreement is invalid or unenforceable in whole or in part, the validity and enforceability of all other provisions of this Agreement shall not be affected thereby. The invalid or unenforceable provision shall be deemed to be replaced by the valid and enforceable provision which comes closest to the economic purpose pursued by the Parties. The same shall apply to any omissions in this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9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Agreement is subject to German law. The Vienna UN-Convention on Contracts for the International Sale of Goods (CISG) shall not apply. The place of jurisdiction for all disputes arising from or in connection with this Agreement shall be Munich; to the extent legally permissible, such place of jurisdiction shall be exclusive.</w:t>
            </w:r>
          </w:p>
        </w:tc>
      </w:tr>
    </w:tbl>
    <w:p>
      <w:pPr>
        <w:pStyle w:val="TextBody"/>
        <w:bidi w:val="0"/>
        <w:spacing w:before="0" w:after="0"/>
        <w:ind w:left="0" w:right="0" w:hanging="0"/>
        <w:jc w:val="left"/>
        <w:rPr>
          <w:caps w:val="false"/>
          <w:smallCaps w:val="false"/>
        </w:rPr>
      </w:pPr>
      <w:r>
        <w:rPr>
          <w:caps w:val="false"/>
          <w:smallCaps w:val="false"/>
        </w:rPr>
        <w:t> </w:t>
      </w:r>
    </w:p>
    <w:tbl>
      <w:tblPr>
        <w:tblW w:w="335" w:type="dxa"/>
        <w:jc w:val="left"/>
        <w:tblInd w:w="0" w:type="dxa"/>
        <w:tblLayout w:type="fixed"/>
        <w:tblCellMar>
          <w:top w:w="0" w:type="dxa"/>
          <w:left w:w="0" w:type="dxa"/>
          <w:bottom w:w="0" w:type="dxa"/>
          <w:right w:w="0" w:type="dxa"/>
        </w:tblCellMar>
      </w:tblPr>
      <w:tblGrid>
        <w:gridCol w:w="335"/>
      </w:tblGrid>
      <w:tr>
        <w:trPr/>
        <w:tc>
          <w:tcPr>
            <w:tcW w:w="3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11 of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28" w:type="dxa"/>
          <w:right w:w="0" w:type="dxa"/>
        </w:tblCellMar>
      </w:tblPr>
      <w:tblGrid>
        <w:gridCol w:w="3905"/>
        <w:gridCol w:w="60"/>
        <w:gridCol w:w="15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November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755"/>
        <w:gridCol w:w="60"/>
        <w:gridCol w:w="3740"/>
      </w:tblGrid>
      <w:tr>
        <w:trPr/>
        <w:tc>
          <w:tcPr>
            <w:tcW w:w="37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Sono Motors GmbH:</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Sono Group N.V.:</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Munich, 20 November 2023</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Munich, 20 November 2023</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Torsten Kiedel</w:t>
            </w:r>
            <w:r>
              <w:rPr>
                <w:rFonts w:ascii="Times New Roman" w:hAnsi="Times New Roman"/>
                <w:caps w:val="false"/>
                <w:smallCaps w:val="false"/>
                <w:sz w:val="20"/>
              </w:rPr>
              <w:t>____________________</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Torsten Kiedel</w:t>
            </w:r>
            <w:r>
              <w:rPr>
                <w:rFonts w:ascii="Times New Roman" w:hAnsi="Times New Roman"/>
                <w:caps w:val="false"/>
                <w:smallCaps w:val="false"/>
                <w:sz w:val="20"/>
              </w:rPr>
              <w:t>_____________________</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Torsten Kiedel</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Torsten Kiedel</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Jona Christians</w:t>
            </w:r>
            <w:r>
              <w:rPr>
                <w:rFonts w:ascii="Times New Roman" w:hAnsi="Times New Roman"/>
                <w:caps w:val="false"/>
                <w:smallCaps w:val="false"/>
                <w:sz w:val="20"/>
              </w:rPr>
              <w:t>____________________</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Jona Christians</w:t>
            </w:r>
            <w:r>
              <w:rPr>
                <w:rFonts w:ascii="Times New Roman" w:hAnsi="Times New Roman"/>
                <w:caps w:val="false"/>
                <w:smallCaps w:val="false"/>
                <w:sz w:val="20"/>
              </w:rPr>
              <w:t>____________________</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 Christians</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 Christians</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Markus Volmer</w:t>
            </w:r>
            <w:r>
              <w:rPr>
                <w:rFonts w:ascii="Times New Roman" w:hAnsi="Times New Roman"/>
                <w:caps w:val="false"/>
                <w:smallCaps w:val="false"/>
                <w:sz w:val="20"/>
              </w:rPr>
              <w:t>____________________</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Markus Volmer</w:t>
            </w:r>
            <w:r>
              <w:rPr>
                <w:rFonts w:ascii="Times New Roman" w:hAnsi="Times New Roman"/>
                <w:caps w:val="false"/>
                <w:smallCaps w:val="false"/>
                <w:sz w:val="20"/>
              </w:rPr>
              <w:t>_____________________</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Markus Volmer</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Markus Volmer</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Dirk Schoene</w:t>
            </w:r>
            <w:r>
              <w:rPr>
                <w:rFonts w:ascii="Times New Roman" w:hAnsi="Times New Roman"/>
                <w:caps w:val="false"/>
                <w:smallCaps w:val="false"/>
                <w:sz w:val="20"/>
              </w:rPr>
              <w:t>______________________</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Christian Plail</w:t>
            </w:r>
            <w:r>
              <w:rPr>
                <w:rFonts w:ascii="Times New Roman" w:hAnsi="Times New Roman"/>
                <w:caps w:val="false"/>
                <w:smallCaps w:val="false"/>
                <w:sz w:val="20"/>
              </w:rPr>
              <w:t>______________________</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Generalhandlungsbevollm</w:t>
            </w:r>
            <w:r>
              <w:rPr>
                <w:rFonts w:ascii="Times New Roman" w:hAnsi="Times New Roman"/>
                <w:caps w:val="false"/>
                <w:smallCaps w:val="false"/>
                <w:sz w:val="20"/>
              </w:rPr>
              <w:t>ä</w:t>
            </w:r>
            <w:r>
              <w:rPr>
                <w:rFonts w:ascii="Times New Roman" w:hAnsi="Times New Roman"/>
                <w:i/>
                <w:caps w:val="false"/>
                <w:smallCaps w:val="false"/>
                <w:sz w:val="20"/>
              </w:rPr>
              <w:t>chtigter</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Generalhandlungsbevollm</w:t>
            </w:r>
            <w:r>
              <w:rPr>
                <w:rFonts w:ascii="Times New Roman" w:hAnsi="Times New Roman"/>
                <w:caps w:val="false"/>
                <w:smallCaps w:val="false"/>
                <w:sz w:val="20"/>
              </w:rPr>
              <w:t>ä</w:t>
            </w:r>
            <w:r>
              <w:rPr>
                <w:rFonts w:ascii="Times New Roman" w:hAnsi="Times New Roman"/>
                <w:i/>
                <w:caps w:val="false"/>
                <w:smallCaps w:val="false"/>
                <w:sz w:val="20"/>
              </w:rPr>
              <w:t>chtigter</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the consent of</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the consent of</w:t>
            </w:r>
          </w:p>
        </w:tc>
      </w:tr>
      <w:tr>
        <w:trPr/>
        <w:tc>
          <w:tcPr>
            <w:tcW w:w="37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Custodian (GmbH):</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Preliminary Custodian (NV):</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Munich, 20 November 2023</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Munich, 20 November 2023</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Ivo-Meinert Willrodt</w:t>
            </w:r>
            <w:r>
              <w:rPr>
                <w:rFonts w:ascii="Times New Roman" w:hAnsi="Times New Roman"/>
                <w:caps w:val="false"/>
                <w:smallCaps w:val="false"/>
                <w:sz w:val="20"/>
              </w:rPr>
              <w:t>_________________</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Marlene Scheinert</w:t>
            </w:r>
            <w:r>
              <w:rPr>
                <w:rFonts w:ascii="Times New Roman" w:hAnsi="Times New Roman"/>
                <w:caps w:val="false"/>
                <w:smallCaps w:val="false"/>
                <w:sz w:val="20"/>
              </w:rPr>
              <w:t>__________________</w:t>
            </w:r>
          </w:p>
        </w:tc>
      </w:tr>
      <w:tr>
        <w:trPr/>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Ivo-Meinert Willrodt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Custodian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Sachwalter</w:t>
            </w:r>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Marlene Scheinert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Preliminary Custodian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 Sachwalterin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12 of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7645" w:type="dxa"/>
        <w:jc w:val="left"/>
        <w:tblInd w:w="0" w:type="dxa"/>
        <w:tblLayout w:type="fixed"/>
        <w:tblCellMar>
          <w:top w:w="0" w:type="dxa"/>
          <w:left w:w="0" w:type="dxa"/>
          <w:bottom w:w="28" w:type="dxa"/>
          <w:right w:w="0" w:type="dxa"/>
        </w:tblCellMar>
      </w:tblPr>
      <w:tblGrid>
        <w:gridCol w:w="3905"/>
        <w:gridCol w:w="60"/>
        <w:gridCol w:w="368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3680" w:type="dxa"/>
            <w:tcBorders>
              <w:bottom w:val="single" w:sz="2" w:space="0" w:color="000000"/>
            </w:tcBorders>
            <w:vAlign w:val="center"/>
          </w:tcPr>
          <w:p>
            <w:pPr>
              <w:pStyle w:val="TableContents"/>
              <w:bidi w:val="0"/>
              <w:spacing w:before="0" w:after="283"/>
              <w:jc w:val="right"/>
              <w:rPr/>
            </w:pPr>
            <w:r>
              <w:rPr/>
              <w:t>Exhibit P.4 (Restructuring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Exhibit P.4</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Restructuring Agreement</w:t>
      </w:r>
    </w:p>
    <w:tbl>
      <w:tblPr>
        <w:tblW w:w="860" w:type="dxa"/>
        <w:jc w:val="left"/>
        <w:tblInd w:w="0" w:type="dxa"/>
        <w:tblLayout w:type="fixed"/>
        <w:tblCellMar>
          <w:top w:w="0" w:type="dxa"/>
          <w:left w:w="0" w:type="dxa"/>
          <w:bottom w:w="0" w:type="dxa"/>
          <w:right w:w="0" w:type="dxa"/>
        </w:tblCellMar>
      </w:tblPr>
      <w:tblGrid>
        <w:gridCol w:w="860"/>
      </w:tblGrid>
      <w:tr>
        <w:trPr/>
        <w:tc>
          <w:tcPr>
            <w:tcW w:w="8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attached</w:t>
            </w:r>
            <w:r>
              <w:rPr>
                <w:rFonts w:ascii="Times New Roman" w:hAnsi="Times New Roman"/>
                <w:caps w:val="false"/>
                <w:smallCaps w:val="false"/>
                <w:sz w:val="20"/>
              </w:rPr>
              <w:t>)</w:t>
            </w:r>
          </w:p>
        </w:tc>
      </w:tr>
    </w:tbl>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caps w:val="false"/>
          <w:smallCaps w:val="false"/>
          <w:sz w:val="20"/>
        </w:rPr>
      </w:pPr>
      <w:r>
        <w:rPr>
          <w:rFonts w:ascii="Times New Roman" w:hAnsi="Times New Roman"/>
          <w:caps w:val="false"/>
          <w:smallCaps w:val="false"/>
          <w:sz w:val="20"/>
        </w:rPr>
        <w:t>[incorporated herein by reference to Exhibit 4.8 of the Company’s Annual Report on Form 20-F</w:t>
        <w:br/>
        <w:t>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3905"/>
        <w:gridCol w:w="60"/>
        <w:gridCol w:w="353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3530" w:type="dxa"/>
            <w:tcBorders>
              <w:bottom w:val="single" w:sz="2" w:space="0" w:color="000000"/>
            </w:tcBorders>
            <w:vAlign w:val="center"/>
          </w:tcPr>
          <w:p>
            <w:pPr>
              <w:pStyle w:val="TableContents"/>
              <w:bidi w:val="0"/>
              <w:spacing w:before="0" w:after="283"/>
              <w:jc w:val="right"/>
              <w:rPr/>
            </w:pPr>
            <w:r>
              <w:rPr/>
              <w:t>Exhibit P.5 (Going-Concern Budget)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540"/>
        <w:jc w:val="center"/>
        <w:rPr>
          <w:caps w:val="false"/>
          <w:smallCaps w:val="false"/>
        </w:rPr>
      </w:pPr>
      <w:r>
        <w:rPr>
          <w:caps w:val="false"/>
          <w:smallCaps w:val="false"/>
        </w:rPr>
        <w:t> </w:t>
      </w:r>
    </w:p>
    <w:p>
      <w:pPr>
        <w:pStyle w:val="TextBody"/>
        <w:bidi w:val="0"/>
        <w:spacing w:before="0" w:after="0"/>
        <w:ind w:left="540" w:right="0" w:hanging="540"/>
        <w:jc w:val="center"/>
        <w:rPr>
          <w:rFonts w:ascii="Times New Roman" w:hAnsi="Times New Roman"/>
          <w:b/>
          <w:caps w:val="false"/>
          <w:smallCaps w:val="false"/>
          <w:sz w:val="20"/>
        </w:rPr>
      </w:pPr>
      <w:r>
        <w:rPr>
          <w:rFonts w:ascii="Times New Roman" w:hAnsi="Times New Roman"/>
          <w:b/>
          <w:caps w:val="false"/>
          <w:smallCaps w:val="false"/>
          <w:sz w:val="20"/>
        </w:rPr>
        <w:t>Exhibit P.5</w:t>
      </w:r>
    </w:p>
    <w:p>
      <w:pPr>
        <w:pStyle w:val="TextBody"/>
        <w:bidi w:val="0"/>
        <w:spacing w:before="0" w:after="0"/>
        <w:ind w:left="540" w:right="0" w:hanging="540"/>
        <w:jc w:val="center"/>
        <w:rPr>
          <w:rFonts w:ascii="Times New Roman" w:hAnsi="Times New Roman"/>
          <w:b/>
          <w:caps w:val="false"/>
          <w:smallCaps w:val="false"/>
          <w:sz w:val="20"/>
        </w:rPr>
      </w:pPr>
      <w:r>
        <w:rPr>
          <w:rFonts w:ascii="Times New Roman" w:hAnsi="Times New Roman"/>
          <w:b/>
          <w:caps w:val="false"/>
          <w:smallCaps w:val="false"/>
          <w:sz w:val="20"/>
        </w:rPr>
        <w:t>Going-Concern Budget</w:t>
      </w:r>
    </w:p>
    <w:tbl>
      <w:tblPr>
        <w:tblW w:w="860" w:type="dxa"/>
        <w:jc w:val="left"/>
        <w:tblInd w:w="0" w:type="dxa"/>
        <w:tblLayout w:type="fixed"/>
        <w:tblCellMar>
          <w:top w:w="0" w:type="dxa"/>
          <w:left w:w="0" w:type="dxa"/>
          <w:bottom w:w="0" w:type="dxa"/>
          <w:right w:w="0" w:type="dxa"/>
        </w:tblCellMar>
      </w:tblPr>
      <w:tblGrid>
        <w:gridCol w:w="860"/>
      </w:tblGrid>
      <w:tr>
        <w:trPr/>
        <w:tc>
          <w:tcPr>
            <w:tcW w:w="8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attached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10" w:type="dxa"/>
        <w:jc w:val="left"/>
        <w:tblInd w:w="0" w:type="dxa"/>
        <w:tblLayout w:type="fixed"/>
        <w:tblCellMar>
          <w:top w:w="0" w:type="dxa"/>
          <w:left w:w="0" w:type="dxa"/>
          <w:bottom w:w="0" w:type="dxa"/>
          <w:right w:w="0" w:type="dxa"/>
        </w:tblCellMar>
      </w:tblPr>
      <w:tblGrid>
        <w:gridCol w:w="1010"/>
      </w:tblGrid>
      <w:tr>
        <w:trPr/>
        <w:tc>
          <w:tcPr>
            <w:tcW w:w="10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28" w:type="dxa"/>
          <w:right w:w="0" w:type="dxa"/>
        </w:tblCellMar>
      </w:tblPr>
      <w:tblGrid>
        <w:gridCol w:w="3905"/>
        <w:gridCol w:w="60"/>
        <w:gridCol w:w="3140"/>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GmbH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3140" w:type="dxa"/>
            <w:tcBorders>
              <w:bottom w:val="single" w:sz="2" w:space="0" w:color="000000"/>
            </w:tcBorders>
            <w:vAlign w:val="center"/>
          </w:tcPr>
          <w:p>
            <w:pPr>
              <w:pStyle w:val="TableContents"/>
              <w:bidi w:val="0"/>
              <w:spacing w:before="0" w:after="283"/>
              <w:jc w:val="right"/>
              <w:rPr/>
            </w:pPr>
            <w:r>
              <w:rPr/>
              <w:t>Exhibit P.7 (Commitment Letter)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Exhibit P.7</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Shareholders Commitment Letter</w:t>
      </w:r>
    </w:p>
    <w:p>
      <w:pPr>
        <w:pStyle w:val="TextBody"/>
        <w:bidi w:val="0"/>
        <w:spacing w:before="0" w:after="0"/>
        <w:ind w:left="580" w:right="0" w:hanging="58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attached</w:t>
      </w:r>
      <w:r>
        <w:rPr>
          <w:rFonts w:ascii="Times New Roman" w:hAnsi="Times New Roman"/>
          <w:caps w:val="false"/>
          <w:smallCaps w:val="false"/>
          <w:sz w:val="20"/>
        </w:rPr>
        <w:t>)</w:t>
        <w:br/>
        <w:br/>
        <w:t>[incorporated herein by reference to Exhibit 4.11 of the Company’s Annual Report on Form 20-F</w:t>
        <w:br/>
        <w:t>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28" w:type="dxa"/>
          <w:right w:w="0" w:type="dxa"/>
        </w:tblCellMar>
      </w:tblPr>
      <w:tblGrid>
        <w:gridCol w:w="3335"/>
        <w:gridCol w:w="60"/>
        <w:gridCol w:w="3380"/>
      </w:tblGrid>
      <w:tr>
        <w:trPr/>
        <w:tc>
          <w:tcPr>
            <w:tcW w:w="33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3380" w:type="dxa"/>
            <w:tcBorders>
              <w:bottom w:val="single" w:sz="2" w:space="0" w:color="000000"/>
            </w:tcBorders>
            <w:vAlign w:val="center"/>
          </w:tcPr>
          <w:p>
            <w:pPr>
              <w:pStyle w:val="TableContents"/>
              <w:bidi w:val="0"/>
              <w:spacing w:before="0" w:after="283"/>
              <w:jc w:val="right"/>
              <w:rPr/>
            </w:pPr>
            <w:r>
              <w:rPr/>
              <w:t>Exhibit 1.1 (Settlement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Exhibit 1.1</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Settlement Agreement</w:t>
      </w:r>
    </w:p>
    <w:p>
      <w:pPr>
        <w:pStyle w:val="TextBody"/>
        <w:bidi w:val="0"/>
        <w:spacing w:before="0" w:after="0"/>
        <w:ind w:left="580" w:right="0" w:hanging="58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attached</w:t>
      </w:r>
      <w:r>
        <w:rPr>
          <w:rFonts w:ascii="Times New Roman" w:hAnsi="Times New Roman"/>
          <w:caps w:val="false"/>
          <w:smallCaps w:val="false"/>
          <w:sz w:val="20"/>
        </w:rPr>
        <w:t>)</w:t>
        <w:br/>
        <w:br/>
        <w:t>[incorporated herein by reference to Exhibit 4.12 of the Company’s Annual Report on Form 20-F</w:t>
        <w:br/>
        <w:t>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28" w:type="dxa"/>
          <w:right w:w="0" w:type="dxa"/>
        </w:tblCellMar>
      </w:tblPr>
      <w:tblGrid>
        <w:gridCol w:w="3335"/>
        <w:gridCol w:w="60"/>
        <w:gridCol w:w="3095"/>
      </w:tblGrid>
      <w:tr>
        <w:trPr/>
        <w:tc>
          <w:tcPr>
            <w:tcW w:w="33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3095" w:type="dxa"/>
            <w:tcBorders>
              <w:bottom w:val="single" w:sz="2" w:space="0" w:color="000000"/>
            </w:tcBorders>
            <w:vAlign w:val="center"/>
          </w:tcPr>
          <w:p>
            <w:pPr>
              <w:pStyle w:val="TableContents"/>
              <w:bidi w:val="0"/>
              <w:spacing w:before="0" w:after="283"/>
              <w:jc w:val="right"/>
              <w:rPr/>
            </w:pPr>
            <w:r>
              <w:rPr/>
              <w:t>Exhibit 1.2 (Back-to-Back LoC)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Exhibit 1.2</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Back-to-Back LoC</w:t>
      </w:r>
    </w:p>
    <w:p>
      <w:pPr>
        <w:pStyle w:val="TextBody"/>
        <w:bidi w:val="0"/>
        <w:spacing w:before="0" w:after="0"/>
        <w:ind w:left="580" w:right="0" w:hanging="58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attached</w:t>
      </w:r>
      <w:r>
        <w:rPr>
          <w:rFonts w:ascii="Times New Roman" w:hAnsi="Times New Roman"/>
          <w:caps w:val="false"/>
          <w:smallCaps w:val="false"/>
          <w:sz w:val="20"/>
        </w:rPr>
        <w:t>)</w:t>
        <w:br/>
        <w:br/>
        <w:t>[incorporated herein by reference to Exhibit 4.13 of the Company’s Annual Report on Form 20-F</w:t>
        <w:br/>
        <w:t>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28" w:type="dxa"/>
          <w:right w:w="0" w:type="dxa"/>
        </w:tblCellMar>
      </w:tblPr>
      <w:tblGrid>
        <w:gridCol w:w="3335"/>
        <w:gridCol w:w="60"/>
        <w:gridCol w:w="3425"/>
      </w:tblGrid>
      <w:tr>
        <w:trPr/>
        <w:tc>
          <w:tcPr>
            <w:tcW w:w="33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3425" w:type="dxa"/>
            <w:tcBorders>
              <w:bottom w:val="single" w:sz="2" w:space="0" w:color="000000"/>
            </w:tcBorders>
            <w:vAlign w:val="center"/>
          </w:tcPr>
          <w:p>
            <w:pPr>
              <w:pStyle w:val="TableContents"/>
              <w:bidi w:val="0"/>
              <w:spacing w:before="0" w:after="283"/>
              <w:jc w:val="right"/>
              <w:rPr/>
            </w:pPr>
            <w:r>
              <w:rPr/>
              <w:t>Exhibit 2.2(a) (Distributable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Exhibit 2.2(a)</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Distributable Assets</w:t>
      </w:r>
    </w:p>
    <w:tbl>
      <w:tblPr>
        <w:tblW w:w="860" w:type="dxa"/>
        <w:jc w:val="left"/>
        <w:tblInd w:w="0" w:type="dxa"/>
        <w:tblLayout w:type="fixed"/>
        <w:tblCellMar>
          <w:top w:w="0" w:type="dxa"/>
          <w:left w:w="0" w:type="dxa"/>
          <w:bottom w:w="0" w:type="dxa"/>
          <w:right w:w="0" w:type="dxa"/>
        </w:tblCellMar>
      </w:tblPr>
      <w:tblGrid>
        <w:gridCol w:w="860"/>
      </w:tblGrid>
      <w:tr>
        <w:trPr/>
        <w:tc>
          <w:tcPr>
            <w:tcW w:w="8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attached</w:t>
            </w:r>
            <w:r>
              <w:rPr>
                <w:rFonts w:ascii="Times New Roman" w:hAnsi="Times New Roman"/>
                <w:caps w:val="false"/>
                <w:smallCaps w:val="false"/>
                <w:sz w:val="20"/>
              </w:rPr>
              <w:t>)</w:t>
            </w:r>
          </w:p>
        </w:tc>
      </w:tr>
    </w:tbl>
    <w:p>
      <w:pPr>
        <w:pStyle w:val="TextBody"/>
        <w:bidi w:val="0"/>
        <w:spacing w:before="0" w:after="0"/>
        <w:ind w:left="54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28" w:type="dxa"/>
          <w:right w:w="0" w:type="dxa"/>
        </w:tblCellMar>
      </w:tblPr>
      <w:tblGrid>
        <w:gridCol w:w="3335"/>
        <w:gridCol w:w="60"/>
        <w:gridCol w:w="2855"/>
      </w:tblGrid>
      <w:tr>
        <w:trPr/>
        <w:tc>
          <w:tcPr>
            <w:tcW w:w="33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2855" w:type="dxa"/>
            <w:tcBorders>
              <w:bottom w:val="single" w:sz="2" w:space="0" w:color="000000"/>
            </w:tcBorders>
            <w:vAlign w:val="center"/>
          </w:tcPr>
          <w:p>
            <w:pPr>
              <w:pStyle w:val="TableContents"/>
              <w:bidi w:val="0"/>
              <w:spacing w:before="0" w:after="283"/>
              <w:jc w:val="right"/>
              <w:rPr/>
            </w:pPr>
            <w:r>
              <w:rPr/>
              <w:t>Exhibit 2.3 (Excluded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Exhibit 2.3(a)</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Excluded Assets</w:t>
      </w:r>
    </w:p>
    <w:tbl>
      <w:tblPr>
        <w:tblW w:w="860" w:type="dxa"/>
        <w:jc w:val="left"/>
        <w:tblInd w:w="0" w:type="dxa"/>
        <w:tblLayout w:type="fixed"/>
        <w:tblCellMar>
          <w:top w:w="0" w:type="dxa"/>
          <w:left w:w="0" w:type="dxa"/>
          <w:bottom w:w="0" w:type="dxa"/>
          <w:right w:w="0" w:type="dxa"/>
        </w:tblCellMar>
      </w:tblPr>
      <w:tblGrid>
        <w:gridCol w:w="860"/>
      </w:tblGrid>
      <w:tr>
        <w:trPr/>
        <w:tc>
          <w:tcPr>
            <w:tcW w:w="8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attached</w:t>
            </w:r>
            <w:r>
              <w:rPr>
                <w:rFonts w:ascii="Times New Roman" w:hAnsi="Times New Roman"/>
                <w:caps w:val="false"/>
                <w:smallCaps w:val="false"/>
                <w:sz w:val="20"/>
              </w:rPr>
              <w:t>)</w:t>
            </w:r>
          </w:p>
        </w:tc>
      </w:tr>
    </w:tbl>
    <w:p>
      <w:pPr>
        <w:pStyle w:val="TextBody"/>
        <w:bidi w:val="0"/>
        <w:spacing w:before="0" w:after="0"/>
        <w:ind w:left="54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28" w:type="dxa"/>
          <w:right w:w="0" w:type="dxa"/>
        </w:tblCellMar>
      </w:tblPr>
      <w:tblGrid>
        <w:gridCol w:w="3335"/>
        <w:gridCol w:w="60"/>
        <w:gridCol w:w="2975"/>
      </w:tblGrid>
      <w:tr>
        <w:trPr/>
        <w:tc>
          <w:tcPr>
            <w:tcW w:w="33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2975" w:type="dxa"/>
            <w:tcBorders>
              <w:bottom w:val="single" w:sz="2" w:space="0" w:color="000000"/>
            </w:tcBorders>
            <w:vAlign w:val="center"/>
          </w:tcPr>
          <w:p>
            <w:pPr>
              <w:pStyle w:val="TableContents"/>
              <w:bidi w:val="0"/>
              <w:spacing w:before="0" w:after="283"/>
              <w:jc w:val="right"/>
              <w:rPr/>
            </w:pPr>
            <w:r>
              <w:rPr/>
              <w:t>Exhibit 3.2(e)-1 (SION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Exhibit 3.2(e)-1</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SION Assets</w:t>
      </w:r>
    </w:p>
    <w:tbl>
      <w:tblPr>
        <w:tblW w:w="860" w:type="dxa"/>
        <w:jc w:val="left"/>
        <w:tblInd w:w="0" w:type="dxa"/>
        <w:tblLayout w:type="fixed"/>
        <w:tblCellMar>
          <w:top w:w="0" w:type="dxa"/>
          <w:left w:w="0" w:type="dxa"/>
          <w:bottom w:w="0" w:type="dxa"/>
          <w:right w:w="0" w:type="dxa"/>
        </w:tblCellMar>
      </w:tblPr>
      <w:tblGrid>
        <w:gridCol w:w="860"/>
      </w:tblGrid>
      <w:tr>
        <w:trPr/>
        <w:tc>
          <w:tcPr>
            <w:tcW w:w="8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attached</w:t>
            </w:r>
            <w:r>
              <w:rPr>
                <w:rFonts w:ascii="Times New Roman" w:hAnsi="Times New Roman"/>
                <w:caps w:val="false"/>
                <w:smallCaps w:val="false"/>
                <w:sz w:val="20"/>
              </w:rPr>
              <w:t>)</w:t>
            </w:r>
          </w:p>
        </w:tc>
      </w:tr>
    </w:tbl>
    <w:p>
      <w:pPr>
        <w:pStyle w:val="TextBody"/>
        <w:bidi w:val="0"/>
        <w:spacing w:before="0" w:after="0"/>
        <w:ind w:left="54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3335"/>
        <w:gridCol w:w="60"/>
        <w:gridCol w:w="4100"/>
      </w:tblGrid>
      <w:tr>
        <w:trPr/>
        <w:tc>
          <w:tcPr>
            <w:tcW w:w="33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Motors – Continuation Agreement </w:t>
            </w:r>
          </w:p>
        </w:tc>
        <w:tc>
          <w:tcPr>
            <w:tcW w:w="60" w:type="dxa"/>
            <w:tcBorders>
              <w:bottom w:val="single" w:sz="2" w:space="0" w:color="000000"/>
            </w:tcBorders>
            <w:vAlign w:val="center"/>
          </w:tcPr>
          <w:p>
            <w:pPr>
              <w:pStyle w:val="TableContents"/>
              <w:bidi w:val="0"/>
              <w:spacing w:before="0" w:after="283"/>
              <w:jc w:val="left"/>
              <w:rPr/>
            </w:pPr>
            <w:r>
              <w:rPr/>
              <w:t> </w:t>
            </w:r>
          </w:p>
        </w:tc>
        <w:tc>
          <w:tcPr>
            <w:tcW w:w="4100" w:type="dxa"/>
            <w:tcBorders>
              <w:bottom w:val="single" w:sz="2" w:space="0" w:color="000000"/>
            </w:tcBorders>
            <w:vAlign w:val="center"/>
          </w:tcPr>
          <w:p>
            <w:pPr>
              <w:pStyle w:val="TableContents"/>
              <w:bidi w:val="0"/>
              <w:spacing w:before="0" w:after="283"/>
              <w:jc w:val="right"/>
              <w:rPr/>
            </w:pPr>
            <w:r>
              <w:rPr/>
              <w:t>Exhibit 3.2(e)-2 (Non-Exclusive IP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80" w:right="0" w:hanging="580"/>
        <w:jc w:val="center"/>
        <w:rPr>
          <w:caps w:val="false"/>
          <w:smallCaps w:val="false"/>
        </w:rPr>
      </w:pPr>
      <w:r>
        <w:rPr>
          <w:caps w:val="false"/>
          <w:smallCaps w:val="false"/>
        </w:rPr>
        <w:t> </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Exhibit 3.2(e)-2</w:t>
      </w:r>
    </w:p>
    <w:p>
      <w:pPr>
        <w:pStyle w:val="TextBody"/>
        <w:bidi w:val="0"/>
        <w:spacing w:before="0" w:after="0"/>
        <w:ind w:left="580" w:right="0" w:hanging="580"/>
        <w:jc w:val="center"/>
        <w:rPr>
          <w:rFonts w:ascii="Times New Roman" w:hAnsi="Times New Roman"/>
          <w:b/>
          <w:caps w:val="false"/>
          <w:smallCaps w:val="false"/>
          <w:sz w:val="20"/>
        </w:rPr>
      </w:pPr>
      <w:r>
        <w:rPr>
          <w:rFonts w:ascii="Times New Roman" w:hAnsi="Times New Roman"/>
          <w:b/>
          <w:caps w:val="false"/>
          <w:smallCaps w:val="false"/>
          <w:sz w:val="20"/>
        </w:rPr>
        <w:t>Non-Exclusive IP Rights</w:t>
      </w:r>
    </w:p>
    <w:tbl>
      <w:tblPr>
        <w:tblW w:w="860" w:type="dxa"/>
        <w:jc w:val="left"/>
        <w:tblInd w:w="0" w:type="dxa"/>
        <w:tblLayout w:type="fixed"/>
        <w:tblCellMar>
          <w:top w:w="0" w:type="dxa"/>
          <w:left w:w="0" w:type="dxa"/>
          <w:bottom w:w="0" w:type="dxa"/>
          <w:right w:w="0" w:type="dxa"/>
        </w:tblCellMar>
      </w:tblPr>
      <w:tblGrid>
        <w:gridCol w:w="860"/>
      </w:tblGrid>
      <w:tr>
        <w:trPr/>
        <w:tc>
          <w:tcPr>
            <w:tcW w:w="8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attached</w:t>
            </w:r>
            <w:r>
              <w:rPr>
                <w:rFonts w:ascii="Times New Roman" w:hAnsi="Times New Roman"/>
                <w:caps w:val="false"/>
                <w:smallCaps w:val="false"/>
                <w:sz w:val="20"/>
              </w:rPr>
              <w:t>)</w:t>
            </w:r>
          </w:p>
        </w:tc>
      </w:tr>
    </w:tbl>
    <w:p>
      <w:pPr>
        <w:pStyle w:val="TextBody"/>
        <w:bidi w:val="0"/>
        <w:spacing w:before="0" w:after="0"/>
        <w:ind w:left="54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100" w:name="ex_607676.htm"/>
      <w:bookmarkStart w:id="101" w:name="ksex_607676"/>
      <w:bookmarkEnd w:id="100"/>
      <w:bookmarkEnd w:id="101"/>
      <w:r>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4.10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YA II PN, LTD.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1012 Springfield Avenue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Mountainside, NJ 07092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w:t>
      </w:r>
      <w:r>
        <w:rPr>
          <w:rFonts w:ascii="Times New Roman" w:hAnsi="Times New Roman"/>
          <w:b/>
          <w:caps w:val="false"/>
          <w:smallCaps w:val="false"/>
          <w:sz w:val="20"/>
        </w:rPr>
        <w:t>SONO GROUP N.V.</w:t>
      </w:r>
      <w:r>
        <w:rPr>
          <w:rFonts w:ascii="Times New Roman" w:hAnsi="Times New Roman"/>
          <w:caps w:val="false"/>
          <w:smallCaps w:val="false"/>
          <w:sz w:val="20"/>
        </w:rPr>
        <w:t xml:space="preserve"> (the </w:t>
      </w:r>
      <w:r>
        <w:rPr>
          <w:rFonts w:ascii="Times New Roman" w:hAnsi="Times New Roman"/>
          <w:b/>
          <w:caps w:val="false"/>
          <w:smallCaps w:val="false"/>
          <w:sz w:val="20"/>
        </w:rPr>
        <w:t>Company</w:t>
      </w:r>
      <w:r>
        <w:rPr>
          <w:rFonts w:ascii="Times New Roman" w:hAnsi="Times New Roman"/>
          <w:caps w:val="false"/>
          <w:smallCaps w:val="false"/>
          <w:sz w:val="20"/>
        </w:rPr>
        <w:t>)</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Waldmeisterstraße 76, 80935 München</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For the attention of: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Funding Commitment Letter </w:t>
      </w:r>
      <w:r>
        <w:rPr>
          <w:rFonts w:ascii="Times New Roman" w:hAnsi="Times New Roman"/>
          <w:caps w:val="false"/>
          <w:smallCaps w:val="false"/>
          <w:sz w:val="20"/>
        </w:rPr>
        <w:t xml:space="preserve">(the </w:t>
      </w:r>
      <w:r>
        <w:rPr>
          <w:rFonts w:ascii="Times New Roman" w:hAnsi="Times New Roman"/>
          <w:b/>
          <w:caps w:val="false"/>
          <w:smallCaps w:val="false"/>
          <w:sz w:val="20"/>
        </w:rPr>
        <w:t>Letter</w:t>
      </w:r>
      <w:r>
        <w:rPr>
          <w:rFonts w:ascii="Times New Roman" w:hAnsi="Times New Roman"/>
          <w:caps w:val="false"/>
          <w:smallCaps w:val="false"/>
          <w:sz w:val="20"/>
        </w:rPr>
        <w:t xml:space="preserve">) </w:t>
      </w:r>
      <w:r>
        <w:rPr>
          <w:rFonts w:ascii="Times New Roman" w:hAnsi="Times New Roman"/>
          <w:b/>
          <w:caps w:val="false"/>
          <w:smallCaps w:val="false"/>
          <w:sz w:val="20"/>
        </w:rPr>
        <w:t>for a funding through debentures in an aggregate amount of up to EUR</w:t>
      </w:r>
      <w:r>
        <w:rPr>
          <w:rFonts w:ascii="Times New Roman" w:hAnsi="Times New Roman"/>
          <w:caps w:val="false"/>
          <w:smallCaps w:val="false"/>
          <w:sz w:val="20"/>
        </w:rPr>
        <w:t> </w:t>
      </w:r>
      <w:r>
        <w:rPr>
          <w:rFonts w:ascii="Times New Roman" w:hAnsi="Times New Roman"/>
          <w:b/>
          <w:caps w:val="false"/>
          <w:smallCaps w:val="false"/>
          <w:sz w:val="20"/>
        </w:rPr>
        <w:t xml:space="preserve">9,000,000 </w:t>
      </w:r>
      <w:r>
        <w:rPr>
          <w:rFonts w:ascii="Times New Roman" w:hAnsi="Times New Roman"/>
          <w:caps w:val="false"/>
          <w:smallCaps w:val="false"/>
          <w:sz w:val="20"/>
        </w:rPr>
        <w:t xml:space="preserve">(the </w:t>
      </w:r>
      <w:r>
        <w:rPr>
          <w:rFonts w:ascii="Times New Roman" w:hAnsi="Times New Roman"/>
          <w:b/>
          <w:caps w:val="false"/>
          <w:smallCaps w:val="false"/>
          <w:sz w:val="20"/>
        </w:rPr>
        <w:t>Debt Instrument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Reference is made to the Restructuring Agreement dated on the date hereof by and between you and us regarding the restructuring of the Sono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YA II PN, Ltd. (the </w:t>
      </w:r>
      <w:r>
        <w:rPr>
          <w:rFonts w:ascii="Times New Roman" w:hAnsi="Times New Roman"/>
          <w:b/>
          <w:caps w:val="false"/>
          <w:smallCaps w:val="false"/>
          <w:sz w:val="20"/>
        </w:rPr>
        <w:t>Lender</w:t>
      </w:r>
      <w:r>
        <w:rPr>
          <w:rFonts w:ascii="Times New Roman" w:hAnsi="Times New Roman"/>
          <w:caps w:val="false"/>
          <w:smallCaps w:val="false"/>
          <w:sz w:val="20"/>
        </w:rPr>
        <w:t>), are pleased to set out in this Letter the terms and conditions on which we commit and underwrite to facilitate you the funds in accordance with the Budget.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effectiveness of this Letter shall be subject to the satisfaction of the Closing Condition (as defined in the Restructuring Agreement) in accordance with the Restructuring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Lender is aware that the Company will not withdraw its petition for opening of insolvency proceedings before the Lender has confirmed in writing that all conditions for paying out Tranche 1 have been fulfilled– </w:t>
      </w:r>
      <w:r>
        <w:rPr>
          <w:rFonts w:ascii="Times New Roman" w:hAnsi="Times New Roman"/>
          <w:caps w:val="false"/>
          <w:smallCaps w:val="false"/>
          <w:sz w:val="20"/>
          <w:u w:val="single"/>
        </w:rPr>
        <w:t>except that</w:t>
      </w:r>
      <w:r>
        <w:rPr>
          <w:rFonts w:ascii="Times New Roman" w:hAnsi="Times New Roman"/>
          <w:caps w:val="false"/>
          <w:smallCaps w:val="false"/>
          <w:sz w:val="20"/>
        </w:rPr>
        <w:t xml:space="preserve"> (i) the petition has not yet been withdrawn and </w:t>
      </w:r>
      <w:r>
        <w:rPr>
          <w:rFonts w:ascii="Times New Roman" w:hAnsi="Times New Roman"/>
          <w:caps w:val="false"/>
          <w:smallCaps w:val="false"/>
          <w:sz w:val="20"/>
          <w:u w:val="single"/>
        </w:rPr>
        <w:t>except further that</w:t>
      </w:r>
      <w:r>
        <w:rPr>
          <w:rFonts w:ascii="Times New Roman" w:hAnsi="Times New Roman"/>
          <w:caps w:val="false"/>
          <w:smallCaps w:val="false"/>
          <w:sz w:val="20"/>
        </w:rPr>
        <w:t xml:space="preserve"> (ii) all securing measures (</w:t>
      </w:r>
      <w:r>
        <w:rPr>
          <w:rFonts w:ascii="Times New Roman" w:hAnsi="Times New Roman"/>
          <w:i/>
          <w:caps w:val="false"/>
          <w:smallCaps w:val="false"/>
          <w:sz w:val="20"/>
        </w:rPr>
        <w:t>Sicherungsma</w:t>
      </w:r>
      <w:r>
        <w:rPr>
          <w:rFonts w:ascii="Times New Roman" w:hAnsi="Times New Roman"/>
          <w:caps w:val="false"/>
          <w:smallCaps w:val="false"/>
          <w:sz w:val="20"/>
        </w:rPr>
        <w:t>ß</w:t>
      </w:r>
      <w:r>
        <w:rPr>
          <w:rFonts w:ascii="Times New Roman" w:hAnsi="Times New Roman"/>
          <w:i/>
          <w:caps w:val="false"/>
          <w:smallCaps w:val="false"/>
          <w:sz w:val="20"/>
        </w:rPr>
        <w:t>nahmen</w:t>
      </w:r>
      <w:r>
        <w:rPr>
          <w:rFonts w:ascii="Times New Roman" w:hAnsi="Times New Roman"/>
          <w:caps w:val="false"/>
          <w:smallCaps w:val="false"/>
          <w:sz w:val="20"/>
        </w:rPr>
        <w:t>) taken by the local court of Munich, insolvency court, in its decision dated 17 May 2023 (case number 1513 IN 1347/23) have not yet been finally (</w:t>
      </w:r>
      <w:r>
        <w:rPr>
          <w:rFonts w:ascii="Times New Roman" w:hAnsi="Times New Roman"/>
          <w:i/>
          <w:caps w:val="false"/>
          <w:smallCaps w:val="false"/>
          <w:sz w:val="20"/>
        </w:rPr>
        <w:t>rechtskr</w:t>
      </w:r>
      <w:r>
        <w:rPr>
          <w:rFonts w:ascii="Times New Roman" w:hAnsi="Times New Roman"/>
          <w:caps w:val="false"/>
          <w:smallCaps w:val="false"/>
          <w:sz w:val="20"/>
        </w:rPr>
        <w:t>ä</w:t>
      </w:r>
      <w:r>
        <w:rPr>
          <w:rFonts w:ascii="Times New Roman" w:hAnsi="Times New Roman"/>
          <w:i/>
          <w:caps w:val="false"/>
          <w:smallCaps w:val="false"/>
          <w:sz w:val="20"/>
        </w:rPr>
        <w:t>ftig</w:t>
      </w:r>
      <w:r>
        <w:rPr>
          <w:rFonts w:ascii="Times New Roman" w:hAnsi="Times New Roman"/>
          <w:caps w:val="false"/>
          <w:smallCaps w:val="false"/>
          <w:sz w:val="20"/>
        </w:rPr>
        <w:t>) removed. The confirmation shall confirm that all other conditions set out in the New Debenture are fulfilled and further that the Lender is not aware of any Termination Events neither in the New Debenture nor in this Funding Commitment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this confirmation the Lender will further confirm that Tranche 1 will be facilitated within 5 Business Days after the petition for opening of insolvency proceedings has been withdrawn and the removal decision of the local court of Munich has been taken.</w:t>
      </w:r>
    </w:p>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60"/>
        <w:gridCol w:w="125"/>
        <w:gridCol w:w="93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935" w:type="dxa"/>
            <w:tcBorders/>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In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Budget</w:t>
      </w:r>
      <w:r>
        <w:rPr>
          <w:rFonts w:ascii="Times New Roman" w:hAnsi="Times New Roman"/>
          <w:caps w:val="false"/>
          <w:smallCaps w:val="false"/>
          <w:sz w:val="20"/>
        </w:rPr>
        <w:t xml:space="preserve"> means the maximum of the capital expenditure required by the Company and German OpCo by the end of 2024 as attached to the Restructuring Agreement as Annex (B)(1) and to this Letter as Schedule 2 (</w:t>
      </w:r>
      <w:r>
        <w:rPr>
          <w:rFonts w:ascii="Times New Roman" w:hAnsi="Times New Roman"/>
          <w:i/>
          <w:caps w:val="false"/>
          <w:smallCaps w:val="false"/>
          <w:sz w:val="20"/>
        </w:rPr>
        <w:t>Budget</w:t>
      </w:r>
      <w:r>
        <w:rPr>
          <w:rFonts w:ascii="Times New Roman" w:hAnsi="Times New Roman"/>
          <w:caps w:val="false"/>
          <w:smallCaps w:val="false"/>
          <w:sz w:val="20"/>
        </w:rPr>
        <w:t>), as amended from time to time by an agreement between the Lender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Business Day</w:t>
      </w:r>
      <w:r>
        <w:rPr>
          <w:rFonts w:ascii="Times New Roman" w:hAnsi="Times New Roman"/>
          <w:caps w:val="false"/>
          <w:smallCaps w:val="false"/>
          <w:sz w:val="20"/>
        </w:rPr>
        <w:t xml:space="preserve"> means a day (other than a Saturday or Sunday) on which banks are open for general business in New York, USA, Frankfurt and Munich, Germany, and Amsterdam,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Closing Date</w:t>
      </w:r>
      <w:r>
        <w:rPr>
          <w:rFonts w:ascii="Times New Roman" w:hAnsi="Times New Roman"/>
          <w:caps w:val="false"/>
          <w:smallCaps w:val="false"/>
          <w:sz w:val="20"/>
        </w:rPr>
        <w:t xml:space="preserve"> has the meaning given to such term in the Restructuring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535"/>
      </w:tblGrid>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Funding Commitment Letter | DEM/20417844.12</w:t>
            </w:r>
          </w:p>
        </w:tc>
      </w:tr>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 14708564.4</w:t>
            </w:r>
          </w:p>
        </w:tc>
      </w:tr>
    </w:tbl>
    <w:p>
      <w:pPr>
        <w:pStyle w:val="TextBody"/>
        <w:bidi w:val="0"/>
        <w:spacing w:before="0" w:after="0"/>
        <w:ind w:left="0" w:right="0" w:hanging="0"/>
        <w:jc w:val="right"/>
        <w:rPr>
          <w:rFonts w:ascii="Times New Roman" w:hAnsi="Times New Roman"/>
          <w:sz w:val="20"/>
        </w:rPr>
      </w:pPr>
      <w:r>
        <w:rPr>
          <w:rFonts w:ascii="Times New Roman" w:hAnsi="Times New Roman"/>
          <w:sz w:val="20"/>
        </w:rPr>
        <w:t>| 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Continuation Agreement</w:t>
      </w:r>
      <w:r>
        <w:rPr>
          <w:rFonts w:ascii="Times New Roman" w:hAnsi="Times New Roman"/>
          <w:caps w:val="false"/>
          <w:smallCaps w:val="false"/>
          <w:sz w:val="20"/>
        </w:rPr>
        <w:t xml:space="preserve"> means the agreement by and between the Company and German OpCo setting out – inter alia – the key features of the insolvency plan German OpCo intends to submit to the insolvency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Debt Documents</w:t>
      </w:r>
      <w:r>
        <w:rPr>
          <w:rFonts w:ascii="Times New Roman" w:hAnsi="Times New Roman"/>
          <w:caps w:val="false"/>
          <w:smallCaps w:val="false"/>
          <w:sz w:val="20"/>
        </w:rPr>
        <w:t xml:space="preserve"> means this Letter, each New Debenture (as defined in clause 2.2) and any securities purchase agreement for or in connection with a New Debenture or any other agreement as stipulated in or in connection with a New Debenture, the Restructuring Agreement, the Budget, or any other document designated as a Debt Document by jointly the Company and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German OpCo</w:t>
      </w:r>
      <w:r>
        <w:rPr>
          <w:rFonts w:ascii="Times New Roman" w:hAnsi="Times New Roman"/>
          <w:caps w:val="false"/>
          <w:smallCaps w:val="false"/>
          <w:sz w:val="20"/>
        </w:rPr>
        <w:t xml:space="preserve"> means Sono Motors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Restructuring Agreement</w:t>
      </w:r>
      <w:r>
        <w:rPr>
          <w:rFonts w:ascii="Times New Roman" w:hAnsi="Times New Roman"/>
          <w:caps w:val="false"/>
          <w:smallCaps w:val="false"/>
          <w:sz w:val="20"/>
        </w:rPr>
        <w:t xml:space="preserve"> means the agreement by and between the Lender and the Company setting out the steps to restructure the Sono Group, i.e., the Company and German OpCo. To the extent that any provision of this Letter should deviate from any provision of the Restructuring Agreement, the Restructuring Agreement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Security</w:t>
      </w:r>
      <w:r>
        <w:rPr>
          <w:rFonts w:ascii="Times New Roman" w:hAnsi="Times New Roman"/>
          <w:caps w:val="false"/>
          <w:smallCaps w:val="false"/>
          <w:sz w:val="20"/>
        </w:rPr>
        <w:t xml:space="preserve"> means a mortgage, charge, pledge, lien or other security interest securing any obligation of any person or any other agreement or arrangement having a similar effect.</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0"/>
        <w:gridCol w:w="125"/>
        <w:gridCol w:w="251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25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 and Monitoring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Lender agrees and will facilitate the following amounts (each a </w:t>
            </w:r>
            <w:r>
              <w:rPr>
                <w:rFonts w:ascii="Times New Roman" w:hAnsi="Times New Roman"/>
                <w:b/>
                <w:caps w:val="false"/>
                <w:smallCaps w:val="false"/>
                <w:sz w:val="20"/>
              </w:rPr>
              <w:t>Funding</w:t>
            </w:r>
            <w:r>
              <w:rPr>
                <w:rFonts w:ascii="Times New Roman" w:hAnsi="Times New Roman"/>
                <w:caps w:val="false"/>
                <w:smallCaps w:val="false"/>
                <w:sz w:val="20"/>
              </w:rPr>
              <w:t xml:space="preserve">) to the Company at the relevant funding date, in an aggregate amount of up to EUR 9,000,000 </w:t>
            </w:r>
            <w:r>
              <w:rPr>
                <w:rFonts w:ascii="Times New Roman" w:hAnsi="Times New Roman"/>
                <w:i/>
                <w:caps w:val="false"/>
                <w:smallCaps w:val="false"/>
                <w:sz w:val="20"/>
              </w:rPr>
              <w:t>minus</w:t>
            </w:r>
            <w:r>
              <w:rPr>
                <w:rFonts w:ascii="Times New Roman" w:hAnsi="Times New Roman"/>
                <w:caps w:val="false"/>
                <w:smallCaps w:val="false"/>
                <w:sz w:val="20"/>
              </w:rPr>
              <w:t> the amount equal to the Cash Left-Over (as defined in the Restructuring Agreement), as per the table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28" w:type="dxa"/>
          <w:bottom w:w="28" w:type="dxa"/>
          <w:right w:w="0" w:type="dxa"/>
        </w:tblCellMar>
      </w:tblPr>
      <w:tblGrid>
        <w:gridCol w:w="987"/>
        <w:gridCol w:w="4520"/>
        <w:gridCol w:w="4698"/>
      </w:tblGrid>
      <w:tr>
        <w:trPr/>
        <w:tc>
          <w:tcPr>
            <w:tcW w:w="987" w:type="dxa"/>
            <w:tcBorders>
              <w:top w:val="single" w:sz="12" w:space="0" w:color="000000"/>
              <w:left w:val="single" w:sz="1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 of Funding</w:t>
            </w:r>
          </w:p>
        </w:tc>
        <w:tc>
          <w:tcPr>
            <w:tcW w:w="4520" w:type="dxa"/>
            <w:tcBorders>
              <w:top w:val="single" w:sz="12"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Funding Date</w:t>
            </w:r>
          </w:p>
        </w:tc>
        <w:tc>
          <w:tcPr>
            <w:tcW w:w="4698" w:type="dxa"/>
            <w:tcBorders>
              <w:top w:val="single" w:sz="12" w:space="0" w:color="000000"/>
              <w:bottom w:val="single" w:sz="2" w:space="0" w:color="000000"/>
              <w:right w:val="single" w:sz="12" w:space="0" w:color="000000"/>
            </w:tcBorders>
            <w:tcMar>
              <w:left w:w="0" w:type="dxa"/>
              <w:right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Funding Amount</w:t>
            </w:r>
          </w:p>
        </w:tc>
      </w:tr>
      <w:tr>
        <w:trPr/>
        <w:tc>
          <w:tcPr>
            <w:tcW w:w="987" w:type="dxa"/>
            <w:tcBorders>
              <w:left w:val="single" w:sz="1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Tranche 1</w:t>
            </w:r>
          </w:p>
        </w:tc>
        <w:tc>
          <w:tcPr>
            <w:tcW w:w="45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Closing Date</w:t>
            </w:r>
          </w:p>
        </w:tc>
        <w:tc>
          <w:tcPr>
            <w:tcW w:w="4698" w:type="dxa"/>
            <w:tcBorders>
              <w:bottom w:val="single" w:sz="2" w:space="0" w:color="000000"/>
              <w:right w:val="single" w:sz="1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EUR 4,000,000</w:t>
            </w:r>
          </w:p>
        </w:tc>
      </w:tr>
      <w:tr>
        <w:trPr/>
        <w:tc>
          <w:tcPr>
            <w:tcW w:w="987" w:type="dxa"/>
            <w:tcBorders>
              <w:left w:val="single" w:sz="12" w:space="0" w:color="000000"/>
              <w:bottom w:val="single" w:sz="1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Tranche 2</w:t>
            </w:r>
          </w:p>
        </w:tc>
        <w:tc>
          <w:tcPr>
            <w:tcW w:w="4520" w:type="dxa"/>
            <w:tcBorders>
              <w:left w:val="single" w:sz="2" w:space="0" w:color="000000"/>
              <w:bottom w:val="single" w:sz="1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required (upon funds facilitated under Tranche 1 have been applied in accordance with the Budget)</w:t>
            </w:r>
          </w:p>
        </w:tc>
        <w:tc>
          <w:tcPr>
            <w:tcW w:w="4698"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required (upon funds facilitated under Tranche 1 have been applied in accordance with the Budget)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of the Fundings shall only be provided by way of a convertible debenture (each a </w:t>
            </w:r>
            <w:r>
              <w:rPr>
                <w:rFonts w:ascii="Times New Roman" w:hAnsi="Times New Roman"/>
                <w:b/>
                <w:caps w:val="false"/>
                <w:smallCaps w:val="false"/>
                <w:sz w:val="20"/>
              </w:rPr>
              <w:t>New Debenture</w:t>
            </w:r>
            <w:r>
              <w:rPr>
                <w:rFonts w:ascii="Times New Roman" w:hAnsi="Times New Roman"/>
                <w:caps w:val="false"/>
                <w:smallCaps w:val="false"/>
                <w:sz w:val="20"/>
              </w:rPr>
              <w:t>) substantially in the form attached to this Letter and subject to the terms therein as Schedule 3 (</w:t>
            </w:r>
            <w:r>
              <w:rPr>
                <w:rFonts w:ascii="Times New Roman" w:hAnsi="Times New Roman"/>
                <w:i/>
                <w:caps w:val="false"/>
                <w:smallCaps w:val="false"/>
                <w:sz w:val="20"/>
              </w:rPr>
              <w:t>Form of Debenture</w:t>
            </w:r>
            <w:r>
              <w:rPr>
                <w:rFonts w:ascii="Times New Roman" w:hAnsi="Times New Roman"/>
                <w:caps w:val="false"/>
                <w:smallCaps w:val="false"/>
                <w:sz w:val="20"/>
              </w:rPr>
              <w:t>) to be executed prior to the relevant Funding Date. Each New Debenture shall mature on 1 July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The commitments under clause 2.1 are subject to the satisfaction of the conditions precedent as set-out in Schedule 1 (</w:t>
            </w:r>
            <w:r>
              <w:rPr>
                <w:rFonts w:ascii="Times New Roman" w:hAnsi="Times New Roman"/>
                <w:i/>
                <w:caps w:val="false"/>
                <w:smallCaps w:val="false"/>
                <w:sz w:val="20"/>
              </w:rPr>
              <w:t>Conditions Precedent</w:t>
            </w:r>
            <w:r>
              <w:rPr>
                <w:rFonts w:ascii="Times New Roman" w:hAnsi="Times New Roman"/>
                <w:caps w:val="false"/>
                <w:smallCaps w:val="false"/>
                <w:sz w:val="20"/>
              </w:rPr>
              <w:t>) below (or their deemed satisfaction as agreed between the Lender and the Company), the compliance with the provisions of the relevant New Debenture to be entered into for the intended Funding and subject to the absence of a Termination Event pursuant to Schedule 4 (</w:t>
            </w:r>
            <w:r>
              <w:rPr>
                <w:rFonts w:ascii="Times New Roman" w:hAnsi="Times New Roman"/>
                <w:i/>
                <w:caps w:val="false"/>
                <w:smallCaps w:val="false"/>
                <w:sz w:val="20"/>
              </w:rPr>
              <w:t>Termination Events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40" w:right="0" w:hanging="720"/>
        <w:jc w:val="both"/>
        <w:rPr>
          <w:rFonts w:ascii="Times New Roman" w:hAnsi="Times New Roman"/>
          <w:caps w:val="false"/>
          <w:smallCaps w:val="false"/>
          <w:sz w:val="20"/>
        </w:rPr>
      </w:pPr>
      <w:r>
        <w:rPr>
          <w:rFonts w:ascii="Times New Roman" w:hAnsi="Times New Roman"/>
          <w:caps w:val="false"/>
          <w:smallCaps w:val="false"/>
          <w:sz w:val="20"/>
        </w:rPr>
        <w:t>(b)         The following, however, shall not prevent any condition precedent to be satisfied nor constitute any default and/or termination event and/or trigger any other rights under the Debt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40" w:right="0" w:hanging="720"/>
        <w:jc w:val="both"/>
        <w:rPr>
          <w:rFonts w:ascii="Times New Roman" w:hAnsi="Times New Roman"/>
          <w:caps w:val="false"/>
          <w:smallCaps w:val="false"/>
          <w:sz w:val="20"/>
        </w:rPr>
      </w:pPr>
      <w:r>
        <w:rPr>
          <w:rFonts w:ascii="Times New Roman" w:hAnsi="Times New Roman"/>
          <w:caps w:val="false"/>
          <w:smallCaps w:val="false"/>
          <w:sz w:val="20"/>
        </w:rPr>
        <w:t>(i)          The insolvency proceedings with respect to German OpCo at the local court in Munich (case no. 1513 IN 1350/23) (cf. Section (3)(a)(ii) of the New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40" w:right="0" w:hanging="720"/>
        <w:jc w:val="both"/>
        <w:rPr>
          <w:rFonts w:ascii="Times New Roman" w:hAnsi="Times New Roman"/>
          <w:caps w:val="false"/>
          <w:smallCaps w:val="false"/>
          <w:sz w:val="20"/>
        </w:rPr>
      </w:pPr>
      <w:r>
        <w:rPr>
          <w:rFonts w:ascii="Times New Roman" w:hAnsi="Times New Roman"/>
          <w:caps w:val="false"/>
          <w:smallCaps w:val="false"/>
          <w:sz w:val="20"/>
        </w:rPr>
        <w:t>(ii)         any default under the Existing Convertible Debentures (as defined in the Restructuring Agreement) already existing at the date of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535"/>
      </w:tblGrid>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Funding Commitment Letter | DEM/20417844.12</w:t>
            </w:r>
          </w:p>
        </w:tc>
      </w:tr>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 14708564.4</w:t>
            </w:r>
          </w:p>
        </w:tc>
      </w:tr>
    </w:tbl>
    <w:p>
      <w:pPr>
        <w:pStyle w:val="TextBody"/>
        <w:bidi w:val="0"/>
        <w:spacing w:before="0" w:after="0"/>
        <w:ind w:left="0" w:right="0" w:hanging="0"/>
        <w:jc w:val="right"/>
        <w:rPr>
          <w:rFonts w:ascii="Times New Roman" w:hAnsi="Times New Roman"/>
          <w:sz w:val="20"/>
        </w:rPr>
      </w:pPr>
      <w:r>
        <w:rPr>
          <w:rFonts w:ascii="Times New Roman" w:hAnsi="Times New Roman"/>
          <w:sz w:val="20"/>
        </w:rPr>
        <w:t>|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40" w:right="0" w:hanging="720"/>
        <w:jc w:val="both"/>
        <w:rPr>
          <w:rFonts w:ascii="Times New Roman" w:hAnsi="Times New Roman"/>
          <w:caps w:val="false"/>
          <w:smallCaps w:val="false"/>
          <w:sz w:val="20"/>
        </w:rPr>
      </w:pPr>
      <w:r>
        <w:rPr>
          <w:rFonts w:ascii="Times New Roman" w:hAnsi="Times New Roman"/>
          <w:caps w:val="false"/>
          <w:smallCaps w:val="false"/>
          <w:sz w:val="20"/>
        </w:rPr>
        <w:t>(iii)       any delay with the preparation and/or filing of the SEC Form 6-K regarding the annual accounts for the first fiscal half-year 2023 and/or any Periodic Reports (as defined in Section (14) of the New Debenture) required to be filed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40" w:right="0" w:hanging="720"/>
        <w:jc w:val="both"/>
        <w:rPr>
          <w:rFonts w:ascii="Times New Roman" w:hAnsi="Times New Roman"/>
          <w:caps w:val="false"/>
          <w:smallCaps w:val="false"/>
          <w:sz w:val="20"/>
        </w:rPr>
      </w:pPr>
      <w:r>
        <w:rPr>
          <w:rFonts w:ascii="Times New Roman" w:hAnsi="Times New Roman"/>
          <w:caps w:val="false"/>
          <w:smallCaps w:val="false"/>
          <w:sz w:val="20"/>
        </w:rPr>
        <w:t>(iv)         any transaction in accordance with and/or as permitted under the Restructuring Agreement and/or the Continuation Agreement and any actions relating thereto (cf. Section (4)(h) of the New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2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an assignment or other transfer of any New Debenture the Lender shall ensure that the above proviso shall also bind the respective assignee/transferee.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80" w:right="0" w:hanging="560"/>
        <w:jc w:val="both"/>
        <w:rPr>
          <w:rFonts w:ascii="Times New Roman" w:hAnsi="Times New Roman"/>
          <w:caps w:val="false"/>
          <w:smallCaps w:val="false"/>
          <w:sz w:val="20"/>
        </w:rPr>
      </w:pPr>
      <w:r>
        <w:rPr>
          <w:rFonts w:ascii="Times New Roman" w:hAnsi="Times New Roman"/>
          <w:caps w:val="false"/>
          <w:smallCaps w:val="false"/>
          <w:sz w:val="20"/>
        </w:rPr>
        <w:t>(c)         Clause 2.3(b) shall prevail over any deviating provisions of (i) any New Debenture, and/or (ii) the Existing Convertible Debentures (as defined in the Restructuring Agreement), and/or (iii) any other Debt Document.</w:t>
      </w:r>
    </w:p>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60"/>
        <w:gridCol w:w="275"/>
        <w:gridCol w:w="986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w:t>
            </w:r>
          </w:p>
        </w:tc>
        <w:tc>
          <w:tcPr>
            <w:tcW w:w="9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obligation of the Lender to commit any Fundings lapses automatically on 31 December 2024, 12 p.m. (German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2.5</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shall monitor compliance with the Budget and shall report to the Lender on a bi-weekly basis on any deviation from the Budget.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2.6</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the event of the Company exceeds the Budget, the Lender will provide further funds, </w:t>
            </w:r>
            <w:r>
              <w:rPr>
                <w:rFonts w:ascii="Times New Roman" w:hAnsi="Times New Roman"/>
                <w:i/>
                <w:caps w:val="false"/>
                <w:smallCaps w:val="false"/>
                <w:sz w:val="20"/>
                <w:u w:val="single"/>
              </w:rPr>
              <w:t>provided that</w:t>
            </w:r>
            <w:r>
              <w:rPr>
                <w:rFonts w:ascii="Times New Roman" w:hAnsi="Times New Roman"/>
                <w:caps w:val="false"/>
                <w:smallCaps w:val="false"/>
                <w:sz w:val="20"/>
              </w:rPr>
              <w:t> the Lender and the Company, acting reasonably and in good faith, reach an agreement about an adjustment to the Budget. For this purpose, the Company shall consult with the Lender immediately if it becomes aware of such excess of the Budget.</w:t>
            </w:r>
          </w:p>
        </w:tc>
      </w:tr>
    </w:tbl>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60"/>
        <w:gridCol w:w="125"/>
        <w:gridCol w:w="146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14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Funding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funds committed in this Letter and as provided under any Debt Document shall be used solely for the funding of the Budget of the Company or as on-lent to German OpCo as stipulated in more detail in the Budget.</w:t>
      </w:r>
    </w:p>
    <w:p>
      <w:pPr>
        <w:pStyle w:val="TextBody"/>
        <w:bidi w:val="0"/>
        <w:spacing w:before="0" w:after="0"/>
        <w:ind w:left="0" w:right="0" w:hanging="0"/>
        <w:jc w:val="left"/>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60"/>
        <w:gridCol w:w="125"/>
        <w:gridCol w:w="105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10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Information</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275"/>
        <w:gridCol w:w="57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5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represents and warrants to the best of its knowledge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any factual information provided to the Lender by the Company or German OpCo (the </w:t>
            </w:r>
            <w:r>
              <w:rPr>
                <w:rFonts w:ascii="Times New Roman" w:hAnsi="Times New Roman"/>
                <w:b/>
                <w:caps w:val="false"/>
                <w:smallCaps w:val="false"/>
                <w:sz w:val="20"/>
              </w:rPr>
              <w:t>Information</w:t>
            </w:r>
            <w:r>
              <w:rPr>
                <w:rFonts w:ascii="Times New Roman" w:hAnsi="Times New Roman"/>
                <w:caps w:val="false"/>
                <w:smallCaps w:val="false"/>
                <w:sz w:val="20"/>
              </w:rPr>
              <w:t>) is true and accurate in all material respects as at the date it is provided or as at the date (if any) at which it is stated;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nothing has occurred or been omitted and no information has been given or withheld that results in the Information being untrue or misleading in any material respect;</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60"/>
        <w:gridCol w:w="230"/>
        <w:gridCol w:w="519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5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material default under any Debt Document has occurred;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5"/>
        <w:gridCol w:w="9920"/>
      </w:tblGrid>
      <w:tr>
        <w:trPr/>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financial projections contained in the Information have been prepared in good faith on the basis of recent historical information and on the basis of reasonable assumptions.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representations and warranties set out in clause 4.1 are deemed to be made by the Company on each date when a Debt Document is signed and whenever there is any funding by the Lender under any Debt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shall immediately notify the Lender in writing if any representation and warranty set out in clause 4.1 is incorrect or misleading and agrees to supplement the Information promptly from time to time to ensure that each such representation and warranty is correct when made.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535"/>
      </w:tblGrid>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Funding Commitment Letter | DEM/20417844.12</w:t>
            </w:r>
          </w:p>
        </w:tc>
      </w:tr>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 14708564.4</w:t>
            </w:r>
          </w:p>
        </w:tc>
      </w:tr>
    </w:tbl>
    <w:p>
      <w:pPr>
        <w:pStyle w:val="TextBody"/>
        <w:bidi w:val="0"/>
        <w:spacing w:before="0" w:after="0"/>
        <w:ind w:left="0" w:right="0" w:hanging="0"/>
        <w:jc w:val="right"/>
        <w:rPr>
          <w:rFonts w:ascii="Times New Roman" w:hAnsi="Times New Roman"/>
          <w:sz w:val="20"/>
        </w:rPr>
      </w:pPr>
      <w:r>
        <w:rPr>
          <w:rFonts w:ascii="Times New Roman" w:hAnsi="Times New Roman"/>
          <w:sz w:val="20"/>
        </w:rPr>
        <w:t>|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acknowledges that the Lender will be relying on the Information without carrying out any independent verification.</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60"/>
        <w:gridCol w:w="125"/>
        <w:gridCol w:w="231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23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Assignments and no Set-Off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shall not assign any of its rights or transfer any of its rights or obligations under the Debt Documents without the prior written consent of the Lender.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set-off or retention right of the Lender and/or the Company shall be excluded, unless the existence of such right is undisputed or confirmed by a final court decision.</w:t>
            </w:r>
          </w:p>
        </w:tc>
      </w:tr>
    </w:tbl>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60"/>
        <w:gridCol w:w="125"/>
        <w:gridCol w:w="171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17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Termination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On and at any time after the occurrence of an Termination Event the Lender may, at its sole discretion by notice to the Company cancel each available commitment under clause 2 (</w:t>
      </w:r>
      <w:r>
        <w:rPr>
          <w:rFonts w:ascii="Times New Roman" w:hAnsi="Times New Roman"/>
          <w:i/>
          <w:caps w:val="false"/>
          <w:smallCaps w:val="false"/>
          <w:sz w:val="20"/>
        </w:rPr>
        <w:t>Commitment and Monitoring</w:t>
      </w:r>
      <w:r>
        <w:rPr>
          <w:rFonts w:ascii="Times New Roman" w:hAnsi="Times New Roman"/>
          <w:caps w:val="false"/>
          <w:smallCaps w:val="false"/>
          <w:sz w:val="20"/>
        </w:rPr>
        <w:t>) whereupon each such available commitment shall immediately be cancelled and each Funding shall immediately cease to be available for further utilisation; and/or exercise all its rights under any of the New Debentures as if an event of default under the respective New Debenture had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Each of the events or circumstances set out in Schedule 4 (</w:t>
      </w:r>
      <w:r>
        <w:rPr>
          <w:rFonts w:ascii="Times New Roman" w:hAnsi="Times New Roman"/>
          <w:i/>
          <w:caps w:val="false"/>
          <w:smallCaps w:val="false"/>
          <w:sz w:val="20"/>
        </w:rPr>
        <w:t>Termination Events</w:t>
      </w:r>
      <w:r>
        <w:rPr>
          <w:rFonts w:ascii="Times New Roman" w:hAnsi="Times New Roman"/>
          <w:caps w:val="false"/>
          <w:smallCaps w:val="false"/>
          <w:sz w:val="20"/>
        </w:rPr>
        <w:t xml:space="preserve">) constitutes a termination event (each a </w:t>
      </w:r>
      <w:r>
        <w:rPr>
          <w:rFonts w:ascii="Times New Roman" w:hAnsi="Times New Roman"/>
          <w:b/>
          <w:caps w:val="false"/>
          <w:smallCaps w:val="false"/>
          <w:sz w:val="20"/>
        </w:rPr>
        <w:t>Termination Event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60"/>
        <w:gridCol w:w="125"/>
        <w:gridCol w:w="90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w:t>
            </w:r>
          </w:p>
        </w:tc>
        <w:tc>
          <w:tcPr>
            <w:tcW w:w="9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Protection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Exclusively limited to the execution of this Agreement, the following shall apply: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personal liability of the custodian (</w:t>
            </w:r>
            <w:r>
              <w:rPr>
                <w:rFonts w:ascii="Times New Roman" w:hAnsi="Times New Roman"/>
                <w:i/>
                <w:caps w:val="false"/>
                <w:smallCaps w:val="false"/>
                <w:sz w:val="20"/>
              </w:rPr>
              <w:t>Sachwalter</w:t>
            </w:r>
            <w:r>
              <w:rPr>
                <w:rFonts w:ascii="Times New Roman" w:hAnsi="Times New Roman"/>
                <w:caps w:val="false"/>
                <w:smallCaps w:val="false"/>
                <w:sz w:val="20"/>
              </w:rPr>
              <w:t>) of German OpCo, the preliminary custodian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 Sachwalterin</w:t>
            </w:r>
            <w:r>
              <w:rPr>
                <w:rFonts w:ascii="Times New Roman" w:hAnsi="Times New Roman"/>
                <w:caps w:val="false"/>
                <w:smallCaps w:val="false"/>
                <w:sz w:val="20"/>
              </w:rPr>
              <w:t>) of the Company, the management of the Company and/or the management of German OpCo (including, in each case, of their respective representatives and advisors) under, or in connection with, this Letter, in particular pursuant to Sec. 60, 61 InsO (including their analogous application), shall be excluded (genuine contract for the benefit of a third party pursuant to Sec. 328 of the German Civil Code (</w:t>
            </w:r>
            <w:r>
              <w:rPr>
                <w:rFonts w:ascii="Times New Roman" w:hAnsi="Times New Roman"/>
                <w:i/>
                <w:caps w:val="false"/>
                <w:smallCaps w:val="false"/>
                <w:sz w:val="20"/>
              </w:rPr>
              <w:t>B</w:t>
            </w:r>
            <w:r>
              <w:rPr>
                <w:rFonts w:ascii="Times New Roman" w:hAnsi="Times New Roman"/>
                <w:caps w:val="false"/>
                <w:smallCaps w:val="false"/>
                <w:sz w:val="20"/>
              </w:rPr>
              <w:t>ü</w:t>
            </w:r>
            <w:r>
              <w:rPr>
                <w:rFonts w:ascii="Times New Roman" w:hAnsi="Times New Roman"/>
                <w:i/>
                <w:caps w:val="false"/>
                <w:smallCaps w:val="false"/>
                <w:sz w:val="20"/>
              </w:rPr>
              <w:t>rgerliches Gesetzbuch</w:t>
            </w:r>
            <w:r>
              <w:rPr>
                <w:rFonts w:ascii="Times New Roman" w:hAnsi="Times New Roman"/>
                <w:caps w:val="false"/>
                <w:smallCaps w:val="false"/>
                <w:sz w:val="20"/>
              </w:rPr>
              <w:t> – “</w:t>
            </w:r>
            <w:r>
              <w:rPr>
                <w:rFonts w:ascii="Times New Roman" w:hAnsi="Times New Roman"/>
                <w:b/>
                <w:caps w:val="false"/>
                <w:smallCaps w:val="false"/>
                <w:sz w:val="20"/>
              </w:rPr>
              <w:t>BGB</w:t>
            </w:r>
            <w:r>
              <w:rPr>
                <w:rFonts w:ascii="Times New Roman" w:hAnsi="Times New Roman"/>
                <w:caps w:val="false"/>
                <w:smallCaps w:val="false"/>
                <w:sz w:val="20"/>
              </w:rPr>
              <w:t>”)); this shall not apply in case of intent or fraudulent intent.</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60"/>
        <w:gridCol w:w="275"/>
        <w:gridCol w:w="85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7.2</w:t>
            </w:r>
          </w:p>
        </w:tc>
        <w:tc>
          <w:tcPr>
            <w:tcW w:w="8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provisions set out in clause 7.1 above shall apply </w:t>
            </w:r>
            <w:r>
              <w:rPr>
                <w:rFonts w:ascii="Times New Roman" w:hAnsi="Times New Roman"/>
                <w:i/>
                <w:caps w:val="false"/>
                <w:smallCaps w:val="false"/>
                <w:sz w:val="20"/>
              </w:rPr>
              <w:t xml:space="preserve">mutatis mutandis </w:t>
            </w:r>
            <w:r>
              <w:rPr>
                <w:rFonts w:ascii="Times New Roman" w:hAnsi="Times New Roman"/>
                <w:caps w:val="false"/>
                <w:smallCaps w:val="false"/>
                <w:sz w:val="20"/>
              </w:rPr>
              <w:t>in relation to the New Debenture.</w:t>
            </w:r>
          </w:p>
        </w:tc>
      </w:tr>
    </w:tbl>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60"/>
        <w:gridCol w:w="125"/>
        <w:gridCol w:w="114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w:t>
            </w:r>
          </w:p>
        </w:tc>
        <w:tc>
          <w:tcPr>
            <w:tcW w:w="11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Counterparts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This Letter may be executed in any number of counterparts and this has the same effect as if the signatures on the counterparts were on a single copy of this letter.</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125"/>
        <w:gridCol w:w="278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w:t>
            </w:r>
          </w:p>
        </w:tc>
        <w:tc>
          <w:tcPr>
            <w:tcW w:w="27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Governing Law and Jurisdiction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Letter (including the agreement constituted by your acknowledgement of its terms) and any non-contractual obligations arising out of or in connection with it (including any non-contractual obligations arising out of the negotiation of the transaction contemplated by this Letter) are governed by German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courts of Munich shall have exclusive jurisdiction to settle any dispute arising out of or in connection with this Letter (including a dispute relating to any non-contractual obligation arising out of or in connection with either this Letter or the negotiation of the transaction contemplated by this Letter).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535"/>
      </w:tblGrid>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Funding Commitment Letter | DEM/20417844.12</w:t>
            </w:r>
          </w:p>
        </w:tc>
      </w:tr>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 14708564.4</w:t>
            </w:r>
          </w:p>
        </w:tc>
      </w:tr>
    </w:tbl>
    <w:p>
      <w:pPr>
        <w:pStyle w:val="TextBody"/>
        <w:bidi w:val="0"/>
        <w:spacing w:before="0" w:after="0"/>
        <w:ind w:left="0" w:right="0" w:hanging="0"/>
        <w:jc w:val="right"/>
        <w:rPr>
          <w:rFonts w:ascii="Times New Roman" w:hAnsi="Times New Roman"/>
          <w:sz w:val="20"/>
        </w:rPr>
      </w:pPr>
      <w:r>
        <w:rPr>
          <w:rFonts w:ascii="Times New Roman" w:hAnsi="Times New Roman"/>
          <w:sz w:val="20"/>
        </w:rPr>
        <w:t>|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you agree to the above, please acknowledge your agreement and acceptance of the offer by signing and returning the enclosed copy of this letter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we intend to continue in due course our efforts to funding of Sono Group and we are prepared to negotiate in good faith such extension on terms satisfactory to us and if and to extent this is commercially reasonable and necessary, provided Sono Group meets the Budget and there is no Termination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Matt Beckman</w:t>
        <w:b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and on behalf of</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YA II PN,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535"/>
      </w:tblGrid>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Funding Commitment Letter | DEM/20417844.12</w:t>
            </w:r>
          </w:p>
        </w:tc>
      </w:tr>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 14708564.4</w:t>
            </w:r>
          </w:p>
        </w:tc>
      </w:tr>
    </w:tbl>
    <w:p>
      <w:pPr>
        <w:pStyle w:val="TextBody"/>
        <w:bidi w:val="0"/>
        <w:spacing w:before="0" w:after="0"/>
        <w:ind w:left="0" w:right="0" w:hanging="0"/>
        <w:jc w:val="right"/>
        <w:rPr>
          <w:rFonts w:ascii="Times New Roman" w:hAnsi="Times New Roman"/>
          <w:sz w:val="20"/>
        </w:rPr>
      </w:pPr>
      <w:r>
        <w:rPr>
          <w:rFonts w:ascii="Times New Roman" w:hAnsi="Times New Roman"/>
          <w:sz w:val="20"/>
        </w:rPr>
        <w:t>|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acknowledge and agree to the above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3080"/>
        <w:gridCol w:w="2720"/>
      </w:tblGrid>
      <w:tr>
        <w:trPr/>
        <w:tc>
          <w:tcPr>
            <w:tcW w:w="3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Torsten Kiedel                           </w:t>
            </w:r>
          </w:p>
        </w:tc>
        <w:tc>
          <w:tcPr>
            <w:tcW w:w="2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Markus Volmer</w:t>
            </w:r>
          </w:p>
        </w:tc>
      </w:tr>
      <w:tr>
        <w:trPr/>
        <w:tc>
          <w:tcPr>
            <w:tcW w:w="308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        </w:t>
            </w:r>
          </w:p>
        </w:tc>
        <w:tc>
          <w:tcPr>
            <w:tcW w:w="272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w:t>
            </w:r>
          </w:p>
        </w:tc>
      </w:tr>
      <w:tr>
        <w:trPr/>
        <w:tc>
          <w:tcPr>
            <w:tcW w:w="3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 and on behalf of</w:t>
            </w:r>
          </w:p>
        </w:tc>
        <w:tc>
          <w:tcPr>
            <w:tcW w:w="272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SONO GROUP N.V.</w:t>
            </w:r>
          </w:p>
        </w:tc>
        <w:tc>
          <w:tcPr>
            <w:tcW w:w="27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535"/>
      </w:tblGrid>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Funding Commitment Letter | DEM/20417844.12</w:t>
            </w:r>
          </w:p>
        </w:tc>
      </w:tr>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 14708564.4</w:t>
            </w:r>
          </w:p>
        </w:tc>
      </w:tr>
    </w:tbl>
    <w:p>
      <w:pPr>
        <w:pStyle w:val="TextBody"/>
        <w:bidi w:val="0"/>
        <w:spacing w:before="0" w:after="0"/>
        <w:ind w:left="0" w:right="0" w:hanging="0"/>
        <w:jc w:val="right"/>
        <w:rPr>
          <w:rFonts w:ascii="Times New Roman" w:hAnsi="Times New Roman"/>
          <w:sz w:val="20"/>
        </w:rPr>
      </w:pPr>
      <w:r>
        <w:rPr>
          <w:rFonts w:ascii="Times New Roman" w:hAnsi="Times New Roman"/>
          <w:sz w:val="20"/>
        </w:rPr>
        <w:t>| 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 1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Conditions precedent to Utilisation of a Funding</w:t>
      </w:r>
    </w:p>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60"/>
        <w:gridCol w:w="125"/>
        <w:gridCol w:w="312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Submission of SEC Form 20-F Filing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filed the SEC Form 20-F Filing (as defined in the Restructuring Agreement)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60"/>
        <w:gridCol w:w="125"/>
        <w:gridCol w:w="296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29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Insolvency Plan for German OpCo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A Qualifying Insolvency Plan for German OpCo (as defined in the Continuation Agreement) has become legally binding (</w:t>
      </w:r>
      <w:r>
        <w:rPr>
          <w:rFonts w:ascii="Times New Roman" w:hAnsi="Times New Roman"/>
          <w:i/>
          <w:caps w:val="false"/>
          <w:smallCaps w:val="false"/>
          <w:sz w:val="20"/>
        </w:rPr>
        <w:t>rechtskr</w:t>
      </w:r>
      <w:r>
        <w:rPr>
          <w:rFonts w:ascii="Times New Roman" w:hAnsi="Times New Roman"/>
          <w:caps w:val="false"/>
          <w:smallCaps w:val="false"/>
          <w:sz w:val="20"/>
        </w:rPr>
        <w:t>ä</w:t>
      </w:r>
      <w:r>
        <w:rPr>
          <w:rFonts w:ascii="Times New Roman" w:hAnsi="Times New Roman"/>
          <w:i/>
          <w:caps w:val="false"/>
          <w:smallCaps w:val="false"/>
          <w:sz w:val="20"/>
        </w:rPr>
        <w:t>ftig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60"/>
        <w:gridCol w:w="125"/>
        <w:gridCol w:w="419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41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Withdrawal of Insolvency Filing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withdrawn the NV Insolvency Filing (as defined in the Restructuring Agreement) and no other petition to open insolvency proceedings regarding the assets of the Company is pending, and all securing measures (</w:t>
      </w:r>
      <w:r>
        <w:rPr>
          <w:rFonts w:ascii="Times New Roman" w:hAnsi="Times New Roman"/>
          <w:i/>
          <w:caps w:val="false"/>
          <w:smallCaps w:val="false"/>
          <w:sz w:val="20"/>
        </w:rPr>
        <w:t>Sicherungsma</w:t>
      </w:r>
      <w:r>
        <w:rPr>
          <w:rFonts w:ascii="Times New Roman" w:hAnsi="Times New Roman"/>
          <w:caps w:val="false"/>
          <w:smallCaps w:val="false"/>
          <w:sz w:val="20"/>
        </w:rPr>
        <w:t>ß</w:t>
      </w:r>
      <w:r>
        <w:rPr>
          <w:rFonts w:ascii="Times New Roman" w:hAnsi="Times New Roman"/>
          <w:i/>
          <w:caps w:val="false"/>
          <w:smallCaps w:val="false"/>
          <w:sz w:val="20"/>
        </w:rPr>
        <w:t>nahmen</w:t>
      </w:r>
      <w:r>
        <w:rPr>
          <w:rFonts w:ascii="Times New Roman" w:hAnsi="Times New Roman"/>
          <w:caps w:val="false"/>
          <w:smallCaps w:val="false"/>
          <w:sz w:val="20"/>
        </w:rPr>
        <w:t>) taken by the local court of Munich, insolvency court, in its decision dated 17 May 2023 (case number 1513 IN 1347/23) and afterwards have been finally (</w:t>
      </w:r>
      <w:r>
        <w:rPr>
          <w:rFonts w:ascii="Times New Roman" w:hAnsi="Times New Roman"/>
          <w:i/>
          <w:caps w:val="false"/>
          <w:smallCaps w:val="false"/>
          <w:sz w:val="20"/>
        </w:rPr>
        <w:t>rechtskr</w:t>
      </w:r>
      <w:r>
        <w:rPr>
          <w:rFonts w:ascii="Times New Roman" w:hAnsi="Times New Roman"/>
          <w:caps w:val="false"/>
          <w:smallCaps w:val="false"/>
          <w:sz w:val="20"/>
        </w:rPr>
        <w:t>ä</w:t>
      </w:r>
      <w:r>
        <w:rPr>
          <w:rFonts w:ascii="Times New Roman" w:hAnsi="Times New Roman"/>
          <w:i/>
          <w:caps w:val="false"/>
          <w:smallCaps w:val="false"/>
          <w:sz w:val="20"/>
        </w:rPr>
        <w:t>ftig</w:t>
      </w:r>
      <w:r>
        <w:rPr>
          <w:rFonts w:ascii="Times New Roman" w:hAnsi="Times New Roman"/>
          <w:caps w:val="false"/>
          <w:smallCaps w:val="false"/>
          <w:sz w:val="20"/>
        </w:rPr>
        <w:t>) removed.</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60"/>
        <w:gridCol w:w="125"/>
        <w:gridCol w:w="228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22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Delivery of New Debenture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Each New Debenture required for the intended Funding executed by all parties thereto and fulfilment of all funding conditions specified therein.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535"/>
      </w:tblGrid>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Funding Commitment Letter | DEM/20417844.12</w:t>
            </w:r>
          </w:p>
        </w:tc>
      </w:tr>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 14708564.4</w:t>
            </w:r>
          </w:p>
        </w:tc>
      </w:tr>
    </w:tbl>
    <w:p>
      <w:pPr>
        <w:pStyle w:val="TextBody"/>
        <w:bidi w:val="0"/>
        <w:spacing w:before="0" w:after="0"/>
        <w:ind w:left="0" w:right="0" w:hanging="0"/>
        <w:jc w:val="right"/>
        <w:rPr>
          <w:rFonts w:ascii="Times New Roman" w:hAnsi="Times New Roman"/>
          <w:sz w:val="20"/>
        </w:rPr>
      </w:pPr>
      <w:r>
        <w:rPr>
          <w:rFonts w:ascii="Times New Roman" w:hAnsi="Times New Roman"/>
          <w:sz w:val="20"/>
        </w:rPr>
        <w:t>|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 2    Budget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To be attached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caps w:val="false"/>
          <w:smallCaps w:val="false"/>
          <w:sz w:val="20"/>
        </w:rPr>
      </w:pPr>
      <w:r>
        <w:rPr>
          <w:rFonts w:ascii="Times New Roman" w:hAnsi="Times New Roman"/>
          <w:caps w:val="false"/>
          <w:smallCaps w:val="false"/>
          <w:sz w:val="20"/>
        </w:rPr>
        <w:t>[OMITTED]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535"/>
      </w:tblGrid>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Funding Commitment Letter | DEM/20417844.12</w:t>
            </w:r>
          </w:p>
        </w:tc>
      </w:tr>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 14708564.4</w:t>
            </w:r>
          </w:p>
        </w:tc>
      </w:tr>
    </w:tbl>
    <w:p>
      <w:pPr>
        <w:pStyle w:val="TextBody"/>
        <w:bidi w:val="0"/>
        <w:spacing w:before="0" w:after="0"/>
        <w:ind w:left="0" w:right="0" w:hanging="0"/>
        <w:jc w:val="right"/>
        <w:rPr>
          <w:rFonts w:ascii="Times New Roman" w:hAnsi="Times New Roman"/>
          <w:sz w:val="20"/>
        </w:rPr>
      </w:pPr>
      <w:r>
        <w:rPr>
          <w:rFonts w:ascii="Times New Roman" w:hAnsi="Times New Roman"/>
          <w:sz w:val="20"/>
        </w:rPr>
        <w:t>|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 3    Form of Debenture</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NEITHER THIS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hAnsi="Times New Roman"/>
          <w:caps w:val="false"/>
          <w:smallCaps w:val="false"/>
          <w:sz w:val="20"/>
        </w:rPr>
        <w:t>“</w:t>
      </w:r>
      <w:r>
        <w:rPr>
          <w:rFonts w:ascii="Times New Roman" w:hAnsi="Times New Roman"/>
          <w:b/>
          <w:caps w:val="false"/>
          <w:smallCaps w:val="false"/>
          <w:sz w:val="20"/>
          <w:u w:val="single"/>
        </w:rPr>
        <w:t>SECURITIES ACT</w:t>
      </w:r>
      <w:r>
        <w:rPr>
          <w:rFonts w:ascii="Times New Roman" w:hAnsi="Times New Roman"/>
          <w:caps w:val="false"/>
          <w:smallCaps w:val="false"/>
          <w:sz w:val="20"/>
        </w:rPr>
        <w:t>”</w:t>
      </w:r>
      <w:r>
        <w:rPr>
          <w:rFonts w:ascii="Times New Roman" w:hAnsi="Times New Roman"/>
          <w:b/>
          <w:caps w:val="false"/>
          <w:smallCaps w:val="false"/>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 V.</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CONVERTIBLE DEBENTURE</w:t>
      </w:r>
    </w:p>
    <w:p>
      <w:pPr>
        <w:pStyle w:val="TextBody"/>
        <w:bidi w:val="0"/>
        <w:spacing w:before="0" w:after="0"/>
        <w:ind w:left="0" w:right="0" w:hanging="0"/>
        <w:jc w:val="center"/>
        <w:rPr>
          <w:smallCaps/>
        </w:rPr>
      </w:pPr>
      <w:r>
        <w:rPr>
          <w:smallCaps/>
        </w:rPr>
        <w:t> </w:t>
      </w:r>
    </w:p>
    <w:tbl>
      <w:tblPr>
        <w:tblW w:w="3530" w:type="dxa"/>
        <w:jc w:val="left"/>
        <w:tblInd w:w="0" w:type="dxa"/>
        <w:tblLayout w:type="fixed"/>
        <w:tblCellMar>
          <w:top w:w="0" w:type="dxa"/>
          <w:left w:w="0" w:type="dxa"/>
          <w:bottom w:w="0" w:type="dxa"/>
          <w:right w:w="0" w:type="dxa"/>
        </w:tblCellMar>
      </w:tblPr>
      <w:tblGrid>
        <w:gridCol w:w="3530"/>
      </w:tblGrid>
      <w:tr>
        <w:trPr/>
        <w:tc>
          <w:tcPr>
            <w:tcW w:w="3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Principal Amount:</w:t>
            </w:r>
            <w:r>
              <w:rPr>
                <w:rFonts w:ascii="Times New Roman" w:hAnsi="Times New Roman"/>
                <w:caps w:val="false"/>
                <w:smallCaps w:val="false"/>
                <w:sz w:val="20"/>
              </w:rPr>
              <w:t> </w:t>
            </w:r>
            <w:r>
              <w:rPr>
                <w:rFonts w:ascii="Times New Roman" w:hAnsi="Times New Roman"/>
                <w:b/>
                <w:caps w:val="false"/>
                <w:smallCaps w:val="false"/>
                <w:sz w:val="20"/>
              </w:rPr>
              <w:t>[EUR_____________]</w:t>
            </w:r>
          </w:p>
        </w:tc>
      </w:tr>
    </w:tbl>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Debenture Issuance Date: [_________]</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Debenture Number: SEV-[4]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FOR VALUE RECEIVED,</w:t>
      </w:r>
      <w:r>
        <w:rPr>
          <w:rFonts w:ascii="Times New Roman" w:hAnsi="Times New Roman"/>
          <w:caps w:val="false"/>
          <w:smallCaps w:val="false"/>
          <w:sz w:val="20"/>
        </w:rPr>
        <w:t xml:space="preserve"> </w:t>
      </w:r>
      <w:r>
        <w:rPr>
          <w:rFonts w:ascii="Times New Roman" w:hAnsi="Times New Roman"/>
          <w:b/>
          <w:caps w:val="false"/>
          <w:smallCaps w:val="false"/>
          <w:sz w:val="20"/>
        </w:rPr>
        <w:t>SONO GROUP N.V.</w:t>
      </w:r>
      <w:r>
        <w:rPr>
          <w:rFonts w:ascii="Times New Roman" w:hAnsi="Times New Roman"/>
          <w:caps w:val="false"/>
          <w:smallCaps w:val="false"/>
          <w:sz w:val="20"/>
        </w:rPr>
        <w:t>, a Dutch public limited liability company (the “</w:t>
      </w:r>
      <w:r>
        <w:rPr>
          <w:rFonts w:ascii="Times New Roman" w:hAnsi="Times New Roman"/>
          <w:caps w:val="false"/>
          <w:smallCaps w:val="false"/>
          <w:sz w:val="20"/>
          <w:u w:val="single"/>
        </w:rPr>
        <w:t>Company</w:t>
      </w:r>
      <w:r>
        <w:rPr>
          <w:rFonts w:ascii="Times New Roman" w:hAnsi="Times New Roman"/>
          <w:caps w:val="false"/>
          <w:smallCaps w:val="false"/>
          <w:sz w:val="20"/>
        </w:rPr>
        <w:t xml:space="preserve">”), hereby promises to pay to the order of </w:t>
      </w:r>
      <w:r>
        <w:rPr>
          <w:rFonts w:ascii="Times New Roman" w:hAnsi="Times New Roman"/>
          <w:b/>
          <w:caps w:val="false"/>
          <w:smallCaps w:val="false"/>
          <w:sz w:val="20"/>
        </w:rPr>
        <w:t>YA II PN, Ltd.</w:t>
      </w:r>
      <w:r>
        <w:rPr>
          <w:rFonts w:ascii="Times New Roman" w:hAnsi="Times New Roman"/>
          <w:caps w:val="false"/>
          <w:smallCaps w:val="false"/>
          <w:sz w:val="20"/>
        </w:rPr>
        <w:t>, or its registered assigns (the “</w:t>
      </w:r>
      <w:r>
        <w:rPr>
          <w:rFonts w:ascii="Times New Roman" w:hAnsi="Times New Roman"/>
          <w:caps w:val="false"/>
          <w:smallCaps w:val="false"/>
          <w:sz w:val="20"/>
          <w:u w:val="single"/>
        </w:rPr>
        <w:t>Holder</w:t>
      </w:r>
      <w:r>
        <w:rPr>
          <w:rFonts w:ascii="Times New Roman" w:hAnsi="Times New Roman"/>
          <w:caps w:val="false"/>
          <w:smallCaps w:val="false"/>
          <w:sz w:val="20"/>
        </w:rPr>
        <w:t>”), the amount set out above as the principal amount (as reduced or increased pursuant to the terms hereof pursuant to redemption, conversion or otherwise, the “</w:t>
      </w:r>
      <w:r>
        <w:rPr>
          <w:rFonts w:ascii="Times New Roman" w:hAnsi="Times New Roman"/>
          <w:caps w:val="false"/>
          <w:smallCaps w:val="false"/>
          <w:sz w:val="20"/>
          <w:u w:val="single"/>
        </w:rPr>
        <w:t>Principal</w:t>
      </w:r>
      <w:r>
        <w:rPr>
          <w:rFonts w:ascii="Times New Roman" w:hAnsi="Times New Roman"/>
          <w:caps w:val="false"/>
          <w:smallCaps w:val="false"/>
          <w:sz w:val="20"/>
        </w:rPr>
        <w:t>”) when due, whether upon the Maturity Date (as defined below), acceleration, redemption or otherwise (in each case in accordance with the terms hereof) and to pay interest (“</w:t>
      </w:r>
      <w:r>
        <w:rPr>
          <w:rFonts w:ascii="Times New Roman" w:hAnsi="Times New Roman"/>
          <w:caps w:val="false"/>
          <w:smallCaps w:val="false"/>
          <w:sz w:val="20"/>
          <w:u w:val="single"/>
        </w:rPr>
        <w:t>Interest</w:t>
      </w:r>
      <w:r>
        <w:rPr>
          <w:rFonts w:ascii="Times New Roman" w:hAnsi="Times New Roman"/>
          <w:caps w:val="false"/>
          <w:smallCaps w:val="false"/>
          <w:sz w:val="20"/>
        </w:rPr>
        <w:t>”) on any outstanding Principal at the applicable Interest Rate from the date set out above as the Debenture Issuance Date (the “</w:t>
      </w:r>
      <w:r>
        <w:rPr>
          <w:rFonts w:ascii="Times New Roman" w:hAnsi="Times New Roman"/>
          <w:caps w:val="false"/>
          <w:smallCaps w:val="false"/>
          <w:sz w:val="20"/>
          <w:u w:val="single"/>
        </w:rPr>
        <w:t>Issuance Date</w:t>
      </w:r>
      <w:r>
        <w:rPr>
          <w:rFonts w:ascii="Times New Roman" w:hAnsi="Times New Roman"/>
          <w:caps w:val="false"/>
          <w:smallCaps w:val="false"/>
          <w:sz w:val="20"/>
        </w:rPr>
        <w:t>”) until the same becomes due and payable, whether upon the Maturity Date or acceleration, conversion, redemption or otherwise (in each case in accordance with the terms hereof). This Convertible Debenture (including all debentures issued in exchange, transfer or replacement hereof, this “</w:t>
      </w:r>
      <w:r>
        <w:rPr>
          <w:rFonts w:ascii="Times New Roman" w:hAnsi="Times New Roman"/>
          <w:caps w:val="false"/>
          <w:smallCaps w:val="false"/>
          <w:sz w:val="20"/>
          <w:u w:val="single"/>
        </w:rPr>
        <w:t>Debenture</w:t>
      </w:r>
      <w:r>
        <w:rPr>
          <w:rFonts w:ascii="Times New Roman" w:hAnsi="Times New Roman"/>
          <w:caps w:val="false"/>
          <w:smallCaps w:val="false"/>
          <w:sz w:val="20"/>
        </w:rPr>
        <w:t>”) was originally issued pursuant to the Funding Commitment Letter dated as of [__________], as it may be amended from time to time (the “</w:t>
      </w:r>
      <w:r>
        <w:rPr>
          <w:rFonts w:ascii="Times New Roman" w:hAnsi="Times New Roman"/>
          <w:caps w:val="false"/>
          <w:smallCaps w:val="false"/>
          <w:sz w:val="20"/>
          <w:u w:val="single"/>
        </w:rPr>
        <w:t>Commitment Letter</w:t>
      </w:r>
      <w:r>
        <w:rPr>
          <w:rFonts w:ascii="Times New Roman" w:hAnsi="Times New Roman"/>
          <w:caps w:val="false"/>
          <w:smallCaps w:val="false"/>
          <w:sz w:val="20"/>
        </w:rPr>
        <w:t>”) between the Company and the Holder. The obligation of the Holder to provide the funding of the Principal Amount of this Debenture to the Company shall be subject to the satisfaction of each of the Funding Conditions. Certain capitalized terms used herein are defined in Section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GENERAL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Maturity Date</w:t>
      </w:r>
      <w:r>
        <w:rPr>
          <w:rFonts w:ascii="Times New Roman" w:hAnsi="Times New Roman"/>
          <w:caps w:val="false"/>
          <w:smallCaps w:val="false"/>
          <w:sz w:val="20"/>
        </w:rPr>
        <w:t>. On the Maturity Date, the Company shall pay to the Holder an amount in cash representing all outstanding Principal, accrued and unpaid Interest, and any other amounts outstanding pursuant to the terms of this Debenture. The “</w:t>
      </w:r>
      <w:r>
        <w:rPr>
          <w:rFonts w:ascii="Times New Roman" w:hAnsi="Times New Roman"/>
          <w:caps w:val="false"/>
          <w:smallCaps w:val="false"/>
          <w:sz w:val="20"/>
          <w:u w:val="single"/>
        </w:rPr>
        <w:t>Maturity Date</w:t>
      </w:r>
      <w:r>
        <w:rPr>
          <w:rFonts w:ascii="Times New Roman" w:hAnsi="Times New Roman"/>
          <w:caps w:val="false"/>
          <w:smallCaps w:val="false"/>
          <w:sz w:val="20"/>
        </w:rPr>
        <w:t>” shall be July 1, 2025, as may be extended at the option of the Holder. Other than as specifically permitted by this Debenture, the Company may not prepay or redeem any portion of the outstanding Principal and accrued and unpaid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 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2160"/>
        <w:jc w:val="left"/>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Interest Rate and Payment of Interest</w:t>
      </w:r>
      <w:r>
        <w:rPr>
          <w:rFonts w:ascii="Times New Roman;Times;serif" w:hAnsi="Times New Roman;Times;serif"/>
          <w:sz w:val="20"/>
        </w:rPr>
        <w:t>. Interest shall accrue on the outstanding Principal balance hereof at an annual rate equal to 12% (“</w:t>
      </w:r>
      <w:r>
        <w:rPr>
          <w:rFonts w:ascii="Times New Roman;Times;serif" w:hAnsi="Times New Roman;Times;serif"/>
          <w:sz w:val="20"/>
          <w:u w:val="single"/>
        </w:rPr>
        <w:t>Interest Rate</w:t>
      </w:r>
      <w:r>
        <w:rPr>
          <w:rFonts w:ascii="Times New Roman;Times;serif" w:hAnsi="Times New Roman;Times;serif"/>
          <w:sz w:val="20"/>
        </w:rPr>
        <w:t>”), which Interest Rate shall increase to an annual rate of 18% upon an Event of Default for so long as it remains uncured. Interest shall be calculated based on a 365-day year and the actual number of days elapsed,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Early Redemption</w:t>
      </w:r>
      <w:r>
        <w:rPr>
          <w:rFonts w:ascii="Times New Roman" w:hAnsi="Times New Roman"/>
          <w:caps w:val="false"/>
          <w:smallCaps w:val="false"/>
          <w:sz w:val="20"/>
        </w:rPr>
        <w:t>. The Company at its option shall have the right, but not the obligation, to redeem (“</w:t>
      </w:r>
      <w:r>
        <w:rPr>
          <w:rFonts w:ascii="Times New Roman" w:hAnsi="Times New Roman"/>
          <w:caps w:val="false"/>
          <w:smallCaps w:val="false"/>
          <w:sz w:val="20"/>
          <w:u w:val="single"/>
        </w:rPr>
        <w:t>Optional Redemption</w:t>
      </w:r>
      <w:r>
        <w:rPr>
          <w:rFonts w:ascii="Times New Roman" w:hAnsi="Times New Roman"/>
          <w:caps w:val="false"/>
          <w:smallCaps w:val="false"/>
          <w:sz w:val="20"/>
        </w:rPr>
        <w:t xml:space="preserve">”) early a portion or all amounts outstanding under this Debenture as described in this Section;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(i) the trading price of the Ordinary Shares is less than the Fixed Conversion Price and (ii) the Company provides the Holder with at least five (5) Business Days’ prior written notice (each, a “</w:t>
      </w:r>
      <w:r>
        <w:rPr>
          <w:rFonts w:ascii="Times New Roman" w:hAnsi="Times New Roman"/>
          <w:caps w:val="false"/>
          <w:smallCaps w:val="false"/>
          <w:sz w:val="20"/>
          <w:u w:val="single"/>
        </w:rPr>
        <w:t>Redemption Notice</w:t>
      </w:r>
      <w:r>
        <w:rPr>
          <w:rFonts w:ascii="Times New Roman" w:hAnsi="Times New Roman"/>
          <w:caps w:val="false"/>
          <w:smallCaps w:val="false"/>
          <w:sz w:val="20"/>
        </w:rPr>
        <w:t>”) of its desire to exercise an Optional Redemption. Each Redemption Notice shall be irrevocable and shall specify the outstanding balance of the Convertible Debentures to be redeemed and the applicable Redemption Premium. The “</w:t>
      </w:r>
      <w:r>
        <w:rPr>
          <w:rFonts w:ascii="Times New Roman" w:hAnsi="Times New Roman"/>
          <w:caps w:val="false"/>
          <w:smallCaps w:val="false"/>
          <w:sz w:val="20"/>
          <w:u w:val="single"/>
        </w:rPr>
        <w:t>Redemption Amount</w:t>
      </w:r>
      <w:r>
        <w:rPr>
          <w:rFonts w:ascii="Times New Roman" w:hAnsi="Times New Roman"/>
          <w:caps w:val="false"/>
          <w:smallCaps w:val="false"/>
          <w:sz w:val="20"/>
        </w:rPr>
        <w:t>” shall be equal to the outstanding Principal balance being redeemed by the Company, plus the applicable Redemption Premium, plus all accrued and unpaid interest. After receipt of the Redemption Notice, the Holder shall have 5 Business Days to elect to convert all or any portion of the Debenture. On the 6th Business Day after the Redemption Notice, the Company shall deliver to the Holder the Redemption Amount with respect to the Principal amount redeemed after giving effect to conversions effected during the 5 Business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EVENTS OF DEFAULT</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(a)    An “</w:t>
      </w:r>
      <w:r>
        <w:rPr>
          <w:rFonts w:ascii="Times New Roman" w:hAnsi="Times New Roman"/>
          <w:caps w:val="false"/>
          <w:smallCaps w:val="false"/>
          <w:sz w:val="20"/>
          <w:u w:val="single"/>
        </w:rPr>
        <w:t>Event of Default</w:t>
      </w:r>
      <w:r>
        <w:rPr>
          <w:rFonts w:ascii="Times New Roman" w:hAnsi="Times New Roman"/>
          <w:caps w:val="false"/>
          <w:smallCaps w:val="false"/>
          <w:sz w:val="20"/>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    the Company's failure to pay to the Holder any amount of Principal, Redemption Premium, Interest, or other amounts when and as due under this Debenture or any other Transaction Document;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(ii)    The Company or any Subsidiary of the Company shall commence, or there shall be commenced against the Company or any Subsidiary of the Company under any applicable bankruptcy or insolvency laws as now or hereafter in effect or any successor thereto, or the Company or any Subsidiary of the Company commences any other proceeding under any reorganization, arrangement, adjustment of debt, relief of debtors, dissolution, insolvency or liquidation or similar law of any jurisdiction whether now or hereafter in effect relating to the Company or any Subsidiary of the Company and any such bankruptcy, insolvency or other proceeding remains undismissed for a period of sixty one (61) days; or the Company or any Subsidiary of the Company is adjudicated insolvent or bankrupt; or any order of relief or other order approving any such case or proceeding is entered; or the Company or any Subsidiary of the Company suffers any appointment of any custodian, private or court appointed receiver or the like for it or all or substantially all of its property which continues undischarged or unstayed for a period of sixty one (61) days; or the Company or any Subsidiary of the Company makes a general assignment of all or substantially all of its assets for the benefit of creditors; or the Company or any Subsidiary of the Company shall fail to pay, or shall state that it is unable to pay, or shall be unable to pay, its debts generally as they become due; or the Company or any Subsidiary of the Company shall call a meeting of its creditors with a view to arranging a composition, adjustment or restructuring of its debts; or the Company or any Subsidiary of the Company shall by any act or failure to act expressly indicate its consent to, approval of or acquiescence in any of the foregoing; or any corporate or other action is taken by the Company or any Subsidiary of the Company for the purpose of effecting any of the foregoing;</w:t>
      </w:r>
    </w:p>
    <w:p>
      <w:pPr>
        <w:pStyle w:val="TextBody"/>
        <w:bidi w:val="0"/>
        <w:spacing w:before="0" w:after="283"/>
        <w:jc w:val="left"/>
        <w:rPr/>
      </w:pPr>
      <w:r>
        <w:rPr/>
        <w:t> </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(iii)    The Company or any Subsidiary of the Company shall default in any of its obligations under any obligation or any promissory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or any Subsidiary of the Company in an amount exceeding EUR 200,000, whether such indebtedness now exists or shall hereafter be created and such default shall result in such indebtedness becoming or being declared due and payable and such default is not thereafter cured within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(iv)    The Company or any Subsidiary of the Company shall be a party to any Change of Control Transaction (as defined in Section 14) unless in connection with such Change of Control Transaction this Debenture is retired;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(v)     The Company’s (A) failure to issue and deliver the required number of Ordinary Shares to the Holder within four (4) 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(vi)    The Company shall fail for any reason to deliver the payment in cash pursuant to a Buy-In (as defined in Section 4(b)(ii) herein) within five Business Days after such payment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(vii)    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(viii)    Any representation or warranty made or deemed made by the Company in any Transaction Document or the December SPA shall prove to have been incorrect in any material respect (or, in the case of any such representation or warranty already qualified by materiality, such representation or warranty shall prove to have been incorrect) when made or deemed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(ix)    Any material provision of any Transaction Document, at any time after its execution and delivery and for any reason other than as expressly permitted hereunder or thereunder or satisfaction in full of all Obligations, ceases to be in full force and effect; or the Company or any other Person contests in writing the validity or enforceability of any provision of any Transaction Document; or the Company denies in writing that it has any or further liability or obligation under any Transaction Document, or purports in writing to revoke, terminate (other than in line with the relevant termination provisions) or rescind any Transaction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(x)    The Company shall fail to observe or perform any material covenant, agreement or warranty contained in, or otherwise commit any material breach or default of any provision of this Debenture (except as may be covered by Section (3)(a)(i) through (3)(a)(ix) hereof), the December SPA, or any other Transaction Document (as defined in Section 14 which is not cured or remedied within the time prescribed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(xi)    Any Event of Default (as defined in the Other Debentures, the SPA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(b)    During the time that any portion of this Debenture is outstanding, if any Event of Default has occurred and has not been cured within the applicable cure period, if any, (other than an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become at the Holder's election given by notice pursuant to Section 7, immediately due and payable in cash;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case of any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at the Conversion Rate, on one or more occasions all or part of the Conversion Amount (as defined below) in accordance with Section 4 hereof (subject to the beneficial ownership limitations set out in Section (4)(c)) at any time after (x) an Event of Default (provided that such Event of Default is continuing) or (y) the Maturity Date.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CONVERSION OF DEBENTURE</w:t>
      </w:r>
      <w:r>
        <w:rPr>
          <w:rFonts w:ascii="Times New Roman" w:hAnsi="Times New Roman"/>
          <w:caps w:val="false"/>
          <w:smallCaps w:val="false"/>
          <w:sz w:val="20"/>
        </w:rPr>
        <w:t>.This Debenture shall be convertible into Ordinary Shares, on the terms and conditions set forth in this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Conversion Right</w:t>
      </w:r>
      <w:r>
        <w:rPr>
          <w:rFonts w:ascii="Times New Roman" w:hAnsi="Times New Roman"/>
          <w:caps w:val="false"/>
          <w:smallCaps w:val="false"/>
          <w:sz w:val="20"/>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rFonts w:ascii="Times New Roman" w:hAnsi="Times New Roman"/>
          <w:caps w:val="false"/>
          <w:smallCaps w:val="false"/>
          <w:sz w:val="20"/>
          <w:u w:val="single"/>
        </w:rPr>
        <w:t>Conversion Rate</w:t>
      </w:r>
      <w:r>
        <w:rPr>
          <w:rFonts w:ascii="Times New Roman" w:hAnsi="Times New Roman"/>
          <w:caps w:val="false"/>
          <w:smallCaps w:val="false"/>
          <w:sz w:val="20"/>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Conversion Amount</w:t>
      </w:r>
      <w:r>
        <w:rPr>
          <w:rFonts w:ascii="Times New Roman" w:hAnsi="Times New Roman"/>
          <w:caps w:val="false"/>
          <w:smallCaps w:val="false"/>
          <w:sz w:val="20"/>
        </w:rPr>
        <w:t>” means the portion of the Principal and/or accrued Interest to be converted, redeemed or otherwise with respect to which this determination is being made, and translated into USD on the applicable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Conversion Price</w:t>
      </w:r>
      <w:r>
        <w:rPr>
          <w:rFonts w:ascii="Times New Roman" w:hAnsi="Times New Roman"/>
          <w:caps w:val="false"/>
          <w:smallCaps w:val="false"/>
          <w:sz w:val="20"/>
        </w:rPr>
        <w:t>” means, as of any Conversion Date (as defined below) or other date of determination the lower of (i) a price per Ordinary Share equal to USD 0.25 (the “</w:t>
      </w:r>
      <w:r>
        <w:rPr>
          <w:rFonts w:ascii="Times New Roman" w:hAnsi="Times New Roman"/>
          <w:caps w:val="false"/>
          <w:smallCaps w:val="false"/>
          <w:sz w:val="20"/>
          <w:u w:val="single"/>
        </w:rPr>
        <w:t>Fixed Conversion Price</w:t>
      </w:r>
      <w:r>
        <w:rPr>
          <w:rFonts w:ascii="Times New Roman" w:hAnsi="Times New Roman"/>
          <w:caps w:val="false"/>
          <w:smallCaps w:val="false"/>
          <w:sz w:val="20"/>
        </w:rPr>
        <w:t>”), or (ii) 85% of the lowest daily VWAP of the Ordinary Shares during the seven (7) consecutive Trading Days immediately preceding the Conversion Date or other date of determination (the “</w:t>
      </w:r>
      <w:r>
        <w:rPr>
          <w:rFonts w:ascii="Times New Roman" w:hAnsi="Times New Roman"/>
          <w:caps w:val="false"/>
          <w:smallCaps w:val="false"/>
          <w:sz w:val="20"/>
          <w:u w:val="single"/>
        </w:rPr>
        <w:t>Variable Conversion Price</w:t>
      </w:r>
      <w:r>
        <w:rPr>
          <w:rFonts w:ascii="Times New Roman" w:hAnsi="Times New Roman"/>
          <w:caps w:val="false"/>
          <w:smallCaps w:val="false"/>
          <w:sz w:val="20"/>
        </w:rPr>
        <w:t>”), provided that, if and only if, the Ordinary Shares are listed and traded on Nasdaq on the relevant Conversion Date the Holder may agree that the Variable Conversion Price shall not be lower than the Floor Price then in effect; provided, further, that if the Ordinary Shares are not listed or traded on Nasdaq on the relevant Conversion Date, then no Floor Price shall be in effect, and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Mechanics of Conversion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Optional Conversion</w:t>
      </w:r>
      <w:r>
        <w:rPr>
          <w:rFonts w:ascii="Times New Roman" w:hAnsi="Times New Roman"/>
          <w:caps w:val="false"/>
          <w:smallCaps w:val="false"/>
          <w:sz w:val="20"/>
        </w:rPr>
        <w:t>. To convert any Conversion Amount into Ordinary Shares on any date (a “</w:t>
      </w:r>
      <w:r>
        <w:rPr>
          <w:rFonts w:ascii="Times New Roman" w:hAnsi="Times New Roman"/>
          <w:caps w:val="false"/>
          <w:smallCaps w:val="false"/>
          <w:sz w:val="20"/>
          <w:u w:val="single"/>
        </w:rPr>
        <w:t>Conversion Date</w:t>
      </w:r>
      <w:r>
        <w:rPr>
          <w:rFonts w:ascii="Times New Roman" w:hAnsi="Times New Roman"/>
          <w:caps w:val="false"/>
          <w:smallCaps w:val="false"/>
          <w:sz w:val="20"/>
        </w:rPr>
        <w:t xml:space="preserve">”), the Holder shall (A) transmit by email (or otherwise deliver), for receipt on or prior to 11:59 p.m., New York Time, on such date, a copy of an executed notice of conversion in the form attached hereto as </w:t>
      </w:r>
      <w:r>
        <w:rPr>
          <w:rFonts w:ascii="Times New Roman" w:hAnsi="Times New Roman"/>
          <w:caps w:val="false"/>
          <w:smallCaps w:val="false"/>
          <w:sz w:val="20"/>
          <w:u w:val="single"/>
        </w:rPr>
        <w:t>Exhibit I</w:t>
      </w:r>
      <w:r>
        <w:rPr>
          <w:rFonts w:ascii="Times New Roman" w:hAnsi="Times New Roman"/>
          <w:caps w:val="false"/>
          <w:smallCaps w:val="false"/>
          <w:sz w:val="20"/>
        </w:rPr>
        <w:t xml:space="preserve"> (the “</w:t>
      </w:r>
      <w:r>
        <w:rPr>
          <w:rFonts w:ascii="Times New Roman" w:hAnsi="Times New Roman"/>
          <w:caps w:val="false"/>
          <w:smallCaps w:val="false"/>
          <w:sz w:val="20"/>
          <w:u w:val="single"/>
        </w:rPr>
        <w:t>Conversion Notice</w:t>
      </w:r>
      <w:r>
        <w:rPr>
          <w:rFonts w:ascii="Times New Roman" w:hAnsi="Times New Roman"/>
          <w:caps w:val="false"/>
          <w:smallCaps w:val="false"/>
          <w:sz w:val="20"/>
        </w:rPr>
        <w:t>”) to the Company and (B) if required by Section (4)(b)(iii), surrender this Debenture to a nationally recognized overnight delivery service for delivery to the Company (or an indemnification undertaking reasonably satisfactory to the Company with respect to this Debenture in the case of its loss, theft or destruction). On or before the third (3rd) Trading Day following the date of receipt of a Conversion Notice (the “</w:t>
      </w:r>
      <w:r>
        <w:rPr>
          <w:rFonts w:ascii="Times New Roman" w:hAnsi="Times New Roman"/>
          <w:caps w:val="false"/>
          <w:smallCaps w:val="false"/>
          <w:sz w:val="20"/>
          <w:u w:val="single"/>
        </w:rPr>
        <w:t>Share Delivery Date</w:t>
      </w:r>
      <w:r>
        <w:rPr>
          <w:rFonts w:ascii="Times New Roman" w:hAnsi="Times New Roman"/>
          <w:caps w:val="false"/>
          <w:smallCaps w:val="false"/>
          <w:sz w:val="20"/>
        </w:rPr>
        <w:t>”), the Company shall (X) if legends are not required to be placed on certificates of Ordinary Shares and provided that the Transfer Agent is participating in the Depository Trust Company's (“</w:t>
      </w:r>
      <w:r>
        <w:rPr>
          <w:rFonts w:ascii="Times New Roman" w:hAnsi="Times New Roman"/>
          <w:caps w:val="false"/>
          <w:smallCaps w:val="false"/>
          <w:sz w:val="20"/>
          <w:u w:val="single"/>
        </w:rPr>
        <w:t>DTC</w:t>
      </w:r>
      <w:r>
        <w:rPr>
          <w:rFonts w:ascii="Times New Roman" w:hAnsi="Times New Roman"/>
          <w:caps w:val="false"/>
          <w:smallCaps w:val="false"/>
          <w:sz w:val="20"/>
        </w:rPr>
        <w:t>”) Fast Automated Securities Transfer Program, credit such aggregate number of Ordinary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registered Ordinary Shares in the name of the Holder or its designee, for the number of Ordinary Shares to which the Holder shall be entitled which certificates shall not bear any restrictive legends unless required pursuant to rules and regulations of the Commission.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Ordinary Shares issuable upon a conversion of this Debenture shall be treated for all purposes as the record holder or holders of such Ordinary Shares upon the transmission of a Conversion Notice. In connection with any conversion of a Conversion Amount into Ordinary Shares on a Conversion Date, the Company shall, on the relevant Share Delivery Date, set off (</w:t>
      </w:r>
      <w:r>
        <w:rPr>
          <w:rFonts w:ascii="Times New Roman" w:hAnsi="Times New Roman"/>
          <w:i/>
          <w:caps w:val="false"/>
          <w:smallCaps w:val="false"/>
          <w:sz w:val="20"/>
        </w:rPr>
        <w:t>verrekenen</w:t>
      </w:r>
      <w:r>
        <w:rPr>
          <w:rFonts w:ascii="Times New Roman" w:hAnsi="Times New Roman"/>
          <w:caps w:val="false"/>
          <w:smallCaps w:val="false"/>
          <w:sz w:val="20"/>
        </w:rPr>
        <w:t>) its debt under the relevant Debenture(s) to pay such Conversion Amount against its receivable from the Holder to pay up in full, and satisfy the issue price, for the relevant Ordinary Shares issuable upon such conversion (and, for that purpose, such issue price shall be the same amount as the Conversion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Company's Failure to Timely Convert</w:t>
      </w:r>
      <w:r>
        <w:rPr>
          <w:rFonts w:ascii="Times New Roman" w:hAnsi="Times New Roman"/>
          <w:caps w:val="false"/>
          <w:smallCaps w:val="false"/>
          <w:sz w:val="20"/>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rFonts w:ascii="Times New Roman" w:hAnsi="Times New Roman"/>
          <w:caps w:val="false"/>
          <w:smallCaps w:val="false"/>
          <w:sz w:val="20"/>
          <w:u w:val="single"/>
        </w:rPr>
        <w:t>Buy-In</w:t>
      </w:r>
      <w:r>
        <w:rPr>
          <w:rFonts w:ascii="Times New Roman" w:hAnsi="Times New Roman"/>
          <w:caps w:val="false"/>
          <w:smallCaps w:val="false"/>
          <w:sz w:val="20"/>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rFonts w:ascii="Times New Roman" w:hAnsi="Times New Roman"/>
          <w:caps w:val="false"/>
          <w:smallCaps w:val="false"/>
          <w:sz w:val="20"/>
          <w:u w:val="single"/>
        </w:rPr>
        <w:t>Buy-In Price</w:t>
      </w:r>
      <w:r>
        <w:rPr>
          <w:rFonts w:ascii="Times New Roman" w:hAnsi="Times New Roman"/>
          <w:caps w:val="false"/>
          <w:smallCaps w:val="false"/>
          <w:sz w:val="20"/>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 (A) such number of Ordinary Shares, times (B) the Closing Price on the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Book-Entry</w:t>
      </w:r>
      <w:r>
        <w:rPr>
          <w:rFonts w:ascii="Times New Roman" w:hAnsi="Times New Roman"/>
          <w:caps w:val="false"/>
          <w:smallCaps w:val="false"/>
          <w:sz w:val="20"/>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(c)    Limitations on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Beneficial Ownership</w:t>
      </w:r>
      <w:r>
        <w:rPr>
          <w:rFonts w:ascii="Times New Roman" w:hAnsi="Times New Roman"/>
          <w:caps w:val="false"/>
          <w:smallCaps w:val="false"/>
          <w:sz w:val="20"/>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Other Provisions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    All calculations under this Section (4) shall be rounded to the nearest $0.0001 or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Home Country Practice</w:t>
      </w:r>
      <w:r>
        <w:rPr>
          <w:rFonts w:ascii="Times New Roman" w:hAnsi="Times New Roman"/>
          <w:caps w:val="false"/>
          <w:smallCaps w:val="false"/>
          <w:sz w:val="20"/>
        </w:rPr>
        <w:t>. Prior to the date hereof, the Company has taken all actions required pursuant to Nasdaq Rule 5615(a)(3) to duly and validly rely on the exemption for foreign private issuers from applicable rules and regulations of the Nasdaq by adopting the home country practice (the “</w:t>
      </w:r>
      <w:r>
        <w:rPr>
          <w:rFonts w:ascii="Times New Roman" w:hAnsi="Times New Roman"/>
          <w:caps w:val="false"/>
          <w:smallCaps w:val="false"/>
          <w:sz w:val="20"/>
          <w:u w:val="single"/>
        </w:rPr>
        <w:t>Home Country Practice</w:t>
      </w:r>
      <w:r>
        <w:rPr>
          <w:rFonts w:ascii="Times New Roman" w:hAnsi="Times New Roman"/>
          <w:caps w:val="false"/>
          <w:smallCaps w:val="false"/>
          <w:sz w:val="20"/>
        </w:rPr>
        <w:t>”) in connection with the Ordinary Shares to be issued hereunder (including an exemption from any Nasdaq rules that would otherwise require seeking shareholder approval in respect of such Ordinary Shares). The Company may issue the relevant Conversion Shares upon conversion of this Debenture without regard to the limitations imposed by Nasdaq Rule 5635(d). So long as this Debenture is outstanding, the Company shall comply with the Home Country Practice rules and shall not take any action to change its Home Country Practice or become subject to Nasdaq Rule 5635(d). The Company’s practices in connection with the transactions contemplated hereunder are not prohibited by its home country’s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(iii)    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the Other Debentures, and the SPA Debentures) and (ii) Ordinary Shares remaining available for issuance under the Company's equity incentive plans) shall be not less than the maximum number of Ordinary Shares issuable upon conversion of this Debenture, the Other Debentures, and the SPA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rFonts w:ascii="Times New Roman" w:hAnsi="Times New Roman"/>
          <w:caps w:val="false"/>
          <w:smallCaps w:val="false"/>
          <w:sz w:val="20"/>
          <w:u w:val="single"/>
        </w:rPr>
        <w:t>Required Reserve Amount</w:t>
      </w:r>
      <w:r>
        <w:rPr>
          <w:rFonts w:ascii="Times New Roman" w:hAnsi="Times New Roman"/>
          <w:caps w:val="false"/>
          <w:smallCaps w:val="false"/>
          <w:sz w:val="20"/>
        </w:rPr>
        <w:t>”), provided that at no time shall the number of Ordinary Shares reserved pursuant to this section 4(d)(iii)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(iv)    Neither the Company nor any of its Subsidiaries will, directly or indirectly, use the proceeds of the issuance of this Debenture to repay any loans to any executives or employees of the Company or to make any payments in respect of any related party debt. Neither the Company nor any of its Subsidiaries will, directly or indirectly, use the proceeds from the transactions contemplated herein, or lend, contribute or otherwise make available such proceeds to any Subsidiary, joint venture partner or other person for the purpose of funding or facilitating any activities or business of or with any person or in any country or territory that, at the time of such funding or facilitation, is the subject of sanctions or is a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(1)    From the date hereof until this Debenture have been repaid, unless the Holder shall have given prior written consent, the Company shall not, and shall not permit any of its Subsidiaries (whether or not a Subsidiary on the date hereof) to, directly or indirectly (i) amend its charter documents, including, without limitation, its Articles of Association, in any manner that materially and adversely affects any rights of the Holder, (ii) increase the nominal value of its Ordinary Shares, (iii) make any payments in respect of any related party debt, or (iv) enter into, agree to enter into, or effect, any Variable Rate Transaction other than with the Holder. “</w:t>
      </w:r>
      <w:r>
        <w:rPr>
          <w:rFonts w:ascii="Times New Roman" w:hAnsi="Times New Roman"/>
          <w:caps w:val="false"/>
          <w:smallCaps w:val="false"/>
          <w:sz w:val="20"/>
          <w:u w:val="single"/>
        </w:rPr>
        <w:t>Variable Rate Transaction</w:t>
      </w:r>
      <w:r>
        <w:rPr>
          <w:rFonts w:ascii="Times New Roman" w:hAnsi="Times New Roman"/>
          <w:caps w:val="false"/>
          <w:smallCaps w:val="false"/>
          <w:sz w:val="20"/>
        </w:rPr>
        <w:t>” shall mean a transaction in which the Company (i) issues or sells any equity or debt securities that are convertible into, exchangeable or exercisable for, or include the right to receive additional shares of Ordinary Shares either (A) at a conversion price, exercise price, exchange rate or other price that is based upon and/or varies with the trading prices of or quotations for the Ordinary Shares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Ordinary Shares (including, without limitation, any “full ratchet” or “weighted average” anti-dilution provisions, but not including any standard anti-dilution protection for any reorganization, recapitalization, non-cash dividend, stock split or other similar transaction), or (ii) enters into any agreement, including but not limited to an “equity line of credit,” or other continuous offering or similar offering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(v)    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Legal Opinions</w:t>
      </w:r>
      <w:r>
        <w:rPr>
          <w:rFonts w:ascii="Times New Roman" w:hAnsi="Times New Roman"/>
          <w:caps w:val="false"/>
          <w:smallCaps w:val="false"/>
          <w:sz w:val="20"/>
        </w:rPr>
        <w:t>. The Company is obligated to cause its legal counsel to deliver legal opinions to the Company’s transfer agent or registrar, as may be required in connection with any legend removal upon the expiration of any holding period or other requirement for which the Underlying Shares may bear legends restricting the transfer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Adjustment of Conversion Price upon Subdivision or Combination of Ordinary Shares</w:t>
      </w:r>
      <w:r>
        <w:rPr>
          <w:rFonts w:ascii="Times New Roman" w:hAnsi="Times New Roman"/>
          <w:caps w:val="false"/>
          <w:smallCaps w:val="false"/>
          <w:sz w:val="20"/>
        </w:rPr>
        <w:t>. If the Company, at any time while this Debenture is outstanding, shall (a) pay a stock dividend or otherwise make a distribution or distributions on its Ordinary Shares or any other equity or equity equivalent securities payable in Ordinary Shares, (b) subdivide outstanding Ordinary Shares into a larger number of shares, (c) combine (including by way of reverse stock split) outstanding Ordinary Shares into a smaller number of shares, or (d) issue by reclassification of shares of the Ordinary Shares any shares of capital stock of the Company, then each of the Fixed Conversion Price and the Floor Price shall be multiplied by a fraction of which the numerator shall be the number of Ordinary Shares (excluding treasury shares, if any) outstanding before such event and of which the denominator shall be the number of Ordinary Shares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Other Corporate Events</w:t>
      </w:r>
      <w:r>
        <w:rPr>
          <w:rFonts w:ascii="Times New Roman" w:hAnsi="Times New Roman"/>
          <w:caps w:val="false"/>
          <w:smallCaps w:val="false"/>
          <w:sz w:val="20"/>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 w:hAnsi="Times New Roman"/>
          <w:caps w:val="false"/>
          <w:smallCaps w:val="false"/>
          <w:sz w:val="20"/>
          <w:u w:val="single"/>
        </w:rPr>
        <w:t>Corporate Event</w:t>
      </w:r>
      <w:r>
        <w:rPr>
          <w:rFonts w:ascii="Times New Roman" w:hAnsi="Times New Roman"/>
          <w:caps w:val="false"/>
          <w:smallCaps w:val="false"/>
          <w:sz w:val="20"/>
        </w:rPr>
        <w:t>”), the Company shall make appropriate provision to ensure that the Holder will thereafter have the right to receive upon a conversion of this Debenture,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Debenture)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Debenture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Debenture. Notwithstanding the foregoing, the Company shall have the right to pay in cash the Principal amount of this Debenture, together with interest and other amounts owing in respect thereof, immediately prior to the consummation of the Fundamental Transaction in accordance with the early redemption provisions set forth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(g)    Whenever the Conversion Price is adjusted pursuant to Section 4 hereof, the Company shall promptly provide the Holder with a written notice setting forth the Conversion Price after such adjustment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(h)    In case of any (1) merger or consolidation of the Company or any Subsidiary of the Company with or into another Person, or (2) 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Debentures were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REISSUANCE OF THIS DEBENTURE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Transfer</w:t>
      </w:r>
      <w:r>
        <w:rPr>
          <w:rFonts w:ascii="Times New Roman" w:hAnsi="Times New Roman"/>
          <w:caps w:val="false"/>
          <w:smallCaps w:val="false"/>
          <w:sz w:val="20"/>
        </w:rPr>
        <w:t>. If this Debenture is to be transferred, the Holder shall surrender this Debenture to the Company, whereupon the Company will forthwith issue and deliver upon the order of the Holder a new Debenture (in accordance with Section (7)(d)),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(7)(d)) to the Holder representing the outstanding Principal not being transferred. The Holder and any assignee, by acceptance of this Debenture, acknowledge and agree that, by reason of the provisions of Section (4)(b)(iii) following conversion or redemption of any portion of this Debenture, the outstanding Principal represented by this Debenture may be less than the Principal stated on the face of this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Lost, Stolen or Mutilated Debenture</w:t>
      </w:r>
      <w:r>
        <w:rPr>
          <w:rFonts w:ascii="Times New Roman" w:hAnsi="Times New Roman"/>
          <w:caps w:val="false"/>
          <w:smallCaps w:val="false"/>
          <w:sz w:val="20"/>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Debenture Exchangeable for Different Denominations</w:t>
      </w:r>
      <w:r>
        <w:rPr>
          <w:rFonts w:ascii="Times New Roman" w:hAnsi="Times New Roman"/>
          <w:caps w:val="false"/>
          <w:smallCaps w:val="false"/>
          <w:sz w:val="20"/>
        </w:rPr>
        <w:t>. This Debenture is exchangeable, upon the surrender hereof by the Holder at the principal office of the Company, for a new Debenture or Debentures (in accordance with Section (5)(d)) representing in the aggregate the outstanding Principal of this Debenture, and each such new Debenture will represent such portion of such outstanding Principal as is designated by the Holder at the time of such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u w:val="single"/>
        </w:rPr>
        <w:t> </w:t>
      </w:r>
      <w:r>
        <w:rPr>
          <w:rFonts w:ascii="Times New Roman" w:hAnsi="Times New Roman"/>
          <w:caps w:val="false"/>
          <w:smallCaps w:val="false"/>
          <w:sz w:val="20"/>
        </w:rPr>
        <w:t>   </w:t>
      </w:r>
      <w:r>
        <w:rPr>
          <w:rFonts w:ascii="Times New Roman" w:hAnsi="Times New Roman"/>
          <w:caps w:val="false"/>
          <w:smallCaps w:val="false"/>
          <w:sz w:val="20"/>
          <w:u w:val="single"/>
        </w:rPr>
        <w:t>Issuance of New Debentures</w:t>
      </w:r>
      <w:r>
        <w:rPr>
          <w:rFonts w:ascii="Times New Roman" w:hAnsi="Times New Roman"/>
          <w:caps w:val="false"/>
          <w:smallCaps w:val="false"/>
          <w:sz w:val="20"/>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(5)(a) or Section (5)(c),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 (v) shall represent accrued and unpaid Interest from the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NOTICES</w:t>
      </w:r>
      <w:r>
        <w:rPr>
          <w:rFonts w:ascii="Times New Roman" w:hAnsi="Times New Roman"/>
          <w:caps w:val="false"/>
          <w:smallCaps w:val="false"/>
          <w:sz w:val="20"/>
        </w:rPr>
        <w:t>.Any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 in each case, properly addressed to the party to receive the same and (B) receipt, when sent by electronic mail. The addresses and e</w:t>
        <w:softHyphen/>
        <w:t>mail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805"/>
        <w:gridCol w:w="2525"/>
      </w:tblGrid>
      <w:tr>
        <w:trPr/>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the Company, to:</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Waldmeisterstraße 76</w:t>
            </w:r>
          </w:p>
        </w:tc>
      </w:tr>
      <w:tr>
        <w:trPr/>
        <w:tc>
          <w:tcPr>
            <w:tcW w:w="180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80935 Munich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w:t>
            </w:r>
          </w:p>
        </w:tc>
      </w:tr>
      <w:tr>
        <w:trPr/>
        <w:tc>
          <w:tcPr>
            <w:tcW w:w="180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Attn: Legal Department         </w:t>
            </w:r>
          </w:p>
        </w:tc>
      </w:tr>
      <w:tr>
        <w:trPr/>
        <w:tc>
          <w:tcPr>
            <w:tcW w:w="180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legal@sonomotors.com</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985" w:type="dxa"/>
        <w:jc w:val="left"/>
        <w:tblInd w:w="0" w:type="dxa"/>
        <w:tblLayout w:type="fixed"/>
        <w:tblCellMar>
          <w:top w:w="0" w:type="dxa"/>
          <w:left w:w="0" w:type="dxa"/>
          <w:bottom w:w="0" w:type="dxa"/>
          <w:right w:w="0" w:type="dxa"/>
        </w:tblCellMar>
      </w:tblPr>
      <w:tblGrid>
        <w:gridCol w:w="4055"/>
        <w:gridCol w:w="2930"/>
      </w:tblGrid>
      <w:tr>
        <w:trPr/>
        <w:tc>
          <w:tcPr>
            <w:tcW w:w="4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tc>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Sullivan &amp; Cromwell LLP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Neue Mainzer Straße 52</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60311 Frankfurt am Main</w:t>
              <w:b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[OMITTED]</w:t>
            </w:r>
          </w:p>
        </w:tc>
      </w:tr>
      <w:tr>
        <w:trPr/>
        <w:tc>
          <w:tcPr>
            <w:tcW w:w="405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the Holder:</w:t>
            </w:r>
          </w:p>
        </w:tc>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YA II PN, Ltd</w:t>
            </w:r>
          </w:p>
        </w:tc>
      </w:tr>
      <w:tr>
        <w:trPr/>
        <w:tc>
          <w:tcPr>
            <w:tcW w:w="405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 Yorkville Advisors Global, LLC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1012 Springfield Avenue</w:t>
            </w:r>
          </w:p>
        </w:tc>
      </w:tr>
      <w:tr>
        <w:trPr/>
        <w:tc>
          <w:tcPr>
            <w:tcW w:w="405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Mountainside, NJ 07092</w:t>
            </w:r>
          </w:p>
        </w:tc>
      </w:tr>
      <w:tr>
        <w:trPr/>
        <w:tc>
          <w:tcPr>
            <w:tcW w:w="405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Attention: [OMITTED]</w:t>
            </w:r>
          </w:p>
        </w:tc>
      </w:tr>
      <w:tr>
        <w:trPr/>
        <w:tc>
          <w:tcPr>
            <w:tcW w:w="405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Telephone: [OMITTED]</w:t>
            </w:r>
          </w:p>
        </w:tc>
      </w:tr>
      <w:tr>
        <w:trPr/>
        <w:tc>
          <w:tcPr>
            <w:tcW w:w="405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Email:  [OMITTED]</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(7)    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its Subsidiaries not to, without the consent of the Holder, (i) amend its articles of association so as to materially and adversely affect any rights of the Holder; (ii) repay, repurchase or offer to repay, repurchase or otherwise acquire Ordinary Shares or other equity securities; or (iii) enter into any agreement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(8)    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CHOICE OF LAW; VENUE</w:t>
      </w:r>
      <w:r>
        <w:rPr>
          <w:rFonts w:ascii="Times New Roman" w:hAnsi="Times New Roman"/>
          <w:caps w:val="false"/>
          <w:smallCaps w:val="false"/>
          <w:sz w:val="20"/>
        </w:rPr>
        <w:t>. This Debenture shall be governed by and construed in accordance with the laws of the State of New York, without giving 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    If the Company fails to materially comply with the terms of this Debenture, then, to the extent reasonably incurred and documented, the Company shall reimburse the Holder for all fees, costs and expenses, including, without limitation, attorneys’ fees and expenses incurred by the Holder in any action in connection with this Debenture,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(11)    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(12)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(13)    Whenever any payment or other obligation hereunder shall be due on a day other than a Business Day, such payment shall be made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CERTAIN DEFINITIONS.</w:t>
      </w:r>
      <w:r>
        <w:rPr>
          <w:rFonts w:ascii="Times New Roman" w:hAnsi="Times New Roman"/>
          <w:caps w:val="false"/>
          <w:smallCaps w:val="false"/>
          <w:sz w:val="20"/>
        </w:rPr>
        <w:t xml:space="preserve"> For purposes of this Debenture,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Bloomberg</w:t>
      </w:r>
      <w:r>
        <w:rPr>
          <w:rFonts w:ascii="Times New Roman" w:hAnsi="Times New Roman"/>
          <w:caps w:val="false"/>
          <w:smallCaps w:val="false"/>
          <w:sz w:val="20"/>
        </w:rPr>
        <w:t>” means Bloomberg Financial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except Saturday, Sunday and any day which shall be a federal legal holiday in the United States or a day on which banking institutions are authorized or required by law or other government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Change of Control Transaction</w:t>
      </w:r>
      <w:r>
        <w:rPr>
          <w:rFonts w:ascii="Times New Roman" w:hAnsi="Times New Roman"/>
          <w:caps w:val="false"/>
          <w:smallCaps w:val="false"/>
          <w:sz w:val="20"/>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 For the avoidance of doubt, changes to the management board and/or supervisory board of the Company as contemplated by the Company and the Holder in connection with this Debenture, the Transaction Documents and the transactions being entered into in connection therewith shall not be deemed a Change of Control Transaction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Closing Price</w:t>
      </w:r>
      <w:r>
        <w:rPr>
          <w:rFonts w:ascii="Times New Roman" w:hAnsi="Times New Roman"/>
          <w:caps w:val="false"/>
          <w:smallCaps w:val="false"/>
          <w:sz w:val="20"/>
        </w:rPr>
        <w:t>” means the price per share in the last reported trade of the Ordinary Shares on a Primary Market or on the exchange or over-the-counter market on which the Ordinary Shares is then listed as quoted by Bloomberg.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Commission</w:t>
      </w:r>
      <w:r>
        <w:rPr>
          <w:rFonts w:ascii="Times New Roman" w:hAnsi="Times New Roman"/>
          <w:caps w:val="false"/>
          <w:smallCaps w:val="false"/>
          <w:sz w:val="20"/>
        </w:rPr>
        <w:t>” means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Floor Price</w:t>
      </w:r>
      <w:r>
        <w:rPr>
          <w:rFonts w:ascii="Times New Roman" w:hAnsi="Times New Roman"/>
          <w:caps w:val="false"/>
          <w:smallCaps w:val="false"/>
          <w:sz w:val="20"/>
        </w:rPr>
        <w:t>” solely with respect to the Variable Conversion Price, shall mean a price per share equal to 20% of the Closing Price on the Trading Day immediately prior to the Issuance Date of this Debenture provided, however, that if the Ordinary Shares are not listed or traded on Nasdaq, then no Floor Price shall be in effect. Notwithstanding the foregoing, the Company may reduce the Floor Price to any amounts set forth in a written notice to the Holder; provided that such reduction shall be irrevocable and shall not be subject to increase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Fundamental Transaction</w:t>
      </w:r>
      <w:r>
        <w:rPr>
          <w:rFonts w:ascii="Times New Roman" w:hAnsi="Times New Roman"/>
          <w:caps w:val="false"/>
          <w:smallCaps w:val="false"/>
          <w:sz w:val="20"/>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Funding Conditions</w:t>
      </w:r>
      <w:r>
        <w:rPr>
          <w:rFonts w:ascii="Times New Roman" w:hAnsi="Times New Roman"/>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    A copy of the constitutional documents of the Company shall have been provided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(ii)    A copy of a resolution of the board [or, if applicable, a committee of the board] of directors of the Company shall have been provided to the Holder approving the terms of, and the transactions contemplated by, the Funding Letter, this Debenture, and any other documents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(iii)    The execution of this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(iv)    A legal opinion of [*****], legal advisers to the Company, as regards the capacity, due incorporation or establishment, valid existence, due authorisation and power of, and the due execution of Funding Letter and this Debenture substantially in the form distributed to the Holder prior to signing of the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(v)    The Company shall have disclosed all material, non</w:t>
        <w:softHyphen/>
        <w:t>public information (if any) provided to the Holder by the Company or any of its Subsidiaries or any of their respective officers, directors, employees or agents with respect to the Company or its Subsidiaries which has not previously been publicly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Obligations</w:t>
      </w:r>
      <w:r>
        <w:rPr>
          <w:rFonts w:ascii="Times New Roman" w:hAnsi="Times New Roman"/>
          <w:caps w:val="false"/>
          <w:smallCaps w:val="false"/>
          <w:sz w:val="20"/>
        </w:rPr>
        <w:t>” means all of the Company’s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to the Holder at any time, including future advances, protective advances and other financial accommodations, (b) any obligations, indebtedness or liabilities of the Company to the Holder under any Transaction Document at any time, and (c) any of the foregoing that may have been, or that may be, acquired by the Holder from any third party, the Company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Ordinary Shares</w:t>
      </w:r>
      <w:r>
        <w:rPr>
          <w:rFonts w:ascii="Times New Roman" w:hAnsi="Times New Roman"/>
          <w:caps w:val="false"/>
          <w:smallCaps w:val="false"/>
          <w:sz w:val="20"/>
        </w:rPr>
        <w:t>” means the Ordinary Shares, nominal value €0.06, of the Company and shares of any other class into which such shares may hereafter be changed or reclassified.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Other Debentures</w:t>
      </w:r>
      <w:r>
        <w:rPr>
          <w:rFonts w:ascii="Times New Roman" w:hAnsi="Times New Roman"/>
          <w:caps w:val="false"/>
          <w:smallCaps w:val="false"/>
          <w:sz w:val="20"/>
        </w:rPr>
        <w:t>” means any debentures issued pursuant to the Commitment Letter (other than this Debenture) and any other debentures, notes, or other instruments issued in exchange, replacement, or modification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Periodic Reports</w:t>
      </w:r>
      <w:r>
        <w:rPr>
          <w:rFonts w:ascii="Times New Roman" w:hAnsi="Times New Roman"/>
          <w:caps w:val="false"/>
          <w:smallCaps w:val="false"/>
          <w:sz w:val="20"/>
        </w:rPr>
        <w:t>” shall mean all of the Company’s reports required to be filed by the Company with the Commission under applicable laws and regulations (including, without limitation, Regulation S-K), including annual reports (on Form 20-F), semiannual reports (on Form 6-K), and current reports (on Form 6-K), for so long as any amounts are outstanding under this Debenture or any Other Debenture; provided that all such Periodic Reports shall include, when filed, all information, financial statements, audit reports (when applicable) and other information required to be included in such Periodic Reports in compliance with all applicable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Person</w:t>
      </w:r>
      <w:r>
        <w:rPr>
          <w:rFonts w:ascii="Times New Roman" w:hAnsi="Times New Roman"/>
          <w:caps w:val="false"/>
          <w:smallCaps w:val="false"/>
          <w:sz w:val="20"/>
        </w:rPr>
        <w:t>” means a corporation, an association, a partnership, organization, a business, an individual, a government or political subdivision thereof or a governmental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Primary Market</w:t>
      </w:r>
      <w:r>
        <w:rPr>
          <w:rFonts w:ascii="Times New Roman" w:hAnsi="Times New Roman"/>
          <w:caps w:val="false"/>
          <w:smallCaps w:val="false"/>
          <w:sz w:val="20"/>
        </w:rPr>
        <w:t>” means any of The New York Stock Exchange, the Nasdaq Global Market or the Nasdaq Global Select Market, and any successor to any of the foregoing markets or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Redemption Premium</w:t>
      </w:r>
      <w:r>
        <w:rPr>
          <w:rFonts w:ascii="Times New Roman" w:hAnsi="Times New Roman"/>
          <w:caps w:val="false"/>
          <w:smallCaps w:val="false"/>
          <w:sz w:val="20"/>
        </w:rPr>
        <w:t>” means four percent (4%) of the Principal amount being redeemed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SPA Debentures</w:t>
      </w:r>
      <w:r>
        <w:rPr>
          <w:rFonts w:ascii="Times New Roman" w:hAnsi="Times New Roman"/>
          <w:caps w:val="false"/>
          <w:smallCaps w:val="false"/>
          <w:sz w:val="20"/>
        </w:rPr>
        <w:t>” means any outstanding convertible debenture issued to the Holder pursuant to the securities purchase agreement (the “</w:t>
      </w:r>
      <w:r>
        <w:rPr>
          <w:rFonts w:ascii="Times New Roman" w:hAnsi="Times New Roman"/>
          <w:caps w:val="false"/>
          <w:smallCaps w:val="false"/>
          <w:sz w:val="20"/>
          <w:u w:val="single"/>
        </w:rPr>
        <w:t>December SPA</w:t>
      </w:r>
      <w:r>
        <w:rPr>
          <w:rFonts w:ascii="Times New Roman" w:hAnsi="Times New Roman"/>
          <w:caps w:val="false"/>
          <w:smallCaps w:val="false"/>
          <w:sz w:val="20"/>
        </w:rPr>
        <w:t>”) between the Company and the Holder dated December 7,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Subsidiary</w:t>
      </w:r>
      <w:r>
        <w:rPr>
          <w:rFonts w:ascii="Times New Roman" w:hAnsi="Times New Roman"/>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caps w:val="false"/>
          <w:smallCaps w:val="false"/>
          <w:sz w:val="20"/>
          <w:u w:val="single"/>
        </w:rPr>
        <w:t>Trading Day</w:t>
      </w:r>
      <w:r>
        <w:rPr>
          <w:rFonts w:ascii="Times New Roman" w:hAnsi="Times New Roman"/>
          <w:caps w:val="false"/>
          <w:smallCaps w:val="false"/>
          <w:sz w:val="20"/>
        </w:rPr>
        <w:t>” means a day on which the Ordinary Shares are quoted or traded on a Primary Market on which the Ordinary Shares are then quoted or listed; provided, that in the event that the Ordinary Shares are not listed or quoted, then Trading Day shall mean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caps w:val="false"/>
          <w:smallCaps w:val="false"/>
          <w:sz w:val="20"/>
          <w:u w:val="single"/>
        </w:rPr>
        <w:t>Transaction Document</w:t>
      </w:r>
      <w:r>
        <w:rPr>
          <w:rFonts w:ascii="Times New Roman" w:hAnsi="Times New Roman"/>
          <w:caps w:val="false"/>
          <w:smallCaps w:val="false"/>
          <w:sz w:val="20"/>
        </w:rPr>
        <w:t>” means, each of, the Other Debentures, the Commitment Letter and any and all documents, agreements, instruments or other items executed or delivered in connection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Underlying Shares</w:t>
      </w:r>
      <w:r>
        <w:rPr>
          <w:rFonts w:ascii="Times New Roman" w:hAnsi="Times New Roman"/>
          <w:caps w:val="false"/>
          <w:smallCaps w:val="false"/>
          <w:sz w:val="20"/>
        </w:rPr>
        <w:t>” means the Ordinary Shares issuable upon conversion of this Debenture or as payment of interest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caps w:val="false"/>
          <w:smallCaps w:val="false"/>
          <w:sz w:val="20"/>
          <w:u w:val="single"/>
        </w:rPr>
        <w:t>VWAP</w:t>
      </w:r>
      <w:r>
        <w:rPr>
          <w:rFonts w:ascii="Times New Roman" w:hAnsi="Times New Roman"/>
          <w:caps w:val="false"/>
          <w:smallCaps w:val="false"/>
          <w:sz w:val="20"/>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Company has caused this Convertible Debenture to be duly executed by a duly authorized officer as of the date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10" w:type="dxa"/>
        <w:jc w:val="left"/>
        <w:tblInd w:w="0" w:type="dxa"/>
        <w:tblLayout w:type="fixed"/>
        <w:tblCellMar>
          <w:top w:w="0" w:type="dxa"/>
          <w:left w:w="0" w:type="dxa"/>
          <w:bottom w:w="0" w:type="dxa"/>
          <w:right w:w="0" w:type="dxa"/>
        </w:tblCellMar>
      </w:tblPr>
      <w:tblGrid>
        <w:gridCol w:w="60"/>
        <w:gridCol w:w="2750"/>
      </w:tblGrid>
      <w:tr>
        <w:trPr/>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COMPANY:</w:t>
            </w:r>
          </w:p>
        </w:tc>
      </w:tr>
      <w:tr>
        <w:trPr/>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SONO GROUP N.V.</w:t>
            </w:r>
          </w:p>
        </w:tc>
      </w:tr>
      <w:tr>
        <w:trPr/>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p>
        </w:tc>
      </w:tr>
      <w:tr>
        <w:trPr/>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p>
        </w:tc>
      </w:tr>
      <w:tr>
        <w:trPr/>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r>
      <w:tr>
        <w:trPr/>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p>
        </w:tc>
      </w:tr>
      <w:tr>
        <w:trPr/>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p>
        </w:tc>
      </w:tr>
      <w:tr>
        <w:trPr/>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r>
      <w:tr>
        <w:trPr/>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EXHIBIT I</w:t>
      </w:r>
      <w:r>
        <w:rPr>
          <w:rFonts w:ascii="Times New Roman" w:hAnsi="Times New Roman"/>
          <w:caps w:val="false"/>
          <w:smallCaps w:val="false"/>
          <w:sz w:val="20"/>
        </w:rPr>
        <w:br/>
      </w:r>
      <w:r>
        <w:rPr>
          <w:rFonts w:ascii="Times New Roman" w:hAnsi="Times New Roman"/>
          <w:b/>
          <w:caps w:val="false"/>
          <w:smallCaps w:val="false"/>
          <w:sz w:val="20"/>
          <w:u w:val="single"/>
        </w:rPr>
        <w:t>CONVERSION NOTICE</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(To be executed by the Holder in order to Convert the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TO: 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Via 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undersigned hereby irrevocably elects to convert a portion of the outstanding and unpaid Conversion Amount of Debenture No. SEV-[4] into Ordinary Shares of </w:t>
      </w:r>
      <w:r>
        <w:rPr>
          <w:rFonts w:ascii="Times New Roman" w:hAnsi="Times New Roman"/>
          <w:b/>
          <w:caps w:val="false"/>
          <w:smallCaps w:val="false"/>
          <w:sz w:val="20"/>
        </w:rPr>
        <w:t>SONO GROUP N.V.</w:t>
      </w:r>
      <w:r>
        <w:rPr>
          <w:rFonts w:ascii="Times New Roman" w:hAnsi="Times New Roman"/>
          <w:caps w:val="false"/>
          <w:smallCaps w:val="false"/>
          <w:sz w:val="20"/>
        </w:rPr>
        <w:t>, according to the conditions stated therein, as of the Conversion Date written below.</w:t>
      </w:r>
    </w:p>
    <w:p>
      <w:pPr>
        <w:pStyle w:val="TextBody"/>
        <w:bidi w:val="0"/>
        <w:spacing w:before="0" w:after="0"/>
        <w:ind w:left="0" w:right="0" w:hanging="0"/>
        <w:jc w:val="left"/>
        <w:rPr>
          <w:caps w:val="false"/>
          <w:smallCaps w:val="false"/>
        </w:rPr>
      </w:pPr>
      <w:r>
        <w:rPr>
          <w:caps w:val="false"/>
          <w:smallCaps w:val="false"/>
        </w:rPr>
        <w:t> </w:t>
      </w:r>
    </w:p>
    <w:tbl>
      <w:tblPr>
        <w:tblW w:w="9523" w:type="dxa"/>
        <w:jc w:val="left"/>
        <w:tblInd w:w="0" w:type="dxa"/>
        <w:tblLayout w:type="fixed"/>
        <w:tblCellMar>
          <w:top w:w="0" w:type="dxa"/>
          <w:left w:w="0" w:type="dxa"/>
          <w:bottom w:w="0" w:type="dxa"/>
          <w:right w:w="0" w:type="dxa"/>
        </w:tblCellMar>
      </w:tblPr>
      <w:tblGrid>
        <w:gridCol w:w="8023"/>
        <w:gridCol w:w="415"/>
        <w:gridCol w:w="1085"/>
      </w:tblGrid>
      <w:tr>
        <w:trPr/>
        <w:tc>
          <w:tcPr>
            <w:tcW w:w="8023" w:type="dxa"/>
            <w:tcBorders/>
            <w:vAlign w:val="center"/>
          </w:tcPr>
          <w:p>
            <w:pPr>
              <w:pStyle w:val="TableContents"/>
              <w:bidi w:val="0"/>
              <w:spacing w:before="0" w:after="283"/>
              <w:jc w:val="left"/>
              <w:rPr/>
            </w:pPr>
            <w:r>
              <w:rPr/>
              <w:t> </w:t>
            </w:r>
          </w:p>
        </w:tc>
        <w:tc>
          <w:tcPr>
            <w:tcW w:w="1500" w:type="dxa"/>
            <w:gridSpan w:val="2"/>
            <w:tcBorders/>
            <w:vAlign w:val="center"/>
          </w:tcPr>
          <w:p>
            <w:pPr>
              <w:pStyle w:val="TableContents"/>
              <w:bidi w:val="0"/>
              <w:spacing w:before="0" w:after="283"/>
              <w:jc w:val="left"/>
              <w:rPr/>
            </w:pPr>
            <w:r>
              <w:rPr/>
              <w:t> </w:t>
            </w:r>
          </w:p>
        </w:tc>
      </w:tr>
      <w:tr>
        <w:trPr/>
        <w:tc>
          <w:tcPr>
            <w:tcW w:w="8438"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Conversion Date:</w:t>
            </w:r>
          </w:p>
        </w:tc>
        <w:tc>
          <w:tcPr>
            <w:tcW w:w="1085" w:type="dxa"/>
            <w:tcBorders/>
            <w:vAlign w:val="center"/>
          </w:tcPr>
          <w:p>
            <w:pPr>
              <w:pStyle w:val="TableContents"/>
              <w:bidi w:val="0"/>
              <w:spacing w:before="0" w:after="283"/>
              <w:jc w:val="left"/>
              <w:rPr/>
            </w:pPr>
            <w:r>
              <w:rPr/>
              <w:t> </w:t>
            </w:r>
          </w:p>
        </w:tc>
      </w:tr>
      <w:tr>
        <w:trPr/>
        <w:tc>
          <w:tcPr>
            <w:tcW w:w="8438"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Amount to be Converted:</w:t>
            </w:r>
          </w:p>
        </w:tc>
        <w:tc>
          <w:tcPr>
            <w:tcW w:w="1085" w:type="dxa"/>
            <w:tcBorders/>
            <w:vAlign w:val="center"/>
          </w:tcPr>
          <w:p>
            <w:pPr>
              <w:pStyle w:val="TableContents"/>
              <w:bidi w:val="0"/>
              <w:spacing w:before="0" w:after="283"/>
              <w:jc w:val="left"/>
              <w:rPr/>
            </w:pPr>
            <w:r>
              <w:rPr/>
              <w:t> </w:t>
            </w:r>
          </w:p>
        </w:tc>
      </w:tr>
      <w:tr>
        <w:trPr/>
        <w:tc>
          <w:tcPr>
            <w:tcW w:w="8438"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Accrued Interest to be Converted:</w:t>
            </w:r>
          </w:p>
        </w:tc>
        <w:tc>
          <w:tcPr>
            <w:tcW w:w="1085" w:type="dxa"/>
            <w:tcBorders/>
            <w:vAlign w:val="center"/>
          </w:tcPr>
          <w:p>
            <w:pPr>
              <w:pStyle w:val="TableContents"/>
              <w:bidi w:val="0"/>
              <w:spacing w:before="0" w:after="283"/>
              <w:jc w:val="left"/>
              <w:rPr/>
            </w:pPr>
            <w:r>
              <w:rPr/>
              <w:t> </w:t>
            </w:r>
          </w:p>
        </w:tc>
      </w:tr>
      <w:tr>
        <w:trPr/>
        <w:tc>
          <w:tcPr>
            <w:tcW w:w="8438"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Conversion Amount to be converted:</w:t>
            </w:r>
          </w:p>
        </w:tc>
        <w:tc>
          <w:tcPr>
            <w:tcW w:w="1085" w:type="dxa"/>
            <w:tcBorders/>
            <w:vAlign w:val="center"/>
          </w:tcPr>
          <w:p>
            <w:pPr>
              <w:pStyle w:val="TableContents"/>
              <w:bidi w:val="0"/>
              <w:spacing w:before="0" w:after="283"/>
              <w:jc w:val="left"/>
              <w:rPr/>
            </w:pPr>
            <w:r>
              <w:rPr/>
              <w:t> </w:t>
            </w:r>
          </w:p>
        </w:tc>
      </w:tr>
      <w:tr>
        <w:trPr/>
        <w:tc>
          <w:tcPr>
            <w:tcW w:w="8438"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Fixed Conversion Price: </w:t>
            </w:r>
          </w:p>
        </w:tc>
        <w:tc>
          <w:tcPr>
            <w:tcW w:w="1085" w:type="dxa"/>
            <w:tcBorders/>
            <w:vAlign w:val="center"/>
          </w:tcPr>
          <w:p>
            <w:pPr>
              <w:pStyle w:val="TableContents"/>
              <w:bidi w:val="0"/>
              <w:spacing w:before="0" w:after="283"/>
              <w:jc w:val="left"/>
              <w:rPr/>
            </w:pPr>
            <w:r>
              <w:rPr/>
              <w:t> </w:t>
            </w:r>
          </w:p>
        </w:tc>
      </w:tr>
      <w:tr>
        <w:trPr/>
        <w:tc>
          <w:tcPr>
            <w:tcW w:w="8438"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Variable Conversion Price:</w:t>
            </w:r>
          </w:p>
        </w:tc>
        <w:tc>
          <w:tcPr>
            <w:tcW w:w="1085" w:type="dxa"/>
            <w:tcBorders/>
            <w:vAlign w:val="center"/>
          </w:tcPr>
          <w:p>
            <w:pPr>
              <w:pStyle w:val="TableContents"/>
              <w:bidi w:val="0"/>
              <w:spacing w:before="0" w:after="283"/>
              <w:jc w:val="left"/>
              <w:rPr/>
            </w:pPr>
            <w:r>
              <w:rPr/>
              <w:t> </w:t>
            </w:r>
          </w:p>
        </w:tc>
      </w:tr>
      <w:tr>
        <w:trPr/>
        <w:tc>
          <w:tcPr>
            <w:tcW w:w="8438"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Applicable Conversion Price:</w:t>
            </w:r>
          </w:p>
        </w:tc>
        <w:tc>
          <w:tcPr>
            <w:tcW w:w="1085" w:type="dxa"/>
            <w:tcBorders/>
            <w:vAlign w:val="center"/>
          </w:tcPr>
          <w:p>
            <w:pPr>
              <w:pStyle w:val="TableContents"/>
              <w:bidi w:val="0"/>
              <w:spacing w:before="0" w:after="283"/>
              <w:jc w:val="left"/>
              <w:rPr/>
            </w:pPr>
            <w:r>
              <w:rPr/>
              <w:t> </w:t>
            </w:r>
          </w:p>
        </w:tc>
      </w:tr>
      <w:tr>
        <w:trPr/>
        <w:tc>
          <w:tcPr>
            <w:tcW w:w="8438"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Ordinary Shares to be issued:</w:t>
            </w:r>
          </w:p>
        </w:tc>
        <w:tc>
          <w:tcPr>
            <w:tcW w:w="1085" w:type="dxa"/>
            <w:tcBorders/>
            <w:vAlign w:val="center"/>
          </w:tcPr>
          <w:p>
            <w:pPr>
              <w:pStyle w:val="TableContents"/>
              <w:bidi w:val="0"/>
              <w:spacing w:before="0" w:after="283"/>
              <w:jc w:val="left"/>
              <w:rPr/>
            </w:pPr>
            <w:r>
              <w:rPr/>
              <w:t> </w:t>
            </w:r>
          </w:p>
        </w:tc>
      </w:tr>
      <w:tr>
        <w:trPr/>
        <w:tc>
          <w:tcPr>
            <w:tcW w:w="8023" w:type="dxa"/>
            <w:tcBorders/>
            <w:vAlign w:val="center"/>
          </w:tcPr>
          <w:p>
            <w:pPr>
              <w:pStyle w:val="TableContents"/>
              <w:bidi w:val="0"/>
              <w:spacing w:before="0" w:after="283"/>
              <w:jc w:val="left"/>
              <w:rPr/>
            </w:pPr>
            <w:r>
              <w:rPr/>
              <w:t> </w:t>
            </w:r>
          </w:p>
        </w:tc>
        <w:tc>
          <w:tcPr>
            <w:tcW w:w="1500" w:type="dxa"/>
            <w:gridSpan w:val="2"/>
            <w:tcBorders/>
            <w:vAlign w:val="center"/>
          </w:tcPr>
          <w:p>
            <w:pPr>
              <w:pStyle w:val="TableContents"/>
              <w:bidi w:val="0"/>
              <w:spacing w:before="0" w:after="283"/>
              <w:jc w:val="left"/>
              <w:rPr/>
            </w:pPr>
            <w:r>
              <w:rPr/>
              <w:t> </w:t>
            </w:r>
          </w:p>
        </w:tc>
      </w:tr>
      <w:tr>
        <w:trPr/>
        <w:tc>
          <w:tcPr>
            <w:tcW w:w="9523"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Please issue the Ordinary Shares in the following name and deliver them to the following account:</w:t>
            </w:r>
          </w:p>
        </w:tc>
      </w:tr>
      <w:tr>
        <w:trPr/>
        <w:tc>
          <w:tcPr>
            <w:tcW w:w="802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 to:</w:t>
            </w:r>
          </w:p>
        </w:tc>
        <w:tc>
          <w:tcPr>
            <w:tcW w:w="15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02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Broker DTC Participant Code:</w:t>
            </w:r>
          </w:p>
        </w:tc>
        <w:tc>
          <w:tcPr>
            <w:tcW w:w="15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02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 Number:</w:t>
            </w:r>
          </w:p>
        </w:tc>
        <w:tc>
          <w:tcPr>
            <w:tcW w:w="15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023" w:type="dxa"/>
            <w:tcBorders/>
            <w:vAlign w:val="center"/>
          </w:tcPr>
          <w:p>
            <w:pPr>
              <w:pStyle w:val="TableContents"/>
              <w:bidi w:val="0"/>
              <w:spacing w:before="0" w:after="283"/>
              <w:jc w:val="left"/>
              <w:rPr/>
            </w:pPr>
            <w:r>
              <w:rPr/>
              <w:t> </w:t>
            </w:r>
          </w:p>
        </w:tc>
        <w:tc>
          <w:tcPr>
            <w:tcW w:w="1500" w:type="dxa"/>
            <w:gridSpan w:val="2"/>
            <w:tcBorders/>
            <w:vAlign w:val="center"/>
          </w:tcPr>
          <w:p>
            <w:pPr>
              <w:pStyle w:val="TableContents"/>
              <w:bidi w:val="0"/>
              <w:spacing w:before="0" w:after="283"/>
              <w:jc w:val="left"/>
              <w:rPr/>
            </w:pPr>
            <w:r>
              <w:rPr/>
              <w:t> </w:t>
            </w:r>
          </w:p>
        </w:tc>
      </w:tr>
      <w:tr>
        <w:trPr/>
        <w:tc>
          <w:tcPr>
            <w:tcW w:w="802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Authorized Signature:</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02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802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 4    Termination Events</w:t>
      </w:r>
    </w:p>
    <w:p>
      <w:pPr>
        <w:pStyle w:val="TextBody"/>
        <w:bidi w:val="0"/>
        <w:spacing w:before="0" w:after="0"/>
        <w:ind w:left="0" w:right="0" w:hanging="0"/>
        <w:jc w:val="left"/>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60"/>
        <w:gridCol w:w="125"/>
        <w:gridCol w:w="6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Budget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calculation, assumption or statement made under or in connection with the Budget proves to have been incorrect or misleading in any material respect and, as a consequence, the Budget is exceeded.</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60"/>
        <w:gridCol w:w="275"/>
        <w:gridCol w:w="86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8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Lender and the Company cannot agree on an adjustment to the Budget in accordance with Section 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breach of its information covenant of Section 2.5 and such breach has not been rectified by the Company within ten Business Days after a corresponding request in written form (email sufficient) by the Lender.</w:t>
            </w:r>
          </w:p>
        </w:tc>
      </w:tr>
    </w:tbl>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60"/>
        <w:gridCol w:w="125"/>
        <w:gridCol w:w="89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Debenture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pending event of default under clause (3) (</w:t>
            </w:r>
            <w:r>
              <w:rPr>
                <w:rFonts w:ascii="Times New Roman" w:hAnsi="Times New Roman"/>
                <w:i/>
                <w:caps w:val="false"/>
                <w:smallCaps w:val="false"/>
                <w:sz w:val="20"/>
              </w:rPr>
              <w:t>Events of Default</w:t>
            </w:r>
            <w:r>
              <w:rPr>
                <w:rFonts w:ascii="Times New Roman" w:hAnsi="Times New Roman"/>
                <w:caps w:val="false"/>
                <w:smallCaps w:val="false"/>
                <w:sz w:val="20"/>
              </w:rPr>
              <w:t>) under the Existing Convertible Debenture (as defined in the Restructuring Agreement) occurring from events that have occurred in the period prior to the Closing shall herewith be waived and shall not constitute an event of default under clause (3) (</w:t>
            </w:r>
            <w:r>
              <w:rPr>
                <w:rFonts w:ascii="Times New Roman" w:hAnsi="Times New Roman"/>
                <w:i/>
                <w:caps w:val="false"/>
                <w:smallCaps w:val="false"/>
                <w:sz w:val="20"/>
              </w:rPr>
              <w:t>Events of Default</w:t>
            </w:r>
            <w:r>
              <w:rPr>
                <w:rFonts w:ascii="Times New Roman" w:hAnsi="Times New Roman"/>
                <w:caps w:val="false"/>
                <w:smallCaps w:val="false"/>
                <w:sz w:val="20"/>
              </w:rPr>
              <w:t>) under any New Debenture.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2.1, above, any event of default under clause (3) (</w:t>
            </w:r>
            <w:r>
              <w:rPr>
                <w:rFonts w:ascii="Times New Roman" w:hAnsi="Times New Roman"/>
                <w:i/>
                <w:caps w:val="false"/>
                <w:smallCaps w:val="false"/>
                <w:sz w:val="20"/>
              </w:rPr>
              <w:t>Events of Default</w:t>
            </w:r>
            <w:r>
              <w:rPr>
                <w:rFonts w:ascii="Times New Roman" w:hAnsi="Times New Roman"/>
                <w:caps w:val="false"/>
                <w:smallCaps w:val="false"/>
                <w:sz w:val="20"/>
              </w:rPr>
              <w:t>) of a New Debenture shall constitute a Termination Event.</w:t>
            </w:r>
          </w:p>
        </w:tc>
      </w:tr>
    </w:tbl>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125"/>
        <w:gridCol w:w="150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5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or the German OpCo does not comply with any other provision of the Debt Documents and such non-compliance is material and has not been rectified by the Company within ten Business Days after a corresponding request in written form (email sufficient) by the Lender.</w:t>
      </w:r>
    </w:p>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60"/>
        <w:gridCol w:w="125"/>
        <w:gridCol w:w="93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Insolvency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or German OpCo (other than in, or in connection with, the (preliminary) insolvency proceedings regarding the Company and/or, as the case may be, German OpCo at the date of this Letter, the Restructuring Agreement and/or the Continuation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60"/>
        <w:gridCol w:w="230"/>
        <w:gridCol w:w="49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4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 unable or admits inability to pay its debts as they fall due;</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245"/>
        <w:gridCol w:w="40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4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suspends making payments on any of its debts;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reason of actual or anticipated financial difficulties, commences negotiations with one or more of its creditors (excluding any finance party in its capacity as such) with a view to rescheduling any of its indebtedness.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entity incorporated in Germany is unable to pay its debts as they fall due (</w:t>
            </w:r>
            <w:r>
              <w:rPr>
                <w:rFonts w:ascii="Times New Roman" w:hAnsi="Times New Roman"/>
                <w:i/>
                <w:caps w:val="false"/>
                <w:smallCaps w:val="false"/>
                <w:sz w:val="20"/>
              </w:rPr>
              <w:t>zahlungsunf</w:t>
            </w:r>
            <w:r>
              <w:rPr>
                <w:rFonts w:ascii="Times New Roman" w:hAnsi="Times New Roman"/>
                <w:caps w:val="false"/>
                <w:smallCaps w:val="false"/>
                <w:sz w:val="20"/>
              </w:rPr>
              <w:t>ä</w:t>
            </w:r>
            <w:r>
              <w:rPr>
                <w:rFonts w:ascii="Times New Roman" w:hAnsi="Times New Roman"/>
                <w:i/>
                <w:caps w:val="false"/>
                <w:smallCaps w:val="false"/>
                <w:sz w:val="20"/>
              </w:rPr>
              <w:t>hig</w:t>
            </w:r>
            <w:r>
              <w:rPr>
                <w:rFonts w:ascii="Times New Roman" w:hAnsi="Times New Roman"/>
                <w:caps w:val="false"/>
                <w:smallCaps w:val="false"/>
                <w:sz w:val="20"/>
              </w:rPr>
              <w:t>) within the meaning of section 17 of the German Insolvency Code (</w:t>
            </w:r>
            <w:r>
              <w:rPr>
                <w:rFonts w:ascii="Times New Roman" w:hAnsi="Times New Roman"/>
                <w:i/>
                <w:caps w:val="false"/>
                <w:smallCaps w:val="false"/>
                <w:sz w:val="20"/>
              </w:rPr>
              <w:t>Insolvenzordnung</w:t>
            </w:r>
            <w:r>
              <w:rPr>
                <w:rFonts w:ascii="Times New Roman" w:hAnsi="Times New Roman"/>
                <w:caps w:val="false"/>
                <w:smallCaps w:val="false"/>
                <w:sz w:val="20"/>
              </w:rPr>
              <w:t>) or is overindebted within the meaning of section 19 of the Germany Insolvency Code (</w:t>
            </w:r>
            <w:r>
              <w:rPr>
                <w:rFonts w:ascii="Times New Roman" w:hAnsi="Times New Roman"/>
                <w:i/>
                <w:caps w:val="false"/>
                <w:smallCaps w:val="false"/>
                <w:sz w:val="20"/>
              </w:rPr>
              <w:t>Insolvenzordnung</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0"/>
        <w:gridCol w:w="125"/>
        <w:gridCol w:w="200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20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Insolvency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Any corporate action, legal proceedings or other procedure or step (other than in, or in connection with, the (preliminary) insolvency proceedings regarding the Company and/or, as the case may be, German OpCo at the date of this Letter, the Restructuring Agreement and/or the Continuation Agreement) is taken in relation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535"/>
      </w:tblGrid>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Funding Commitment Letter | DEM/20417844.12</w:t>
            </w:r>
          </w:p>
        </w:tc>
      </w:tr>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 14708564.4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suspension of payments, a moratorium of any indebtedness, winding-up, dissolution, administration or reorganisation (by way of voluntary arrangement, scheme of arrangement or otherwise) of the Company or German OpCo;</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245"/>
        <w:gridCol w:w="87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8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composition, compromise, assignment or arrangement with any creditor of the Company or German OpCo;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appointment of a liquidator, receiver, administrative receiver, administrator, compulsory manager or other similar officer in respect of the Company or German OpCo; or</w:t>
            </w:r>
          </w:p>
        </w:tc>
      </w:tr>
    </w:tbl>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60"/>
        <w:gridCol w:w="245"/>
        <w:gridCol w:w="66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6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enforcement of any Security over any assets of the Company or German OpCo,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or any analogous procedure or step is taken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This paragraph 8 shall not apply to any winding-up petition which is frivolous or vexatious and is discharged, stayed or dismissed within twenty Business Days of commencement.</w:t>
      </w:r>
    </w:p>
    <w:p>
      <w:pPr>
        <w:pStyle w:val="TextBody"/>
        <w:bidi w:val="0"/>
        <w:spacing w:before="0" w:after="0"/>
        <w:ind w:left="0" w:right="0" w:hanging="0"/>
        <w:jc w:val="left"/>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60"/>
        <w:gridCol w:w="125"/>
        <w:gridCol w:w="113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113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Unlawfulness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It is or becomes unlawful for the Company to perform any of its obligations under the Debt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535"/>
      </w:tblGrid>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Funding Commitment Letter | DEM/20417844.12</w:t>
            </w:r>
          </w:p>
        </w:tc>
      </w:tr>
      <w:tr>
        <w:trPr/>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 14708564.4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 w:hAnsi="Times New Roman"/>
          <w:sz w:val="20"/>
        </w:rPr>
      </w:pPr>
      <w:r>
        <w:rPr>
          <w:rFonts w:ascii="Times New Roman" w:hAnsi="Times New Roman"/>
          <w:sz w:val="20"/>
        </w:rPr>
        <w:t>| 11</w:t>
      </w:r>
    </w:p>
    <w:p>
      <w:pPr>
        <w:pStyle w:val="TextBody"/>
        <w:bidi w:val="0"/>
        <w:spacing w:before="0" w:after="0"/>
        <w:ind w:left="0" w:right="0" w:hanging="0"/>
        <w:jc w:val="right"/>
        <w:rPr>
          <w:rFonts w:ascii="Times New Roman" w:hAnsi="Times New Roman"/>
          <w:b/>
          <w:caps w:val="false"/>
          <w:smallCaps w:val="false"/>
          <w:sz w:val="20"/>
        </w:rPr>
      </w:pPr>
      <w:bookmarkStart w:id="102" w:name="ex_607677.htm"/>
      <w:bookmarkStart w:id="103" w:name="ksex_607677"/>
      <w:bookmarkEnd w:id="102"/>
      <w:bookmarkEnd w:id="103"/>
      <w:r>
        <w:rPr>
          <w:rFonts w:ascii="Times New Roman" w:hAnsi="Times New Roman"/>
          <w:b/>
          <w:caps w:val="false"/>
          <w:smallCaps w:val="false"/>
          <w:sz w:val="20"/>
        </w:rPr>
        <w:t>Exhibit 4.11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EXECUTION COPY 17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Sono Group N.V.</w:t>
            </w:r>
            <w:r>
              <w:rPr>
                <w:rFonts w:ascii="Times New Roman" w:hAnsi="Times New Roman"/>
                <w:caps w:val="false"/>
                <w:smallCaps w:val="false"/>
                <w:sz w:val="20"/>
              </w:rPr>
              <w:t>, a company incorporated under Dutch law (</w:t>
            </w:r>
            <w:r>
              <w:rPr>
                <w:rFonts w:ascii="Times New Roman" w:hAnsi="Times New Roman"/>
                <w:i/>
                <w:caps w:val="false"/>
                <w:smallCaps w:val="false"/>
                <w:sz w:val="20"/>
              </w:rPr>
              <w:t>naamloze vennootschap</w:t>
            </w:r>
            <w:r>
              <w:rPr>
                <w:rFonts w:ascii="Times New Roman" w:hAnsi="Times New Roman"/>
                <w:caps w:val="false"/>
                <w:smallCaps w:val="false"/>
                <w:sz w:val="20"/>
              </w:rPr>
              <w:t>) and registered with the Dutch chamber of commerce under number 80683568 (the “</w:t>
            </w:r>
            <w:r>
              <w:rPr>
                <w:rFonts w:ascii="Times New Roman" w:hAnsi="Times New Roman"/>
                <w:b/>
                <w:caps w:val="false"/>
                <w:smallCaps w:val="false"/>
                <w:sz w:val="20"/>
              </w:rPr>
              <w:t>Company</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Sono Motors GmbH</w:t>
            </w:r>
            <w:r>
              <w:rPr>
                <w:rFonts w:ascii="Times New Roman" w:hAnsi="Times New Roman"/>
                <w:caps w:val="false"/>
                <w:smallCaps w:val="false"/>
                <w:sz w:val="20"/>
              </w:rPr>
              <w:t>, a company incorporated under German law (</w:t>
            </w:r>
            <w:r>
              <w:rPr>
                <w:rFonts w:ascii="Times New Roman" w:hAnsi="Times New Roman"/>
                <w:i/>
                <w:caps w:val="false"/>
                <w:smallCaps w:val="false"/>
                <w:sz w:val="20"/>
              </w:rPr>
              <w:t>Gesellschaft mit beschr</w:t>
            </w:r>
            <w:r>
              <w:rPr>
                <w:rFonts w:ascii="Times New Roman" w:hAnsi="Times New Roman"/>
                <w:caps w:val="false"/>
                <w:smallCaps w:val="false"/>
                <w:sz w:val="20"/>
              </w:rPr>
              <w:t>ä</w:t>
            </w:r>
            <w:r>
              <w:rPr>
                <w:rFonts w:ascii="Times New Roman" w:hAnsi="Times New Roman"/>
                <w:i/>
                <w:caps w:val="false"/>
                <w:smallCaps w:val="false"/>
                <w:sz w:val="20"/>
              </w:rPr>
              <w:t>nkter Haftung</w:t>
            </w:r>
            <w:r>
              <w:rPr>
                <w:rFonts w:ascii="Times New Roman" w:hAnsi="Times New Roman"/>
                <w:caps w:val="false"/>
                <w:smallCaps w:val="false"/>
                <w:sz w:val="20"/>
              </w:rPr>
              <w:t>) and registered with the District Court of München, Germany, under number HRB 224131 (“</w:t>
            </w:r>
            <w:r>
              <w:rPr>
                <w:rFonts w:ascii="Times New Roman" w:hAnsi="Times New Roman"/>
                <w:b/>
                <w:caps w:val="false"/>
                <w:smallCaps w:val="false"/>
                <w:sz w:val="20"/>
              </w:rPr>
              <w:t>Sono GmbH</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Date: 17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 Commitment letter in respect of insolvency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60"/>
        <w:gridCol w:w="125"/>
        <w:gridCol w:w="108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10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Introduction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the undersigned, refer to the envisaged restructuring of the Company and Sono GmbH (jointly the "</w:t>
            </w:r>
            <w:r>
              <w:rPr>
                <w:rFonts w:ascii="Times New Roman" w:hAnsi="Times New Roman"/>
                <w:b/>
                <w:caps w:val="false"/>
                <w:smallCaps w:val="false"/>
                <w:sz w:val="20"/>
              </w:rPr>
              <w:t>Sono Group</w:t>
            </w:r>
            <w:r>
              <w:rPr>
                <w:rFonts w:ascii="Times New Roman" w:hAnsi="Times New Roman"/>
                <w:caps w:val="false"/>
                <w:smallCaps w:val="false"/>
                <w:sz w:val="20"/>
              </w:rPr>
              <w:t xml:space="preserve">") through the implementation of certain restructuring steps as set out in </w:t>
            </w:r>
            <w:r>
              <w:rPr>
                <w:rFonts w:ascii="Times New Roman" w:hAnsi="Times New Roman"/>
                <w:i/>
                <w:caps w:val="false"/>
                <w:smallCaps w:val="false"/>
                <w:sz w:val="20"/>
              </w:rPr>
              <w:t>inter alia</w:t>
            </w:r>
            <w:r>
              <w:rPr>
                <w:rFonts w:ascii="Times New Roman" w:hAnsi="Times New Roman"/>
                <w:caps w:val="false"/>
                <w:smallCaps w:val="false"/>
                <w:sz w:val="20"/>
              </w:rPr>
              <w:t> the restructuring agreement between Sono Group N.V. and YA II PN, Ltd.(“</w:t>
            </w:r>
            <w:r>
              <w:rPr>
                <w:rFonts w:ascii="Times New Roman" w:hAnsi="Times New Roman"/>
                <w:b/>
                <w:caps w:val="false"/>
                <w:smallCaps w:val="false"/>
                <w:sz w:val="20"/>
              </w:rPr>
              <w:t>Yorkville</w:t>
            </w:r>
            <w:r>
              <w:rPr>
                <w:rFonts w:ascii="Times New Roman" w:hAnsi="Times New Roman"/>
                <w:caps w:val="false"/>
                <w:smallCaps w:val="false"/>
                <w:sz w:val="20"/>
              </w:rPr>
              <w:t>”), to be entered into on or about the date hereof (the “</w:t>
            </w:r>
            <w:r>
              <w:rPr>
                <w:rFonts w:ascii="Times New Roman" w:hAnsi="Times New Roman"/>
                <w:b/>
                <w:caps w:val="false"/>
                <w:smallCaps w:val="false"/>
                <w:sz w:val="20"/>
              </w:rPr>
              <w:t>Restructuring Agreement</w:t>
            </w:r>
            <w:r>
              <w:rPr>
                <w:rFonts w:ascii="Times New Roman" w:hAnsi="Times New Roman"/>
                <w:caps w:val="false"/>
                <w:smallCaps w:val="false"/>
                <w:sz w:val="20"/>
              </w:rPr>
              <w:t>”), to allow the Sono Group to exit from insolvency procedures in Germany (the "</w:t>
            </w:r>
            <w:r>
              <w:rPr>
                <w:rFonts w:ascii="Times New Roman" w:hAnsi="Times New Roman"/>
                <w:b/>
                <w:caps w:val="false"/>
                <w:smallCaps w:val="false"/>
                <w:sz w:val="20"/>
              </w:rPr>
              <w:t>Restructuring</w:t>
            </w:r>
            <w:r>
              <w:rPr>
                <w:rFonts w:ascii="Times New Roman" w:hAnsi="Times New Roman"/>
                <w:caps w:val="false"/>
                <w:smallCaps w:val="false"/>
                <w:sz w:val="20"/>
              </w:rPr>
              <w:t>" and the transactions in connection therewith and/or arising therefrom jointly the "</w:t>
            </w:r>
            <w:r>
              <w:rPr>
                <w:rFonts w:ascii="Times New Roman" w:hAnsi="Times New Roman"/>
                <w:b/>
                <w:caps w:val="false"/>
                <w:smallCaps w:val="false"/>
                <w:sz w:val="20"/>
              </w:rPr>
              <w:t>Transactions</w:t>
            </w:r>
            <w:r>
              <w:rPr>
                <w:rFonts w:ascii="Times New Roman" w:hAnsi="Times New Roman"/>
                <w:caps w:val="false"/>
                <w:smallCaps w:val="false"/>
                <w:sz w:val="20"/>
              </w:rPr>
              <w:t>"). The Transactions, as well as the documents, deeds, agreements, powers of attorney, notices, acknowledgements, letter agreements, memoranda, statements, resolutions and certificates as may be ancillary, necessary, required or useful in connection therewith are known to me,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On the date hereof, we are the founders and majority shareholders of the Company with the shareholdings as set out in </w:t>
            </w:r>
            <w:r>
              <w:rPr>
                <w:rFonts w:ascii="Times New Roman" w:hAnsi="Times New Roman"/>
                <w:b/>
                <w:caps w:val="false"/>
                <w:smallCaps w:val="false"/>
                <w:sz w:val="20"/>
                <w:u w:val="single"/>
              </w:rPr>
              <w:t>Exhibit 1.2</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covenants und undertakings included in this commitment letter are subject to the execution of the Restructuring Agreement including the following provision: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37"/>
        <w:gridCol w:w="9708"/>
      </w:tblGrid>
      <w:tr>
        <w:trPr/>
        <w:tc>
          <w:tcPr>
            <w:tcW w:w="6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i/>
                <w:caps w:val="false"/>
                <w:smallCaps w:val="false"/>
                <w:sz w:val="20"/>
              </w:rPr>
              <w:t>10.1 </w:t>
            </w:r>
          </w:p>
        </w:tc>
        <w:tc>
          <w:tcPr>
            <w:tcW w:w="9708"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i/>
                <w:caps w:val="false"/>
                <w:smallCaps w:val="false"/>
                <w:sz w:val="20"/>
              </w:rPr>
              <w:t xml:space="preserve">Subject to the occurrence of the Closing, Yorkville hereby agrees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by way of a genuine contract for the benefit of a third party (Section 328 of the German Civil Code)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 pactum de non petendo regarding all potential claims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if any </w:t>
            </w:r>
            <w:r>
              <w:rPr>
                <w:rFonts w:ascii="Times New Roman" w:hAnsi="Times New Roman"/>
                <w:caps w:val="false"/>
                <w:smallCaps w:val="false"/>
                <w:sz w:val="20"/>
              </w:rPr>
              <w:t xml:space="preserve">– </w:t>
            </w:r>
            <w:r>
              <w:rPr>
                <w:rFonts w:ascii="Times New Roman" w:hAnsi="Times New Roman"/>
                <w:i/>
                <w:caps w:val="false"/>
                <w:smallCaps w:val="false"/>
                <w:sz w:val="20"/>
              </w:rPr>
              <w:t>arising from and/or in connection with the issuance of the Existing Convertible Debentures against (i) the following members of the management (managing directors (bestuurders) and supervisory directors) of Sono NV: Laurin Hahn (CEO), Jona Christians (CEO), Torsten Kiedel (CFO), Markus Volmer (CTO), Johannes Trischler; and/or the following former members of the management (managing directors (bestuurders) and supervisory directors) of Sono NV: Thomas Hausch, Martina Buchhauser, Sebastian B</w:t>
            </w:r>
            <w:r>
              <w:rPr>
                <w:rFonts w:ascii="Times New Roman" w:hAnsi="Times New Roman"/>
                <w:caps w:val="false"/>
                <w:smallCaps w:val="false"/>
                <w:sz w:val="20"/>
              </w:rPr>
              <w:t>ö</w:t>
            </w:r>
            <w:r>
              <w:rPr>
                <w:rFonts w:ascii="Times New Roman" w:hAnsi="Times New Roman"/>
                <w:i/>
                <w:caps w:val="false"/>
                <w:smallCaps w:val="false"/>
                <w:sz w:val="20"/>
              </w:rPr>
              <w:t>ttger, Robert Jeffe, and Arnd Schwierholz; and/or the management (Gesch</w:t>
            </w:r>
            <w:r>
              <w:rPr>
                <w:rFonts w:ascii="Times New Roman" w:hAnsi="Times New Roman"/>
                <w:caps w:val="false"/>
                <w:smallCaps w:val="false"/>
                <w:sz w:val="20"/>
              </w:rPr>
              <w:t>ä</w:t>
            </w:r>
            <w:r>
              <w:rPr>
                <w:rFonts w:ascii="Times New Roman" w:hAnsi="Times New Roman"/>
                <w:i/>
                <w:caps w:val="false"/>
                <w:smallCaps w:val="false"/>
                <w:sz w:val="20"/>
              </w:rPr>
              <w:t>ftsf</w:t>
            </w:r>
            <w:r>
              <w:rPr>
                <w:rFonts w:ascii="Times New Roman" w:hAnsi="Times New Roman"/>
                <w:caps w:val="false"/>
                <w:smallCaps w:val="false"/>
                <w:sz w:val="20"/>
              </w:rPr>
              <w:t>ü</w:t>
            </w:r>
            <w:r>
              <w:rPr>
                <w:rFonts w:ascii="Times New Roman" w:hAnsi="Times New Roman"/>
                <w:i/>
                <w:caps w:val="false"/>
                <w:smallCaps w:val="false"/>
                <w:sz w:val="20"/>
              </w:rPr>
              <w:t xml:space="preserve">hrer) of Sono GmbH (the </w:t>
            </w:r>
            <w:r>
              <w:rPr>
                <w:rFonts w:ascii="Times New Roman" w:hAnsi="Times New Roman"/>
                <w:caps w:val="false"/>
                <w:smallCaps w:val="false"/>
                <w:sz w:val="20"/>
              </w:rPr>
              <w:t>“</w:t>
            </w:r>
            <w:r>
              <w:rPr>
                <w:rFonts w:ascii="Times New Roman" w:hAnsi="Times New Roman"/>
                <w:i/>
                <w:caps w:val="false"/>
                <w:smallCaps w:val="false"/>
                <w:sz w:val="20"/>
              </w:rPr>
              <w:t>Beneficiaries</w:t>
            </w:r>
            <w:r>
              <w:rPr>
                <w:rFonts w:ascii="Times New Roman" w:hAnsi="Times New Roman"/>
                <w:caps w:val="false"/>
                <w:smallCaps w:val="false"/>
                <w:sz w:val="20"/>
              </w:rPr>
              <w:t>”</w:t>
            </w:r>
            <w:r>
              <w:rPr>
                <w:rFonts w:ascii="Times New Roman" w:hAnsi="Times New Roman"/>
                <w:i/>
                <w:caps w:val="false"/>
                <w:smallCaps w:val="false"/>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pPr>
      <w:r>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295" w:type="dxa"/>
        <w:jc w:val="left"/>
        <w:tblInd w:w="0" w:type="dxa"/>
        <w:tblLayout w:type="fixed"/>
        <w:tblCellMar>
          <w:top w:w="0" w:type="dxa"/>
          <w:left w:w="0" w:type="dxa"/>
          <w:bottom w:w="0" w:type="dxa"/>
          <w:right w:w="0" w:type="dxa"/>
        </w:tblCellMar>
      </w:tblPr>
      <w:tblGrid>
        <w:gridCol w:w="60"/>
        <w:gridCol w:w="500"/>
        <w:gridCol w:w="5735"/>
      </w:tblGrid>
      <w:tr>
        <w:trPr/>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i/>
              </w:rPr>
            </w:pPr>
            <w:r>
              <w:rPr>
                <w:i/>
              </w:rPr>
              <w:t>10.2 </w:t>
            </w:r>
          </w:p>
        </w:tc>
        <w:tc>
          <w:tcPr>
            <w:tcW w:w="573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This pactum de non petendo is subject to the following qualifications: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w:t>
            </w:r>
          </w:p>
        </w:tc>
        <w:tc>
          <w:tcPr>
            <w:tcW w:w="99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This pactum de non petendo as per section 10.1 shall be lifted and has no effect (aufl</w:t>
            </w:r>
            <w:r>
              <w:rPr>
                <w:rFonts w:ascii="Times New Roman" w:hAnsi="Times New Roman"/>
                <w:caps w:val="false"/>
                <w:smallCaps w:val="false"/>
                <w:sz w:val="20"/>
              </w:rPr>
              <w:t>ö</w:t>
            </w:r>
            <w:r>
              <w:rPr>
                <w:rFonts w:ascii="Times New Roman" w:hAnsi="Times New Roman"/>
                <w:i/>
                <w:caps w:val="false"/>
                <w:smallCaps w:val="false"/>
                <w:sz w:val="20"/>
              </w:rPr>
              <w:t xml:space="preserve">sende Bedingung) if and to the extent this is preventing or otherwise limiting recourse to any D&amp;O insurance cover. </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245"/>
        <w:gridCol w:w="77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w:t>
            </w:r>
          </w:p>
        </w:tc>
        <w:tc>
          <w:tcPr>
            <w:tcW w:w="771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There is no intention to pursue such claims if there is no D&amp;O insurance cover for such claims.</w:t>
            </w:r>
          </w:p>
        </w:tc>
      </w:tr>
    </w:tbl>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60"/>
        <w:gridCol w:w="230"/>
        <w:gridCol w:w="552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w:t>
            </w:r>
          </w:p>
        </w:tc>
        <w:tc>
          <w:tcPr>
            <w:tcW w:w="552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Claims will only be pursued at the earliest 18 months after Closing.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w:t>
            </w:r>
          </w:p>
        </w:tc>
        <w:tc>
          <w:tcPr>
            <w:tcW w:w="99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If required, the person affected will give a rolling agreement to make sure claims will not be lost because of expiration of statute of limitations. Not delivery of such declaration upon request within 20 Business Days is a condition subsequent (aufl</w:t>
            </w:r>
            <w:r>
              <w:rPr>
                <w:rFonts w:ascii="Times New Roman" w:hAnsi="Times New Roman"/>
                <w:caps w:val="false"/>
                <w:smallCaps w:val="false"/>
                <w:sz w:val="20"/>
              </w:rPr>
              <w:t>ö</w:t>
            </w:r>
            <w:r>
              <w:rPr>
                <w:rFonts w:ascii="Times New Roman" w:hAnsi="Times New Roman"/>
                <w:i/>
                <w:caps w:val="false"/>
                <w:smallCaps w:val="false"/>
                <w:sz w:val="20"/>
              </w:rPr>
              <w:t xml:space="preserve">sende Bedingung) to section 10.1.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w:t>
            </w:r>
          </w:p>
        </w:tc>
        <w:tc>
          <w:tcPr>
            <w:tcW w:w="9936"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No claims will be pursued, once 80 per cent of the Existing Convertible Debentures (i) have been sold by Yorkville, (ii) have been fully repaid to Yorkville, and/or (iii) converted. </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200"/>
        <w:gridCol w:w="648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w:t>
            </w:r>
          </w:p>
        </w:tc>
        <w:tc>
          <w:tcPr>
            <w:tcW w:w="648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Lock-up: 12 months (as stipulated under the Shareholders Commitment Letter).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Sono NV confirms to its best knowledge that claims made have been notified to D&amp;O insurer.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60"/>
        <w:gridCol w:w="125"/>
        <w:gridCol w:w="144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14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the undersigned, each acting in his capacity as managing director of the Company and member of the management board of the Company, hereby irrevocably and unconditionally covenant and undertake towards the Company and the Third Party Beneficiaries (as defined hereinafter) to prepare and convene the General Meeting (as defined below) and to establish the agenda of the General Meeting after consultation of Yorkville in its capacity as lender and sponsor to the Restructuring and which agenda shall in any event include the items set out in, and subject to, paragraph 2.2(d).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of us, acting in his respective capacity as shareholder of the Company, hereby irrevocably and unconditionally covenants and undertakes towards the Company and the Third Party Beneficiaries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comply with any and all formalities to be registered for and be present at any general meeting of shareholders of the Company to be held no later than 31 December 2023 (or, the adjourned meeting, as the case may be) (the “</w:t>
            </w:r>
            <w:r>
              <w:rPr>
                <w:rFonts w:ascii="Times New Roman" w:hAnsi="Times New Roman"/>
                <w:b/>
                <w:caps w:val="false"/>
                <w:smallCaps w:val="false"/>
                <w:sz w:val="20"/>
              </w:rPr>
              <w:t>General Meeting</w:t>
            </w:r>
            <w:r>
              <w:rPr>
                <w:rFonts w:ascii="Times New Roman" w:hAnsi="Times New Roman"/>
                <w:caps w:val="false"/>
                <w:smallCaps w:val="false"/>
                <w:sz w:val="20"/>
              </w:rPr>
              <w:t>”), either in person or represented by proxy;</w:t>
            </w:r>
          </w:p>
        </w:tc>
      </w:tr>
    </w:tbl>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60"/>
        <w:gridCol w:w="245"/>
        <w:gridCol w:w="55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55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attend the General Meeting either in person or represented by proxy;</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30"/>
        <w:gridCol w:w="960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to transfer any shares and/or voting rights we hold in the capital of the Company prior to the General Meeting;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exercise the voting rights on all the shares in the capital of the Company that we hold in favour of all proposed resolutions, including but not limited to:</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60"/>
        <w:gridCol w:w="200"/>
        <w:gridCol w:w="86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8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proposed changes to the composition of the Company’s management board and/or supervisory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7"/>
        <w:gridCol w:w="9888"/>
      </w:tblGrid>
      <w:tr>
        <w:trPr/>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8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adoption of the annual accounts of the Company for the financial year 2022, including the consolidated accounts of its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13"/>
        <w:gridCol w:w="9832"/>
      </w:tblGrid>
      <w:tr>
        <w:trPr/>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8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legally required, the adoption of the half-year accounts of the Company, including the consolidated accounts of its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575" w:type="dxa"/>
        <w:jc w:val="left"/>
        <w:tblInd w:w="0" w:type="dxa"/>
        <w:tblLayout w:type="fixed"/>
        <w:tblCellMar>
          <w:top w:w="0" w:type="dxa"/>
          <w:left w:w="0" w:type="dxa"/>
          <w:bottom w:w="0" w:type="dxa"/>
          <w:right w:w="0" w:type="dxa"/>
        </w:tblCellMar>
      </w:tblPr>
      <w:tblGrid>
        <w:gridCol w:w="60"/>
        <w:gridCol w:w="305"/>
        <w:gridCol w:w="5210"/>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5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appointment of an auditor for the financial year 2023/2024; and</w:t>
            </w:r>
          </w:p>
        </w:tc>
      </w:tr>
    </w:tbl>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245"/>
        <w:gridCol w:w="49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4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included in the agenda of the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60"/>
        <w:gridCol w:w="275"/>
        <w:gridCol w:w="92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approval of the repurchase of shares in the share capital of the Company by the Company and/or Sono GmbH;</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0"/>
        <w:gridCol w:w="275"/>
        <w:gridCol w:w="83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8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approval of a cancellation of shares by the Company held by the Company and/or Sono GmbH;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7"/>
        <w:gridCol w:w="9898"/>
      </w:tblGrid>
      <w:tr>
        <w:trPr/>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8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proposed changes to the articles of association of the Company required in connection with the Transactions or any of the foregoing subjects as well as the authorization to execute the notarial deed of amendment.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one or more subsequent general meetings of the Company are convened or deemed necessary to give full effect to the Transactions and/or the agenda items in paragraph 2.2(d), we, the undersigned, acting in our capacity as shareholder of the Company, hereby irrevocable and unconditionally covenant and undertake towards the Company and the Third Party Beneficiaries to comply with any and all of the items referred to in paragraphs 2.1 and 2.2 and exercise our voting rights in the capital of the Company at such general meetings and in such manner to give effect to the Transactions and/or the agenda items in paragraph 2.2(d) in the fullest possible manner.</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60"/>
        <w:gridCol w:w="125"/>
        <w:gridCol w:w="156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15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Transfer of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I, the undersigned Laurin Hahn, acting in my capacity as shareholder of the Company, hereby irrevocably and unconditionally covenant and undertake towards the Company and the Third Party Beneficiaries to transfer: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written request (e-mail with attached signed PDF copy sufficient) by the Company which can be made at any time, at the latest, however, on 30 June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60" w:right="0" w:hanging="400"/>
        <w:jc w:val="both"/>
        <w:rPr>
          <w:caps w:val="false"/>
          <w:smallCaps w:val="false"/>
        </w:rPr>
      </w:pPr>
      <w:r>
        <w:rPr>
          <w:caps w:val="false"/>
          <w:smallCaps w:val="false"/>
        </w:rPr>
        <w:t>–         </w:t>
      </w:r>
      <w:r>
        <w:rPr>
          <w:rFonts w:ascii="Times New Roman" w:hAnsi="Times New Roman"/>
          <w:caps w:val="false"/>
          <w:smallCaps w:val="false"/>
          <w:sz w:val="20"/>
        </w:rPr>
        <w:t>9,108,553 of ordinary shares in the share capital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60" w:right="0" w:hanging="400"/>
        <w:jc w:val="both"/>
        <w:rPr>
          <w:caps w:val="false"/>
          <w:smallCaps w:val="false"/>
        </w:rPr>
      </w:pPr>
      <w:r>
        <w:rPr>
          <w:caps w:val="false"/>
          <w:smallCaps w:val="false"/>
        </w:rPr>
        <w:t>–         </w:t>
      </w:r>
      <w:r>
        <w:rPr>
          <w:rFonts w:ascii="Times New Roman" w:hAnsi="Times New Roman"/>
          <w:caps w:val="false"/>
          <w:smallCaps w:val="false"/>
          <w:sz w:val="20"/>
        </w:rPr>
        <w:t>1,578,947 of high-voting shares in the share capital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40" w:right="0" w:hanging="0"/>
        <w:jc w:val="both"/>
        <w:rPr>
          <w:rFonts w:ascii="Times New Roman" w:hAnsi="Times New Roman"/>
          <w:caps w:val="false"/>
          <w:smallCaps w:val="false"/>
          <w:sz w:val="20"/>
        </w:rPr>
      </w:pPr>
      <w:r>
        <w:rPr>
          <w:rFonts w:ascii="Times New Roman" w:hAnsi="Times New Roman"/>
          <w:caps w:val="false"/>
          <w:smallCaps w:val="false"/>
          <w:sz w:val="20"/>
        </w:rPr>
        <w:t>to the Company and/or the managing directors of the Company – as designated in the written request by the Company – for a compensation of EUR 0.003/share, i.e., for an aggregate compensation of EUR 32,062.50 (incl. VAT, if 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written request (e-mail with attached signed PDF copy sufficient) by Mr. Ivo-Meinert Willrodt (the “</w:t>
            </w:r>
            <w:r>
              <w:rPr>
                <w:rFonts w:ascii="Times New Roman" w:hAnsi="Times New Roman"/>
                <w:b/>
                <w:caps w:val="false"/>
                <w:smallCaps w:val="false"/>
                <w:sz w:val="20"/>
              </w:rPr>
              <w:t>Custodian</w:t>
            </w:r>
            <w:r>
              <w:rPr>
                <w:rFonts w:ascii="Times New Roman" w:hAnsi="Times New Roman"/>
                <w:caps w:val="false"/>
                <w:smallCaps w:val="false"/>
                <w:sz w:val="20"/>
              </w:rPr>
              <w:t>”) which can be made at any time, at the latest, however, on 31 December 2024 (i.e., irrespective of the Custodian’s function as the custodian of Sono GmbH has been ended or not):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60" w:right="0" w:hanging="400"/>
        <w:jc w:val="both"/>
        <w:rPr>
          <w:caps w:val="false"/>
          <w:smallCaps w:val="false"/>
        </w:rPr>
      </w:pPr>
      <w:r>
        <w:rPr>
          <w:caps w:val="false"/>
          <w:smallCaps w:val="false"/>
        </w:rPr>
        <w:t>–         </w:t>
      </w:r>
      <w:r>
        <w:rPr>
          <w:rFonts w:ascii="Times New Roman" w:hAnsi="Times New Roman"/>
          <w:caps w:val="false"/>
          <w:smallCaps w:val="false"/>
          <w:sz w:val="20"/>
        </w:rPr>
        <w:t>7,187,500 of ordinary shares in the share capital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40" w:right="0" w:hanging="0"/>
        <w:jc w:val="both"/>
        <w:rPr>
          <w:rFonts w:ascii="Times New Roman" w:hAnsi="Times New Roman"/>
          <w:caps w:val="false"/>
          <w:smallCaps w:val="false"/>
          <w:sz w:val="20"/>
        </w:rPr>
      </w:pPr>
      <w:r>
        <w:rPr>
          <w:rFonts w:ascii="Times New Roman" w:hAnsi="Times New Roman"/>
          <w:caps w:val="false"/>
          <w:smallCaps w:val="false"/>
          <w:sz w:val="20"/>
        </w:rPr>
        <w:t>to a trustee acting for the benefit of the creditors of Sono GmbH (the “</w:t>
      </w:r>
      <w:r>
        <w:rPr>
          <w:rFonts w:ascii="Times New Roman" w:hAnsi="Times New Roman"/>
          <w:b/>
          <w:caps w:val="false"/>
          <w:smallCaps w:val="false"/>
          <w:sz w:val="20"/>
        </w:rPr>
        <w:t>Trustee</w:t>
      </w:r>
      <w:r>
        <w:rPr>
          <w:rFonts w:ascii="Times New Roman" w:hAnsi="Times New Roman"/>
          <w:caps w:val="false"/>
          <w:smallCaps w:val="false"/>
          <w:sz w:val="20"/>
        </w:rPr>
        <w:t>”) – as designated in the written request by the Custodian – for a compensation of EUR 0.003/share, i.e., for an aggregate compensation of EUR 21,562.50 (incl. VAT,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20" w:right="0" w:hanging="720"/>
        <w:jc w:val="both"/>
        <w:rPr>
          <w:rFonts w:ascii="Times New Roman" w:hAnsi="Times New Roman"/>
          <w:caps w:val="false"/>
          <w:smallCaps w:val="false"/>
          <w:sz w:val="20"/>
        </w:rPr>
      </w:pPr>
      <w:r>
        <w:rPr>
          <w:rFonts w:ascii="Times New Roman" w:hAnsi="Times New Roman"/>
          <w:caps w:val="false"/>
          <w:smallCaps w:val="false"/>
          <w:sz w:val="20"/>
        </w:rPr>
        <w:t>(b)         I, the undersigned Jona Christians, acting in my capacity as shareholder of the Company, hereby irrevocably and unconditionally covenant and undertake towards the Company and the Third Party Beneficiaries to transfer: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written request (e-mail with attached signed PDF copy sufficient) by the Company which can be made at any time, at the latest, however, on 30 June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560" w:right="0" w:hanging="400"/>
        <w:jc w:val="both"/>
        <w:rPr>
          <w:caps w:val="false"/>
          <w:smallCaps w:val="false"/>
        </w:rPr>
      </w:pPr>
      <w:r>
        <w:rPr>
          <w:caps w:val="false"/>
          <w:smallCaps w:val="false"/>
        </w:rPr>
        <w:t>–         </w:t>
      </w:r>
      <w:r>
        <w:rPr>
          <w:rFonts w:ascii="Times New Roman" w:hAnsi="Times New Roman"/>
          <w:caps w:val="false"/>
          <w:smallCaps w:val="false"/>
          <w:sz w:val="20"/>
        </w:rPr>
        <w:t>8,197,698 of ordinary shares in the share capital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60" w:right="0" w:hanging="400"/>
        <w:jc w:val="both"/>
        <w:rPr>
          <w:caps w:val="false"/>
          <w:smallCaps w:val="false"/>
        </w:rPr>
      </w:pPr>
      <w:r>
        <w:rPr>
          <w:caps w:val="false"/>
          <w:smallCaps w:val="false"/>
        </w:rPr>
        <w:t>–         </w:t>
      </w:r>
      <w:r>
        <w:rPr>
          <w:rFonts w:ascii="Times New Roman" w:hAnsi="Times New Roman"/>
          <w:caps w:val="false"/>
          <w:smallCaps w:val="false"/>
          <w:sz w:val="20"/>
        </w:rPr>
        <w:t>1,421,053 of high-voting shares in the share capital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40" w:right="0" w:hanging="0"/>
        <w:jc w:val="both"/>
        <w:rPr>
          <w:rFonts w:ascii="Times New Roman" w:hAnsi="Times New Roman"/>
          <w:caps w:val="false"/>
          <w:smallCaps w:val="false"/>
          <w:sz w:val="20"/>
        </w:rPr>
      </w:pPr>
      <w:r>
        <w:rPr>
          <w:rFonts w:ascii="Times New Roman" w:hAnsi="Times New Roman"/>
          <w:caps w:val="false"/>
          <w:smallCaps w:val="false"/>
          <w:sz w:val="20"/>
        </w:rPr>
        <w:t>to the Company and/or the managing directors of the Company – as designated in the written request by the Company – for a compensation of EUR 0.003/share, i.e., for an aggregate compensation of EUR 28,856.25 (incl. VAT, if 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written request (e-mail with attached signed PDF copy sufficient) by Mr. Ivo-Meinert Willrodt (the “Custodian”) which can be made at any time, at the latest, however, on 31 December 2024 (i.e., irrespective of the Custodian’s function as the custodian of Sono GmbH has been ended or not):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60" w:right="0" w:hanging="400"/>
        <w:jc w:val="both"/>
        <w:rPr>
          <w:caps w:val="false"/>
          <w:smallCaps w:val="false"/>
        </w:rPr>
      </w:pPr>
      <w:r>
        <w:rPr>
          <w:caps w:val="false"/>
          <w:smallCaps w:val="false"/>
        </w:rPr>
        <w:t>–         </w:t>
      </w:r>
      <w:r>
        <w:rPr>
          <w:rFonts w:ascii="Times New Roman" w:hAnsi="Times New Roman"/>
          <w:caps w:val="false"/>
          <w:smallCaps w:val="false"/>
          <w:sz w:val="20"/>
        </w:rPr>
        <w:t>6,118,749 of ordinary shares in the share capital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40" w:right="0" w:hanging="0"/>
        <w:jc w:val="both"/>
        <w:rPr>
          <w:rFonts w:ascii="Times New Roman" w:hAnsi="Times New Roman"/>
          <w:caps w:val="false"/>
          <w:smallCaps w:val="false"/>
          <w:sz w:val="20"/>
        </w:rPr>
      </w:pPr>
      <w:r>
        <w:rPr>
          <w:rFonts w:ascii="Times New Roman" w:hAnsi="Times New Roman"/>
          <w:caps w:val="false"/>
          <w:smallCaps w:val="false"/>
          <w:sz w:val="20"/>
        </w:rPr>
        <w:t>to the Trustee – as designated in the written request by the Custodian – for a compensation of EUR 0.003/share, i.e., for an aggregate compensation of EUR 18,356.25 (incl. VAT,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20" w:right="0" w:hanging="720"/>
        <w:jc w:val="both"/>
        <w:rPr>
          <w:rFonts w:ascii="Times New Roman" w:hAnsi="Times New Roman"/>
          <w:caps w:val="false"/>
          <w:smallCaps w:val="false"/>
          <w:sz w:val="20"/>
        </w:rPr>
      </w:pPr>
      <w:r>
        <w:rPr>
          <w:rFonts w:ascii="Times New Roman" w:hAnsi="Times New Roman"/>
          <w:caps w:val="false"/>
          <w:smallCaps w:val="false"/>
          <w:sz w:val="20"/>
        </w:rPr>
        <w:t>(c)         The compensation for the transfer of the shares according to (a) and (b) above in the aggregate amount of up to EUR 100,837.50 shall be paid by the Trustee exclusively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amount of EUR 26.813.00 (incl. VAT, if any) shall be paid to Laurin Hahn, and an amount of EUR 23.606.00 (incl. VAT, if any) shall be paid to Jona Christians, in each case without undue delay after Laurin Hahn or, as the case may be, Jona Christians have validly transferred their shares to be transferred pursuant to (a) or, respectively, (b) above to the respective designated transferee, but no later than 14 days after such transfer of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 amount of 50% of any payments received by the Trustee as a compensation for a sale of any of the shares to be transferred to the Trustee pursuant to (b) above until 31 December 2024 – to be forwarded to Laurin Hahn and Jona Christians by the end of each calendar quarter in which such sale(s) has/have taken place, </w:t>
            </w:r>
            <w:r>
              <w:rPr>
                <w:rFonts w:ascii="Times New Roman" w:hAnsi="Times New Roman"/>
                <w:i/>
                <w:caps w:val="false"/>
                <w:smallCaps w:val="false"/>
                <w:sz w:val="20"/>
              </w:rPr>
              <w:t>pro rata</w:t>
            </w:r>
            <w:r>
              <w:rPr>
                <w:rFonts w:ascii="Times New Roman" w:hAnsi="Times New Roman"/>
                <w:caps w:val="false"/>
                <w:smallCaps w:val="false"/>
                <w:sz w:val="20"/>
              </w:rPr>
              <w:t>, in accordance with the number of shares sold by Laurin Hahn and Jona Christians pursuant to (a) and (b) above; provided that the overall amount of payments to be made by the Trustee under (i) and this (ii) to Laurin Hahn shall not exceed the maximum compensation pursuant to (a) above; and provided further that the overall amount of payments to be made by the Trustee under (i) and this (ii) to Jona Christians shall not exceed the maximum (</w:t>
            </w:r>
            <w:r>
              <w:rPr>
                <w:rFonts w:ascii="Times New Roman" w:hAnsi="Times New Roman"/>
                <w:i/>
                <w:caps w:val="false"/>
                <w:smallCaps w:val="false"/>
                <w:sz w:val="20"/>
              </w:rPr>
              <w:t>pro rata</w:t>
            </w:r>
            <w:r>
              <w:rPr>
                <w:rFonts w:ascii="Times New Roman" w:hAnsi="Times New Roman"/>
                <w:caps w:val="false"/>
                <w:smallCaps w:val="false"/>
                <w:sz w:val="20"/>
              </w:rPr>
              <w:t>) compensation pursuant to (b) above. In addition to the payment under this (ii), the Trustee will inform Laurin Hahn and Jona Christians at the end of each calendar quarter about how many shares were sold by the Trustee during that calendar quarter and for what compensation such shares were sold. If and to the extent that by 31 December 2026 the payments under this (ii) are not sufficient to fully pay the maximum compensation to be paid to Laurin Hahn and/or Jona Christians pursuant to (a) and/or (b) above, any further claims of Laurin Hahn and Jona Christians to their respective compensation which has not yet been paid shall expire.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20" w:right="0" w:hanging="720"/>
        <w:jc w:val="both"/>
        <w:rPr>
          <w:rFonts w:ascii="Times New Roman" w:hAnsi="Times New Roman"/>
          <w:caps w:val="false"/>
          <w:smallCaps w:val="false"/>
          <w:sz w:val="20"/>
        </w:rPr>
      </w:pPr>
      <w:r>
        <w:rPr>
          <w:rFonts w:ascii="Times New Roman" w:hAnsi="Times New Roman"/>
          <w:caps w:val="false"/>
          <w:smallCaps w:val="false"/>
          <w:sz w:val="20"/>
        </w:rPr>
        <w:t>(d)         Neither the Company, Sono GmbH nor any Third Party Beneficiary (other than the Trustee) shall be obligated to make any payments under this paragraph 3.1. Trustee’s obligation to make any payments in accordance with this paragraph 3.1 to Laurin Hahn shall be subject to a transfer request pursuant to (a) above being made and the shares to be transferred pursuant to (a) above being validly transferred to the respective designated transferee. The Trustee’s obligation to make any payments in accordance with this paragraph 3.1 to Jona Christians shall be subject to a transfer request pursuant to (b) above being made and the shares to be transferred pursuant to (b) above being validly transferred to the respective designated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3.2         We, the undersigned, hereby irrevocably and unconditionally covenant and undertake – without assuming any primary payment obligations (</w:t>
      </w:r>
      <w:r>
        <w:rPr>
          <w:rFonts w:ascii="Times New Roman" w:hAnsi="Times New Roman"/>
          <w:i/>
          <w:caps w:val="false"/>
          <w:smallCaps w:val="false"/>
          <w:sz w:val="20"/>
        </w:rPr>
        <w:t>prim</w:t>
      </w:r>
      <w:r>
        <w:rPr>
          <w:rFonts w:ascii="Times New Roman" w:hAnsi="Times New Roman"/>
          <w:caps w:val="false"/>
          <w:smallCaps w:val="false"/>
          <w:sz w:val="20"/>
        </w:rPr>
        <w:t>ä</w:t>
      </w:r>
      <w:r>
        <w:rPr>
          <w:rFonts w:ascii="Times New Roman" w:hAnsi="Times New Roman"/>
          <w:i/>
          <w:caps w:val="false"/>
          <w:smallCaps w:val="false"/>
          <w:sz w:val="20"/>
        </w:rPr>
        <w:t>re Zahlungsverpflichtungen</w:t>
      </w:r>
      <w:r>
        <w:rPr>
          <w:rFonts w:ascii="Times New Roman" w:hAnsi="Times New Roman"/>
          <w:caps w:val="false"/>
          <w:smallCaps w:val="false"/>
          <w:sz w:val="20"/>
        </w:rPr>
        <w:t xml:space="preserve">) – towards the Company and the Third Party Beneficiaries to enter into, execute, deliver and perform (as the case may be) any and all documents, deeds, agreements, powers of attorney, notices, acknowledgements, letter agreements, resolutions, waivers, consents, instructions, memoranda, statements and certificates as may be ancillary, necessary, required or useful in connection the transfer of our shares as described in this paragraph 3 including, but not limited to, entering into one or several sale and transfer agreements substantially in form to the sample share sale and transfer agreement attached as </w:t>
      </w:r>
      <w:r>
        <w:rPr>
          <w:rFonts w:ascii="Times New Roman" w:hAnsi="Times New Roman"/>
          <w:b/>
          <w:caps w:val="false"/>
          <w:smallCaps w:val="false"/>
          <w:sz w:val="20"/>
          <w:u w:val="single"/>
        </w:rPr>
        <w:t>Exhibit</w:t>
      </w:r>
      <w:r>
        <w:rPr>
          <w:rFonts w:ascii="Times New Roman" w:hAnsi="Times New Roman"/>
          <w:caps w:val="false"/>
          <w:smallCaps w:val="false"/>
          <w:sz w:val="20"/>
          <w:u w:val="single"/>
        </w:rPr>
        <w:t> </w:t>
      </w:r>
      <w:r>
        <w:rPr>
          <w:rFonts w:ascii="Times New Roman" w:hAnsi="Times New Roman"/>
          <w:b/>
          <w:caps w:val="false"/>
          <w:smallCaps w:val="false"/>
          <w:sz w:val="20"/>
          <w:u w:val="single"/>
        </w:rPr>
        <w:t>3.2</w:t>
      </w:r>
      <w:r>
        <w:rPr>
          <w:rFonts w:ascii="Times New Roman" w:hAnsi="Times New Roman"/>
          <w:caps w:val="false"/>
          <w:smallCaps w:val="false"/>
          <w:sz w:val="20"/>
        </w:rPr>
        <w:t xml:space="preserve"> to this commitment letter (and make the representations and warranties provided therein) (the “</w:t>
      </w:r>
      <w:r>
        <w:rPr>
          <w:rFonts w:ascii="Times New Roman" w:hAnsi="Times New Roman"/>
          <w:b/>
          <w:caps w:val="false"/>
          <w:smallCaps w:val="false"/>
          <w:sz w:val="20"/>
        </w:rPr>
        <w:t>Sample SPA</w:t>
      </w:r>
      <w:r>
        <w:rPr>
          <w:rFonts w:ascii="Times New Roman" w:hAnsi="Times New Roman"/>
          <w:caps w:val="false"/>
          <w:smallCaps w:val="false"/>
          <w:sz w:val="20"/>
        </w:rPr>
        <w:t>”), provided that we will consent to any amendments to the Sample SPA requested by you in good faith (including, but not limited to, amendments due to applicability of Dutch and/or US laws.</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60"/>
        <w:gridCol w:w="125"/>
        <w:gridCol w:w="15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15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Lock-up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4.1         We, the undersigned, hereby irrevocably and unconditionally covenant and undertake towards the Company and the Third Party Beneficiaries, that without the prior written consent of Company, we will not, whether directly or indirectly, at any time during the period of 12 months following the date hereof (such period, the “</w:t>
      </w:r>
      <w:r>
        <w:rPr>
          <w:rFonts w:ascii="Times New Roman" w:hAnsi="Times New Roman"/>
          <w:b/>
          <w:caps w:val="false"/>
          <w:smallCaps w:val="false"/>
          <w:sz w:val="20"/>
        </w:rPr>
        <w:t>Lock-Up Period</w:t>
      </w:r>
      <w:r>
        <w:rPr>
          <w:rFonts w:ascii="Times New Roman" w:hAnsi="Times New Roman"/>
          <w:caps w:val="false"/>
          <w:smallCaps w:val="false"/>
          <w:sz w:val="20"/>
        </w:rPr>
        <w:t>”), (i) dispose of, in any way, any shares in the capital of the Company, including any securities convertible into or exchangeable or exercisable for or that represent the right to receive any of the forgoing securities; (ii) dispose of, in any way, any shares or any interest in any company, entity or person holding any shares in the capital of the Company, including any securities convertible into or exchangeable or exercisable for or that represent the right to receive any of the forgoing securities; (iii) agree or contract to, or publicly announce any intention to, enter any such transaction described above; or (iv) enter into any transactions directly or indirectly with the same economic effect as any aforesaid transactions.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60"/>
        <w:gridCol w:w="275"/>
        <w:gridCol w:w="90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903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Notwithstanding paragraph 4.1, the lock-up period shall end immediately if one of the following events occurs: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Yorkville has converted and sold 80% of the Existing Convertible Debentures. “</w:t>
            </w:r>
            <w:r>
              <w:rPr>
                <w:rFonts w:ascii="Times New Roman" w:hAnsi="Times New Roman"/>
                <w:b/>
                <w:caps w:val="false"/>
                <w:smallCaps w:val="false"/>
                <w:sz w:val="20"/>
              </w:rPr>
              <w:t>Existing Convertible Debentures</w:t>
            </w:r>
            <w:r>
              <w:rPr>
                <w:rFonts w:ascii="Times New Roman" w:hAnsi="Times New Roman"/>
                <w:caps w:val="false"/>
                <w:smallCaps w:val="false"/>
                <w:sz w:val="20"/>
              </w:rPr>
              <w:t>” shall mean the convertible debentures in an aggregate principal amount of USD 31.1 million (of which an aggregate amount of USD 20 million is outstanding) which Yorkville purchased from Sono NV pursuant to the securities purchase agreement dated 7 December 2022 between Yorkville and Sono NV.</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60"/>
        <w:gridCol w:w="245"/>
        <w:gridCol w:w="54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5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shares in Sono GmbH are sold in part or in full to a third party.</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60"/>
        <w:gridCol w:w="230"/>
        <w:gridCol w:w="732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7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GmbH or Sono NV file – after the signing of this letter – for insolvency another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In the case of section paragraph 4.2 (b), we, the undersigned, undertake to sell the shares only outside the stock exchange or by offering the Company a purchase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the case of section paragraph 4.2. (a) the Company will inform the undersigned after such an event via email and the lock-up period shall end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the case of section paragraph 4.2. (b) the Company will inform the undersigned in due course to the extent legally permissible, the latest 2 weeks prior to such an event via email (email: OMITTED, OMITTED) and the lockup will end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the undersigned, herewith undertake to keep the Company informed about our up to date notification and contact details.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Following the Lock-Up Period, we, the undersigned, will be authorized to dispose of shares in the capital of the Company that we hold, it being understood that: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disposal shall never exceed, directly or indirectly, for Laurin Hahn 200,000 shares in the capital of the Company per calendar month and for Jona Christians 200,000 shares in the capital of the Company per calendar month; and</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245"/>
        <w:gridCol w:w="52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5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section (i) through (iv) of paragraph 4.1 apply </w:t>
            </w:r>
            <w:r>
              <w:rPr>
                <w:rFonts w:ascii="Times New Roman" w:hAnsi="Times New Roman"/>
                <w:i/>
                <w:caps w:val="false"/>
                <w:smallCaps w:val="false"/>
                <w:sz w:val="20"/>
              </w:rPr>
              <w:t>mutatis mutandis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125"/>
        <w:gridCol w:w="237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Completion of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We, the undersigned, hereby irrevocably and unconditionally covenant and undertake – without assuming any primary payment obligations (</w:t>
      </w:r>
      <w:r>
        <w:rPr>
          <w:rFonts w:ascii="Times New Roman" w:hAnsi="Times New Roman"/>
          <w:i/>
          <w:caps w:val="false"/>
          <w:smallCaps w:val="false"/>
          <w:sz w:val="20"/>
        </w:rPr>
        <w:t>prim</w:t>
      </w:r>
      <w:r>
        <w:rPr>
          <w:rFonts w:ascii="Times New Roman" w:hAnsi="Times New Roman"/>
          <w:caps w:val="false"/>
          <w:smallCaps w:val="false"/>
          <w:sz w:val="20"/>
        </w:rPr>
        <w:t>ä</w:t>
      </w:r>
      <w:r>
        <w:rPr>
          <w:rFonts w:ascii="Times New Roman" w:hAnsi="Times New Roman"/>
          <w:i/>
          <w:caps w:val="false"/>
          <w:smallCaps w:val="false"/>
          <w:sz w:val="20"/>
        </w:rPr>
        <w:t>re Zahlungsverpflichtungen</w:t>
      </w:r>
      <w:r>
        <w:rPr>
          <w:rFonts w:ascii="Times New Roman" w:hAnsi="Times New Roman"/>
          <w:caps w:val="false"/>
          <w:smallCaps w:val="false"/>
          <w:sz w:val="20"/>
        </w:rPr>
        <w:t>) – towards the Company and the Third Party Beneficiaries to enter into, execute, deliver and perform (as the case may be) any and all documents, deeds, agreements, powers of attorney, notices, acknowledgements, letter agreements, resolutions, waivers, consents, memoranda, statements and certificates as may be ancillary, necessary, required or useful in connection with the Transactions. And we further undertake to use our best efforts to support the implementation of the restructuring.</w:t>
      </w:r>
    </w:p>
    <w:p>
      <w:pPr>
        <w:pStyle w:val="TextBody"/>
        <w:bidi w:val="0"/>
        <w:spacing w:before="0" w:after="0"/>
        <w:ind w:left="0" w:right="0" w:hanging="0"/>
        <w:jc w:val="left"/>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60"/>
        <w:gridCol w:w="125"/>
        <w:gridCol w:w="71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275"/>
        <w:gridCol w:w="22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6.2</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of us hereby declares: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I, the undersigned, hereby represent and warrant that I have the legal right and full power and authority (including all necessary consents, authorisations, confirmations, permissions, certificates, approvals, authorities or other corporate action as may be required) to provide and perform the obligations and undertakings contained in this letter (as applicable) which when executed will constitute legal, valid and binding obligations on 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letter shall be treated by us, the undersigned, as strictly confidential and shall not, without your prior written consent, be disclosed in whole or in part to any person, other than to our employees, directors, professional advisers and financing sources, in each case on a confidential basis. You and the Third Party Beneficiaries shall be entitled to freely disclose this letter.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6.4</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variation of this letter shall be effective unless in writing and signed by us, the undersigned, the Company, Sono GmbH and the Third Party Beneficiaries (including, but not limited to, the Trustee, once having been designated by the Custodian).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6.5</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any provision in this letter shall be held to be illegal, invalid or unenforceable, in whole or in part, the provision shall apply with whatever deletion or modification is necessary so that the provision is legal, valid and enforceable and gives effect to the commercial intention between the Sono Group and us.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letter shall, subject to any deletion or modification made under this paragraph, not be 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6.6</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set-off or retention right of any party shall be excluded, unless the existence of such right is undisputed or confirmed by a final court decision.</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0"/>
        <w:gridCol w:w="125"/>
        <w:gridCol w:w="246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w:t>
            </w:r>
          </w:p>
        </w:tc>
        <w:tc>
          <w:tcPr>
            <w:tcW w:w="24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Acceptance and counterparts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you agree to the above, please acknowledge your agreement and acceptance of the aforementioned by signing and returning by email to us a scanned copy of this letter countersigned by you.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deem your acknowledgment and agreement of this letter also an acknowledgment and acceptance of any third party stipulations created in this letter for the benefit (in the meaning of Section 328 BGB) of the Custodian, and/or the Trustee (jointly, the “</w:t>
            </w:r>
            <w:r>
              <w:rPr>
                <w:rFonts w:ascii="Times New Roman" w:hAnsi="Times New Roman"/>
                <w:b/>
                <w:caps w:val="false"/>
                <w:smallCaps w:val="false"/>
                <w:sz w:val="20"/>
              </w:rPr>
              <w:t>Third Party Beneficiaries</w:t>
            </w:r>
            <w:r>
              <w:rPr>
                <w:rFonts w:ascii="Times New Roman" w:hAnsi="Times New Roman"/>
                <w:caps w:val="false"/>
                <w:smallCaps w:val="false"/>
                <w:sz w:val="20"/>
              </w:rPr>
              <w:t>”), it being understood that any benefit of a Third Party Beneficiary may not be amended without the relevant Third Party Beneficiary’s consent.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7.4</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letter may be executed in any number of counterparts and this has the same effect as if the signatures on the counterparts were on a single copy of this letter.</w:t>
            </w:r>
          </w:p>
        </w:tc>
      </w:tr>
    </w:tbl>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60"/>
        <w:gridCol w:w="125"/>
        <w:gridCol w:w="266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w:t>
            </w:r>
          </w:p>
        </w:tc>
        <w:tc>
          <w:tcPr>
            <w:tcW w:w="26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Governing law and jurisdiction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letter and any non-contractual obligation arising out of or in connection with it (including any non-contractual obligations arising out of the negotiation of the transactions contemplated by this commitment letter) are governed by German law, excluding CISG.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courts of Munich, Germany, have non-exclusive jurisdiction to settle any dispute arising out of or in connection with this letter (including a dispute relating to any non-contractual obligation arising out of or in connection with this letter).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pages follow</w:t>
      </w:r>
      <w:r>
        <w:rPr>
          <w:rFonts w:ascii="Times New Roman" w:hAnsi="Times New Roman"/>
          <w:caps w:val="false"/>
          <w:smallCaps w:val="false"/>
          <w:sz w:val="20"/>
        </w:rPr>
        <w:t>]</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2690"/>
        <w:gridCol w:w="2645"/>
      </w:tblGrid>
      <w:tr>
        <w:trPr/>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Laurin Hahn</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 Christians</w:t>
            </w:r>
          </w:p>
        </w:tc>
      </w:tr>
      <w:tr>
        <w:trPr/>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 </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w:t>
            </w:r>
          </w:p>
        </w:tc>
      </w:tr>
      <w:tr>
        <w:trPr/>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Laurin Hahn</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Jona Christians</w:t>
            </w:r>
          </w:p>
        </w:tc>
      </w:tr>
      <w:tr>
        <w:trPr/>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Address: [OMITTED]</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Address: [OMITTED]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Acknowledged and agreed: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3170"/>
        <w:gridCol w:w="3170"/>
      </w:tblGrid>
      <w:tr>
        <w:trPr/>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Torsten Kiedel</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Markus Volmer</w:t>
            </w:r>
          </w:p>
        </w:tc>
      </w:tr>
      <w:tr>
        <w:trPr/>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w:t>
            </w:r>
          </w:p>
        </w:tc>
      </w:tr>
      <w:tr>
        <w:trPr/>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Sono Group N.V.</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Sono Group N.V.</w:t>
            </w:r>
          </w:p>
        </w:tc>
      </w:tr>
      <w:tr>
        <w:trPr/>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CFO</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CTO</w:t>
            </w:r>
          </w:p>
        </w:tc>
      </w:tr>
      <w:tr>
        <w:trPr/>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20.11.2023</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20.11.2023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Consenting: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Marlene Scheinert</w:t>
        <w:br/>
        <w:t>______________________________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Mrs. Marlene Scheinert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Preliminary Custodian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20.11.2023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Acknowledged and agreed: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3170"/>
        <w:gridCol w:w="3170"/>
      </w:tblGrid>
      <w:tr>
        <w:trPr/>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Torsten Kiedel</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Markus Volmer</w:t>
            </w:r>
          </w:p>
        </w:tc>
      </w:tr>
      <w:tr>
        <w:trPr/>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w:t>
            </w:r>
          </w:p>
        </w:tc>
      </w:tr>
      <w:tr>
        <w:trPr/>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Sono Motors GmbH</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Sono Motors GmbH</w:t>
            </w:r>
          </w:p>
        </w:tc>
      </w:tr>
      <w:tr>
        <w:trPr/>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CFO</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CTO</w:t>
            </w:r>
          </w:p>
        </w:tc>
      </w:tr>
      <w:tr>
        <w:trPr/>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20.11.2023</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20.11.2023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Consenting: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Ivo-Meinert Willrodt</w:t>
        <w:br/>
        <w:t>______________________________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Mr. Ivo-Meinert Willrodt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Custodian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 date hereof, we, Laurin Hahn and Jona Christians, the founders and majority shareholders of the Company, hold the following shares in the Company:</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1670"/>
        <w:gridCol w:w="950"/>
      </w:tblGrid>
      <w:tr>
        <w:trPr/>
        <w:tc>
          <w:tcPr>
            <w:tcW w:w="167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Laurin Hahn</w:t>
            </w:r>
          </w:p>
        </w:tc>
        <w:tc>
          <w:tcPr>
            <w:tcW w:w="95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Ordinary Shares:</w:t>
            </w:r>
          </w:p>
        </w:tc>
        <w:tc>
          <w:tcPr>
            <w:tcW w:w="95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19,796,053</w:t>
            </w:r>
          </w:p>
        </w:tc>
      </w:tr>
      <w:tr>
        <w:trPr/>
        <w:tc>
          <w:tcPr>
            <w:tcW w:w="1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 Voting Shares:</w:t>
            </w:r>
          </w:p>
        </w:tc>
        <w:tc>
          <w:tcPr>
            <w:tcW w:w="95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1,578,947</w:t>
            </w:r>
          </w:p>
        </w:tc>
      </w:tr>
      <w:tr>
        <w:trPr/>
        <w:tc>
          <w:tcPr>
            <w:tcW w:w="167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Jona Christians</w:t>
            </w:r>
          </w:p>
        </w:tc>
        <w:tc>
          <w:tcPr>
            <w:tcW w:w="95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Ordinary Shares:</w:t>
            </w:r>
          </w:p>
        </w:tc>
        <w:tc>
          <w:tcPr>
            <w:tcW w:w="95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17,816,447</w:t>
            </w:r>
          </w:p>
        </w:tc>
      </w:tr>
      <w:tr>
        <w:trPr/>
        <w:tc>
          <w:tcPr>
            <w:tcW w:w="1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 Voting Shares:</w:t>
            </w:r>
          </w:p>
        </w:tc>
        <w:tc>
          <w:tcPr>
            <w:tcW w:w="95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1,421,053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Exhibit 3.2</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To the Commitment letter dated 17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25" w:type="dxa"/>
        <w:jc w:val="left"/>
        <w:tblInd w:w="0" w:type="dxa"/>
        <w:tblLayout w:type="fixed"/>
        <w:tblCellMar>
          <w:top w:w="0" w:type="dxa"/>
          <w:left w:w="0" w:type="dxa"/>
          <w:bottom w:w="0" w:type="dxa"/>
          <w:right w:w="0" w:type="dxa"/>
        </w:tblCellMar>
      </w:tblPr>
      <w:tblGrid>
        <w:gridCol w:w="5825"/>
      </w:tblGrid>
      <w:tr>
        <w:trPr/>
        <w:tc>
          <w:tcPr>
            <w:tcW w:w="5825" w:type="dxa"/>
            <w:tcBorders/>
            <w:vAlign w:val="center"/>
          </w:tcPr>
          <w:p>
            <w:pPr>
              <w:pStyle w:val="TableContents"/>
              <w:bidi w:val="0"/>
              <w:spacing w:before="0" w:after="0"/>
              <w:ind w:left="0" w:right="0" w:hanging="0"/>
              <w:jc w:val="both"/>
              <w:rPr>
                <w:rFonts w:ascii="Times New Roman" w:hAnsi="Times New Roman"/>
                <w:b/>
                <w:caps w:val="false"/>
                <w:smallCaps w:val="false"/>
                <w:sz w:val="48"/>
              </w:rPr>
            </w:pPr>
            <w:r>
              <w:rPr>
                <w:rFonts w:ascii="Times New Roman" w:hAnsi="Times New Roman"/>
                <w:b/>
                <w:caps w:val="false"/>
                <w:smallCaps w:val="false"/>
                <w:sz w:val="48"/>
              </w:rPr>
              <w:t>Sale and transfer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4"/>
              </w:rPr>
            </w:pPr>
            <w:r>
              <w:rPr>
                <w:rFonts w:ascii="Times New Roman" w:hAnsi="Times New Roman"/>
                <w:caps w:val="false"/>
                <w:smallCaps w:val="false"/>
                <w:sz w:val="24"/>
              </w:rPr>
              <w:t>regarding shares in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4"/>
              </w:rPr>
            </w:pPr>
            <w:r>
              <w:rPr>
                <w:rFonts w:ascii="Times New Roman" w:hAnsi="Times New Roman"/>
                <w:caps w:val="false"/>
                <w:smallCaps w:val="false"/>
                <w:sz w:val="24"/>
              </w:rPr>
              <w:t>Sono Group N.V.</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r>
      <w:tr>
        <w:trPr/>
        <w:tc>
          <w:tcPr>
            <w:tcW w:w="5825" w:type="dxa"/>
            <w:tcBorders/>
            <w:vAlign w:val="center"/>
          </w:tcPr>
          <w:p>
            <w:pPr>
              <w:pStyle w:val="TableContents"/>
              <w:bidi w:val="0"/>
              <w:spacing w:before="0" w:after="0"/>
              <w:ind w:left="0" w:right="0" w:firstLine="180"/>
              <w:jc w:val="both"/>
              <w:rPr>
                <w:rFonts w:ascii="Times New Roman" w:hAnsi="Times New Roman"/>
                <w:b/>
                <w:caps w:val="false"/>
                <w:smallCaps w:val="false"/>
                <w:sz w:val="20"/>
              </w:rPr>
            </w:pPr>
            <w:r>
              <w:rPr>
                <w:rFonts w:ascii="Times New Roman" w:hAnsi="Times New Roman"/>
                <w:b/>
                <w:caps w:val="false"/>
                <w:smallCaps w:val="false"/>
                <w:sz w:val="20"/>
              </w:rPr>
              <w:t>Subject to review under US and Dutch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This agreement</w:t>
      </w:r>
      <w:r>
        <w:rPr>
          <w:rFonts w:ascii="Times New Roman" w:hAnsi="Times New Roman"/>
          <w:caps w:val="false"/>
          <w:smallCaps w:val="false"/>
          <w:sz w:val="20"/>
        </w:rPr>
        <w:t> (the "</w:t>
      </w:r>
      <w:r>
        <w:rPr>
          <w:rFonts w:ascii="Times New Roman" w:hAnsi="Times New Roman"/>
          <w:b/>
          <w:caps w:val="false"/>
          <w:smallCaps w:val="false"/>
          <w:sz w:val="20"/>
        </w:rPr>
        <w:t>Agreement</w:t>
      </w:r>
      <w:r>
        <w:rPr>
          <w:rFonts w:ascii="Times New Roman" w:hAnsi="Times New Roman"/>
          <w:caps w:val="false"/>
          <w:smallCaps w:val="false"/>
          <w:sz w:val="20"/>
        </w:rPr>
        <w:t>") is made 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36"/>
        </w:rPr>
      </w:pPr>
      <w:r>
        <w:rPr>
          <w:rFonts w:ascii="Times New Roman" w:hAnsi="Times New Roman"/>
          <w:caps w:val="false"/>
          <w:smallCaps w:val="false"/>
          <w:sz w:val="36"/>
        </w:rPr>
        <w:t>Parties</w:t>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60"/>
        <w:gridCol w:w="290"/>
        <w:gridCol w:w="489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(1) </w:t>
            </w:r>
          </w:p>
        </w:tc>
        <w:tc>
          <w:tcPr>
            <w:tcW w:w="4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[***Laurin Hahn/Jona Christians***] </w:t>
            </w:r>
            <w:r>
              <w:rPr>
                <w:rFonts w:ascii="Times New Roman" w:hAnsi="Times New Roman"/>
                <w:caps w:val="false"/>
                <w:smallCaps w:val="false"/>
                <w:sz w:val="20"/>
              </w:rPr>
              <w:t>(the "</w:t>
            </w:r>
            <w:r>
              <w:rPr>
                <w:rFonts w:ascii="Times New Roman" w:hAnsi="Times New Roman"/>
                <w:b/>
                <w:caps w:val="false"/>
                <w:smallCaps w:val="false"/>
                <w:sz w:val="20"/>
              </w:rPr>
              <w:t>Transferor</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290"/>
        <w:gridCol w:w="681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(1) </w:t>
            </w:r>
          </w:p>
        </w:tc>
        <w:tc>
          <w:tcPr>
            <w:tcW w:w="6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 </w:t>
            </w:r>
            <w:r>
              <w:rPr>
                <w:rFonts w:ascii="Times New Roman" w:hAnsi="Times New Roman"/>
                <w:caps w:val="false"/>
                <w:smallCaps w:val="false"/>
                <w:sz w:val="20"/>
              </w:rPr>
              <w:t>as the transferee designated by Mr. Ivo-Meinert Willrodt (the "</w:t>
            </w:r>
            <w:r>
              <w:rPr>
                <w:rFonts w:ascii="Times New Roman" w:hAnsi="Times New Roman"/>
                <w:b/>
                <w:caps w:val="false"/>
                <w:smallCaps w:val="false"/>
                <w:sz w:val="20"/>
              </w:rPr>
              <w:t>Transferee 1</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0"/>
        <w:gridCol w:w="9865"/>
      </w:tblGrid>
      <w:tr>
        <w:trPr/>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(2) </w:t>
            </w:r>
          </w:p>
        </w:tc>
        <w:tc>
          <w:tcPr>
            <w:tcW w:w="98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 </w:t>
            </w:r>
            <w:r>
              <w:rPr>
                <w:rFonts w:ascii="Times New Roman" w:hAnsi="Times New Roman"/>
                <w:caps w:val="false"/>
                <w:smallCaps w:val="false"/>
                <w:sz w:val="20"/>
              </w:rPr>
              <w:t>as the transferee(s) designated by the Company (the "</w:t>
            </w:r>
            <w:r>
              <w:rPr>
                <w:rFonts w:ascii="Times New Roman" w:hAnsi="Times New Roman"/>
                <w:b/>
                <w:caps w:val="false"/>
                <w:smallCaps w:val="false"/>
                <w:sz w:val="20"/>
              </w:rPr>
              <w:t>Transferee 2</w:t>
            </w:r>
            <w:r>
              <w:rPr>
                <w:rFonts w:ascii="Times New Roman" w:hAnsi="Times New Roman"/>
                <w:caps w:val="false"/>
                <w:smallCaps w:val="false"/>
                <w:sz w:val="20"/>
              </w:rPr>
              <w:t>” and, jointly with the Transferee 1, the “</w:t>
            </w:r>
            <w:r>
              <w:rPr>
                <w:rFonts w:ascii="Times New Roman" w:hAnsi="Times New Roman"/>
                <w:b/>
                <w:caps w:val="false"/>
                <w:smallCaps w:val="false"/>
                <w:sz w:val="20"/>
              </w:rPr>
              <w:t>Transferees</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1"/>
        <w:gridCol w:w="9894"/>
      </w:tblGrid>
      <w:tr>
        <w:trPr/>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(3) </w:t>
            </w:r>
          </w:p>
        </w:tc>
        <w:tc>
          <w:tcPr>
            <w:tcW w:w="98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Sono Group N.V.</w:t>
            </w:r>
            <w:r>
              <w:rPr>
                <w:rFonts w:ascii="Times New Roman" w:hAnsi="Times New Roman"/>
                <w:caps w:val="false"/>
                <w:smallCaps w:val="false"/>
                <w:sz w:val="20"/>
              </w:rPr>
              <w:t>, a company incorporated under Dutch law (</w:t>
            </w:r>
            <w:r>
              <w:rPr>
                <w:rFonts w:ascii="Times New Roman" w:hAnsi="Times New Roman"/>
                <w:i/>
                <w:caps w:val="false"/>
                <w:smallCaps w:val="false"/>
                <w:sz w:val="20"/>
              </w:rPr>
              <w:t>naamloze vennootschap</w:t>
            </w:r>
            <w:r>
              <w:rPr>
                <w:rFonts w:ascii="Times New Roman" w:hAnsi="Times New Roman"/>
                <w:caps w:val="false"/>
                <w:smallCaps w:val="false"/>
                <w:sz w:val="20"/>
              </w:rPr>
              <w:t>) and registered with the Dutch chamber of commerce under number 80683568 (the "</w:t>
            </w:r>
            <w:r>
              <w:rPr>
                <w:rFonts w:ascii="Times New Roman" w:hAnsi="Times New Roman"/>
                <w:b/>
                <w:caps w:val="false"/>
                <w:smallCaps w:val="false"/>
                <w:sz w:val="20"/>
              </w:rPr>
              <w:t>Company</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above parties to this Agreement are collectively referred to as the "</w:t>
      </w:r>
      <w:r>
        <w:rPr>
          <w:rFonts w:ascii="Times New Roman" w:hAnsi="Times New Roman"/>
          <w:b/>
          <w:caps w:val="false"/>
          <w:smallCaps w:val="false"/>
          <w:sz w:val="20"/>
        </w:rPr>
        <w:t>Parties</w:t>
      </w:r>
      <w:r>
        <w:rPr>
          <w:rFonts w:ascii="Times New Roman" w:hAnsi="Times New Roman"/>
          <w:caps w:val="false"/>
          <w:smallCaps w:val="false"/>
          <w:sz w:val="20"/>
        </w:rPr>
        <w:t>" and individually as a "</w:t>
      </w:r>
      <w:r>
        <w:rPr>
          <w:rFonts w:ascii="Times New Roman" w:hAnsi="Times New Roman"/>
          <w:b/>
          <w:caps w:val="false"/>
          <w:smallCaps w:val="false"/>
          <w:sz w:val="20"/>
        </w:rPr>
        <w:t>Party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36"/>
        </w:rPr>
      </w:pPr>
      <w:r>
        <w:rPr>
          <w:rFonts w:ascii="Times New Roman" w:hAnsi="Times New Roman"/>
          <w:caps w:val="false"/>
          <w:smallCaps w:val="false"/>
          <w:sz w:val="36"/>
        </w:rPr>
        <w:t>Background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Reference is made to the envisaged restructuring of the Company and Sono Motors GmbH (jointly the "</w:t>
            </w:r>
            <w:r>
              <w:rPr>
                <w:rFonts w:ascii="Times New Roman" w:hAnsi="Times New Roman"/>
                <w:b/>
                <w:caps w:val="false"/>
                <w:smallCaps w:val="false"/>
                <w:sz w:val="20"/>
              </w:rPr>
              <w:t>Sono Group</w:t>
            </w:r>
            <w:r>
              <w:rPr>
                <w:rFonts w:ascii="Times New Roman" w:hAnsi="Times New Roman"/>
                <w:caps w:val="false"/>
                <w:smallCaps w:val="false"/>
                <w:sz w:val="20"/>
              </w:rPr>
              <w:t xml:space="preserve">") through the implementation of certain restructuring steps as set out in </w:t>
            </w:r>
            <w:r>
              <w:rPr>
                <w:rFonts w:ascii="Times New Roman" w:hAnsi="Times New Roman"/>
                <w:i/>
                <w:caps w:val="false"/>
                <w:smallCaps w:val="false"/>
                <w:sz w:val="20"/>
              </w:rPr>
              <w:t>inter alia</w:t>
            </w:r>
            <w:r>
              <w:rPr>
                <w:rFonts w:ascii="Times New Roman" w:hAnsi="Times New Roman"/>
                <w:caps w:val="false"/>
                <w:smallCaps w:val="false"/>
                <w:sz w:val="20"/>
              </w:rPr>
              <w:t> the restructuring agreement between Sono Group N.V. and YA II PN Ltd., to be entered into on or about the date hereof (the “</w:t>
            </w:r>
            <w:r>
              <w:rPr>
                <w:rFonts w:ascii="Times New Roman" w:hAnsi="Times New Roman"/>
                <w:b/>
                <w:caps w:val="false"/>
                <w:smallCaps w:val="false"/>
                <w:sz w:val="20"/>
              </w:rPr>
              <w:t>Restructuring Agreement</w:t>
            </w:r>
            <w:r>
              <w:rPr>
                <w:rFonts w:ascii="Times New Roman" w:hAnsi="Times New Roman"/>
                <w:caps w:val="false"/>
                <w:smallCaps w:val="false"/>
                <w:sz w:val="20"/>
              </w:rPr>
              <w:t>”), to allow the Sono Group to exit from insolvency proceedings in Germany (the "</w:t>
            </w:r>
            <w:r>
              <w:rPr>
                <w:rFonts w:ascii="Times New Roman" w:hAnsi="Times New Roman"/>
                <w:b/>
                <w:caps w:val="false"/>
                <w:smallCaps w:val="false"/>
                <w:sz w:val="20"/>
              </w:rPr>
              <w:t>Restructuring</w:t>
            </w:r>
            <w:r>
              <w:rPr>
                <w:rFonts w:ascii="Times New Roman" w:hAnsi="Times New Roman"/>
                <w:caps w:val="false"/>
                <w:smallCaps w:val="false"/>
                <w:sz w:val="20"/>
              </w:rPr>
              <w:t>" and the transactions in connection therewith and/or arising therefrom jointly the "</w:t>
            </w:r>
            <w:r>
              <w:rPr>
                <w:rFonts w:ascii="Times New Roman" w:hAnsi="Times New Roman"/>
                <w:b/>
                <w:caps w:val="false"/>
                <w:smallCaps w:val="false"/>
                <w:sz w:val="20"/>
              </w:rPr>
              <w:t>Transactions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60"/>
        <w:gridCol w:w="155"/>
        <w:gridCol w:w="416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 date of this Agreement, the Transferor holds:</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
        <w:gridCol w:w="200"/>
        <w:gridCol w:w="966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high-voting shares in the capital of the Company, each with a nominal value of EUR 1.50 (the "</w:t>
            </w:r>
            <w:r>
              <w:rPr>
                <w:rFonts w:ascii="Times New Roman" w:hAnsi="Times New Roman"/>
                <w:b/>
                <w:caps w:val="false"/>
                <w:smallCaps w:val="false"/>
                <w:sz w:val="20"/>
              </w:rPr>
              <w:t>HV Shares</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260"/>
        <w:gridCol w:w="954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ordinary shares in the capital of the Company, each with a nominal value of EUR 0.06 (the "</w:t>
            </w:r>
            <w:r>
              <w:rPr>
                <w:rFonts w:ascii="Times New Roman" w:hAnsi="Times New Roman"/>
                <w:b/>
                <w:caps w:val="false"/>
                <w:smallCaps w:val="false"/>
                <w:sz w:val="20"/>
              </w:rPr>
              <w:t>Ordinary Shares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(jointly, the "</w:t>
      </w:r>
      <w:r>
        <w:rPr>
          <w:rFonts w:ascii="Times New Roman" w:hAnsi="Times New Roman"/>
          <w:b/>
          <w:caps w:val="false"/>
          <w:smallCaps w:val="false"/>
          <w:sz w:val="20"/>
        </w:rPr>
        <w:t>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As part of the Restructuring and the Transactions, it is envisaged that the Transferor will sell and transfer, </w:t>
            </w:r>
            <w:r>
              <w:rPr>
                <w:rFonts w:ascii="Times New Roman" w:hAnsi="Times New Roman"/>
                <w:i/>
                <w:caps w:val="false"/>
                <w:smallCaps w:val="false"/>
                <w:sz w:val="20"/>
              </w:rPr>
              <w:t>inter alia</w:t>
            </w:r>
            <w:r>
              <w:rPr>
                <w:rFonts w:ascii="Times New Roman" w:hAnsi="Times New Roman"/>
                <w:caps w:val="false"/>
                <w:smallCaps w:val="false"/>
                <w:sz w:val="20"/>
              </w:rPr>
              <w:t xml:space="preserve">, the Shares to the Transferee 1 and the Transferee 2 as set out in detail in the commitment letter dated 17 November 2023 by, </w:t>
            </w:r>
            <w:r>
              <w:rPr>
                <w:rFonts w:ascii="Times New Roman" w:hAnsi="Times New Roman"/>
                <w:i/>
                <w:caps w:val="false"/>
                <w:smallCaps w:val="false"/>
                <w:sz w:val="20"/>
              </w:rPr>
              <w:t>inter alia</w:t>
            </w:r>
            <w:r>
              <w:rPr>
                <w:rFonts w:ascii="Times New Roman" w:hAnsi="Times New Roman"/>
                <w:caps w:val="false"/>
                <w:smallCaps w:val="false"/>
                <w:sz w:val="20"/>
              </w:rPr>
              <w:t>, the Transferor to the Company and Sono Motors GmbH (the “</w:t>
            </w:r>
            <w:r>
              <w:rPr>
                <w:rFonts w:ascii="Times New Roman" w:hAnsi="Times New Roman"/>
                <w:b/>
                <w:caps w:val="false"/>
                <w:smallCaps w:val="false"/>
                <w:sz w:val="20"/>
              </w:rPr>
              <w:t>Commitment Letter</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36"/>
        </w:rPr>
      </w:pPr>
      <w:r>
        <w:rPr>
          <w:rFonts w:ascii="Times New Roman" w:hAnsi="Times New Roman"/>
          <w:caps w:val="false"/>
          <w:smallCaps w:val="false"/>
          <w:sz w:val="36"/>
        </w:rPr>
        <w:t>It is agreed:</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125"/>
        <w:gridCol w:w="252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25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 and 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60"/>
        <w:gridCol w:w="275"/>
        <w:gridCol w:w="75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7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this Agreement, unless the context otherwise requires, the provisions of this clause 1 apply.</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0"/>
        <w:gridCol w:w="275"/>
        <w:gridCol w:w="37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3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this Agreement, unless otherwise specified: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715" w:type="dxa"/>
        <w:jc w:val="left"/>
        <w:tblInd w:w="0" w:type="dxa"/>
        <w:tblLayout w:type="fixed"/>
        <w:tblCellMar>
          <w:top w:w="0" w:type="dxa"/>
          <w:left w:w="0" w:type="dxa"/>
          <w:bottom w:w="0" w:type="dxa"/>
          <w:right w:w="0" w:type="dxa"/>
        </w:tblCellMar>
      </w:tblPr>
      <w:tblGrid>
        <w:gridCol w:w="60"/>
        <w:gridCol w:w="230"/>
        <w:gridCol w:w="342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3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reference to a gender includes all genders;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reference to a person includes reference to any individual, company, corporation, foundation, association, any other legal person, partnership, joint venture or any governmental authority;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reference to "include" or "including" is treated as a reference to "include without limitation" or "including without limitation";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1"/>
        <w:gridCol w:w="9904"/>
      </w:tblGrid>
      <w:tr>
        <w:trPr/>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reference to "writing" or "written" means any method of reproducing words in a legible and non-transitory form, including e-mail;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reference to any action, remedy, method or form of proceedings, court or any other legal concept or matter is a reference to the Dutch legal concept or matter or to the legal concept or matter which most closely resembles the Dutch legal concept or matter as interpreted in a Dutch law context; and</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200"/>
        <w:gridCol w:w="5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5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reference to a clause is a reference to a clause schedule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275"/>
        <w:gridCol w:w="960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9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Headings are for convenience of reference only and do not affect the interpretation of any provision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60"/>
        <w:gridCol w:w="125"/>
        <w:gridCol w:w="231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23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Sale, purchase and transfer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the terms and conditions of this Agreement, the Transferor hereby sells and transfers the following Shares to the following transferees:</w:t>
            </w:r>
          </w:p>
        </w:tc>
      </w:tr>
    </w:tbl>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60"/>
        <w:gridCol w:w="230"/>
        <w:gridCol w:w="15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Transferee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ordinary shares in the capital of the Company, each with a nominal value of EUR 0.06 (the "</w:t>
            </w:r>
            <w:r>
              <w:rPr>
                <w:rFonts w:ascii="Times New Roman" w:hAnsi="Times New Roman"/>
                <w:b/>
                <w:caps w:val="false"/>
                <w:smallCaps w:val="false"/>
                <w:sz w:val="20"/>
              </w:rPr>
              <w:t>Ordinary Shares 1</w:t>
            </w:r>
            <w:r>
              <w:rPr>
                <w:rFonts w:ascii="Times New Roman" w:hAnsi="Times New Roman"/>
                <w:caps w:val="false"/>
                <w:smallCaps w:val="false"/>
                <w:sz w:val="20"/>
              </w:rPr>
              <w:t>" or the "</w:t>
            </w:r>
            <w:r>
              <w:rPr>
                <w:rFonts w:ascii="Times New Roman" w:hAnsi="Times New Roman"/>
                <w:b/>
                <w:caps w:val="false"/>
                <w:smallCaps w:val="false"/>
                <w:sz w:val="20"/>
              </w:rPr>
              <w:t>Shares 1</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which are hereby purchased and accepted by the Transferee 1; and</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245"/>
        <w:gridCol w:w="158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Transferee 2:</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200"/>
        <w:gridCol w:w="156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HV Shares;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2"/>
        <w:gridCol w:w="9903"/>
      </w:tblGrid>
      <w:tr>
        <w:trPr/>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ordinary shares in the capital of the Company, each with a nominal value of EUR 0.06 (the "</w:t>
            </w:r>
            <w:r>
              <w:rPr>
                <w:rFonts w:ascii="Times New Roman" w:hAnsi="Times New Roman"/>
                <w:b/>
                <w:caps w:val="false"/>
                <w:smallCaps w:val="false"/>
                <w:sz w:val="20"/>
              </w:rPr>
              <w:t>Ordinary Shares 2</w:t>
            </w:r>
            <w:r>
              <w:rPr>
                <w:rFonts w:ascii="Times New Roman" w:hAnsi="Times New Roman"/>
                <w:caps w:val="false"/>
                <w:smallCaps w:val="false"/>
                <w:sz w:val="20"/>
              </w:rPr>
              <w:t>" and jointly with the HV Shares, the "</w:t>
            </w:r>
            <w:r>
              <w:rPr>
                <w:rFonts w:ascii="Times New Roman" w:hAnsi="Times New Roman"/>
                <w:b/>
                <w:caps w:val="false"/>
                <w:smallCaps w:val="false"/>
                <w:sz w:val="20"/>
              </w:rPr>
              <w:t>Shares 2</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which are hereby purchased and accepted by the Transferee 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Shares are transferred to the Transferee 1 and the Transferee 2, respectively, free and clear from any mortgage, pledge, lien (</w:t>
            </w:r>
            <w:r>
              <w:rPr>
                <w:rFonts w:ascii="Times New Roman" w:hAnsi="Times New Roman"/>
                <w:i/>
                <w:caps w:val="false"/>
                <w:smallCaps w:val="false"/>
                <w:sz w:val="20"/>
              </w:rPr>
              <w:t>retentierecht</w:t>
            </w:r>
            <w:r>
              <w:rPr>
                <w:rFonts w:ascii="Times New Roman" w:hAnsi="Times New Roman"/>
                <w:caps w:val="false"/>
                <w:smallCaps w:val="false"/>
                <w:sz w:val="20"/>
              </w:rPr>
              <w:t>), retention of title (</w:t>
            </w:r>
            <w:r>
              <w:rPr>
                <w:rFonts w:ascii="Times New Roman" w:hAnsi="Times New Roman"/>
                <w:i/>
                <w:caps w:val="false"/>
                <w:smallCaps w:val="false"/>
                <w:sz w:val="20"/>
              </w:rPr>
              <w:t>eigendomsvoorbehoud</w:t>
            </w:r>
            <w:r>
              <w:rPr>
                <w:rFonts w:ascii="Times New Roman" w:hAnsi="Times New Roman"/>
                <w:caps w:val="false"/>
                <w:smallCaps w:val="false"/>
                <w:sz w:val="20"/>
              </w:rPr>
              <w:t>), any other registered obligation (</w:t>
            </w:r>
            <w:r>
              <w:rPr>
                <w:rFonts w:ascii="Times New Roman" w:hAnsi="Times New Roman"/>
                <w:i/>
                <w:caps w:val="false"/>
                <w:smallCaps w:val="false"/>
                <w:sz w:val="20"/>
              </w:rPr>
              <w:t>kwalitatieve verplichting</w:t>
            </w:r>
            <w:r>
              <w:rPr>
                <w:rFonts w:ascii="Times New Roman" w:hAnsi="Times New Roman"/>
                <w:caps w:val="false"/>
                <w:smallCaps w:val="false"/>
                <w:sz w:val="20"/>
              </w:rPr>
              <w:t>), personal right of enjoyment or use or right to acquire, usufruct, attachment, right of first refusal or other restriction on transfer, any restriction on voting or any other third party right or security interest of any kind, or any agreement to create any of the foregoing and together with all rights attached to them, and further in accordance with the provisions of clause 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hereby acknowledges the transfer of the HV Shares effected by this Agreement and shall register the same in its register of shareholders.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05" w:type="dxa"/>
        <w:jc w:val="left"/>
        <w:tblInd w:w="0" w:type="dxa"/>
        <w:tblLayout w:type="fixed"/>
        <w:tblCellMar>
          <w:top w:w="0" w:type="dxa"/>
          <w:left w:w="0" w:type="dxa"/>
          <w:bottom w:w="0" w:type="dxa"/>
          <w:right w:w="0" w:type="dxa"/>
        </w:tblCellMar>
      </w:tblPr>
      <w:tblGrid>
        <w:gridCol w:w="60"/>
        <w:gridCol w:w="125"/>
        <w:gridCol w:w="12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12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consideration for the Shares 1 and the Shares 2 amounts to EUR 0.003 per Share, i.e., EUR [***] in the aggregate (incl. VAT, if any) (the "</w:t>
            </w:r>
            <w:r>
              <w:rPr>
                <w:rFonts w:ascii="Times New Roman" w:hAnsi="Times New Roman"/>
                <w:b/>
                <w:caps w:val="false"/>
                <w:smallCaps w:val="false"/>
                <w:sz w:val="20"/>
              </w:rPr>
              <w:t>Purchase Price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Purchase Price shall be paid by the Transferee 1 exclusively at the time, in the partial amounts and out of the funds as provided for in paragraph 3.1 (c) of the Commitment Letter, and without any deduction, withholding, set-off or suspension, in cash to the Transferor to the following bank account in name of the Transferor: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360" w:right="0" w:hanging="0"/>
        <w:jc w:val="left"/>
        <w:rPr>
          <w:rFonts w:ascii="Times New Roman" w:hAnsi="Times New Roman"/>
          <w:i/>
          <w:sz w:val="20"/>
        </w:rPr>
      </w:pPr>
      <w:r>
        <w:rPr>
          <w:rFonts w:ascii="Times New Roman" w:hAnsi="Times New Roman"/>
          <w:i/>
          <w:sz w:val="20"/>
        </w:rPr>
        <w:t>[______________________]</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360" w:right="0" w:hanging="0"/>
        <w:jc w:val="left"/>
        <w:rPr>
          <w:rFonts w:ascii="Times New Roman" w:hAnsi="Times New Roman"/>
          <w:i/>
          <w:sz w:val="20"/>
        </w:rPr>
      </w:pPr>
      <w:r>
        <w:rPr>
          <w:rFonts w:ascii="Times New Roman" w:hAnsi="Times New Roman"/>
          <w:i/>
          <w:sz w:val="20"/>
        </w:rPr>
        <w:t>[______________________]</w:t>
      </w:r>
    </w:p>
    <w:p>
      <w:pPr>
        <w:pStyle w:val="TextBody"/>
        <w:bidi w:val="0"/>
        <w:spacing w:before="0" w:after="0"/>
        <w:ind w:left="72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60"/>
        <w:gridCol w:w="125"/>
        <w:gridCol w:w="369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36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Completion of Transfer of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Transferor hereby irrevocable and unconditionally covenants and warrants towards the Transferee 1 and the Transferee 2, respectively, to instruct AST Financial - AMERICAN STOCK TRANSFER &amp; TRUST COMPANY (in future doing business as Equiniti Trust Company, LLC) as </w:t>
            </w:r>
            <w:r>
              <w:rPr>
                <w:rFonts w:ascii="Times New Roman" w:hAnsi="Times New Roman"/>
                <w:i/>
                <w:caps w:val="false"/>
                <w:smallCaps w:val="false"/>
                <w:sz w:val="20"/>
              </w:rPr>
              <w:t xml:space="preserve">transfer agent </w:t>
            </w:r>
            <w:r>
              <w:rPr>
                <w:rFonts w:ascii="Times New Roman" w:hAnsi="Times New Roman"/>
                <w:caps w:val="false"/>
                <w:smallCaps w:val="false"/>
                <w:sz w:val="20"/>
              </w:rPr>
              <w:t>to make the following security account transfers on the date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5"/>
        <w:gridCol w:w="9920"/>
      </w:tblGrid>
      <w:tr>
        <w:trPr/>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Ordinary Shares 1 are to be transferred to the following securities account of the Transferee 1: [______________________];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2"/>
        <w:gridCol w:w="9903"/>
      </w:tblGrid>
      <w:tr>
        <w:trPr/>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Ordinary Shares 2 are to be transferred to the following securities account of the Transferee 2: [______________________].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Forthwith after giving such instruction, the Transferor will provide the Transferees with written evidence that the transfer and delivery of the Ordinary Shares 1 and the Ordinary Shares 2, as referred to in clause 4.1 has occurred.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Transferor hereby represents and warrants to each of the Transferees that any further formalities or (legal) acts which must be complied with or performed for a transfer of the full and unencumbered title to the Ordinary Shares 1 and the Ordinary Shares 2 to the Transferee 1 or, respectively, the Transferee 2, shall be complied with or performed forthwith. The Company shall, insofar as necessary, fully cooperate to effect the transfer.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Transferor hereby grants full and irrevocable power of attorney to each of the Transferees and the Company, to each of them severally, with the power of substitution, to comply with all formalities and perform all (legal) acts referred to in clause 4.3 or other rules applicable to the Ordinary Shares 1 and/or the Ordinary Shares 2 must be complied with or performed for a transfer of the full and unencumbered title to the Ordinary Shares 1 to the Transferee 1 and the Ordinary Shares 2 to the Transferee 2.</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125"/>
        <w:gridCol w:w="170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17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Transfer restriction</w:t>
            </w:r>
          </w:p>
        </w:tc>
      </w:tr>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before="0" w:after="283"/>
              <w:jc w:val="left"/>
              <w:rPr/>
            </w:pPr>
            <w:r>
              <w:rPr/>
              <w:t xml:space="preserve">The share transfer restrictions provided for in article 16.1 of the Company’s articles of association (containing a prior approval system) do not apply, as the management board of the Company has granted its written approval to the contemplated transfer of the HV Shares, as evidenced by a copy of the minutes of the meeting of the management board of the Company, a copy of which has been attached to this Agreement as </w:t>
            </w:r>
            <w:r>
              <w:rPr>
                <w:b/>
                <w:u w:val="single"/>
              </w:rPr>
              <w:t>Annex</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60"/>
        <w:gridCol w:w="125"/>
        <w:gridCol w:w="99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9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Warranties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Transferor hereby represents and warrants to each of the Transferees and the Company that, on the date hereof, the following is correct: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Transferor has full and unencumbered title to the Shares 1 and the Shares 2 and is fully authorised to transfer the Shares 1 and the Shares 2 to the Transferee 1 and the Transferee 2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2"/>
        <w:gridCol w:w="9913"/>
      </w:tblGrid>
      <w:tr>
        <w:trPr/>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Shares 1 and the Shares 2 are not subject to rights of third parties or obligations to transfer to third parties or claims based on contracts of any nature.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Transferor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Transferee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Transferees understand that the Shares have not been registered under the U.S. Securities Act and may not be offered or sold in the United States or to U.S. persons unless the Shares are registered under the U.S. Securities Act, or an exemption from the registration requirements of the U.S. Securities Act is available. The Transferees further understand that the Shares will be “restricted securities” within the meaning of Rule 144(a)(3) under the Securities Act, and Transferees understands that the certificates or book-entries representing the Shares will contain a legend or notation in respect of such restrictions. The Transferees agree not to sell, transfer, pledge, hypothecate or otherwise dispose of all or any part of the Shares unless, prior thereto, (a) a registration statement covering such Shares shall be effective under the Securities Act and the transaction shall be qualified under applicable state law or (b) the transaction is exempt from the registration requirements under the Securities Act and the qualification requirements under applicable state law. Transferees further understand that the Shares may not be transferred within 40 calendar days from the closing of the sale pursuant to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certificates representing the Shares shall have endorsed thereon legends substantially as follows (and any book-entries representing the Shares shall have similar notations) and Transferees specifically acknowledge, and agree to comply with, these legends: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2160"/>
        <w:jc w:val="both"/>
        <w:rPr>
          <w:caps w:val="false"/>
          <w:smallCaps w:val="false"/>
        </w:rPr>
      </w:pPr>
      <w:r>
        <w:rPr>
          <w:caps w:val="false"/>
          <w:smallCaps w:val="false"/>
        </w:rPr>
        <w:t>“</w:t>
      </w:r>
      <w:r>
        <w:rPr>
          <w:rFonts w:ascii="Times New Roman" w:hAnsi="Times New Roman"/>
          <w:caps w:val="false"/>
          <w:smallCaps w:val="false"/>
          <w:sz w:val="20"/>
        </w:rPr>
        <w:t>THESE SHARES HAVE NOT BEEN REGISTERED UNDER THE SECURITIES ACT OF 1933. THE SHARES MAY NOT BE SOLD, TRANSFERRED OR ASSIGNED IN THE ABSENCE OF AN EFFECTIVE REGISTRATION STATEMENT FOR THESE SHARES UNDER THE SECURITIES ACT OF 1933 OR UNLESS SUCH SALE, TRANSFER, OR ASSIGNMENT IS EXEMPT FROM REGISTRATION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2160"/>
        <w:jc w:val="both"/>
        <w:rPr>
          <w:caps w:val="false"/>
          <w:smallCaps w:val="false"/>
        </w:rPr>
      </w:pPr>
      <w:r>
        <w:rPr>
          <w:caps w:val="false"/>
          <w:smallCaps w:val="false"/>
        </w:rPr>
        <w:t>“</w:t>
      </w:r>
      <w:r>
        <w:rPr>
          <w:rFonts w:ascii="Times New Roman" w:hAnsi="Times New Roman"/>
          <w:caps w:val="false"/>
          <w:smallCaps w:val="false"/>
          <w:sz w:val="20"/>
        </w:rPr>
        <w:t>PRIOR TO THE EXPIRATION OF FORTY DAYS FROM THE LATER OF (1) THE DATE ON WHICH THESE SHARES WERE FIRST OFFERED AND (2) THE DATE OF DELIVERY OF THESE SHARES, THESE SHARES MAY NOT BE OFFERED, SOLD OR DELIVERED WITHIN THE UNITED STATES OR TO A U.S. PERSON (AS DEFINED IN REGULATION S UNDER THE SECURITIES ACT) EXCEPT PURSUANT TO AN EXEMPTION FROM REGISTRATION UNDER THE SECURITIES ACT AND, IN EACH CASE, IN ACCORDANCE WITH ALL APPLICABLE SECURITIES LAWS OF ANY OTHER JURISDICTION. THE HOLDER HEREOF, BY ACQUIRING THIS SECURITY, REPRESENTS AND AGREES FOR THE BENEFIT OF THE ISSUER AND THE GUARANTOR THAT IT WILL NOTIFY ANY TRANSFEREE OF THIS SECURITY FROM IT OF THE RESALE RESTRICTIONS REFERRED TO ABOVE.”.</w:t>
      </w:r>
    </w:p>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60"/>
        <w:gridCol w:w="125"/>
        <w:gridCol w:w="77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7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Lock-up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Transferee 2 submits to the same rules that apply to the Transferors pursuant to paragraph 4 of the Commitment Letter with regard to the Shares 2 after the acquisition. The parties agree that in the event of a shortening or cancellation of the lock-up period for Transferee 2, the lock-up for the Transferors agreed in the Commitment Letter shall also be cancelled.</w:t>
      </w:r>
    </w:p>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60"/>
        <w:gridCol w:w="125"/>
        <w:gridCol w:w="165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16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Party shall, at its own expense, sign and execute such documents and perform such further acts as the other Parties may reasonably request from time to time to give full effect to, and give each Party the full benefit of, this Agreement. The Company shall bear the costs arising in connection with paragraph 4.3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Party shall pay its own costs and expenses in connection with the preparation, execution and completion of this Agreement and of any ancillary agreement, except as provided otherwise in this Agreement or as otherwise specifically agreed in writing after the date of this Agreement. All stamp, transfer, real estate transfer, registration, sales and other similar taxes or duties, levies or charges in connection with the sale and/or transfer of the Shares 1 and/or the Shares 2 shall be paid by the Transferee.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Agreement shall be treated as strictly confidential and shall not, without your prior written consent, be disclosed in whole or in part to any person, other than to your employees, directors, professional advisers and financing sources, in each case on a confidential basis; provided, however, that any Party, any party to the Commitment Letter and/or any Third Party Beneficiary (as defined in the Commitment Letter) shall be entitled to disclose this Agreement in whole or in part: (i) if required by any mandatory law, regulation or other rules (including, but not limited to, stock exchange regulations; (ii) as any Party, any party to the Commitment Letter and/or any Third Party Beneficiary deem necessary in connection with the insolvency proceedings regarding the Company and/or Sono Motors GmbH.</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275"/>
        <w:gridCol w:w="86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8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variation of this Agreement shall be effective unless in writing and signed by or on behalf of all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between the Parties.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Agreement shall, subject to any deletion or modification made under this paragraph, not be 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3.6</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as explicitly stated otherwise in this Agreement, each of the Parties waives its rights, if any, to in whole or in part annul, rescind or dissolve this Agreement. Each of the Parties waives its rights to request in whole or in part the annulment, rescission, dissolution or cancellation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845" w:type="dxa"/>
        <w:jc w:val="left"/>
        <w:tblInd w:w="0" w:type="dxa"/>
        <w:tblLayout w:type="fixed"/>
        <w:tblCellMar>
          <w:top w:w="0" w:type="dxa"/>
          <w:left w:w="0" w:type="dxa"/>
          <w:bottom w:w="0" w:type="dxa"/>
          <w:right w:w="0" w:type="dxa"/>
        </w:tblCellMar>
      </w:tblPr>
      <w:tblGrid>
        <w:gridCol w:w="60"/>
        <w:gridCol w:w="125"/>
        <w:gridCol w:w="266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26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Governing law and jurisdiction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Agreement shall be governed by German law (excluding CISG); provided, however, that the transfer of the Shares 1 and the Shares 2 shall be governed by Dutch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courts of Munich, Germany, have non-exclusive jurisdiction to settle any dispute arising out of or in connection with this Agreement (including a dispute relating to any non-contractual obligation arising out of or in connection with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1440" w:right="0" w:hanging="72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36"/>
        </w:rPr>
      </w:pPr>
      <w:r>
        <w:rPr>
          <w:rFonts w:ascii="Times New Roman" w:hAnsi="Times New Roman"/>
          <w:caps w:val="false"/>
          <w:smallCaps w:val="false"/>
          <w:sz w:val="36"/>
        </w:rP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behalf of the Transferor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w:t>
        <w:br/>
        <w:t>Name:</w:t>
        <w:b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behalf of the Transferee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w:t>
        <w:br/>
        <w:t>Name:</w:t>
        <w:b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behalf of the Transferee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w:t>
        <w:br/>
        <w:t>Name:</w:t>
        <w:b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w:t>
        <w:br/>
        <w:t>Name:</w:t>
        <w:b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Annex</w:t>
      </w:r>
      <w:r>
        <w:rPr>
          <w:rFonts w:ascii="Times New Roman" w:hAnsi="Times New Roman"/>
          <w:caps w:val="false"/>
          <w:smallCaps w:val="false"/>
          <w:sz w:val="20"/>
        </w:rPr>
        <w:br/>
      </w:r>
      <w:r>
        <w:rPr>
          <w:rFonts w:ascii="Times New Roman" w:hAnsi="Times New Roman"/>
          <w:b/>
          <w:caps w:val="false"/>
          <w:smallCaps w:val="false"/>
          <w:sz w:val="20"/>
        </w:rPr>
        <w:t>Approval management board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[Inserted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8</w:t>
      </w:r>
    </w:p>
    <w:p>
      <w:pPr>
        <w:pStyle w:val="TextBody"/>
        <w:bidi w:val="0"/>
        <w:spacing w:before="0" w:after="283"/>
        <w:jc w:val="left"/>
        <w:rPr/>
      </w:pPr>
      <w:r>
        <w:rPr/>
        <w:t> </w:t>
      </w:r>
    </w:p>
    <w:p>
      <w:pPr>
        <w:pStyle w:val="TextBody"/>
        <w:bidi w:val="0"/>
        <w:jc w:val="left"/>
        <w:rPr/>
      </w:pPr>
      <w:bookmarkStart w:id="104" w:name="ex_607678.htm"/>
      <w:bookmarkStart w:id="105" w:name="ksex_607678"/>
      <w:bookmarkEnd w:id="104"/>
      <w:bookmarkEnd w:id="105"/>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4.12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mallCaps/>
          <w:sz w:val="24"/>
        </w:rPr>
      </w:pPr>
      <w:r>
        <w:rPr>
          <w:rFonts w:ascii="Times New Roman" w:hAnsi="Times New Roman"/>
          <w:b/>
          <w:smallCaps/>
          <w:sz w:val="24"/>
        </w:rPr>
        <w:t>SETTLEMENT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60"/>
        <w:gridCol w:w="170"/>
        <w:gridCol w:w="16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1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SONO Group N.V.</w:t>
            </w:r>
            <w:r>
              <w:rPr>
                <w:rFonts w:ascii="Times New Roman;Times;serif" w:hAnsi="Times New Roman;Times;serif"/>
                <w:caps w:val="false"/>
                <w:smallCaps w:val="false"/>
                <w:sz w:val="20"/>
              </w:rPr>
              <w:t>,</w:t>
            </w:r>
          </w:p>
        </w:tc>
      </w:tr>
    </w:tbl>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Waldmeisterstraße 76, 80935 München, Germany</w:t>
      </w:r>
    </w:p>
    <w:p>
      <w:pPr>
        <w:pStyle w:val="TextBody"/>
        <w:bidi w:val="0"/>
        <w:spacing w:before="0" w:after="0"/>
        <w:ind w:left="0" w:right="0" w:hanging="0"/>
        <w:jc w:val="right"/>
        <w:rPr>
          <w:caps w:val="false"/>
          <w:smallCaps w:val="false"/>
        </w:rPr>
      </w:pPr>
      <w:r>
        <w:rPr>
          <w:caps w:val="false"/>
          <w:smallCaps w:val="false"/>
        </w:rPr>
        <w:t>– “</w:t>
      </w:r>
      <w:r>
        <w:rPr>
          <w:rFonts w:ascii="Times New Roman" w:hAnsi="Times New Roman"/>
          <w:b/>
          <w:caps w:val="false"/>
          <w:smallCaps w:val="false"/>
          <w:sz w:val="20"/>
        </w:rPr>
        <w:t>NV</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0"/>
        <w:gridCol w:w="170"/>
        <w:gridCol w:w="1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1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SONO GmbH</w:t>
            </w:r>
            <w:r>
              <w:rPr>
                <w:rFonts w:ascii="Times New Roman;Times;serif" w:hAnsi="Times New Roman;Times;serif"/>
                <w:caps w:val="false"/>
                <w:smallCaps w:val="false"/>
                <w:sz w:val="20"/>
              </w:rPr>
              <w:t>,</w:t>
            </w:r>
          </w:p>
        </w:tc>
      </w:tr>
    </w:tbl>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Waldmeisterstraße 76, 80935 München, Germany</w:t>
      </w:r>
    </w:p>
    <w:p>
      <w:pPr>
        <w:pStyle w:val="TextBody"/>
        <w:bidi w:val="0"/>
        <w:spacing w:before="0" w:after="0"/>
        <w:ind w:left="0" w:right="0" w:hanging="0"/>
        <w:jc w:val="right"/>
        <w:rPr>
          <w:caps w:val="false"/>
          <w:smallCaps w:val="false"/>
        </w:rPr>
      </w:pPr>
      <w:r>
        <w:rPr>
          <w:caps w:val="false"/>
          <w:smallCaps w:val="false"/>
        </w:rPr>
        <w:t>– “</w:t>
      </w:r>
      <w:r>
        <w:rPr>
          <w:rFonts w:ascii="Times New Roman" w:hAnsi="Times New Roman"/>
          <w:b/>
          <w:caps w:val="false"/>
          <w:smallCaps w:val="false"/>
          <w:sz w:val="20"/>
        </w:rPr>
        <w:t>GmbH</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 w:hAnsi="Times New Roman"/>
          <w:caps w:val="false"/>
          <w:smallCaps w:val="false"/>
          <w:sz w:val="20"/>
        </w:rPr>
        <w:t>NV and GmbH each a “</w:t>
      </w:r>
      <w:r>
        <w:rPr>
          <w:rFonts w:ascii="Times New Roman" w:hAnsi="Times New Roman"/>
          <w:b/>
          <w:caps w:val="false"/>
          <w:smallCaps w:val="false"/>
          <w:sz w:val="20"/>
        </w:rPr>
        <w:t>Party</w:t>
      </w:r>
      <w:r>
        <w:rPr>
          <w:rFonts w:ascii="Times New Roman" w:hAnsi="Times New Roman"/>
          <w:caps w:val="false"/>
          <w:smallCaps w:val="false"/>
          <w:sz w:val="20"/>
        </w:rPr>
        <w:t>” and, collectively, the “</w:t>
      </w:r>
      <w:r>
        <w:rPr>
          <w:rFonts w:ascii="Times New Roman" w:hAnsi="Times New Roman"/>
          <w:b/>
          <w:caps w:val="false"/>
          <w:smallCaps w:val="false"/>
          <w:sz w:val="20"/>
        </w:rPr>
        <w:t>Parties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THIS SETTLEMENT AGREEMENT</w:t>
      </w:r>
      <w:r>
        <w:rPr>
          <w:rFonts w:ascii="Times New Roman" w:hAnsi="Times New Roman"/>
          <w:caps w:val="false"/>
          <w:smallCaps w:val="false"/>
          <w:sz w:val="20"/>
        </w:rPr>
        <w:t xml:space="preserve"> (the “</w:t>
      </w:r>
      <w:r>
        <w:rPr>
          <w:rFonts w:ascii="Times New Roman" w:hAnsi="Times New Roman"/>
          <w:b/>
          <w:caps w:val="false"/>
          <w:smallCaps w:val="false"/>
          <w:sz w:val="20"/>
        </w:rPr>
        <w:t>Settlement Agreement</w:t>
      </w:r>
      <w:r>
        <w:rPr>
          <w:rFonts w:ascii="Times New Roman" w:hAnsi="Times New Roman"/>
          <w:caps w:val="false"/>
          <w:smallCaps w:val="false"/>
          <w:sz w:val="20"/>
        </w:rPr>
        <w:t>”) is dated 18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18 November 2023, the Parties – with the consent of the preliminary custodian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 Sachwalterin</w:t>
      </w:r>
      <w:r>
        <w:rPr>
          <w:rFonts w:ascii="Times New Roman" w:hAnsi="Times New Roman"/>
          <w:caps w:val="false"/>
          <w:smallCaps w:val="false"/>
          <w:sz w:val="20"/>
        </w:rPr>
        <w:t>) of NV and of the custodian (</w:t>
      </w:r>
      <w:r>
        <w:rPr>
          <w:rFonts w:ascii="Times New Roman" w:hAnsi="Times New Roman"/>
          <w:i/>
          <w:caps w:val="false"/>
          <w:smallCaps w:val="false"/>
          <w:sz w:val="20"/>
        </w:rPr>
        <w:t>Sachwalter</w:t>
      </w:r>
      <w:r>
        <w:rPr>
          <w:rFonts w:ascii="Times New Roman" w:hAnsi="Times New Roman"/>
          <w:caps w:val="false"/>
          <w:smallCaps w:val="false"/>
          <w:sz w:val="20"/>
        </w:rPr>
        <w:t>) of GmbH – entered into an agreement with respect to the restructuring of GmbH (the “</w:t>
      </w:r>
      <w:r>
        <w:rPr>
          <w:rFonts w:ascii="Times New Roman" w:hAnsi="Times New Roman"/>
          <w:b/>
          <w:caps w:val="false"/>
          <w:smallCaps w:val="false"/>
          <w:sz w:val="20"/>
        </w:rPr>
        <w:t>Continuation Agreement</w:t>
      </w:r>
      <w:r>
        <w:rPr>
          <w:rFonts w:ascii="Times New Roman" w:hAnsi="Times New Roman"/>
          <w:caps w:val="false"/>
          <w:smallCaps w:val="false"/>
          <w:sz w:val="20"/>
        </w:rPr>
        <w:t>”). This Settlement Agreement forms and integral part of the Continuation Agreement and by having entered into the Continuation Agreement the Parties also have entered into this Settlement Agreement.</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170"/>
        <w:gridCol w:w="16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1.</w:t>
            </w:r>
          </w:p>
        </w:tc>
        <w:tc>
          <w:tcPr>
            <w:tcW w:w="1625"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EFFECTIVENESS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This Settlement Agreement comes into effect on the day on which the Closing Condition (Section 4 para. (3)) of the Continuation Agreement) is satisfied, as provided for in the Continuation Agreement</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70"/>
        <w:gridCol w:w="13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2.</w:t>
            </w:r>
          </w:p>
        </w:tc>
        <w:tc>
          <w:tcPr>
            <w:tcW w:w="1385"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SETTLEMENT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 this Settlement Agreement, the Parties settle each and any of GmbH’s claims against NV and each and any of NV’s claims against GmbH under the “Hard Comfort Letter (</w:t>
            </w:r>
            <w:r>
              <w:rPr>
                <w:rFonts w:ascii="Times New Roman;Times;serif" w:hAnsi="Times New Roman;Times;serif"/>
                <w:i/>
                <w:caps w:val="false"/>
                <w:smallCaps w:val="false"/>
                <w:sz w:val="20"/>
              </w:rPr>
              <w:t>Harte Patronatserkl</w:t>
            </w:r>
            <w:r>
              <w:rPr>
                <w:rFonts w:ascii="Times New Roman;Times;serif" w:hAnsi="Times New Roman;Times;serif"/>
                <w:caps w:val="false"/>
                <w:smallCaps w:val="false"/>
                <w:sz w:val="20"/>
              </w:rPr>
              <w:t>ä</w:t>
            </w:r>
            <w:r>
              <w:rPr>
                <w:rFonts w:ascii="Times New Roman;Times;serif" w:hAnsi="Times New Roman;Times;serif"/>
                <w:i/>
                <w:caps w:val="false"/>
                <w:smallCaps w:val="false"/>
                <w:sz w:val="20"/>
              </w:rPr>
              <w:t>rung)</w:t>
            </w:r>
            <w:r>
              <w:rPr>
                <w:rFonts w:ascii="Times New Roman;Times;serif" w:hAnsi="Times New Roman;Times;serif"/>
                <w:caps w:val="false"/>
                <w:smallCaps w:val="false"/>
                <w:sz w:val="20"/>
              </w:rPr>
              <w:t>” issued by NV to GmbH on 11 January 2021 and the “</w:t>
            </w:r>
            <w:r>
              <w:rPr>
                <w:rFonts w:ascii="Times New Roman;Times;serif" w:hAnsi="Times New Roman;Times;serif"/>
                <w:i/>
                <w:caps w:val="false"/>
                <w:smallCaps w:val="false"/>
                <w:sz w:val="20"/>
              </w:rPr>
              <w:t>Patronatserkl</w:t>
            </w:r>
            <w:r>
              <w:rPr>
                <w:rFonts w:ascii="Times New Roman;Times;serif" w:hAnsi="Times New Roman;Times;serif"/>
                <w:caps w:val="false"/>
                <w:smallCaps w:val="false"/>
                <w:sz w:val="20"/>
              </w:rPr>
              <w:t>ä</w:t>
            </w:r>
            <w:r>
              <w:rPr>
                <w:rFonts w:ascii="Times New Roman;Times;serif" w:hAnsi="Times New Roman;Times;serif"/>
                <w:i/>
                <w:caps w:val="false"/>
                <w:smallCaps w:val="false"/>
                <w:sz w:val="20"/>
              </w:rPr>
              <w:t>rung zugunsten der Sono Motors GmbH</w:t>
            </w:r>
            <w:r>
              <w:rPr>
                <w:rFonts w:ascii="Times New Roman;Times;serif" w:hAnsi="Times New Roman;Times;serif"/>
                <w:caps w:val="false"/>
                <w:smallCaps w:val="false"/>
                <w:sz w:val="20"/>
              </w:rPr>
              <w:t>” issued by NV to GmbH on 30 March 2022 (the “Hard Comfort Letter (</w:t>
            </w:r>
            <w:r>
              <w:rPr>
                <w:rFonts w:ascii="Times New Roman;Times;serif" w:hAnsi="Times New Roman;Times;serif"/>
                <w:i/>
                <w:caps w:val="false"/>
                <w:smallCaps w:val="false"/>
                <w:sz w:val="20"/>
              </w:rPr>
              <w:t>Harte Patronatserkl</w:t>
            </w:r>
            <w:r>
              <w:rPr>
                <w:rFonts w:ascii="Times New Roman;Times;serif" w:hAnsi="Times New Roman;Times;serif"/>
                <w:caps w:val="false"/>
                <w:smallCaps w:val="false"/>
                <w:sz w:val="20"/>
              </w:rPr>
              <w:t>ä</w:t>
            </w:r>
            <w:r>
              <w:rPr>
                <w:rFonts w:ascii="Times New Roman;Times;serif" w:hAnsi="Times New Roman;Times;serif"/>
                <w:i/>
                <w:caps w:val="false"/>
                <w:smallCaps w:val="false"/>
                <w:sz w:val="20"/>
              </w:rPr>
              <w:t>rung)</w:t>
            </w:r>
            <w:r>
              <w:rPr>
                <w:rFonts w:ascii="Times New Roman;Times;serif" w:hAnsi="Times New Roman;Times;serif"/>
                <w:caps w:val="false"/>
                <w:smallCaps w:val="false"/>
                <w:sz w:val="20"/>
              </w:rPr>
              <w:t>” and the “</w:t>
            </w:r>
            <w:r>
              <w:rPr>
                <w:rFonts w:ascii="Times New Roman;Times;serif" w:hAnsi="Times New Roman;Times;serif"/>
                <w:i/>
                <w:caps w:val="false"/>
                <w:smallCaps w:val="false"/>
                <w:sz w:val="20"/>
              </w:rPr>
              <w:t>Patronatserkl</w:t>
            </w:r>
            <w:r>
              <w:rPr>
                <w:rFonts w:ascii="Times New Roman;Times;serif" w:hAnsi="Times New Roman;Times;serif"/>
                <w:caps w:val="false"/>
                <w:smallCaps w:val="false"/>
                <w:sz w:val="20"/>
              </w:rPr>
              <w:t>ä</w:t>
            </w:r>
            <w:r>
              <w:rPr>
                <w:rFonts w:ascii="Times New Roman;Times;serif" w:hAnsi="Times New Roman;Times;serif"/>
                <w:i/>
                <w:caps w:val="false"/>
                <w:smallCaps w:val="false"/>
                <w:sz w:val="20"/>
              </w:rPr>
              <w:t>rung zugunsten der Sono Motors GmbH</w:t>
            </w:r>
            <w:r>
              <w:rPr>
                <w:rFonts w:ascii="Times New Roman;Times;serif" w:hAnsi="Times New Roman;Times;serif"/>
                <w:caps w:val="false"/>
                <w:smallCaps w:val="false"/>
                <w:sz w:val="20"/>
              </w:rPr>
              <w:t>” jointly referred to as the “</w:t>
            </w:r>
            <w:r>
              <w:rPr>
                <w:rFonts w:ascii="Times New Roman;Times;serif" w:hAnsi="Times New Roman;Times;serif"/>
                <w:b/>
                <w:caps w:val="false"/>
                <w:smallCaps w:val="false"/>
                <w:sz w:val="20"/>
              </w:rPr>
              <w:t>Letters of Comfort</w:t>
            </w:r>
            <w:r>
              <w:rPr>
                <w:rFonts w:ascii="Times New Roman;Times;serif" w:hAnsi="Times New Roman;Times;serif"/>
                <w:caps w:val="false"/>
                <w:smallCaps w:val="false"/>
                <w:sz w:val="20"/>
              </w:rPr>
              <w:t>”) and – except for the Excluded Claims – all other claims between the Parties existing at the time of the signing of the Continuation Agreement – under whatsoever legal reason, and whether known or unknown – such as, but not limited to, payables and receivables on the clearing account and claims based on tax group (the “</w:t>
            </w:r>
            <w:r>
              <w:rPr>
                <w:rFonts w:ascii="Times New Roman;Times;serif" w:hAnsi="Times New Roman;Times;serif"/>
                <w:b/>
                <w:caps w:val="false"/>
                <w:smallCaps w:val="false"/>
                <w:sz w:val="20"/>
              </w:rPr>
              <w:t>Settled Claims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240" w:type="dxa"/>
        <w:jc w:val="left"/>
        <w:tblInd w:w="0" w:type="dxa"/>
        <w:tblLayout w:type="fixed"/>
        <w:tblCellMar>
          <w:top w:w="0" w:type="dxa"/>
          <w:left w:w="0" w:type="dxa"/>
          <w:bottom w:w="0" w:type="dxa"/>
          <w:right w:w="0" w:type="dxa"/>
        </w:tblCellMar>
      </w:tblPr>
      <w:tblGrid>
        <w:gridCol w:w="275"/>
        <w:gridCol w:w="696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6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claims (the “</w:t>
            </w:r>
            <w:r>
              <w:rPr>
                <w:rFonts w:ascii="Times New Roman;Times;serif" w:hAnsi="Times New Roman;Times;serif"/>
                <w:b/>
                <w:caps w:val="false"/>
                <w:smallCaps w:val="false"/>
                <w:sz w:val="20"/>
              </w:rPr>
              <w:t>Excluded Claims</w:t>
            </w:r>
            <w:r>
              <w:rPr>
                <w:rFonts w:ascii="Times New Roman;Times;serif" w:hAnsi="Times New Roman;Times;serif"/>
                <w:caps w:val="false"/>
                <w:smallCaps w:val="false"/>
                <w:sz w:val="20"/>
              </w:rPr>
              <w:t>”) shall be excluded from the settlement: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claims of a Party under, or in connection with, the Continuation Agreement (including, but not limited to, claims of a Party under the Commitment Letter, the Back-to-Back LoC, and the Declaration of Undertaking (each as defined in the Continuation Agreement); and/or</w:t>
            </w:r>
          </w:p>
        </w:tc>
      </w:tr>
    </w:tbl>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60"/>
        <w:gridCol w:w="245"/>
        <w:gridCol w:w="92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claims of a Party against the respective other Party not existing at the time of the date of this Agreement; and/or</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60"/>
        <w:gridCol w:w="230"/>
        <w:gridCol w:w="765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76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avoidance of doubt, all claims under, or in connection with, this Settlement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NV shall make a settlement payment (the “</w:t>
            </w:r>
            <w:r>
              <w:rPr>
                <w:rFonts w:ascii="Times New Roman;Times;serif" w:hAnsi="Times New Roman;Times;serif"/>
                <w:b/>
                <w:caps w:val="false"/>
                <w:smallCaps w:val="false"/>
                <w:sz w:val="20"/>
              </w:rPr>
              <w:t>Settlement Payment</w:t>
            </w:r>
            <w:r>
              <w:rPr>
                <w:rFonts w:ascii="Times New Roman;Times;serif" w:hAnsi="Times New Roman;Times;serif"/>
                <w:caps w:val="false"/>
                <w:smallCaps w:val="false"/>
                <w:sz w:val="20"/>
              </w:rPr>
              <w:t>”) which shall be equal to the Available NV Cash (as defined in the Restructuring Agreement (Exhibit P.4 to the Continuation Agreement)) minus (i) the Cash Left-Over and minus (ii) the Actual NV Waterfall Payments. “</w:t>
            </w:r>
            <w:r>
              <w:rPr>
                <w:rFonts w:ascii="Times New Roman;Times;serif" w:hAnsi="Times New Roman;Times;serif"/>
                <w:b/>
                <w:caps w:val="false"/>
                <w:smallCaps w:val="false"/>
                <w:sz w:val="20"/>
              </w:rPr>
              <w:t>Actual NV Waterfall Payments</w:t>
            </w:r>
            <w:r>
              <w:rPr>
                <w:rFonts w:ascii="Times New Roman;Times;serif" w:hAnsi="Times New Roman;Times;serif"/>
                <w:caps w:val="false"/>
                <w:smallCaps w:val="false"/>
                <w:sz w:val="20"/>
              </w:rPr>
              <w:t>” shall mean all payments actually made by NV and/or the trustee of NV’s creditors under the NV Waterfall (as defined in the Restructuring Agreement), to creditors under the NV Waterfall (excluding the EUR 4,000,000 payment to GmbH as envisaged under the NV Waterfall in line #13) in accordance with the Restructuring Agreement. The Settlement Payment shall be made to a trustee for the creditors of GmbH as designated by GmbH. The Parties estimate that the Settlement Payment will amount to approx. EUR 4,000,000.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Example (for illustration purposes, assuming that the Actual NV Waterfall Payments amount to EUR 2,279,000):</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28" w:type="dxa"/>
          <w:left w:w="28" w:type="dxa"/>
          <w:bottom w:w="28" w:type="dxa"/>
          <w:right w:w="0" w:type="dxa"/>
        </w:tblCellMar>
      </w:tblPr>
      <w:tblGrid>
        <w:gridCol w:w="2855"/>
        <w:gridCol w:w="2000"/>
      </w:tblGrid>
      <w:tr>
        <w:trPr/>
        <w:tc>
          <w:tcPr>
            <w:tcW w:w="2855" w:type="dxa"/>
            <w:tcBorders>
              <w:top w:val="single" w:sz="2" w:space="0" w:color="000000"/>
              <w:left w:val="single" w:sz="2" w:space="0" w:color="000000"/>
              <w:bottom w:val="single" w:sz="2" w:space="0" w:color="000000"/>
            </w:tcBorders>
            <w:vAlign w:val="center"/>
          </w:tcPr>
          <w:p>
            <w:pPr>
              <w:pStyle w:val="TableContents"/>
              <w:bidi w:val="0"/>
              <w:spacing w:before="0" w:after="0"/>
              <w:ind w:left="580" w:right="0" w:hanging="0"/>
              <w:jc w:val="right"/>
              <w:rPr>
                <w:rFonts w:ascii="Times New Roman" w:hAnsi="Times New Roman"/>
                <w:caps w:val="false"/>
                <w:smallCaps w:val="false"/>
                <w:sz w:val="20"/>
              </w:rPr>
            </w:pPr>
            <w:r>
              <w:rPr>
                <w:rFonts w:ascii="Times New Roman" w:hAnsi="Times New Roman"/>
                <w:caps w:val="false"/>
                <w:smallCaps w:val="false"/>
                <w:sz w:val="20"/>
              </w:rPr>
              <w:t>Available NV Cash</w:t>
            </w:r>
          </w:p>
        </w:tc>
        <w:tc>
          <w:tcPr>
            <w:tcW w:w="200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firstLine="720"/>
              <w:jc w:val="right"/>
              <w:rPr>
                <w:rFonts w:ascii="Times New Roman" w:hAnsi="Times New Roman"/>
                <w:caps w:val="false"/>
                <w:smallCaps w:val="false"/>
                <w:sz w:val="20"/>
              </w:rPr>
            </w:pPr>
            <w:r>
              <w:rPr>
                <w:rFonts w:ascii="Times New Roman" w:hAnsi="Times New Roman"/>
                <w:caps w:val="false"/>
                <w:smallCaps w:val="false"/>
                <w:sz w:val="20"/>
              </w:rPr>
              <w:t>EUR 8,327,000</w:t>
            </w:r>
          </w:p>
        </w:tc>
      </w:tr>
      <w:tr>
        <w:trPr/>
        <w:tc>
          <w:tcPr>
            <w:tcW w:w="28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Cash Left-Over</w:t>
            </w:r>
          </w:p>
        </w:tc>
        <w:tc>
          <w:tcPr>
            <w:tcW w:w="200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EUR 2,048,000</w:t>
            </w:r>
          </w:p>
        </w:tc>
      </w:tr>
      <w:tr>
        <w:trPr/>
        <w:tc>
          <w:tcPr>
            <w:tcW w:w="28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Actual NV Waterfall Payments</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(EUR 6,279,000 – EUR 4,000,000)</w:t>
            </w:r>
          </w:p>
        </w:tc>
        <w:tc>
          <w:tcPr>
            <w:tcW w:w="200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EUR 2,279,000</w:t>
            </w:r>
          </w:p>
        </w:tc>
      </w:tr>
      <w:tr>
        <w:trPr/>
        <w:tc>
          <w:tcPr>
            <w:tcW w:w="28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Settlement Payment</w:t>
            </w:r>
          </w:p>
        </w:tc>
        <w:tc>
          <w:tcPr>
            <w:tcW w:w="200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EUR 4,000,000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Subject to the receipt of the Settlement Payment by GmbH in full, GmbH and NV hereby terminate the Letters of Comfort with immediate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receipt of the Settlement Payment by GmbH in full, GmbH hereby waives all of its Settled Claims against NV, and NV hereby accepts this waiver.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this Settlement Agreement having become effective, NV hereby waives all of its Settled Claims against GmbH, and GmbH hereby accepts this waiver.</w:t>
            </w:r>
          </w:p>
        </w:tc>
      </w:tr>
    </w:tbl>
    <w:p>
      <w:pPr>
        <w:pStyle w:val="TextBody"/>
        <w:bidi w:val="0"/>
        <w:spacing w:before="0" w:after="0"/>
        <w:ind w:left="0" w:right="0" w:hanging="0"/>
        <w:jc w:val="left"/>
        <w:rPr>
          <w:caps w:val="false"/>
          <w:smallCaps w:val="false"/>
        </w:rPr>
      </w:pPr>
      <w:r>
        <w:rPr>
          <w:caps w:val="false"/>
          <w:smallCaps w:val="false"/>
        </w:rPr>
        <w:t> </w:t>
      </w:r>
    </w:p>
    <w:tbl>
      <w:tblPr>
        <w:tblW w:w="820" w:type="dxa"/>
        <w:jc w:val="left"/>
        <w:tblInd w:w="0" w:type="dxa"/>
        <w:tblLayout w:type="fixed"/>
        <w:tblCellMar>
          <w:top w:w="0" w:type="dxa"/>
          <w:left w:w="0" w:type="dxa"/>
          <w:bottom w:w="0" w:type="dxa"/>
          <w:right w:w="0" w:type="dxa"/>
        </w:tblCellMar>
      </w:tblPr>
      <w:tblGrid>
        <w:gridCol w:w="170"/>
        <w:gridCol w:w="6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3.</w:t>
            </w:r>
          </w:p>
        </w:tc>
        <w:tc>
          <w:tcPr>
            <w:tcW w:w="650"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Each Party shall bear its own costs (including own advisors) arising from or in connection with this Settlement Agreement, its preparation, execution and/or consummation.</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170"/>
        <w:gridCol w:w="18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4.</w:t>
            </w:r>
          </w:p>
        </w:tc>
        <w:tc>
          <w:tcPr>
            <w:tcW w:w="1850"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FINAL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Rights and obligations under this Settlement Agreement may not be assigned or transferred – wholly or partially – without the prior written consent of the respective other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set-off or retention right of NV and/or GmbH shall be excluded, unless the existence of such right is undisputed or confirmed by a final court decision.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Under otherwise explicitly provided for and this Settlement Agreement, any amendment or supplement to this Settlement Agreement must be made and writing to be effective unless a stricter form is required by law. This shall also apply to any deviation from this written form requirement.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any provision of this Settlement Agreement is invalid or unenforceable in whole or in part, the validity and enforceability of all other provisions of this Settlement Agreement shall not be affected thereby. The invalid or unenforceable provision shall be deemed to be replaced by the valid and enforceable provision which comes closer to the economic proposes perused by the Parties. The same shall apply to any commissions in this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Settlement Agreement is subject to German (substantive) law. The Vienna-UN-Convention on contracts for the international sale of goods (CISG) shall not apply. The place of jurisdiction for all disputes arising from or in connection with this Settlement Agreement shall be Munich, to the extent legally permissible, such place of jurisdiction shall be exclusive.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Page 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personal liability of the preliminary custodian (</w:t>
            </w:r>
            <w:r>
              <w:rPr>
                <w:rFonts w:ascii="Times New Roman;Times;serif" w:hAnsi="Times New Roman;Times;serif"/>
                <w:i/>
                <w:caps w:val="false"/>
                <w:smallCaps w:val="false"/>
                <w:sz w:val="20"/>
              </w:rPr>
              <w:t>vorl</w:t>
            </w:r>
            <w:r>
              <w:rPr>
                <w:rFonts w:ascii="Times New Roman;Times;serif" w:hAnsi="Times New Roman;Times;serif"/>
                <w:caps w:val="false"/>
                <w:smallCaps w:val="false"/>
                <w:sz w:val="20"/>
              </w:rPr>
              <w:t>ä</w:t>
            </w:r>
            <w:r>
              <w:rPr>
                <w:rFonts w:ascii="Times New Roman;Times;serif" w:hAnsi="Times New Roman;Times;serif"/>
                <w:i/>
                <w:caps w:val="false"/>
                <w:smallCaps w:val="false"/>
                <w:sz w:val="20"/>
              </w:rPr>
              <w:t>ufige Sachwalterin</w:t>
            </w:r>
            <w:r>
              <w:rPr>
                <w:rFonts w:ascii="Times New Roman;Times;serif" w:hAnsi="Times New Roman;Times;serif"/>
                <w:caps w:val="false"/>
                <w:smallCaps w:val="false"/>
                <w:sz w:val="20"/>
              </w:rPr>
              <w:t>) of NV, the custodian (</w:t>
            </w:r>
            <w:r>
              <w:rPr>
                <w:rFonts w:ascii="Times New Roman;Times;serif" w:hAnsi="Times New Roman;Times;serif"/>
                <w:i/>
                <w:caps w:val="false"/>
                <w:smallCaps w:val="false"/>
                <w:sz w:val="20"/>
              </w:rPr>
              <w:t>Sachwalter</w:t>
            </w:r>
            <w:r>
              <w:rPr>
                <w:rFonts w:ascii="Times New Roman;Times;serif" w:hAnsi="Times New Roman;Times;serif"/>
                <w:caps w:val="false"/>
                <w:smallCaps w:val="false"/>
                <w:sz w:val="20"/>
              </w:rPr>
              <w:t>) of GmbH, the management of NV and/or the management of GmbH (including, in each case, of their respective representatives and advisors) under or in connection with this Settlement Agreement, in particular pursuant to Sec. 60, 61 InsO (including their analogous application), shall be excluded (genuine contract for the benefit of third parties pursuant to Sec. 328 BGB); this shall not apply in case of intent or fraudulent intent.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28" w:type="dxa"/>
          <w:right w:w="0" w:type="dxa"/>
        </w:tblCellMar>
      </w:tblPr>
      <w:tblGrid>
        <w:gridCol w:w="2930"/>
        <w:gridCol w:w="60"/>
        <w:gridCol w:w="2930"/>
        <w:gridCol w:w="60"/>
      </w:tblGrid>
      <w:tr>
        <w:trPr/>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Torsten Kiedel</w:t>
            </w:r>
          </w:p>
        </w:tc>
        <w:tc>
          <w:tcPr>
            <w:tcW w:w="60" w:type="dxa"/>
            <w:tcBorders/>
            <w:tcMar>
              <w:bottom w:w="0" w:type="dxa"/>
            </w:tcMar>
            <w:vAlign w:val="center"/>
          </w:tcPr>
          <w:p>
            <w:pPr>
              <w:pStyle w:val="TableContents"/>
              <w:bidi w:val="0"/>
              <w:spacing w:before="0" w:after="283"/>
              <w:jc w:val="left"/>
              <w:rPr/>
            </w:pPr>
            <w:r>
              <w:rPr/>
              <w:t> </w:t>
            </w:r>
          </w:p>
        </w:tc>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Torsten Kiedel</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GmbH</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Torsten Kiedel</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Torsten Kiedel</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 Christians</w:t>
            </w:r>
          </w:p>
        </w:tc>
        <w:tc>
          <w:tcPr>
            <w:tcW w:w="60" w:type="dxa"/>
            <w:tcBorders/>
            <w:tcMar>
              <w:bottom w:w="0" w:type="dxa"/>
            </w:tcMar>
            <w:vAlign w:val="center"/>
          </w:tcPr>
          <w:p>
            <w:pPr>
              <w:pStyle w:val="TableContents"/>
              <w:bidi w:val="0"/>
              <w:spacing w:before="0" w:after="283"/>
              <w:jc w:val="left"/>
              <w:rPr/>
            </w:pPr>
            <w:r>
              <w:rPr/>
              <w:t> </w:t>
            </w:r>
          </w:p>
        </w:tc>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 Christians</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GmbH</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Jona Christians</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Jona Christians</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Markus Volmer</w:t>
            </w:r>
          </w:p>
        </w:tc>
        <w:tc>
          <w:tcPr>
            <w:tcW w:w="60" w:type="dxa"/>
            <w:tcBorders/>
            <w:tcMar>
              <w:bottom w:w="0" w:type="dxa"/>
            </w:tcMar>
            <w:vAlign w:val="center"/>
          </w:tcPr>
          <w:p>
            <w:pPr>
              <w:pStyle w:val="TableContents"/>
              <w:bidi w:val="0"/>
              <w:spacing w:before="0" w:after="283"/>
              <w:jc w:val="left"/>
              <w:rPr/>
            </w:pPr>
            <w:r>
              <w:rPr/>
              <w:t> </w:t>
            </w:r>
          </w:p>
        </w:tc>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Markus Volmer</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GmbH</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Markus Volmer</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Markus Volmer</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Christian Plail</w:t>
            </w:r>
          </w:p>
        </w:tc>
        <w:tc>
          <w:tcPr>
            <w:tcW w:w="60" w:type="dxa"/>
            <w:tcBorders/>
            <w:tcMar>
              <w:bottom w:w="0" w:type="dxa"/>
            </w:tcMar>
            <w:vAlign w:val="center"/>
          </w:tcPr>
          <w:p>
            <w:pPr>
              <w:pStyle w:val="TableContents"/>
              <w:bidi w:val="0"/>
              <w:spacing w:before="0" w:after="283"/>
              <w:jc w:val="left"/>
              <w:rPr/>
            </w:pPr>
            <w:r>
              <w:rPr/>
              <w:t> </w:t>
            </w:r>
          </w:p>
        </w:tc>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Dirk Schoene</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GmbH</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Generalhandlungsbevollm</w:t>
            </w:r>
            <w:r>
              <w:rPr>
                <w:rFonts w:ascii="Times New Roman" w:hAnsi="Times New Roman"/>
                <w:caps w:val="false"/>
                <w:smallCaps w:val="false"/>
                <w:sz w:val="20"/>
              </w:rPr>
              <w:t>ä</w:t>
            </w:r>
            <w:r>
              <w:rPr>
                <w:rFonts w:ascii="Times New Roman" w:hAnsi="Times New Roman"/>
                <w:i/>
                <w:caps w:val="false"/>
                <w:smallCaps w:val="false"/>
                <w:sz w:val="20"/>
              </w:rPr>
              <w:t>chtigter</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Generalhandlungsbevollm</w:t>
            </w:r>
            <w:r>
              <w:rPr>
                <w:rFonts w:ascii="Times New Roman" w:hAnsi="Times New Roman"/>
                <w:caps w:val="false"/>
                <w:smallCaps w:val="false"/>
                <w:sz w:val="20"/>
              </w:rPr>
              <w:t>ä</w:t>
            </w:r>
            <w:r>
              <w:rPr>
                <w:rFonts w:ascii="Times New Roman" w:hAnsi="Times New Roman"/>
                <w:i/>
                <w:caps w:val="false"/>
                <w:smallCaps w:val="false"/>
                <w:sz w:val="20"/>
              </w:rPr>
              <w:t>chtigter</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consent of:</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consent of:</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Marlene Scheinert</w:t>
            </w:r>
          </w:p>
        </w:tc>
        <w:tc>
          <w:tcPr>
            <w:tcW w:w="60" w:type="dxa"/>
            <w:tcBorders/>
            <w:tcMar>
              <w:bottom w:w="0" w:type="dxa"/>
            </w:tcMar>
            <w:vAlign w:val="center"/>
          </w:tcPr>
          <w:p>
            <w:pPr>
              <w:pStyle w:val="TableContents"/>
              <w:bidi w:val="0"/>
              <w:spacing w:before="0" w:after="283"/>
              <w:jc w:val="left"/>
              <w:rPr/>
            </w:pPr>
            <w:r>
              <w:rPr/>
              <w:t> </w:t>
            </w:r>
          </w:p>
        </w:tc>
        <w:tc>
          <w:tcPr>
            <w:tcW w:w="293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Ivo-Meinert Willrodt</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Marlene Scheinert</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Ivo-Meinert Willrodt</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Preliminary Custodian</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Custodian</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 Sachwalterin</w:t>
            </w: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Sachwalter</w:t>
            </w: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 w:hAnsi="Times New Roman"/>
          <w:sz w:val="20"/>
        </w:rPr>
      </w:pPr>
      <w:r>
        <w:rPr>
          <w:rFonts w:ascii="Times New Roman" w:hAnsi="Times New Roman"/>
          <w:sz w:val="20"/>
        </w:rPr>
        <w:t>Page 4/4</w:t>
      </w:r>
    </w:p>
    <w:p>
      <w:pPr>
        <w:pStyle w:val="TextBody"/>
        <w:bidi w:val="0"/>
        <w:jc w:val="left"/>
        <w:rPr/>
      </w:pPr>
      <w:bookmarkStart w:id="106" w:name="ex_607679.htm"/>
      <w:bookmarkStart w:id="107" w:name="ksex_607679"/>
      <w:bookmarkEnd w:id="106"/>
      <w:bookmarkEnd w:id="107"/>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4.13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Execution Copy</w:t>
      </w:r>
    </w:p>
    <w:p>
      <w:pPr>
        <w:pStyle w:val="TextBody"/>
        <w:bidi w:val="0"/>
        <w:spacing w:before="0" w:after="0"/>
        <w:ind w:left="160" w:right="0" w:hanging="0"/>
        <w:jc w:val="center"/>
        <w:rPr>
          <w:rFonts w:ascii="Times New Roman" w:hAnsi="Times New Roman"/>
          <w:caps w:val="false"/>
          <w:smallCaps w:val="false"/>
          <w:sz w:val="36"/>
        </w:rPr>
      </w:pPr>
      <w:r>
        <w:rPr>
          <w:rFonts w:ascii="Times New Roman" w:hAnsi="Times New Roman"/>
          <w:caps w:val="false"/>
          <w:smallCaps w:val="false"/>
          <w:sz w:val="36"/>
        </w:rPr>
        <w:t>Back-to-Back Letter of Comfort</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(the “</w:t>
      </w:r>
      <w:r>
        <w:rPr>
          <w:rFonts w:ascii="Times New Roman" w:hAnsi="Times New Roman"/>
          <w:b/>
          <w:caps w:val="false"/>
          <w:smallCaps w:val="false"/>
          <w:sz w:val="20"/>
        </w:rPr>
        <w:t>Back-to-Back LoC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36"/>
        </w:rPr>
      </w:pPr>
      <w:r>
        <w:rPr>
          <w:rFonts w:ascii="Times New Roman" w:hAnsi="Times New Roman"/>
          <w:caps w:val="false"/>
          <w:smallCaps w:val="false"/>
          <w:sz w:val="36"/>
        </w:rPr>
        <w:t>Preliminary Remarks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Sono Group N.V.</w:t>
      </w:r>
      <w:r>
        <w:rPr>
          <w:rFonts w:ascii="Times New Roman" w:hAnsi="Times New Roman"/>
          <w:caps w:val="false"/>
          <w:smallCaps w:val="false"/>
          <w:sz w:val="20"/>
        </w:rPr>
        <w:t xml:space="preserve"> (the “</w:t>
      </w:r>
      <w:r>
        <w:rPr>
          <w:rFonts w:ascii="Times New Roman" w:hAnsi="Times New Roman"/>
          <w:b/>
          <w:caps w:val="false"/>
          <w:smallCaps w:val="false"/>
          <w:sz w:val="20"/>
        </w:rPr>
        <w:t>Parent</w:t>
      </w:r>
      <w:r>
        <w:rPr>
          <w:rFonts w:ascii="Times New Roman" w:hAnsi="Times New Roman"/>
          <w:caps w:val="false"/>
          <w:smallCaps w:val="false"/>
          <w:sz w:val="20"/>
        </w:rPr>
        <w:t>”), a stock corporation under Dutch law, registered with the Dutch commercial register under KVK 80683568 having its business address at Waldmeister Str. 76, 80935 Munich, Germany, holds 100% of the shares in Sono Motors GmbH (the “</w:t>
      </w:r>
      <w:r>
        <w:rPr>
          <w:rFonts w:ascii="Times New Roman" w:hAnsi="Times New Roman"/>
          <w:b/>
          <w:caps w:val="false"/>
          <w:smallCaps w:val="false"/>
          <w:sz w:val="20"/>
        </w:rPr>
        <w:t>Company</w:t>
      </w:r>
      <w:r>
        <w:rPr>
          <w:rFonts w:ascii="Times New Roman" w:hAnsi="Times New Roman"/>
          <w:caps w:val="false"/>
          <w:smallCaps w:val="false"/>
          <w:sz w:val="20"/>
        </w:rPr>
        <w:t>”), a limited liability company under German law, registered with the commercial register of the Local Court of Munich under file no. HRB 224131, having its business address at Waldmeister Str. 76, 80935 Munich, Germany (the Parent and the Company each a “</w:t>
      </w:r>
      <w:r>
        <w:rPr>
          <w:rFonts w:ascii="Times New Roman" w:hAnsi="Times New Roman"/>
          <w:b/>
          <w:caps w:val="false"/>
          <w:smallCaps w:val="false"/>
          <w:sz w:val="20"/>
        </w:rPr>
        <w:t>Party</w:t>
      </w:r>
      <w:r>
        <w:rPr>
          <w:rFonts w:ascii="Times New Roman" w:hAnsi="Times New Roman"/>
          <w:caps w:val="false"/>
          <w:smallCaps w:val="false"/>
          <w:sz w:val="20"/>
        </w:rPr>
        <w:t>” and, collectively, the “</w:t>
      </w:r>
      <w:r>
        <w:rPr>
          <w:rFonts w:ascii="Times New Roman" w:hAnsi="Times New Roman"/>
          <w:b/>
          <w:caps w:val="false"/>
          <w:smallCaps w:val="false"/>
          <w:sz w:val="20"/>
        </w:rPr>
        <w:t>Parties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18 November 2023, the Parties – with the consent of the preliminary custodian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 Sachwalterin</w:t>
      </w:r>
      <w:r>
        <w:rPr>
          <w:rFonts w:ascii="Times New Roman" w:hAnsi="Times New Roman"/>
          <w:caps w:val="false"/>
          <w:smallCaps w:val="false"/>
          <w:sz w:val="20"/>
        </w:rPr>
        <w:t>) of the Parent and of the custodian (</w:t>
      </w:r>
      <w:r>
        <w:rPr>
          <w:rFonts w:ascii="Times New Roman" w:hAnsi="Times New Roman"/>
          <w:i/>
          <w:caps w:val="false"/>
          <w:smallCaps w:val="false"/>
          <w:sz w:val="20"/>
        </w:rPr>
        <w:t>Sachwalter</w:t>
      </w:r>
      <w:r>
        <w:rPr>
          <w:rFonts w:ascii="Times New Roman" w:hAnsi="Times New Roman"/>
          <w:caps w:val="false"/>
          <w:smallCaps w:val="false"/>
          <w:sz w:val="20"/>
        </w:rPr>
        <w:t>) of the Company – entered into an agreement with respect to the restructuring of the Company (the “</w:t>
      </w:r>
      <w:r>
        <w:rPr>
          <w:rFonts w:ascii="Times New Roman" w:hAnsi="Times New Roman"/>
          <w:b/>
          <w:caps w:val="false"/>
          <w:smallCaps w:val="false"/>
          <w:sz w:val="20"/>
        </w:rPr>
        <w:t>Continuation Agreement</w:t>
      </w:r>
      <w:r>
        <w:rPr>
          <w:rFonts w:ascii="Times New Roman" w:hAnsi="Times New Roman"/>
          <w:caps w:val="false"/>
          <w:smallCaps w:val="false"/>
          <w:sz w:val="20"/>
        </w:rPr>
        <w:t>”). This Back-to-Back LoC forms and integral part of the Continuation Agreement and by having entered into the Continuation Agreement the Parties also have entered into this Back-to-Back LoC.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1 December 2023 until 31 December 2024 a total liquidity need of the Company is expected by the Company and agreed with the Parent under the Going-Concern Budget as defined in the Continuation Agreement (i.e., the going-concern budget attached as Exhibit P.5 to the Continuation Agreement as amended from time to time by an agreement between YA II PN, Ltd. (“</w:t>
      </w:r>
      <w:r>
        <w:rPr>
          <w:rFonts w:ascii="Times New Roman" w:hAnsi="Times New Roman"/>
          <w:b/>
          <w:caps w:val="false"/>
          <w:smallCaps w:val="false"/>
          <w:sz w:val="20"/>
        </w:rPr>
        <w:t>Yorkville</w:t>
      </w:r>
      <w:r>
        <w:rPr>
          <w:rFonts w:ascii="Times New Roman" w:hAnsi="Times New Roman"/>
          <w:caps w:val="false"/>
          <w:smallCaps w:val="false"/>
          <w:sz w:val="20"/>
        </w:rPr>
        <w:t>”), the Parent and the Company) in the amount of EUR 6,141,560.00.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18 November 2023, the Parent has received a funding commitment from </w:t>
      </w:r>
      <w:r>
        <w:rPr>
          <w:rFonts w:ascii="Times New Roman" w:hAnsi="Times New Roman"/>
          <w:b/>
          <w:caps w:val="false"/>
          <w:smallCaps w:val="false"/>
          <w:sz w:val="20"/>
        </w:rPr>
        <w:t>Yorkville</w:t>
      </w:r>
      <w:r>
        <w:rPr>
          <w:rFonts w:ascii="Times New Roman" w:hAnsi="Times New Roman"/>
          <w:caps w:val="false"/>
          <w:smallCaps w:val="false"/>
          <w:sz w:val="20"/>
        </w:rPr>
        <w:t xml:space="preserve"> covering the cost forecast under the Going-Concern Budget of both, the Parent and Company (the “</w:t>
      </w:r>
      <w:r>
        <w:rPr>
          <w:rFonts w:ascii="Times New Roman" w:hAnsi="Times New Roman"/>
          <w:b/>
          <w:caps w:val="false"/>
          <w:smallCaps w:val="false"/>
          <w:sz w:val="20"/>
        </w:rPr>
        <w:t>Funding Commitment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context of the audit of the financial statements for the fiscal year 2022 and the SEC Form 20-F Filing (as defined in the Continuation Agreement) the Parent decided to provide the Company with a letter of comfort by the Parent which covers such operative liquidity need to secure the positive going concern prognosis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Against this background, the Parties – with the consent of the preliminary custodian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 Sachwalterin</w:t>
      </w:r>
      <w:r>
        <w:rPr>
          <w:rFonts w:ascii="Times New Roman" w:hAnsi="Times New Roman"/>
          <w:caps w:val="false"/>
          <w:smallCaps w:val="false"/>
          <w:sz w:val="20"/>
        </w:rPr>
        <w:t>) of the Parent and of the custodian (</w:t>
      </w:r>
      <w:r>
        <w:rPr>
          <w:rFonts w:ascii="Times New Roman" w:hAnsi="Times New Roman"/>
          <w:i/>
          <w:caps w:val="false"/>
          <w:smallCaps w:val="false"/>
          <w:sz w:val="20"/>
        </w:rPr>
        <w:t>Sachwalter</w:t>
      </w:r>
      <w:r>
        <w:rPr>
          <w:rFonts w:ascii="Times New Roman" w:hAnsi="Times New Roman"/>
          <w:caps w:val="false"/>
          <w:smallCaps w:val="false"/>
          <w:sz w:val="20"/>
        </w:rPr>
        <w:t>) of the Company –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36"/>
        </w:rPr>
      </w:pPr>
      <w:r>
        <w:rPr>
          <w:rFonts w:ascii="Times New Roman" w:hAnsi="Times New Roman"/>
          <w:caps w:val="false"/>
          <w:smallCaps w:val="false"/>
          <w:sz w:val="36"/>
        </w:rPr>
        <w:t>Hard internal Letter of Comfort</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15"/>
        <w:gridCol w:w="134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1.</w:t>
            </w:r>
          </w:p>
        </w:tc>
        <w:tc>
          <w:tcPr>
            <w:tcW w:w="13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Effectiveness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This Back-to-Back LoC comes into effect on the day on which the Closing Condition (Section 4 para. (3)) of the Continuation Agreement) is satisfied, as provided for in the Continuation Agreement (the “</w:t>
      </w:r>
      <w:r>
        <w:rPr>
          <w:rFonts w:ascii="Times New Roman" w:hAnsi="Times New Roman"/>
          <w:b/>
          <w:caps w:val="false"/>
          <w:smallCaps w:val="false"/>
          <w:sz w:val="20"/>
        </w:rPr>
        <w:t>Effective Date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215"/>
        <w:gridCol w:w="303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2.</w:t>
            </w:r>
          </w:p>
        </w:tc>
        <w:tc>
          <w:tcPr>
            <w:tcW w:w="30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Scope of Parent Commitment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Parent hereby undertakes, exclusively and only internally vis-à-vis the Company (hereby accepting this undertaking), to provide the Company with sufficient funds so that the Company will be able to timely fulfill its obligations from (and including) 1 December 2023 until (and including) 31 December 2024 (such term, the “</w:t>
            </w:r>
            <w:r>
              <w:rPr>
                <w:rFonts w:ascii="Times New Roman;Times;serif" w:hAnsi="Times New Roman;Times;serif"/>
                <w:b/>
                <w:caps w:val="false"/>
                <w:smallCaps w:val="false"/>
                <w:sz w:val="20"/>
              </w:rPr>
              <w:t>Funding Period</w:t>
            </w:r>
            <w:r>
              <w:rPr>
                <w:rFonts w:ascii="Times New Roman;Times;serif" w:hAnsi="Times New Roman;Times;serif"/>
                <w:caps w:val="false"/>
                <w:smallCaps w:val="false"/>
                <w:sz w:val="20"/>
              </w:rPr>
              <w:t>” and such Parent’s undertaking, the “</w:t>
            </w:r>
            <w:r>
              <w:rPr>
                <w:rFonts w:ascii="Times New Roman;Times;serif" w:hAnsi="Times New Roman;Times;serif"/>
                <w:b/>
                <w:caps w:val="false"/>
                <w:smallCaps w:val="false"/>
                <w:sz w:val="20"/>
              </w:rPr>
              <w:t>Funding Obligation</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 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Section 2.3, the Funding Obligation is limited to (i) the amounts forecasted in the Going-Concern Budget, (ii) funds made available to the Parent by Yorkville under the Funding Commitment, and (iii) all other funds available to the Parent. The Parent undertakes to fully comply with all of its obligations under the Funding Commitment, prevent the Funding Commitment from being terminated and exercise and enforce all of its rights under the Funding Commitment so that the Parent has sufficient funds to provide the Company with the amounts forecasted in the Going-Concern Budget. The Parent further undertakes not to agree on any amendment to the Going-Concern Budget without the Company’s consultation and the Company’s consent not to be withheld unreasonably.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the Going-Concern Budget agreed between the Parties, the Funding Obligation of the Parent under this Back-to-Back LoC shall be limited to a maximum of EUR 6,141,560 (“</w:t>
            </w:r>
            <w:r>
              <w:rPr>
                <w:rFonts w:ascii="Times New Roman;Times;serif" w:hAnsi="Times New Roman;Times;serif"/>
                <w:b/>
                <w:caps w:val="false"/>
                <w:smallCaps w:val="false"/>
                <w:sz w:val="20"/>
              </w:rPr>
              <w:t>Maximum Amount</w:t>
            </w:r>
            <w:r>
              <w:rPr>
                <w:rFonts w:ascii="Times New Roman;Times;serif" w:hAnsi="Times New Roman;Times;serif"/>
                <w:caps w:val="false"/>
                <w:smallCaps w:val="false"/>
                <w:sz w:val="20"/>
              </w:rPr>
              <w:t>”) for the Funding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Parent will make available to the Company, and the Company can demand from the Parent, the funds at the time and in the amounts in accordance with the Going-Concern Budget for the Funding Period; provided, however, that: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Parent shall make to the Company an initial payment of EUR 3,000,000.00 (the “</w:t>
            </w:r>
            <w:r>
              <w:rPr>
                <w:rFonts w:ascii="Times New Roman;Times;serif" w:hAnsi="Times New Roman;Times;serif"/>
                <w:b/>
                <w:caps w:val="false"/>
                <w:smallCaps w:val="false"/>
                <w:sz w:val="20"/>
              </w:rPr>
              <w:t>Initial</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Payment</w:t>
            </w:r>
            <w:r>
              <w:rPr>
                <w:rFonts w:ascii="Times New Roman;Times;serif" w:hAnsi="Times New Roman;Times;serif"/>
                <w:caps w:val="false"/>
                <w:smallCaps w:val="false"/>
                <w:sz w:val="20"/>
              </w:rPr>
              <w:t>”) immediately after the Effective Date; the Initial Payment shall be credited to the Parent’s Funding Obligation under this Back-to-Back LoC (including, but not limited to, the Interim Reimbursement pursuant to Section 2.4 (b) and the company’s entitlement to monthly drawings pursuant to Section 2.4 (c));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 Effective Date is after the beginning of the Funding Period the Funding Obligation shall include the Parent’s obligation to reimburse the Company for all payments made by the Company as from the beginning of the Funding Period until (and including) the Effective Date (the “</w:t>
            </w:r>
            <w:r>
              <w:rPr>
                <w:rFonts w:ascii="Times New Roman;Times;serif" w:hAnsi="Times New Roman;Times;serif"/>
                <w:b/>
                <w:caps w:val="false"/>
                <w:smallCaps w:val="false"/>
                <w:sz w:val="20"/>
              </w:rPr>
              <w:t>Interim Period</w:t>
            </w:r>
            <w:r>
              <w:rPr>
                <w:rFonts w:ascii="Times New Roman;Times;serif" w:hAnsi="Times New Roman;Times;serif"/>
                <w:caps w:val="false"/>
                <w:smallCaps w:val="false"/>
                <w:sz w:val="20"/>
              </w:rPr>
              <w:t>”) up to the amount provided for the Interim Period in the Going-Concern Budget (such reimbursement the “</w:t>
            </w:r>
            <w:r>
              <w:rPr>
                <w:rFonts w:ascii="Times New Roman;Times;serif" w:hAnsi="Times New Roman;Times;serif"/>
                <w:b/>
                <w:caps w:val="false"/>
                <w:smallCaps w:val="false"/>
                <w:sz w:val="20"/>
              </w:rPr>
              <w:t>Interim Period Reimbursement</w:t>
            </w:r>
            <w:r>
              <w:rPr>
                <w:rFonts w:ascii="Times New Roman;Times;serif" w:hAnsi="Times New Roman;Times;serif"/>
                <w:caps w:val="false"/>
                <w:smallCaps w:val="false"/>
                <w:sz w:val="20"/>
              </w:rPr>
              <w:t>”); the Company shall be entitled (but not obligated) to use the Interim Period Reimbursement for the satisfaction of the estate creditors (</w:t>
            </w:r>
            <w:r>
              <w:rPr>
                <w:rFonts w:ascii="Times New Roman;Times;serif" w:hAnsi="Times New Roman;Times;serif"/>
                <w:i/>
                <w:caps w:val="false"/>
                <w:smallCaps w:val="false"/>
                <w:sz w:val="20"/>
              </w:rPr>
              <w:t>Massegl</w:t>
            </w:r>
            <w:r>
              <w:rPr>
                <w:rFonts w:ascii="Times New Roman;Times;serif" w:hAnsi="Times New Roman;Times;serif"/>
                <w:caps w:val="false"/>
                <w:smallCaps w:val="false"/>
                <w:sz w:val="20"/>
              </w:rPr>
              <w:t>ä</w:t>
            </w:r>
            <w:r>
              <w:rPr>
                <w:rFonts w:ascii="Times New Roman;Times;serif" w:hAnsi="Times New Roman;Times;serif"/>
                <w:i/>
                <w:caps w:val="false"/>
                <w:smallCaps w:val="false"/>
                <w:sz w:val="20"/>
              </w:rPr>
              <w:t>ubiger</w:t>
            </w:r>
            <w:r>
              <w:rPr>
                <w:rFonts w:ascii="Times New Roman;Times;serif" w:hAnsi="Times New Roman;Times;serif"/>
                <w:caps w:val="false"/>
                <w:smallCaps w:val="false"/>
                <w:sz w:val="20"/>
              </w:rPr>
              <w:t> – Sec. 53 of the German Insolvency Code (</w:t>
            </w:r>
            <w:r>
              <w:rPr>
                <w:rFonts w:ascii="Times New Roman;Times;serif" w:hAnsi="Times New Roman;Times;serif"/>
                <w:i/>
                <w:caps w:val="false"/>
                <w:smallCaps w:val="false"/>
                <w:sz w:val="20"/>
              </w:rPr>
              <w:t>Insolvenzordnung</w:t>
            </w:r>
            <w:r>
              <w:rPr>
                <w:rFonts w:ascii="Times New Roman;Times;serif" w:hAnsi="Times New Roman;Times;serif"/>
                <w:caps w:val="false"/>
                <w:smallCaps w:val="false"/>
                <w:sz w:val="20"/>
              </w:rPr>
              <w:t> – InsO)), the creditors entitled to separate satisfaction (</w:t>
            </w:r>
            <w:r>
              <w:rPr>
                <w:rFonts w:ascii="Times New Roman;Times;serif" w:hAnsi="Times New Roman;Times;serif"/>
                <w:i/>
                <w:caps w:val="false"/>
                <w:smallCaps w:val="false"/>
                <w:sz w:val="20"/>
              </w:rPr>
              <w:t>Absonderungsberechtigte</w:t>
            </w:r>
            <w:r>
              <w:rPr>
                <w:rFonts w:ascii="Times New Roman;Times;serif" w:hAnsi="Times New Roman;Times;serif"/>
                <w:caps w:val="false"/>
                <w:smallCaps w:val="false"/>
                <w:sz w:val="20"/>
              </w:rPr>
              <w:t> – Sec. 49 et seq. InsO) and/or a whole or partial satisfaction of all insolvency creditors (</w:t>
            </w:r>
            <w:r>
              <w:rPr>
                <w:rFonts w:ascii="Times New Roman;Times;serif" w:hAnsi="Times New Roman;Times;serif"/>
                <w:i/>
                <w:caps w:val="false"/>
                <w:smallCaps w:val="false"/>
                <w:sz w:val="20"/>
              </w:rPr>
              <w:t>Insolvenzgl</w:t>
            </w:r>
            <w:r>
              <w:rPr>
                <w:rFonts w:ascii="Times New Roman;Times;serif" w:hAnsi="Times New Roman;Times;serif"/>
                <w:caps w:val="false"/>
                <w:smallCaps w:val="false"/>
                <w:sz w:val="20"/>
              </w:rPr>
              <w:t>ä</w:t>
            </w:r>
            <w:r>
              <w:rPr>
                <w:rFonts w:ascii="Times New Roman;Times;serif" w:hAnsi="Times New Roman;Times;serif"/>
                <w:i/>
                <w:caps w:val="false"/>
                <w:smallCaps w:val="false"/>
                <w:sz w:val="20"/>
              </w:rPr>
              <w:t>ubiger</w:t>
            </w:r>
            <w:r>
              <w:rPr>
                <w:rFonts w:ascii="Times New Roman;Times;serif" w:hAnsi="Times New Roman;Times;serif"/>
                <w:caps w:val="false"/>
                <w:smallCaps w:val="false"/>
                <w:sz w:val="20"/>
              </w:rPr>
              <w:t> – Sec. 38 InsO) as provided for under Section 2 para. (1) (a) of the Continuation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be entitled to monthly drawings in the amount as provided for in the Going-Concern Budget for the respective calendar month (“</w:t>
            </w:r>
            <w:r>
              <w:rPr>
                <w:rFonts w:ascii="Times New Roman;Times;serif" w:hAnsi="Times New Roman;Times;serif"/>
                <w:b/>
                <w:caps w:val="false"/>
                <w:smallCaps w:val="false"/>
                <w:sz w:val="20"/>
              </w:rPr>
              <w:t>Monthly Maximum</w:t>
            </w:r>
            <w:r>
              <w:rPr>
                <w:rFonts w:ascii="Times New Roman;Times;serif" w:hAnsi="Times New Roman;Times;serif"/>
                <w:caps w:val="false"/>
                <w:smallCaps w:val="false"/>
                <w:sz w:val="20"/>
              </w:rPr>
              <w:t>”), it being understood that (i) – to the extent the Company does not fully draw the Monthly Maximum for a calendar month – the Monthly Maximum for the subsequent calendar month increases by the amount which has not been drawn (one or several times), and (ii) – to the extent the Company does not fully use the amounts drawn for a calendar month – the Monthly Maximum for any subsequent calendar month shall not be affected thereby; and</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60"/>
        <w:gridCol w:w="245"/>
        <w:gridCol w:w="50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50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Section 2.5 of this Back-to-Back LoC shall remain unaffected.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Notwithstanding anything to the contrary in this Back-to-Back LoC, the Parent’s payment obligations under this Back-to-Back LoC shall (i) cease to apply in the event of an extraordinary termination of the Funding Commitment by Yorkville; and (ii) be limited to (x) the amounts forecasted in the Going-Concern Budget, (y) funds made available to the Parent by Yorkville under the Funding Commitment, and (z) all other funds available to the Parent. The Parent undertakes vis-à-vis the Company to fully comply with all of its obligations under the Funding Commitment, prevent the Funding Commitment from being terminated and exercise and enforce all of its rights under the Funding Commitment so that the Parent has sufficient funds to provide the Company with the amounts forecasted in the Going-Concern Budget.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In the event of the Company exceeds the Going-Concern Budget, the Parent will provide further funds, </w:t>
            </w:r>
            <w:r>
              <w:rPr>
                <w:rFonts w:ascii="Times New Roman;Times;serif" w:hAnsi="Times New Roman;Times;serif"/>
                <w:caps w:val="false"/>
                <w:smallCaps w:val="false"/>
                <w:sz w:val="20"/>
                <w:u w:val="single"/>
              </w:rPr>
              <w:t>provided that</w:t>
            </w:r>
            <w:r>
              <w:rPr>
                <w:rFonts w:ascii="Times New Roman;Times;serif" w:hAnsi="Times New Roman;Times;serif"/>
                <w:caps w:val="false"/>
                <w:smallCaps w:val="false"/>
                <w:sz w:val="20"/>
              </w:rPr>
              <w:t> the Parent and the Company, acting reasonably and in good faith, reach an agreement about an adjustment to the Going-Concern Budget and Yorkville consents to such adjustment. For this purpose, the Company shall consult with the Parent immediately if it becomes aware of such excess of the Budget.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obligation of the Parent under this Back-to-Back LoC covers the Funding Period only. The Parent shall neither be obligated to provide funds relating to obligations falling due after the Funding Period nor shall it be obligated to provide funds exceeding the Maximum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of a termination of this Back-to-Back LoC, the Funding Period ends on the day on which the termination comes into effect, and the Parent shall not be obligated to provide funds for any subsequent periods.</w:t>
            </w:r>
          </w:p>
        </w:tc>
      </w:tr>
    </w:tbl>
    <w:p>
      <w:pPr>
        <w:pStyle w:val="TextBody"/>
        <w:bidi w:val="0"/>
        <w:spacing w:before="0" w:after="0"/>
        <w:ind w:left="0" w:right="0" w:hanging="0"/>
        <w:jc w:val="left"/>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215"/>
        <w:gridCol w:w="57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3.</w:t>
            </w:r>
          </w:p>
        </w:tc>
        <w:tc>
          <w:tcPr>
            <w:tcW w:w="5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Loan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sz w:val="20"/>
        </w:rPr>
      </w:pPr>
      <w:r>
        <w:rPr>
          <w:rFonts w:ascii="Times New Roman" w:hAnsi="Times New Roman"/>
          <w:sz w:val="20"/>
        </w:rPr>
        <w:t>Any payments made by the Parent to the Company to settle the Parent’s Funding Obligation shall constitute an interest-bearing loan between the Parent (as lender) and the Company (as borrower) to be repaid – including interest – by the Company to the Parent at the end of this Back-to-Back LoC’s term. Interest shall accrue on the respective amounts as from their drawing until repayment. The interest rate shall be the ECB base rate plus two percentage points p.a. or any other at arms’ length rate as mutually agreed by the Parties.</w:t>
      </w:r>
    </w:p>
    <w:p>
      <w:pPr>
        <w:pStyle w:val="TextBody"/>
        <w:bidi w:val="0"/>
        <w:spacing w:before="0" w:after="0"/>
        <w:ind w:left="0" w:right="0" w:hanging="0"/>
        <w:jc w:val="left"/>
        <w:rPr>
          <w:caps w:val="false"/>
          <w:smallCaps w:val="false"/>
        </w:rPr>
      </w:pPr>
      <w:r>
        <w:rPr>
          <w:caps w:val="false"/>
          <w:smallCaps w:val="false"/>
        </w:rPr>
        <w:t> </w:t>
      </w:r>
    </w:p>
    <w:tbl>
      <w:tblPr>
        <w:tblW w:w="820" w:type="dxa"/>
        <w:jc w:val="left"/>
        <w:tblInd w:w="0" w:type="dxa"/>
        <w:tblLayout w:type="fixed"/>
        <w:tblCellMar>
          <w:top w:w="0" w:type="dxa"/>
          <w:left w:w="0" w:type="dxa"/>
          <w:bottom w:w="0" w:type="dxa"/>
          <w:right w:w="0" w:type="dxa"/>
        </w:tblCellMar>
      </w:tblPr>
      <w:tblGrid>
        <w:gridCol w:w="215"/>
        <w:gridCol w:w="60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4.</w:t>
            </w:r>
          </w:p>
        </w:tc>
        <w:tc>
          <w:tcPr>
            <w:tcW w:w="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Term</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Back-to-Back LoC shall terminate automatically on 1 July 2025, unless the Parties agree on a continuation explicitly and in writing.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Provided the business and financial development of the Company is according to plan, in particular in accordance with the Going-Concern Budget, the Parties undertake – acting reasonably and in good faith – to extend this Back-to-Back LoC's term when needed, and to agree on a subordination if and when (legally) needed.</w:t>
            </w:r>
          </w:p>
        </w:tc>
      </w:tr>
    </w:tbl>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60"/>
        <w:gridCol w:w="275"/>
        <w:gridCol w:w="71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71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Extraordinary termination rights under mandatory statutory law shall remain unaffected.</w:t>
            </w:r>
          </w:p>
        </w:tc>
      </w:tr>
    </w:tbl>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215"/>
        <w:gridCol w:w="144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5.</w:t>
            </w:r>
          </w:p>
        </w:tc>
        <w:tc>
          <w:tcPr>
            <w:tcW w:w="14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4"/>
              </w:rPr>
            </w:pPr>
            <w:r>
              <w:rPr>
                <w:rFonts w:ascii="Times New Roman;Times;serif" w:hAnsi="Times New Roman;Times;serif"/>
                <w:b/>
                <w:caps w:val="false"/>
                <w:smallCaps w:val="false"/>
                <w:sz w:val="24"/>
              </w:rPr>
              <w:t>Miscellaneous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personal liability of the custodian (</w:t>
            </w:r>
            <w:r>
              <w:rPr>
                <w:rFonts w:ascii="Times New Roman;Times;serif" w:hAnsi="Times New Roman;Times;serif"/>
                <w:i/>
                <w:caps w:val="false"/>
                <w:smallCaps w:val="false"/>
                <w:sz w:val="20"/>
              </w:rPr>
              <w:t>Sachwalter</w:t>
            </w:r>
            <w:r>
              <w:rPr>
                <w:rFonts w:ascii="Times New Roman;Times;serif" w:hAnsi="Times New Roman;Times;serif"/>
                <w:caps w:val="false"/>
                <w:smallCaps w:val="false"/>
                <w:sz w:val="20"/>
              </w:rPr>
              <w:t>) of the Company, the preliminary custodian (</w:t>
            </w:r>
            <w:r>
              <w:rPr>
                <w:rFonts w:ascii="Times New Roman;Times;serif" w:hAnsi="Times New Roman;Times;serif"/>
                <w:i/>
                <w:caps w:val="false"/>
                <w:smallCaps w:val="false"/>
                <w:sz w:val="20"/>
              </w:rPr>
              <w:t>vorl</w:t>
            </w:r>
            <w:r>
              <w:rPr>
                <w:rFonts w:ascii="Times New Roman;Times;serif" w:hAnsi="Times New Roman;Times;serif"/>
                <w:caps w:val="false"/>
                <w:smallCaps w:val="false"/>
                <w:sz w:val="20"/>
              </w:rPr>
              <w:t>ä</w:t>
            </w:r>
            <w:r>
              <w:rPr>
                <w:rFonts w:ascii="Times New Roman;Times;serif" w:hAnsi="Times New Roman;Times;serif"/>
                <w:i/>
                <w:caps w:val="false"/>
                <w:smallCaps w:val="false"/>
                <w:sz w:val="20"/>
              </w:rPr>
              <w:t>ufige Sachwalterin</w:t>
            </w:r>
            <w:r>
              <w:rPr>
                <w:rFonts w:ascii="Times New Roman;Times;serif" w:hAnsi="Times New Roman;Times;serif"/>
                <w:caps w:val="false"/>
                <w:smallCaps w:val="false"/>
                <w:sz w:val="20"/>
              </w:rPr>
              <w:t>) of the Parent, the management of the Parent and/or the management of the Company (including, in each case, of their respective representatives and advisors) under, or in connection with, this Back-to-Back LoC, in particular pursuant to Sec. 60, 61 InsO (including their analogous application), shall be excluded (genuine contract for the benefit of a third party pursuant to Sec. 328 of the German Civil Code (</w:t>
            </w:r>
            <w:r>
              <w:rPr>
                <w:rFonts w:ascii="Times New Roman;Times;serif" w:hAnsi="Times New Roman;Times;serif"/>
                <w:i/>
                <w:caps w:val="false"/>
                <w:smallCaps w:val="false"/>
                <w:sz w:val="20"/>
              </w:rPr>
              <w:t>B</w:t>
            </w:r>
            <w:r>
              <w:rPr>
                <w:rFonts w:ascii="Times New Roman;Times;serif" w:hAnsi="Times New Roman;Times;serif"/>
                <w:caps w:val="false"/>
                <w:smallCaps w:val="false"/>
                <w:sz w:val="20"/>
              </w:rPr>
              <w:t>ü</w:t>
            </w:r>
            <w:r>
              <w:rPr>
                <w:rFonts w:ascii="Times New Roman;Times;serif" w:hAnsi="Times New Roman;Times;serif"/>
                <w:i/>
                <w:caps w:val="false"/>
                <w:smallCaps w:val="false"/>
                <w:sz w:val="20"/>
              </w:rPr>
              <w:t>rgerliches Gesetzbuch</w:t>
            </w:r>
            <w:r>
              <w:rPr>
                <w:rFonts w:ascii="Times New Roman;Times;serif" w:hAnsi="Times New Roman;Times;serif"/>
                <w:caps w:val="false"/>
                <w:smallCaps w:val="false"/>
                <w:sz w:val="20"/>
              </w:rPr>
              <w:t> – “</w:t>
            </w:r>
            <w:r>
              <w:rPr>
                <w:rFonts w:ascii="Times New Roman;Times;serif" w:hAnsi="Times New Roman;Times;serif"/>
                <w:b/>
                <w:caps w:val="false"/>
                <w:smallCaps w:val="false"/>
                <w:sz w:val="20"/>
              </w:rPr>
              <w:t>BGB</w:t>
            </w:r>
            <w:r>
              <w:rPr>
                <w:rFonts w:ascii="Times New Roman;Times;serif" w:hAnsi="Times New Roman;Times;serif"/>
                <w:caps w:val="false"/>
                <w:smallCaps w:val="false"/>
                <w:sz w:val="20"/>
              </w:rPr>
              <w:t>”)); this shall not apply in case of intent or fraudulent intent.</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60"/>
        <w:gridCol w:w="275"/>
        <w:gridCol w:w="54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c>
          <w:tcPr>
            <w:tcW w:w="54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Third parties may not assert any rights from this Back-to-Back LoC.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Rights and obligations under this Back-to-Back LoC may not be assigned or transferred – wholly or partially – without the prior written consent of the respective other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set-off or retention right of the Parent and/or the Company shall be excluded, unless the existence of such right is undisputed or confirmed by a final court decision.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Back-to-Back LoC shall be governed by German law. To the extent legally permitted exclusive place of jurisdiction shall be Munich, Germany.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Amendments and supplements to this Back-to-Back LoC (including to this Section 5.6) as well as the waiver of any rights under this Back-to-Back LoC must be in writing.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5.7</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one or more of the aforementioned provisions are or will become invalid or unenforceable in whole or in part, the validity and enforceability of the remaining provisions shall remain unaffected thereby. Such invalid or unenforceable provision shall be deemed to be replaced by such valid and enforceable provision which comes as close as possible to the economic purpose of the invalid/unenforceable provision. The same shall apply if the aforementioned provisions contain a gap.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80" w:right="0" w:hanging="720"/>
        <w:jc w:val="center"/>
        <w:rPr>
          <w:rFonts w:ascii="Times New Roman" w:hAnsi="Times New Roman"/>
          <w:b/>
          <w:caps w:val="false"/>
          <w:smallCaps w:val="false"/>
          <w:sz w:val="20"/>
        </w:rPr>
      </w:pP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28" w:type="dxa"/>
          <w:right w:w="0" w:type="dxa"/>
        </w:tblCellMar>
      </w:tblPr>
      <w:tblGrid>
        <w:gridCol w:w="2930"/>
        <w:gridCol w:w="60"/>
        <w:gridCol w:w="2930"/>
        <w:gridCol w:w="60"/>
      </w:tblGrid>
      <w:tr>
        <w:trPr/>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Torsten Kiedel</w:t>
            </w:r>
          </w:p>
        </w:tc>
        <w:tc>
          <w:tcPr>
            <w:tcW w:w="60" w:type="dxa"/>
            <w:tcBorders/>
            <w:tcMar>
              <w:bottom w:w="0" w:type="dxa"/>
            </w:tcMar>
            <w:vAlign w:val="center"/>
          </w:tcPr>
          <w:p>
            <w:pPr>
              <w:pStyle w:val="TableContents"/>
              <w:bidi w:val="0"/>
              <w:spacing w:before="0" w:after="283"/>
              <w:jc w:val="left"/>
              <w:rPr/>
            </w:pPr>
            <w:r>
              <w:rPr/>
              <w:t> </w:t>
            </w:r>
          </w:p>
        </w:tc>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Torsten Kiedel</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GmbH</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Torsten Kiedel</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Torsten Kiedel</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 Christians</w:t>
            </w:r>
          </w:p>
        </w:tc>
        <w:tc>
          <w:tcPr>
            <w:tcW w:w="60" w:type="dxa"/>
            <w:tcBorders/>
            <w:tcMar>
              <w:bottom w:w="0" w:type="dxa"/>
            </w:tcMar>
            <w:vAlign w:val="center"/>
          </w:tcPr>
          <w:p>
            <w:pPr>
              <w:pStyle w:val="TableContents"/>
              <w:bidi w:val="0"/>
              <w:spacing w:before="0" w:after="283"/>
              <w:jc w:val="left"/>
              <w:rPr/>
            </w:pPr>
            <w:r>
              <w:rPr/>
              <w:t> </w:t>
            </w:r>
          </w:p>
        </w:tc>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 Christians</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GmbH</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Jona Christians</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Jona Christians</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Markus Volmer</w:t>
            </w:r>
          </w:p>
        </w:tc>
        <w:tc>
          <w:tcPr>
            <w:tcW w:w="60" w:type="dxa"/>
            <w:tcBorders/>
            <w:tcMar>
              <w:bottom w:w="0" w:type="dxa"/>
            </w:tcMar>
            <w:vAlign w:val="center"/>
          </w:tcPr>
          <w:p>
            <w:pPr>
              <w:pStyle w:val="TableContents"/>
              <w:bidi w:val="0"/>
              <w:spacing w:before="0" w:after="283"/>
              <w:jc w:val="left"/>
              <w:rPr/>
            </w:pPr>
            <w:r>
              <w:rPr/>
              <w:t> </w:t>
            </w:r>
          </w:p>
        </w:tc>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Markus Volmer</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GmbH</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Markus Volmer</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 Markus Volmer</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Christian Plail</w:t>
            </w:r>
          </w:p>
        </w:tc>
        <w:tc>
          <w:tcPr>
            <w:tcW w:w="60" w:type="dxa"/>
            <w:tcBorders/>
            <w:tcMar>
              <w:bottom w:w="0" w:type="dxa"/>
            </w:tcMar>
            <w:vAlign w:val="center"/>
          </w:tcPr>
          <w:p>
            <w:pPr>
              <w:pStyle w:val="TableContents"/>
              <w:bidi w:val="0"/>
              <w:spacing w:before="0" w:after="283"/>
              <w:jc w:val="left"/>
              <w:rPr/>
            </w:pPr>
            <w:r>
              <w:rPr/>
              <w:t> </w:t>
            </w:r>
          </w:p>
        </w:tc>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Dirk Schoene</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Group N.V.</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Sono GmbH</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represented by</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Generalhandlungsbevollm</w:t>
            </w:r>
            <w:r>
              <w:rPr>
                <w:rFonts w:ascii="Times New Roman" w:hAnsi="Times New Roman"/>
                <w:caps w:val="false"/>
                <w:smallCaps w:val="false"/>
                <w:sz w:val="20"/>
              </w:rPr>
              <w:t>ä</w:t>
            </w:r>
            <w:r>
              <w:rPr>
                <w:rFonts w:ascii="Times New Roman" w:hAnsi="Times New Roman"/>
                <w:i/>
                <w:caps w:val="false"/>
                <w:smallCaps w:val="false"/>
                <w:sz w:val="20"/>
              </w:rPr>
              <w:t>chtigter</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Generalhandlungsbevollm</w:t>
            </w:r>
            <w:r>
              <w:rPr>
                <w:rFonts w:ascii="Times New Roman" w:hAnsi="Times New Roman"/>
                <w:caps w:val="false"/>
                <w:smallCaps w:val="false"/>
                <w:sz w:val="20"/>
              </w:rPr>
              <w:t>ä</w:t>
            </w:r>
            <w:r>
              <w:rPr>
                <w:rFonts w:ascii="Times New Roman" w:hAnsi="Times New Roman"/>
                <w:i/>
                <w:caps w:val="false"/>
                <w:smallCaps w:val="false"/>
                <w:sz w:val="20"/>
              </w:rPr>
              <w:t>chtigter</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consent of:</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consent of:</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Marlene Scheinert</w:t>
            </w:r>
          </w:p>
        </w:tc>
        <w:tc>
          <w:tcPr>
            <w:tcW w:w="60" w:type="dxa"/>
            <w:tcBorders/>
            <w:tcMar>
              <w:bottom w:w="0" w:type="dxa"/>
            </w:tcMar>
            <w:vAlign w:val="center"/>
          </w:tcPr>
          <w:p>
            <w:pPr>
              <w:pStyle w:val="TableContents"/>
              <w:bidi w:val="0"/>
              <w:spacing w:before="0" w:after="283"/>
              <w:jc w:val="left"/>
              <w:rPr/>
            </w:pPr>
            <w:r>
              <w:rPr/>
              <w:t> </w:t>
            </w:r>
          </w:p>
        </w:tc>
        <w:tc>
          <w:tcPr>
            <w:tcW w:w="293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Ivo-Meinert Willrodt</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Marlene Scheinert</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Ivo-Meinert Willrodt</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Preliminary Custodian</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Custodian</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 Sachwalterin</w:t>
            </w: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Sachwalter</w:t>
            </w: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4</w:t>
      </w:r>
    </w:p>
    <w:p>
      <w:pPr>
        <w:pStyle w:val="TextBody"/>
        <w:bidi w:val="0"/>
        <w:spacing w:before="0" w:after="283"/>
        <w:jc w:val="left"/>
        <w:rPr/>
      </w:pPr>
      <w:r>
        <w:rPr/>
        <w:t> </w:t>
      </w:r>
    </w:p>
    <w:p>
      <w:pPr>
        <w:pStyle w:val="TextBody"/>
        <w:bidi w:val="0"/>
        <w:jc w:val="left"/>
        <w:rPr/>
      </w:pPr>
      <w:bookmarkStart w:id="108" w:name="ex_607680.htm"/>
      <w:bookmarkStart w:id="109" w:name="ksex_607680"/>
      <w:bookmarkEnd w:id="108"/>
      <w:bookmarkEnd w:id="109"/>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4.14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 TO CONVERTIBLE DEBENTURES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This </w:t>
      </w:r>
      <w:r>
        <w:rPr>
          <w:rFonts w:ascii="Times New Roman" w:hAnsi="Times New Roman"/>
          <w:b/>
          <w:caps w:val="false"/>
          <w:smallCaps w:val="false"/>
          <w:sz w:val="20"/>
        </w:rPr>
        <w:t xml:space="preserve">AMENDMENT TO CONVERTIBLE DEBENTURES </w:t>
      </w:r>
      <w:r>
        <w:rPr>
          <w:rFonts w:ascii="Times New Roman" w:hAnsi="Times New Roman"/>
          <w:caps w:val="false"/>
          <w:smallCaps w:val="false"/>
          <w:sz w:val="20"/>
        </w:rPr>
        <w:t>(this “</w:t>
      </w:r>
      <w:r>
        <w:rPr>
          <w:rFonts w:ascii="Times New Roman" w:hAnsi="Times New Roman"/>
          <w:caps w:val="false"/>
          <w:smallCaps w:val="false"/>
          <w:sz w:val="20"/>
          <w:u w:val="single"/>
        </w:rPr>
        <w:t>Amendment</w:t>
      </w:r>
      <w:r>
        <w:rPr>
          <w:rFonts w:ascii="Times New Roman" w:hAnsi="Times New Roman"/>
          <w:caps w:val="false"/>
          <w:smallCaps w:val="false"/>
          <w:sz w:val="20"/>
        </w:rPr>
        <w:t>”) dated as of November 17, 2023, is made by and between Sono Group N.V., a Dutch public limited liability company, (the “</w:t>
      </w:r>
      <w:r>
        <w:rPr>
          <w:rFonts w:ascii="Times New Roman" w:hAnsi="Times New Roman"/>
          <w:caps w:val="false"/>
          <w:smallCaps w:val="false"/>
          <w:sz w:val="20"/>
          <w:u w:val="single"/>
        </w:rPr>
        <w:t>Company</w:t>
      </w:r>
      <w:r>
        <w:rPr>
          <w:rFonts w:ascii="Times New Roman" w:hAnsi="Times New Roman"/>
          <w:caps w:val="false"/>
          <w:smallCaps w:val="false"/>
          <w:sz w:val="20"/>
        </w:rPr>
        <w:t>”) and YA II PN, Ltd., a Cayman Islands exempt limited partnership (the “</w:t>
      </w:r>
      <w:r>
        <w:rPr>
          <w:rFonts w:ascii="Times New Roman" w:hAnsi="Times New Roman"/>
          <w:caps w:val="false"/>
          <w:smallCaps w:val="false"/>
          <w:sz w:val="20"/>
          <w:u w:val="single"/>
        </w:rPr>
        <w:t>Holder</w:t>
      </w:r>
      <w:r>
        <w:rPr>
          <w:rFonts w:ascii="Times New Roman" w:hAnsi="Times New Roman"/>
          <w:caps w:val="false"/>
          <w:smallCaps w:val="false"/>
          <w:sz w:val="20"/>
        </w:rPr>
        <w:t>”). Each of the Company and the Holder shall be referred to collectively as the “</w:t>
      </w:r>
      <w:r>
        <w:rPr>
          <w:rFonts w:ascii="Times New Roman" w:hAnsi="Times New Roman"/>
          <w:caps w:val="false"/>
          <w:smallCaps w:val="false"/>
          <w:sz w:val="20"/>
          <w:u w:val="single"/>
        </w:rPr>
        <w:t>Parties</w:t>
      </w:r>
      <w:r>
        <w:rPr>
          <w:rFonts w:ascii="Times New Roman" w:hAnsi="Times New Roman"/>
          <w:caps w:val="false"/>
          <w:smallCaps w:val="false"/>
          <w:sz w:val="20"/>
        </w:rPr>
        <w:t>” and individually as a “</w:t>
      </w:r>
      <w:r>
        <w:rPr>
          <w:rFonts w:ascii="Times New Roman" w:hAnsi="Times New Roman"/>
          <w:caps w:val="false"/>
          <w:smallCaps w:val="false"/>
          <w:sz w:val="20"/>
          <w:u w:val="single"/>
        </w:rPr>
        <w:t>Party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W</w:t>
      </w:r>
      <w:r>
        <w:rPr>
          <w:rFonts w:ascii="Times New Roman" w:hAnsi="Times New Roman"/>
          <w:caps w:val="false"/>
          <w:smallCaps w:val="false"/>
          <w:sz w:val="20"/>
        </w:rPr>
        <w:t xml:space="preserve"> </w:t>
      </w:r>
      <w:r>
        <w:rPr>
          <w:rFonts w:ascii="Times New Roman" w:hAnsi="Times New Roman"/>
          <w:caps w:val="false"/>
          <w:smallCaps w:val="false"/>
          <w:sz w:val="20"/>
          <w:u w:val="single"/>
        </w:rPr>
        <w:t>I</w:t>
      </w:r>
      <w:r>
        <w:rPr>
          <w:rFonts w:ascii="Times New Roman" w:hAnsi="Times New Roman"/>
          <w:caps w:val="false"/>
          <w:smallCaps w:val="false"/>
          <w:sz w:val="20"/>
        </w:rPr>
        <w:t xml:space="preserve"> </w:t>
      </w:r>
      <w:r>
        <w:rPr>
          <w:rFonts w:ascii="Times New Roman" w:hAnsi="Times New Roman"/>
          <w:caps w:val="false"/>
          <w:smallCaps w:val="false"/>
          <w:sz w:val="20"/>
          <w:u w:val="single"/>
        </w:rPr>
        <w:t>T</w:t>
      </w:r>
      <w:r>
        <w:rPr>
          <w:rFonts w:ascii="Times New Roman" w:hAnsi="Times New Roman"/>
          <w:caps w:val="false"/>
          <w:smallCaps w:val="false"/>
          <w:sz w:val="20"/>
        </w:rPr>
        <w:t xml:space="preserve"> </w:t>
      </w:r>
      <w:r>
        <w:rPr>
          <w:rFonts w:ascii="Times New Roman" w:hAnsi="Times New Roman"/>
          <w:caps w:val="false"/>
          <w:smallCaps w:val="false"/>
          <w:sz w:val="20"/>
          <w:u w:val="single"/>
        </w:rPr>
        <w:t>N</w:t>
      </w:r>
      <w:r>
        <w:rPr>
          <w:rFonts w:ascii="Times New Roman" w:hAnsi="Times New Roman"/>
          <w:caps w:val="false"/>
          <w:smallCaps w:val="false"/>
          <w:sz w:val="20"/>
        </w:rPr>
        <w:t xml:space="preserve"> </w:t>
      </w:r>
      <w:r>
        <w:rPr>
          <w:rFonts w:ascii="Times New Roman" w:hAnsi="Times New Roman"/>
          <w:caps w:val="false"/>
          <w:smallCaps w:val="false"/>
          <w:sz w:val="20"/>
          <w:u w:val="single"/>
        </w:rPr>
        <w:t>E</w:t>
      </w:r>
      <w:r>
        <w:rPr>
          <w:rFonts w:ascii="Times New Roman" w:hAnsi="Times New Roman"/>
          <w:caps w:val="false"/>
          <w:smallCaps w:val="false"/>
          <w:sz w:val="20"/>
        </w:rPr>
        <w:t xml:space="preserve"> </w:t>
      </w:r>
      <w:r>
        <w:rPr>
          <w:rFonts w:ascii="Times New Roman" w:hAnsi="Times New Roman"/>
          <w:caps w:val="false"/>
          <w:smallCaps w:val="false"/>
          <w:sz w:val="20"/>
          <w:u w:val="single"/>
        </w:rPr>
        <w:t>S</w:t>
      </w:r>
      <w:r>
        <w:rPr>
          <w:rFonts w:ascii="Times New Roman" w:hAnsi="Times New Roman"/>
          <w:caps w:val="false"/>
          <w:smallCaps w:val="false"/>
          <w:sz w:val="20"/>
        </w:rPr>
        <w:t xml:space="preserve"> </w:t>
      </w:r>
      <w:r>
        <w:rPr>
          <w:rFonts w:ascii="Times New Roman" w:hAnsi="Times New Roman"/>
          <w:caps w:val="false"/>
          <w:smallCaps w:val="false"/>
          <w:sz w:val="20"/>
          <w:u w:val="single"/>
        </w:rPr>
        <w:t>S</w:t>
      </w:r>
      <w:r>
        <w:rPr>
          <w:rFonts w:ascii="Times New Roman" w:hAnsi="Times New Roman"/>
          <w:caps w:val="false"/>
          <w:smallCaps w:val="false"/>
          <w:sz w:val="20"/>
        </w:rPr>
        <w:t xml:space="preserve"> </w:t>
      </w:r>
      <w:r>
        <w:rPr>
          <w:rFonts w:ascii="Times New Roman" w:hAnsi="Times New Roman"/>
          <w:caps w:val="false"/>
          <w:smallCaps w:val="false"/>
          <w:sz w:val="20"/>
          <w:u w:val="single"/>
        </w:rPr>
        <w:t>E</w:t>
      </w:r>
      <w:r>
        <w:rPr>
          <w:rFonts w:ascii="Times New Roman" w:hAnsi="Times New Roman"/>
          <w:caps w:val="false"/>
          <w:smallCaps w:val="false"/>
          <w:sz w:val="20"/>
        </w:rPr>
        <w:t xml:space="preserve"> </w:t>
      </w:r>
      <w:r>
        <w:rPr>
          <w:rFonts w:ascii="Times New Roman" w:hAnsi="Times New Roman"/>
          <w:caps w:val="false"/>
          <w:smallCaps w:val="false"/>
          <w:sz w:val="20"/>
          <w:u w:val="single"/>
        </w:rPr>
        <w:t>T</w:t>
      </w:r>
      <w:r>
        <w:rPr>
          <w:rFonts w:ascii="Times New Roman" w:hAnsi="Times New Roman"/>
          <w:caps w:val="false"/>
          <w:smallCaps w:val="false"/>
          <w:sz w:val="20"/>
        </w:rPr>
        <w:t xml:space="preserve"> </w:t>
      </w:r>
      <w:r>
        <w:rPr>
          <w:rFonts w:ascii="Times New Roman" w:hAnsi="Times New Roman"/>
          <w:caps w:val="false"/>
          <w:smallCaps w:val="false"/>
          <w:sz w:val="20"/>
          <w:u w:val="single"/>
        </w:rPr>
        <w:t>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pursuant to the terms of that certain Securities Purchase Agreement, dated as of December 7, 2022, executed by and between the Parties, (i) on December 7, 2022, the Company issued the Holder a convertible debenture in the principal amount of $11,100,000 (Debenture No. SEV-1), (ii) on December 8, 2022, the Company issued the Holder a convertible debenture in the principal amount of $10,000,000 (Debenture No. SEV-2), and (iii) on December 20, 2022, the Company issued the Holder a convertible debenture in the principal amount of $10,000,000 (Debenture No. SEV-3) (collectively, the “</w:t>
      </w:r>
      <w:r>
        <w:rPr>
          <w:rFonts w:ascii="Times New Roman" w:hAnsi="Times New Roman"/>
          <w:caps w:val="false"/>
          <w:smallCaps w:val="false"/>
          <w:sz w:val="20"/>
          <w:u w:val="single"/>
        </w:rPr>
        <w:t>Debentures</w:t>
      </w:r>
      <w:r>
        <w:rPr>
          <w:rFonts w:ascii="Times New Roman" w:hAnsi="Times New Roman"/>
          <w:caps w:val="false"/>
          <w:smallCaps w:val="false"/>
          <w:sz w:val="20"/>
        </w:rPr>
        <w:t>” and individually a “</w:t>
      </w:r>
      <w:r>
        <w:rPr>
          <w:rFonts w:ascii="Times New Roman" w:hAnsi="Times New Roman"/>
          <w:caps w:val="false"/>
          <w:smallCaps w:val="false"/>
          <w:sz w:val="20"/>
          <w:u w:val="single"/>
        </w:rPr>
        <w:t>Debenture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as an inducement to enter into that certain Restructuring Agreement, dated as of the date hereof, by and between the Parties (the “</w:t>
      </w:r>
      <w:r>
        <w:rPr>
          <w:rFonts w:ascii="Times New Roman" w:hAnsi="Times New Roman"/>
          <w:caps w:val="false"/>
          <w:smallCaps w:val="false"/>
          <w:sz w:val="20"/>
          <w:u w:val="single"/>
        </w:rPr>
        <w:t>Restructuring Agreement</w:t>
      </w:r>
      <w:r>
        <w:rPr>
          <w:rFonts w:ascii="Times New Roman" w:hAnsi="Times New Roman"/>
          <w:caps w:val="false"/>
          <w:smallCaps w:val="false"/>
          <w:sz w:val="20"/>
        </w:rPr>
        <w:t>”), and that certain Funding Commitment Letter, dated as of the date hereof, by and between the Parties (the “</w:t>
      </w:r>
      <w:r>
        <w:rPr>
          <w:rFonts w:ascii="Times New Roman" w:hAnsi="Times New Roman"/>
          <w:caps w:val="false"/>
          <w:smallCaps w:val="false"/>
          <w:sz w:val="20"/>
          <w:u w:val="single"/>
        </w:rPr>
        <w:t>Funding Commitment Letter</w:t>
      </w:r>
      <w:r>
        <w:rPr>
          <w:rFonts w:ascii="Times New Roman" w:hAnsi="Times New Roman"/>
          <w:caps w:val="false"/>
          <w:smallCaps w:val="false"/>
          <w:sz w:val="20"/>
        </w:rPr>
        <w:t>”), the Parties desire to amend the Debentures pursuant to the terms and conditions of this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 of the mutual promises and other good and valuable consideration, the receipt and sufficiency of which are hereby acknowledged, each Party agrees with the other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Section 1(a) of each of the Debentures shall be amended and restated in its entirety to reflecting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Section 1(a): </w:t>
      </w:r>
      <w:r>
        <w:rPr>
          <w:rFonts w:ascii="Times New Roman" w:hAnsi="Times New Roman"/>
          <w:caps w:val="false"/>
          <w:smallCaps w:val="false"/>
          <w:sz w:val="20"/>
          <w:u w:val="single"/>
        </w:rPr>
        <w:t>Maturity Date</w:t>
      </w:r>
      <w:r>
        <w:rPr>
          <w:rFonts w:ascii="Times New Roman" w:hAnsi="Times New Roman"/>
          <w:caps w:val="false"/>
          <w:smallCaps w:val="false"/>
          <w:sz w:val="20"/>
        </w:rPr>
        <w:t>. On the Maturity Date, the Company shall pay to the Holder an amount in cash representing all outstanding Principal, accrued and unpaid Interest, and any other amounts outstanding pursuant to the terms of this Debenture. The “</w:t>
      </w:r>
      <w:r>
        <w:rPr>
          <w:rFonts w:ascii="Times New Roman" w:hAnsi="Times New Roman"/>
          <w:caps w:val="false"/>
          <w:smallCaps w:val="false"/>
          <w:sz w:val="20"/>
          <w:u w:val="single"/>
        </w:rPr>
        <w:t>Maturity Date</w:t>
      </w:r>
      <w:r>
        <w:rPr>
          <w:rFonts w:ascii="Times New Roman" w:hAnsi="Times New Roman"/>
          <w:caps w:val="false"/>
          <w:smallCaps w:val="false"/>
          <w:sz w:val="20"/>
        </w:rPr>
        <w:t>” shall be July 1, 2025, as may be extended at the option of the Holder. Other than as specifically permitted by this Debenture, the Company may not prepay or redeem any portion of the outstanding Principal and accrued and unpaid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t> </w:t>
      </w:r>
      <w:r>
        <w:rPr>
          <w:rFonts w:ascii="Times New Roman;Times;serif" w:hAnsi="Times New Roman;Times;serif"/>
          <w:sz w:val="20"/>
        </w:rPr>
        <w:t>2. Section 3(a)(xiii) shall be added to each of the Debentures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Section 3(a)(xiii): A Termination Event of the Funding Commitment Letter (as expressly defined in the Funding Commitment Letter) occurs and such Termination Event has not subsequently been waived by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    The definition of “Conversion Price” in section 4(a)(ii) of each of the Debentures shall be deleted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(ii)         “Conversion Price” means, as of any Conversion Date (as defined below) or other date of determination the lower of (i) a price per Ordinary Share equal to USD 0.25 (the “Fixed Conversion Price”), or (ii) 85% of the lowest daily VWAP of the Ordinary Shares during the seven (7) consecutive Trading Days immediately preceding the Conversion Date or other date of determination (the “Variable Conversion Price”), provided that, if and only if the Ordinary Shares are listed and traded on Nasdaq on the relevant Conversion Date the Holder may agree that the Variable Conversion Price shall not be lower than the Floor Price then in effect; provided, further, that if the Ordinary Shares are not listed or traded on Nasdaq on the relevant Conversion Date, then no Floor Price shall be in effect, and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    The definition of “Floor Price” in section 14(j) of each of the Debentures shall be deleted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14(j) “</w:t>
      </w:r>
      <w:r>
        <w:rPr>
          <w:rFonts w:ascii="Times New Roman" w:hAnsi="Times New Roman"/>
          <w:caps w:val="false"/>
          <w:smallCaps w:val="false"/>
          <w:sz w:val="20"/>
          <w:u w:val="single"/>
        </w:rPr>
        <w:t>Floor Price</w:t>
      </w:r>
      <w:r>
        <w:rPr>
          <w:rFonts w:ascii="Times New Roman" w:hAnsi="Times New Roman"/>
          <w:caps w:val="false"/>
          <w:smallCaps w:val="false"/>
          <w:sz w:val="20"/>
        </w:rPr>
        <w:t>” solely with respect to the Variable Conversion Price, shall mean a price per share equal to 20% of the Closing Price on the Trading Day immediately prior to the effective date of that certain Amendment to Convertible Debentures, dated as of November 17, 2023, by and between the Company and Holder; provided, however, that if the Ordinary Shares are not listed or traded on Nasdaq, then no Floor Price shall be in effect. Notwithstanding the foregoing, the Company may reduce the Floor Price to any amounts set forth in a written notice to the Holder; provided that such reduction shall be irrevocable and shall not be subject to increase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5.    Except as herein amended, each Debenture shall remain in full force and effect, and shall not otherwise be affected by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6.    This Amendment shall become effective only upon the satisfaction of the Closing Condition (as defined in the Restructuring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Further Assurances</w:t>
      </w:r>
      <w:r>
        <w:rPr>
          <w:rFonts w:ascii="Times New Roman" w:hAnsi="Times New Roman"/>
          <w:caps w:val="false"/>
          <w:smallCaps w:val="false"/>
          <w:sz w:val="20"/>
        </w:rPr>
        <w:t>. Each Party hereto, without additional consideration, shall cooperate, shall take such further action and shall execute and deliver such further documents as may be reasonably requested by the other Party hereto in order to carry out the provisions and purposes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Counterparts</w:t>
      </w:r>
      <w:r>
        <w:rPr>
          <w:rFonts w:ascii="Times New Roman" w:hAnsi="Times New Roman"/>
          <w:caps w:val="false"/>
          <w:smallCaps w:val="false"/>
          <w:sz w:val="20"/>
        </w:rPr>
        <w:t>. This Amendment may be signed in counterparts with the same effect as if the signature on each counterpart were upon the same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Headings</w:t>
      </w:r>
      <w:r>
        <w:rPr>
          <w:rFonts w:ascii="Times New Roman" w:hAnsi="Times New Roman"/>
          <w:caps w:val="false"/>
          <w:smallCaps w:val="false"/>
          <w:sz w:val="20"/>
        </w:rPr>
        <w:t>. The headings of Articles and Sections in this Amendment are provided for convenience only and will not affect its construction or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Waiver</w:t>
      </w:r>
      <w:r>
        <w:rPr>
          <w:rFonts w:ascii="Times New Roman" w:hAnsi="Times New Roman"/>
          <w:caps w:val="false"/>
          <w:smallCaps w:val="false"/>
          <w:sz w:val="20"/>
        </w:rPr>
        <w:t>. Neither any failure nor any delay by any party in exercising any right, power or privilege under this Amendment or any of the documents referred to in this Amendment will operate as a waiver of such right, power or privilege, and no single or partial exercise of any such right, power or privilege will preclude any other or further exercise of such right, power or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Severability</w:t>
      </w:r>
      <w:r>
        <w:rPr>
          <w:rFonts w:ascii="Times New Roman" w:hAnsi="Times New Roman"/>
          <w:caps w:val="false"/>
          <w:smallCaps w:val="false"/>
          <w:sz w:val="20"/>
        </w:rPr>
        <w:t>. The invalidity or unenforceability of any provisions of this Amendment pursuant to any applicable law shall not affect the validity of the remaining provisions hereof, but this Amendment shall be construed as if not containing the provision held invalid or unenforceable in the jurisdiction in which so held, and the remaining provisions of this Amendment shall remain in full force and effect. If the Amendment may not be effectively construed as if not containing the provision held invalid or unenforceable, then the provision contained herein that is held invalid or unenforceable shall be reformed so that it meets such requirements as to make it valid or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Governing Law</w:t>
      </w:r>
      <w:r>
        <w:rPr>
          <w:rFonts w:ascii="Times New Roman" w:hAnsi="Times New Roman"/>
          <w:caps w:val="false"/>
          <w:smallCaps w:val="false"/>
          <w:sz w:val="20"/>
        </w:rPr>
        <w:t>. This Amendment shall be governed by and construed according to the laws of the State of New York, without regard to the conflict of laws provisions thereof. Any dispute arising under or in relation to this Amendment shall be resolved exclusively in the competent federal or state court sitting in the City of New York, Borough of Manhattan, and each of the parties hereby submits irrevocably to the jurisdiction of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[REMAINDER OF PAGE LEFT BLANK INTENTIONALLY]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have caused this Amendment to Convertible Debentures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290" w:type="dxa"/>
        <w:jc w:val="left"/>
        <w:tblInd w:w="0" w:type="dxa"/>
        <w:tblLayout w:type="fixed"/>
        <w:tblCellMar>
          <w:top w:w="0" w:type="dxa"/>
          <w:left w:w="0" w:type="dxa"/>
          <w:bottom w:w="0" w:type="dxa"/>
          <w:right w:w="0" w:type="dxa"/>
        </w:tblCellMar>
      </w:tblPr>
      <w:tblGrid>
        <w:gridCol w:w="60"/>
        <w:gridCol w:w="740"/>
        <w:gridCol w:w="1700"/>
        <w:gridCol w:w="1790"/>
      </w:tblGrid>
      <w:tr>
        <w:trPr/>
        <w:tc>
          <w:tcPr>
            <w:tcW w:w="60" w:type="dxa"/>
            <w:tcBorders/>
            <w:vAlign w:val="center"/>
          </w:tcPr>
          <w:p>
            <w:pPr>
              <w:pStyle w:val="TableContents"/>
              <w:bidi w:val="0"/>
              <w:spacing w:before="0" w:after="283"/>
              <w:jc w:val="left"/>
              <w:rPr/>
            </w:pPr>
            <w:r>
              <w:rPr/>
              <w:t> </w:t>
            </w:r>
          </w:p>
        </w:tc>
        <w:tc>
          <w:tcPr>
            <w:tcW w:w="4230" w:type="dxa"/>
            <w:gridSpan w:val="3"/>
            <w:tcBorders/>
            <w:vAlign w:val="center"/>
          </w:tcPr>
          <w:p>
            <w:pPr>
              <w:pStyle w:val="TableContents"/>
              <w:bidi w:val="0"/>
              <w:spacing w:before="0" w:after="283"/>
              <w:jc w:val="left"/>
              <w:rPr/>
            </w:pPr>
            <w:r>
              <w:rPr>
                <w:u w:val="single"/>
              </w:rPr>
              <w:t>Company</w:t>
            </w:r>
            <w:r>
              <w:rPr/>
              <w:t>:</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30" w:type="dxa"/>
            <w:gridSpan w:val="3"/>
            <w:tcBorders/>
            <w:vAlign w:val="center"/>
          </w:tcPr>
          <w:p>
            <w:pPr>
              <w:pStyle w:val="TableContents"/>
              <w:bidi w:val="0"/>
              <w:spacing w:before="0" w:after="283"/>
              <w:jc w:val="left"/>
              <w:rPr>
                <w:b/>
              </w:rPr>
            </w:pPr>
            <w:r>
              <w:rPr>
                <w:b/>
              </w:rPr>
              <w:t>SONO GROUP N.V.</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By:</w:t>
            </w:r>
          </w:p>
        </w:tc>
        <w:tc>
          <w:tcPr>
            <w:tcW w:w="1700" w:type="dxa"/>
            <w:tcBorders/>
            <w:vAlign w:val="center"/>
          </w:tcPr>
          <w:p>
            <w:pPr>
              <w:pStyle w:val="TableContents"/>
              <w:bidi w:val="0"/>
              <w:spacing w:before="0" w:after="283"/>
              <w:jc w:val="left"/>
              <w:rPr>
                <w:u w:val="single"/>
              </w:rPr>
            </w:pPr>
            <w:r>
              <w:rPr>
                <w:u w:val="single"/>
              </w:rPr>
              <w:t>/s/ Torsten Kiedel</w:t>
            </w:r>
          </w:p>
        </w:tc>
        <w:tc>
          <w:tcPr>
            <w:tcW w:w="1790" w:type="dxa"/>
            <w:tcBorders/>
            <w:vAlign w:val="center"/>
          </w:tcPr>
          <w:p>
            <w:pPr>
              <w:pStyle w:val="TableContents"/>
              <w:bidi w:val="0"/>
              <w:spacing w:before="0" w:after="283"/>
              <w:jc w:val="left"/>
              <w:rPr/>
            </w:pPr>
            <w:r>
              <w:rPr/>
              <w:t>/s/ Markus Volmer</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w:t>
            </w:r>
          </w:p>
        </w:tc>
        <w:tc>
          <w:tcPr>
            <w:tcW w:w="1700" w:type="dxa"/>
            <w:tcBorders/>
            <w:vAlign w:val="center"/>
          </w:tcPr>
          <w:p>
            <w:pPr>
              <w:pStyle w:val="TableContents"/>
              <w:bidi w:val="0"/>
              <w:spacing w:before="0" w:after="283"/>
              <w:jc w:val="left"/>
              <w:rPr/>
            </w:pPr>
            <w:r>
              <w:rPr/>
              <w:t>Torsten Kiedel</w:t>
            </w:r>
          </w:p>
        </w:tc>
        <w:tc>
          <w:tcPr>
            <w:tcW w:w="1790" w:type="dxa"/>
            <w:tcBorders/>
            <w:vAlign w:val="center"/>
          </w:tcPr>
          <w:p>
            <w:pPr>
              <w:pStyle w:val="TableContents"/>
              <w:bidi w:val="0"/>
              <w:spacing w:before="0" w:after="283"/>
              <w:jc w:val="left"/>
              <w:rPr/>
            </w:pPr>
            <w:r>
              <w:rPr/>
              <w:t>Markus Volmer</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1700" w:type="dxa"/>
            <w:tcBorders/>
            <w:vAlign w:val="center"/>
          </w:tcPr>
          <w:p>
            <w:pPr>
              <w:pStyle w:val="TableContents"/>
              <w:bidi w:val="0"/>
              <w:spacing w:before="0" w:after="283"/>
              <w:jc w:val="left"/>
              <w:rPr/>
            </w:pPr>
            <w:r>
              <w:rPr/>
              <w:t>CFO</w:t>
            </w:r>
          </w:p>
        </w:tc>
        <w:tc>
          <w:tcPr>
            <w:tcW w:w="1790" w:type="dxa"/>
            <w:tcBorders/>
            <w:vAlign w:val="center"/>
          </w:tcPr>
          <w:p>
            <w:pPr>
              <w:pStyle w:val="TableContents"/>
              <w:bidi w:val="0"/>
              <w:spacing w:before="0" w:after="283"/>
              <w:jc w:val="left"/>
              <w:rPr/>
            </w:pPr>
            <w:r>
              <w:rPr/>
              <w:t>CTO</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u w:val="single"/>
              </w:rPr>
            </w:pPr>
            <w:r>
              <w:rPr>
                <w:u w:val="single"/>
              </w:rPr>
              <w:t>Holder:</w:t>
            </w:r>
          </w:p>
        </w:tc>
        <w:tc>
          <w:tcPr>
            <w:tcW w:w="170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30" w:type="dxa"/>
            <w:gridSpan w:val="3"/>
            <w:tcBorders/>
            <w:vAlign w:val="center"/>
          </w:tcPr>
          <w:p>
            <w:pPr>
              <w:pStyle w:val="TableContents"/>
              <w:bidi w:val="0"/>
              <w:spacing w:before="0" w:after="283"/>
              <w:jc w:val="left"/>
              <w:rPr>
                <w:b/>
              </w:rPr>
            </w:pPr>
            <w:r>
              <w:rPr>
                <w:b/>
              </w:rPr>
              <w:t xml:space="preserve">YA II PN, LTD. </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By:</w:t>
            </w:r>
          </w:p>
        </w:tc>
        <w:tc>
          <w:tcPr>
            <w:tcW w:w="3490" w:type="dxa"/>
            <w:gridSpan w:val="2"/>
            <w:tcBorders/>
            <w:vAlign w:val="center"/>
          </w:tcPr>
          <w:p>
            <w:pPr>
              <w:pStyle w:val="TableContents"/>
              <w:bidi w:val="0"/>
              <w:spacing w:before="0" w:after="283"/>
              <w:jc w:val="left"/>
              <w:rPr/>
            </w:pPr>
            <w:r>
              <w:rPr/>
              <w:t>Yorkville Advisors Global, LP</w:t>
            </w:r>
            <w:r>
              <w:rPr>
                <w:u w:val="single"/>
              </w:rPr>
              <w:t> </w:t>
            </w:r>
          </w:p>
        </w:tc>
      </w:tr>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Its:</w:t>
            </w:r>
          </w:p>
        </w:tc>
        <w:tc>
          <w:tcPr>
            <w:tcW w:w="3490" w:type="dxa"/>
            <w:gridSpan w:val="2"/>
            <w:tcBorders/>
            <w:vAlign w:val="center"/>
          </w:tcPr>
          <w:p>
            <w:pPr>
              <w:pStyle w:val="TableContents"/>
              <w:bidi w:val="0"/>
              <w:spacing w:before="0" w:after="283"/>
              <w:jc w:val="left"/>
              <w:rPr/>
            </w:pPr>
            <w:r>
              <w:rPr/>
              <w:t>Investment Manager</w:t>
            </w:r>
          </w:p>
        </w:tc>
      </w:tr>
    </w:tbl>
    <w:p>
      <w:pPr>
        <w:pStyle w:val="TextBody"/>
        <w:bidi w:val="0"/>
        <w:spacing w:before="0" w:after="0"/>
        <w:ind w:left="0" w:right="0" w:hanging="0"/>
        <w:jc w:val="left"/>
        <w:rPr/>
      </w:pPr>
      <w:r>
        <w:rPr/>
        <w:t> </w:t>
      </w:r>
    </w:p>
    <w:tbl>
      <w:tblPr>
        <w:tblW w:w="4104" w:type="dxa"/>
        <w:jc w:val="left"/>
        <w:tblInd w:w="0" w:type="dxa"/>
        <w:tblLayout w:type="fixed"/>
        <w:tblCellMar>
          <w:top w:w="0" w:type="dxa"/>
          <w:left w:w="0" w:type="dxa"/>
          <w:bottom w:w="0" w:type="dxa"/>
          <w:right w:w="0" w:type="dxa"/>
        </w:tblCellMar>
      </w:tblPr>
      <w:tblGrid>
        <w:gridCol w:w="60"/>
        <w:gridCol w:w="60"/>
        <w:gridCol w:w="650"/>
        <w:gridCol w:w="3220"/>
        <w:gridCol w:w="114"/>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334" w:type="dxa"/>
            <w:gridSpan w:val="2"/>
            <w:tcBorders/>
            <w:vAlign w:val="center"/>
          </w:tcPr>
          <w:p>
            <w:pPr>
              <w:pStyle w:val="TableContents"/>
              <w:bidi w:val="0"/>
              <w:spacing w:before="0" w:after="283"/>
              <w:jc w:val="left"/>
              <w:rPr/>
            </w:pPr>
            <w:r>
              <w:rPr/>
              <w:t>Yorkville Advisors Global II, LLC</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Its:</w:t>
            </w:r>
          </w:p>
        </w:tc>
        <w:tc>
          <w:tcPr>
            <w:tcW w:w="3334" w:type="dxa"/>
            <w:gridSpan w:val="2"/>
            <w:tcBorders/>
            <w:vAlign w:val="center"/>
          </w:tcPr>
          <w:p>
            <w:pPr>
              <w:pStyle w:val="TableContents"/>
              <w:bidi w:val="0"/>
              <w:spacing w:before="0" w:after="283"/>
              <w:jc w:val="left"/>
              <w:rPr/>
            </w:pPr>
            <w:r>
              <w:rPr/>
              <w:t>General Partner</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220" w:type="dxa"/>
            <w:tcBorders/>
            <w:vAlign w:val="center"/>
          </w:tcPr>
          <w:p>
            <w:pPr>
              <w:pStyle w:val="TableContents"/>
              <w:bidi w:val="0"/>
              <w:spacing w:before="0" w:after="283"/>
              <w:jc w:val="left"/>
              <w:rPr>
                <w:u w:val="single"/>
              </w:rPr>
            </w:pPr>
            <w:r>
              <w:rPr>
                <w:u w:val="single"/>
              </w:rPr>
              <w:t>/s/ Matt Beckman</w:t>
            </w:r>
          </w:p>
        </w:tc>
        <w:tc>
          <w:tcPr>
            <w:tcW w:w="11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220" w:type="dxa"/>
            <w:tcBorders/>
            <w:vAlign w:val="center"/>
          </w:tcPr>
          <w:p>
            <w:pPr>
              <w:pStyle w:val="TableContents"/>
              <w:bidi w:val="0"/>
              <w:spacing w:before="0" w:after="283"/>
              <w:jc w:val="left"/>
              <w:rPr/>
            </w:pPr>
            <w:r>
              <w:rPr/>
              <w:t>Matt Beckman</w:t>
            </w:r>
          </w:p>
        </w:tc>
        <w:tc>
          <w:tcPr>
            <w:tcW w:w="11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220" w:type="dxa"/>
            <w:tcBorders/>
            <w:vAlign w:val="center"/>
          </w:tcPr>
          <w:p>
            <w:pPr>
              <w:pStyle w:val="TableContents"/>
              <w:bidi w:val="0"/>
              <w:spacing w:before="0" w:after="283"/>
              <w:jc w:val="left"/>
              <w:rPr/>
            </w:pPr>
            <w:r>
              <w:rPr/>
              <w:t>Member</w:t>
            </w:r>
          </w:p>
        </w:tc>
        <w:tc>
          <w:tcPr>
            <w:tcW w:w="11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 w:hAnsi="Times New Roman"/>
          <w:sz w:val="20"/>
        </w:rPr>
      </w:pPr>
      <w:r>
        <w:rPr>
          <w:rFonts w:ascii="Times New Roman" w:hAnsi="Times New Roman"/>
          <w:sz w:val="20"/>
        </w:rPr>
        <w:t>4</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110" w:name="ex_605204.htm"/>
      <w:bookmarkStart w:id="111" w:name="ksex_605204"/>
      <w:bookmarkEnd w:id="110"/>
      <w:bookmarkEnd w:id="111"/>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12.1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RULES 13a-14(a) AND 15d-14(a)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Laurin Hahn, Co-Chief Executive Officer, certify that:</w:t>
      </w:r>
    </w:p>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190"/>
        <w:gridCol w:w="5620"/>
      </w:tblGrid>
      <w:tr>
        <w:trPr/>
        <w:tc>
          <w:tcPr>
            <w:tcW w:w="190"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620"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20-F of Sono Group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43"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41"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44"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37"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35"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5"/>
        <w:gridCol w:w="10030"/>
      </w:tblGrid>
      <w:tr>
        <w:trPr/>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30"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6"/>
        <w:gridCol w:w="10019"/>
      </w:tblGrid>
      <w:tr>
        <w:trPr/>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19"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42"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0"/>
        <w:gridCol w:w="10025"/>
      </w:tblGrid>
      <w:tr>
        <w:trPr/>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25"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7"/>
        <w:gridCol w:w="9958"/>
      </w:tblGrid>
      <w:tr>
        <w:trPr/>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8"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xml:space="preserve">/s/ Laurin Hahn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112" w:name="ex_605205.htm"/>
      <w:bookmarkStart w:id="113" w:name="ksex_605205"/>
      <w:bookmarkEnd w:id="112"/>
      <w:bookmarkEnd w:id="113"/>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RULES 13a-14(a) AND 15d-14(a)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Jona Christians, Co-Chief Executive Officer, certify that:</w:t>
      </w:r>
    </w:p>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190"/>
        <w:gridCol w:w="5620"/>
      </w:tblGrid>
      <w:tr>
        <w:trPr/>
        <w:tc>
          <w:tcPr>
            <w:tcW w:w="190"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620"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20-F of Sono Group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43"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41"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44"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3"/>
        <w:gridCol w:w="10052"/>
      </w:tblGrid>
      <w:tr>
        <w:trPr/>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52"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35"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5"/>
        <w:gridCol w:w="10030"/>
      </w:tblGrid>
      <w:tr>
        <w:trPr/>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30"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6"/>
        <w:gridCol w:w="10019"/>
      </w:tblGrid>
      <w:tr>
        <w:trPr/>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19"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42"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0"/>
        <w:gridCol w:w="10025"/>
      </w:tblGrid>
      <w:tr>
        <w:trPr/>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25"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7"/>
        <w:gridCol w:w="9958"/>
      </w:tblGrid>
      <w:tr>
        <w:trPr/>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8"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xml:space="preserve">/s/ Jona Christians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114" w:name="ex_605206.htm"/>
      <w:bookmarkStart w:id="115" w:name="ksex_605206"/>
      <w:bookmarkEnd w:id="114"/>
      <w:bookmarkEnd w:id="115"/>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12.3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RULES 13a-14(a) AND 15d-14(a)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Torsten Kiedel, Chief Financial Officer, certify that:</w:t>
      </w:r>
    </w:p>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190"/>
        <w:gridCol w:w="5620"/>
      </w:tblGrid>
      <w:tr>
        <w:trPr/>
        <w:tc>
          <w:tcPr>
            <w:tcW w:w="190"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620"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20-F of Sono Group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43"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41"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44"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3"/>
        <w:gridCol w:w="10052"/>
      </w:tblGrid>
      <w:tr>
        <w:trPr/>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52"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5"/>
        <w:gridCol w:w="10030"/>
      </w:tblGrid>
      <w:tr>
        <w:trPr/>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30"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6"/>
        <w:gridCol w:w="10019"/>
      </w:tblGrid>
      <w:tr>
        <w:trPr/>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19"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42"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0"/>
        <w:gridCol w:w="10025"/>
      </w:tblGrid>
      <w:tr>
        <w:trPr/>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25"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7"/>
        <w:gridCol w:w="9958"/>
      </w:tblGrid>
      <w:tr>
        <w:trPr/>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ind w:left="140" w:right="0" w:hanging="1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58" w:type="dxa"/>
            <w:tcBorders/>
            <w:vAlign w:val="center"/>
          </w:tcPr>
          <w:p>
            <w:pPr>
              <w:pStyle w:val="TableContents"/>
              <w:bidi w:val="0"/>
              <w:spacing w:before="0" w:after="0"/>
              <w:ind w:left="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xml:space="preserve">/s/ Torsten Kiedel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extBody"/>
        <w:bidi w:val="0"/>
        <w:spacing w:before="0" w:after="0"/>
        <w:ind w:left="280" w:right="0" w:firstLine="20"/>
        <w:jc w:val="left"/>
        <w:rPr>
          <w:caps w:val="false"/>
          <w:smallCaps w:val="false"/>
        </w:rPr>
      </w:pPr>
      <w:r>
        <w:rPr>
          <w:caps w:val="false"/>
          <w:smallCaps w:val="false"/>
        </w:rPr>
        <w:t> </w:t>
      </w:r>
    </w:p>
    <w:p>
      <w:pPr>
        <w:pStyle w:val="TextBody"/>
        <w:bidi w:val="0"/>
        <w:spacing w:before="0" w:after="0"/>
        <w:ind w:left="280" w:right="0" w:firstLine="2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116" w:name="ex_605207.htm"/>
      <w:bookmarkStart w:id="117" w:name="ksex_605207"/>
      <w:bookmarkEnd w:id="116"/>
      <w:bookmarkEnd w:id="117"/>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13.1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Laurin Hahn, Co-Chief Executive Officer of Sono Group N.V. (the “Company”) “Company”)”), Jona Christians, Co-Chief Executive Officer of the Company, and Torsten Kiedel, Chief Financial Officer of the Company, hereby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caps w:val="false"/>
          <w:smallCaps w:val="false"/>
        </w:rPr>
      </w:pPr>
      <w:r>
        <w:rPr>
          <w:caps w:val="false"/>
          <w:smallCaps w:val="false"/>
        </w:rPr>
        <w:t> </w:t>
      </w:r>
      <w:r>
        <w:rPr>
          <w:rFonts w:ascii="Times New Roman" w:hAnsi="Times New Roman"/>
          <w:caps w:val="false"/>
          <w:smallCaps w:val="false"/>
          <w:sz w:val="20"/>
        </w:rPr>
        <w:t>1.         the Annual Report on Form 20-F of the Company for the year ended December 31, 2022 (the “Report”) fully complies with the requirements of Section 13(a) or 15(d) of the Exchange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caps w:val="false"/>
          <w:smallCaps w:val="false"/>
        </w:rPr>
      </w:pPr>
      <w:r>
        <w:rPr>
          <w:caps w:val="false"/>
          <w:smallCaps w:val="false"/>
        </w:rPr>
        <w:t> </w:t>
      </w: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20"/>
        <w:jc w:val="left"/>
        <w:rPr>
          <w:caps w:val="false"/>
          <w:smallCaps w:val="false"/>
        </w:rPr>
      </w:pPr>
      <w:r>
        <w:rPr>
          <w:caps w:val="false"/>
          <w:smallCaps w:val="false"/>
        </w:rPr>
        <w:t> </w:t>
      </w:r>
    </w:p>
    <w:p>
      <w:pPr>
        <w:pStyle w:val="TextBody"/>
        <w:bidi w:val="0"/>
        <w:spacing w:before="0" w:after="0"/>
        <w:ind w:left="0" w:right="0" w:firstLine="20"/>
        <w:jc w:val="left"/>
        <w:rPr>
          <w:caps w:val="false"/>
          <w:smallCaps w:val="false"/>
        </w:rPr>
      </w:pPr>
      <w:r>
        <w:rPr>
          <w:caps w:val="false"/>
          <w:smallCaps w:val="false"/>
        </w:rPr>
        <w:t> </w:t>
      </w:r>
      <w:r>
        <w:rPr>
          <w:rFonts w:ascii="Times New Roman" w:hAnsi="Times New Roman"/>
          <w:caps w:val="false"/>
          <w:smallCaps w:val="false"/>
          <w:sz w:val="20"/>
        </w:rPr>
        <w:t>Date: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caps w:val="false"/>
          <w:smallCaps w:val="false"/>
        </w:rPr>
      </w:pPr>
      <w:r>
        <w:rPr>
          <w:caps w:val="false"/>
          <w:smallCaps w:val="false"/>
        </w:rPr>
        <w:t> </w:t>
      </w:r>
      <w:r>
        <w:rPr>
          <w:rFonts w:ascii="Times New Roman" w:hAnsi="Times New Roman"/>
          <w:caps w:val="false"/>
          <w:smallCaps w:val="false"/>
          <w:sz w:val="20"/>
        </w:rPr>
        <w:t xml:space="preserve">By: </w:t>
      </w:r>
      <w:r>
        <w:rPr>
          <w:rFonts w:ascii="Times New Roman" w:hAnsi="Times New Roman"/>
          <w:caps w:val="false"/>
          <w:smallCaps w:val="false"/>
          <w:sz w:val="20"/>
          <w:u w:val="single"/>
        </w:rPr>
        <w:t xml:space="preserve">/s/ Laurin Hahn                               </w:t>
      </w:r>
    </w:p>
    <w:p>
      <w:pPr>
        <w:pStyle w:val="TextBody"/>
        <w:bidi w:val="0"/>
        <w:spacing w:before="0" w:after="0"/>
        <w:ind w:left="0" w:right="0" w:firstLine="20"/>
        <w:jc w:val="left"/>
        <w:rPr>
          <w:caps w:val="false"/>
          <w:smallCaps w:val="false"/>
        </w:rPr>
      </w:pPr>
      <w:r>
        <w:rPr>
          <w:caps w:val="false"/>
          <w:smallCaps w:val="false"/>
        </w:rPr>
        <w:t> </w:t>
      </w:r>
      <w:r>
        <w:rPr>
          <w:rFonts w:ascii="Times New Roman" w:hAnsi="Times New Roman"/>
          <w:caps w:val="false"/>
          <w:smallCaps w:val="false"/>
          <w:sz w:val="20"/>
        </w:rPr>
        <w:t>Co-Chief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caps w:val="false"/>
          <w:smallCaps w:val="false"/>
        </w:rPr>
      </w:pPr>
      <w:r>
        <w:rPr>
          <w:caps w:val="false"/>
          <w:smallCaps w:val="false"/>
        </w:rPr>
        <w:t> </w:t>
      </w:r>
      <w:r>
        <w:rPr>
          <w:rFonts w:ascii="Times New Roman" w:hAnsi="Times New Roman"/>
          <w:caps w:val="false"/>
          <w:smallCaps w:val="false"/>
          <w:sz w:val="20"/>
        </w:rPr>
        <w:t xml:space="preserve">By: </w:t>
      </w:r>
      <w:r>
        <w:rPr>
          <w:rFonts w:ascii="Times New Roman" w:hAnsi="Times New Roman"/>
          <w:caps w:val="false"/>
          <w:smallCaps w:val="false"/>
          <w:sz w:val="20"/>
          <w:u w:val="single"/>
        </w:rPr>
        <w:t xml:space="preserve">/s/ Jona Christians                         </w:t>
      </w:r>
    </w:p>
    <w:p>
      <w:pPr>
        <w:pStyle w:val="TextBody"/>
        <w:bidi w:val="0"/>
        <w:spacing w:before="0" w:after="0"/>
        <w:ind w:left="0" w:right="0" w:firstLine="20"/>
        <w:jc w:val="left"/>
        <w:rPr>
          <w:caps w:val="false"/>
          <w:smallCaps w:val="false"/>
        </w:rPr>
      </w:pPr>
      <w:r>
        <w:rPr>
          <w:caps w:val="false"/>
          <w:smallCaps w:val="false"/>
        </w:rPr>
        <w:t> </w:t>
      </w:r>
      <w:r>
        <w:rPr>
          <w:rFonts w:ascii="Times New Roman" w:hAnsi="Times New Roman"/>
          <w:caps w:val="false"/>
          <w:smallCaps w:val="false"/>
          <w:sz w:val="20"/>
        </w:rPr>
        <w:t>Co-Chief Executive Officer</w:t>
      </w:r>
    </w:p>
    <w:p>
      <w:pPr>
        <w:pStyle w:val="TextBody"/>
        <w:bidi w:val="0"/>
        <w:spacing w:before="0" w:after="0"/>
        <w:ind w:left="0" w:right="0" w:firstLine="20"/>
        <w:jc w:val="left"/>
        <w:rPr>
          <w:caps w:val="false"/>
          <w:smallCaps w:val="false"/>
        </w:rPr>
      </w:pPr>
      <w:r>
        <w:rPr>
          <w:caps w:val="false"/>
          <w:smallCaps w:val="false"/>
        </w:rPr>
        <w:t> </w:t>
      </w:r>
    </w:p>
    <w:p>
      <w:pPr>
        <w:pStyle w:val="TextBody"/>
        <w:bidi w:val="0"/>
        <w:spacing w:before="0" w:after="0"/>
        <w:ind w:left="0" w:right="0" w:firstLine="20"/>
        <w:jc w:val="left"/>
        <w:rPr>
          <w:caps w:val="false"/>
          <w:smallCaps w:val="false"/>
        </w:rPr>
      </w:pPr>
      <w:r>
        <w:rPr>
          <w:caps w:val="false"/>
          <w:smallCaps w:val="false"/>
        </w:rPr>
        <w:t> </w:t>
      </w:r>
      <w:r>
        <w:rPr>
          <w:rFonts w:ascii="Times New Roman" w:hAnsi="Times New Roman"/>
          <w:caps w:val="false"/>
          <w:smallCaps w:val="false"/>
          <w:sz w:val="20"/>
        </w:rPr>
        <w:t xml:space="preserve">By: </w:t>
      </w:r>
      <w:r>
        <w:rPr>
          <w:rFonts w:ascii="Times New Roman" w:hAnsi="Times New Roman"/>
          <w:caps w:val="false"/>
          <w:smallCaps w:val="false"/>
          <w:sz w:val="20"/>
          <w:u w:val="single"/>
        </w:rPr>
        <w:t xml:space="preserve">/s/ Torsten Kiedel               </w:t>
      </w:r>
    </w:p>
    <w:p>
      <w:pPr>
        <w:pStyle w:val="TextBody"/>
        <w:bidi w:val="0"/>
        <w:spacing w:before="0" w:after="0"/>
        <w:ind w:left="0" w:right="0" w:firstLine="20"/>
        <w:jc w:val="left"/>
        <w:rPr>
          <w:caps w:val="false"/>
          <w:smallCaps w:val="false"/>
        </w:rPr>
      </w:pPr>
      <w:r>
        <w:rPr>
          <w:caps w:val="false"/>
          <w:smallCaps w:val="false"/>
        </w:rPr>
        <w:t> </w:t>
      </w:r>
      <w:r>
        <w:rPr>
          <w:rFonts w:ascii="Times New Roman" w:hAnsi="Times New Roman"/>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The foregoing certification is being furnished solely pursuant to 18 U.S.C. § 1350 and is not being filed as part of the Report or as a separate disclosure document.</w:t>
      </w:r>
    </w:p>
    <w:p>
      <w:pPr>
        <w:pStyle w:val="TextBody"/>
        <w:bidi w:val="0"/>
        <w:spacing w:before="0" w:after="0"/>
        <w:ind w:left="0" w:right="0" w:firstLine="20"/>
        <w:jc w:val="left"/>
        <w:rPr>
          <w:caps w:val="false"/>
          <w:smallCaps w:val="false"/>
        </w:rPr>
      </w:pPr>
      <w:r>
        <w:rPr>
          <w:caps w:val="false"/>
          <w:smallCaps w:val="false"/>
        </w:rPr>
        <w:t> </w:t>
      </w:r>
    </w:p>
    <w:p>
      <w:pPr>
        <w:pStyle w:val="TextBody"/>
        <w:bidi w:val="0"/>
        <w:spacing w:before="0" w:after="0"/>
        <w:ind w:left="0" w:right="0" w:firstLine="2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118" w:name="ex_605208.htm"/>
      <w:bookmarkStart w:id="119" w:name="ksex_605208"/>
      <w:bookmarkEnd w:id="118"/>
      <w:bookmarkEnd w:id="119"/>
      <w:r>
        <w:rPr>
          <w:rFonts w:ascii="Times New Roman" w:hAnsi="Times New Roman"/>
          <w:b/>
          <w:caps w:val="false"/>
          <w:smallCaps w:val="false"/>
          <w:sz w:val="20"/>
        </w:rPr>
        <w:t>Exhibit 15.1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hereby consent to the incorporation by reference in the Registration Statement on Form S-8 (No. 333-261241) of Sono Group N.V. of our report dated December 22, 2023 relating to the financial statements, which appears in this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Munich, Germany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PricewaterhouseCoopers GmbH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Wirtschaftsprüfungsgesellschaft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/s/Alexander Fiedler                                         /s/ppa. Sylvia Eichler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Wirtschaftsprüfer                                              Wirtschaftsprüferin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 Public Auditor)                                 (German Public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120" w:name="ex_607673.htm"/>
      <w:bookmarkStart w:id="121" w:name="ksex_607673"/>
      <w:bookmarkEnd w:id="120"/>
      <w:bookmarkEnd w:id="121"/>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97</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CLAWBACK POLICY: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RECOVERY OF ERRONEOUSLY AWARDED INCENTIVE-BASED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The supervisory board (the “Supervisory </w:t>
      </w:r>
      <w:r>
        <w:rPr>
          <w:rFonts w:ascii="Times New Roman" w:hAnsi="Times New Roman"/>
          <w:caps w:val="false"/>
          <w:smallCaps w:val="false"/>
          <w:sz w:val="20"/>
          <w:u w:val="single"/>
        </w:rPr>
        <w:t>Board</w:t>
      </w:r>
      <w:r>
        <w:rPr>
          <w:rFonts w:ascii="Times New Roman" w:hAnsi="Times New Roman"/>
          <w:caps w:val="false"/>
          <w:smallCaps w:val="false"/>
          <w:sz w:val="20"/>
        </w:rPr>
        <w:t>”) of Sono Group N.V. (the “</w:t>
      </w:r>
      <w:r>
        <w:rPr>
          <w:rFonts w:ascii="Times New Roman" w:hAnsi="Times New Roman"/>
          <w:caps w:val="false"/>
          <w:smallCaps w:val="false"/>
          <w:sz w:val="20"/>
          <w:u w:val="single"/>
        </w:rPr>
        <w:t>Company</w:t>
      </w:r>
      <w:r>
        <w:rPr>
          <w:rFonts w:ascii="Times New Roman" w:hAnsi="Times New Roman"/>
          <w:caps w:val="false"/>
          <w:smallCaps w:val="false"/>
          <w:sz w:val="20"/>
        </w:rPr>
        <w:t>”) has adopted this Policy Regarding the Recovery of Erroneously Awarded Incentive-Based Compensation (this “</w:t>
      </w:r>
      <w:r>
        <w:rPr>
          <w:rFonts w:ascii="Times New Roman" w:hAnsi="Times New Roman"/>
          <w:caps w:val="false"/>
          <w:smallCaps w:val="false"/>
          <w:sz w:val="20"/>
          <w:u w:val="single"/>
        </w:rPr>
        <w:t>Policy</w:t>
      </w:r>
      <w:r>
        <w:rPr>
          <w:rFonts w:ascii="Times New Roman" w:hAnsi="Times New Roman"/>
          <w:caps w:val="false"/>
          <w:smallCaps w:val="false"/>
          <w:sz w:val="20"/>
        </w:rPr>
        <w:t>”) to provide for (i) the recovery or “clawback” of excess Incentive-Based Compensation earned by current or former Executive Officers of the Company in the event of a required Restatement and (ii) the recoupment and/or adjustment of a Bonus from Executive Officers under certain circumstances defined by Dutch law (each as defined under the section entitled “IX. Definitions” or as otherwise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This Policy is intended to comply with the requirements of the Nasdaq Stock Market (“</w:t>
      </w:r>
      <w:r>
        <w:rPr>
          <w:rFonts w:ascii="Times New Roman" w:hAnsi="Times New Roman"/>
          <w:caps w:val="false"/>
          <w:smallCaps w:val="false"/>
          <w:sz w:val="20"/>
          <w:u w:val="single"/>
        </w:rPr>
        <w:t>Nasdaq</w:t>
      </w:r>
      <w:r>
        <w:rPr>
          <w:rFonts w:ascii="Times New Roman" w:hAnsi="Times New Roman"/>
          <w:caps w:val="false"/>
          <w:smallCaps w:val="false"/>
          <w:sz w:val="20"/>
        </w:rPr>
        <w:t>”) Listing Rule 5608 (the “</w:t>
      </w:r>
      <w:r>
        <w:rPr>
          <w:rFonts w:ascii="Times New Roman" w:hAnsi="Times New Roman"/>
          <w:caps w:val="false"/>
          <w:smallCaps w:val="false"/>
          <w:sz w:val="20"/>
          <w:u w:val="single"/>
        </w:rPr>
        <w:t>Listing Standard</w:t>
      </w:r>
      <w:r>
        <w:rPr>
          <w:rFonts w:ascii="Times New Roman" w:hAnsi="Times New Roman"/>
          <w:caps w:val="false"/>
          <w:smallCaps w:val="false"/>
          <w:sz w:val="20"/>
        </w:rPr>
        <w:t>”). To the extent that any provision in this Policy is ambiguous as to its compliance with the Listing Standard or to the extent any provision in this Policy must be modified to comply with the Listing Standard, such provision will be read, or will be modified, as the case may be, in such a manner so that all applicable provisions under this Policy comply with the Listing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II. STATEMENT OF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shall recover reasonably promptly the amount of erroneously awarded Incentive-Based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hAnsi="Times New Roman"/>
          <w:caps w:val="false"/>
          <w:smallCaps w:val="false"/>
          <w:sz w:val="20"/>
          <w:u w:val="single"/>
        </w:rPr>
        <w:t>Restatement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shall recover erroneously awarded Incentive-Based Compensation in compliance with this Policy except to the extent provided under the section entitled “V. Exceptions”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III. SCOPE OF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 xml:space="preserve">A. </w:t>
      </w:r>
      <w:r>
        <w:rPr>
          <w:rFonts w:ascii="Times New Roman" w:hAnsi="Times New Roman"/>
          <w:b/>
          <w:i/>
          <w:caps w:val="false"/>
          <w:smallCaps w:val="false"/>
          <w:sz w:val="20"/>
        </w:rPr>
        <w:t xml:space="preserve">Persons Covered and Recovery Period. </w:t>
      </w:r>
      <w:r>
        <w:rPr>
          <w:rFonts w:ascii="Times New Roman" w:hAnsi="Times New Roman"/>
          <w:caps w:val="false"/>
          <w:smallCaps w:val="false"/>
          <w:sz w:val="20"/>
        </w:rPr>
        <w:t>This Policy applies to all Incentive-Based Compensation received by an Executive Officer:</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0"/>
        <w:gridCol w:w="170"/>
        <w:gridCol w:w="3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after beginning service as an Executive Officer,</w:t>
            </w:r>
          </w:p>
        </w:tc>
      </w:tr>
    </w:tbl>
    <w:tbl>
      <w:tblPr>
        <w:tblW w:w="9805" w:type="dxa"/>
        <w:jc w:val="left"/>
        <w:tblInd w:w="0" w:type="dxa"/>
        <w:tblLayout w:type="fixed"/>
        <w:tblCellMar>
          <w:top w:w="0" w:type="dxa"/>
          <w:left w:w="0" w:type="dxa"/>
          <w:bottom w:w="0" w:type="dxa"/>
          <w:right w:w="0" w:type="dxa"/>
        </w:tblCellMar>
      </w:tblPr>
      <w:tblGrid>
        <w:gridCol w:w="60"/>
        <w:gridCol w:w="170"/>
        <w:gridCol w:w="9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who served as an Executive Officer at any time during the performance period for that Incentive-Based Compensation,</w:t>
            </w:r>
          </w:p>
        </w:tc>
      </w:tr>
    </w:tbl>
    <w:tbl>
      <w:tblPr>
        <w:tblW w:w="5530" w:type="dxa"/>
        <w:jc w:val="left"/>
        <w:tblInd w:w="0" w:type="dxa"/>
        <w:tblLayout w:type="fixed"/>
        <w:tblCellMar>
          <w:top w:w="0" w:type="dxa"/>
          <w:left w:w="0" w:type="dxa"/>
          <w:bottom w:w="0" w:type="dxa"/>
          <w:right w:w="0" w:type="dxa"/>
        </w:tblCellMar>
      </w:tblPr>
      <w:tblGrid>
        <w:gridCol w:w="60"/>
        <w:gridCol w:w="170"/>
        <w:gridCol w:w="5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the Company has a class of securities listed on Nasdaq,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completed fiscal years immediately preceding the date that the Company is required to prepare a Restatement (the “</w:t>
            </w:r>
            <w:r>
              <w:rPr>
                <w:rFonts w:ascii="Times New Roman" w:hAnsi="Times New Roman"/>
                <w:caps w:val="false"/>
                <w:smallCaps w:val="false"/>
                <w:sz w:val="20"/>
                <w:u w:val="single"/>
              </w:rPr>
              <w:t>Recovery Period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Notwithstanding this look-back requirement, the Company is only required to apply this Policy to Incentive-Based Compensation received on or after October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For purposes of this Policy, Incentive-Based Compensation shall be deemed “received” in the Company’s fiscal period during which the Financial Reporting Measure (as defined herein) specified in the Incentive-Based Compensation award is attained, even if the payment or grant of the Incentive-Based Compensation occurs after the end of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Notwithstanding the above, this Policy also applies to any Bonus (as defined herein) received by Executive Officers, irrespective of whether the Bonus was received before or after October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 xml:space="preserve">B. </w:t>
      </w:r>
      <w:r>
        <w:rPr>
          <w:rFonts w:ascii="Times New Roman" w:hAnsi="Times New Roman"/>
          <w:b/>
          <w:i/>
          <w:caps w:val="false"/>
          <w:smallCaps w:val="false"/>
          <w:sz w:val="20"/>
        </w:rPr>
        <w:t xml:space="preserve">Transition Period. </w:t>
      </w:r>
      <w:r>
        <w:rPr>
          <w:rFonts w:ascii="Times New Roman" w:hAnsi="Times New Roman"/>
          <w:caps w:val="false"/>
          <w:smallCaps w:val="false"/>
          <w:sz w:val="20"/>
        </w:rPr>
        <w:t>In addition to the Recovery Period, this Policy applies to any transition period (that results from a change in the Company’s fiscal year) within or immediately following the Recovery Period (a “</w:t>
      </w:r>
      <w:r>
        <w:rPr>
          <w:rFonts w:ascii="Times New Roman" w:hAnsi="Times New Roman"/>
          <w:caps w:val="false"/>
          <w:smallCaps w:val="false"/>
          <w:sz w:val="20"/>
          <w:u w:val="single"/>
        </w:rPr>
        <w:t>Transition Period</w:t>
      </w:r>
      <w:r>
        <w:rPr>
          <w:rFonts w:ascii="Times New Roman" w:hAnsi="Times New Roman"/>
          <w:caps w:val="false"/>
          <w:smallCaps w:val="false"/>
          <w:sz w:val="20"/>
        </w:rPr>
        <w:t>”), provided that a Transition Period between the last day of the Company’s previous fiscal year end and the first day of the Company’s new fiscal year that comprises a period of nine to 12 months will be deemed a completed fiscal year. For clarity, the Company’s obligation to recover erroneously awarded Incentive-Based Compensation under this Policy is not dependent on if or when a Restatement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 xml:space="preserve">C. </w:t>
      </w:r>
      <w:r>
        <w:rPr>
          <w:rFonts w:ascii="Times New Roman" w:hAnsi="Times New Roman"/>
          <w:b/>
          <w:i/>
          <w:caps w:val="false"/>
          <w:smallCaps w:val="false"/>
          <w:sz w:val="20"/>
        </w:rPr>
        <w:t xml:space="preserve">Determining Recovery Period. </w:t>
      </w:r>
      <w:r>
        <w:rPr>
          <w:rFonts w:ascii="Times New Roman" w:hAnsi="Times New Roman"/>
          <w:caps w:val="false"/>
          <w:smallCaps w:val="false"/>
          <w:sz w:val="20"/>
        </w:rPr>
        <w:t>For purposes of determining the relevant Recovery Period, the date that the Company is required to prepare the Restatement is the earlier to occur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date the Supervisory Board, a committee of the Supervisory Board, or the officer or officers of the Company authorized to take such action if Supervisory Board action is not required, concludes, or reasonably should have concluded, that the Company is required to prepare a Restatement, and</w:t>
            </w:r>
          </w:p>
        </w:tc>
      </w:tr>
    </w:tbl>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date a court, regulator, or other legally authorized body directs the Company to prepare a Restatement.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IV. AMOUNT SUBJECT TO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 xml:space="preserve">A. </w:t>
      </w:r>
      <w:r>
        <w:rPr>
          <w:rFonts w:ascii="Times New Roman" w:hAnsi="Times New Roman"/>
          <w:b/>
          <w:i/>
          <w:caps w:val="false"/>
          <w:smallCaps w:val="false"/>
          <w:sz w:val="20"/>
        </w:rPr>
        <w:t>Recoverable Amount.</w:t>
      </w:r>
      <w:r>
        <w:rPr>
          <w:rFonts w:ascii="Times New Roman" w:hAnsi="Times New Roman"/>
          <w:caps w:val="false"/>
          <w:smallCaps w:val="false"/>
          <w:sz w:val="20"/>
        </w:rPr>
        <w:t xml:space="preserve"> The amount of Incentive-Based Compensation subject to this Policy is the amount of Incentive-Based Compensation received that exceeds the amount of Incentive-Based Compensation that otherwise would have been received had it been determined based on the restated amounts, computed without regard to any taxes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xml:space="preserve"> </w:t>
      </w:r>
      <w:r>
        <w:rPr>
          <w:rFonts w:ascii="Times New Roman" w:hAnsi="Times New Roman"/>
          <w:b/>
          <w:i/>
          <w:caps w:val="false"/>
          <w:smallCaps w:val="false"/>
          <w:sz w:val="20"/>
        </w:rPr>
        <w:t>Covered Compensation Based on Stock Price or TSR.</w:t>
      </w:r>
      <w:r>
        <w:rPr>
          <w:rFonts w:ascii="Times New Roman" w:hAnsi="Times New Roman"/>
          <w:caps w:val="false"/>
          <w:smallCaps w:val="false"/>
          <w:sz w:val="20"/>
        </w:rPr>
        <w:t xml:space="preserve"> For Incentive-Based Compensation based on stock price or total shareholder return (“</w:t>
      </w:r>
      <w:r>
        <w:rPr>
          <w:rFonts w:ascii="Times New Roman" w:hAnsi="Times New Roman"/>
          <w:caps w:val="false"/>
          <w:smallCaps w:val="false"/>
          <w:sz w:val="20"/>
          <w:u w:val="single"/>
        </w:rPr>
        <w:t>TSR</w:t>
      </w:r>
      <w:r>
        <w:rPr>
          <w:rFonts w:ascii="Times New Roman" w:hAnsi="Times New Roman"/>
          <w:caps w:val="false"/>
          <w:smallCaps w:val="false"/>
          <w:sz w:val="20"/>
        </w:rPr>
        <w:t>”), where the amount of erroneously awarded Incentive-Based Compensation is not subject to mathematical recalculation directly from the information in a Restatement, the recoverable amount shall be based on a reasonable estimate of the effect of the Restatement on the stock price or TSR upon which the Incentive-Based Compensation was received. In such event, the Company shall maintain documentation of the determination of that reasonable estimate and provide such documentation to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shall recover erroneously awarded Incentive-Based Compensation in compliance with this Policy except to the extent that the conditions set out below are met and the Company’s Compensation Committee has made a determination that recovery would be impracticable: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 xml:space="preserve">A. </w:t>
      </w:r>
      <w:r>
        <w:rPr>
          <w:rFonts w:ascii="Times New Roman" w:hAnsi="Times New Roman"/>
          <w:b/>
          <w:i/>
          <w:caps w:val="false"/>
          <w:smallCaps w:val="false"/>
          <w:sz w:val="20"/>
        </w:rPr>
        <w:t>Direct Expense Exceeds Recoverable Amount.</w:t>
      </w:r>
      <w:r>
        <w:rPr>
          <w:rFonts w:ascii="Times New Roman" w:hAnsi="Times New Roman"/>
          <w:caps w:val="false"/>
          <w:smallCaps w:val="false"/>
          <w:sz w:val="20"/>
        </w:rPr>
        <w:t xml:space="preserve"> The direct expense paid to a third party to assist in enforcing this Policy would exceed the amount to be recovered; provided, however, that before concluding it would be impracticable to recover any amount of erroneously awarded Incentive-Based Compensation based on expense of enforcement, the Company shall make a reasonable attempt to recover such erroneously awarded Incentive-Based Compensation, document such reasonable attempt(s) to recover, and provide that documentation to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 xml:space="preserve">B. </w:t>
      </w:r>
      <w:r>
        <w:rPr>
          <w:rFonts w:ascii="Times New Roman" w:hAnsi="Times New Roman"/>
          <w:b/>
          <w:i/>
          <w:caps w:val="false"/>
          <w:smallCaps w:val="false"/>
          <w:sz w:val="20"/>
        </w:rPr>
        <w:t>Violation of Home Country Law.</w:t>
      </w:r>
      <w:r>
        <w:rPr>
          <w:rFonts w:ascii="Times New Roman" w:hAnsi="Times New Roman"/>
          <w:caps w:val="false"/>
          <w:smallCaps w:val="false"/>
          <w:sz w:val="20"/>
        </w:rPr>
        <w:t xml:space="preserve"> Recovery would violate the law of The Netherlands where that law was adopted prior to November 28, 2022; provided, however, that before concluding it would be impracticable to recover any amount of erroneously awarded Incentive-Based Compensation based on violation of law of The Netherlands, the Company shall obtain an opinion of Dutch counsel, acceptable to Nasdaq, that recovery would result in such a violation, and shall provide such opinion to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 xml:space="preserve">C. </w:t>
      </w:r>
      <w:r>
        <w:rPr>
          <w:rFonts w:ascii="Times New Roman" w:hAnsi="Times New Roman"/>
          <w:b/>
          <w:i/>
          <w:caps w:val="false"/>
          <w:smallCaps w:val="false"/>
          <w:sz w:val="20"/>
        </w:rPr>
        <w:t>Recovery from Certain Tax-Qualified Retirement Plans</w:t>
      </w:r>
      <w:r>
        <w:rPr>
          <w:rFonts w:ascii="Times New Roman" w:hAnsi="Times New Roman"/>
          <w:b/>
          <w:caps w:val="false"/>
          <w:smallCaps w:val="false"/>
          <w:sz w:val="20"/>
        </w:rPr>
        <w:t xml:space="preserve">. </w:t>
      </w:r>
      <w:r>
        <w:rPr>
          <w:rFonts w:ascii="Times New Roman" w:hAnsi="Times New Roman"/>
          <w:caps w:val="false"/>
          <w:smallCaps w:val="false"/>
          <w:sz w:val="20"/>
        </w:rPr>
        <w:t>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 PROHIBITION AGAINST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shall not indemnify any Executive Officer or former Executive Officer against the loss of erroneously awarded Incentive-Based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VII. RECOUPMENT AND ADJUSTMENT OF A BONUS UNDER DUTCH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addition to, and irrespective of any recoupment pursuant to any other provisions of this Policy, the Company may and, if so directed by the Supervisory Board shall, recoup all or part of a Bonus that has already been paid to an Executive Officer, to the extent payment of such Bonus was based on inaccurate information as to the achievement of targets or the occurrence of events on which the Bonus was based (as determined by the Supervisory Board acting in good faith). The claim for recoupment of a Bonus will expire after a period of five years has elapsed after the Company became aware that the Bonus was based on inaccurate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addition, the Supervisory Board may (but is not required to) adjust an Executive Officer’s entitlement to a Bonus that has not yet been paid to an appropriate amount, if payment of the (unadjusted) Bonus would be unacceptable according to standards of reasonableness and fairness (as determined by the Supervisory Board acting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VIII.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shall file all disclosures with respect to recoveries under this Policy in accordance with the requirements of the U.S. Federal securities laws, including the disclosure required by the applicable Securities and Exchange Commission (“</w:t>
      </w:r>
      <w:r>
        <w:rPr>
          <w:rFonts w:ascii="Times New Roman" w:hAnsi="Times New Roman"/>
          <w:caps w:val="false"/>
          <w:smallCaps w:val="false"/>
          <w:sz w:val="20"/>
          <w:u w:val="single"/>
        </w:rPr>
        <w:t>SEC</w:t>
      </w:r>
      <w:r>
        <w:rPr>
          <w:rFonts w:ascii="Times New Roman" w:hAnsi="Times New Roman"/>
          <w:caps w:val="false"/>
          <w:smallCaps w:val="false"/>
          <w:sz w:val="20"/>
        </w:rPr>
        <w:t>”)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IX.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Unless the context otherwise requires, the following definitions apply for purposes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u w:val="single"/>
        </w:rPr>
        <w:t>“</w:t>
      </w:r>
      <w:r>
        <w:rPr>
          <w:rFonts w:ascii="Times New Roman" w:hAnsi="Times New Roman"/>
          <w:caps w:val="false"/>
          <w:smallCaps w:val="false"/>
          <w:sz w:val="20"/>
          <w:u w:val="single"/>
        </w:rPr>
        <w:t>Bonus</w:t>
      </w:r>
      <w:r>
        <w:rPr>
          <w:rFonts w:ascii="Times New Roman" w:hAnsi="Times New Roman"/>
          <w:caps w:val="false"/>
          <w:smallCaps w:val="false"/>
          <w:sz w:val="20"/>
        </w:rPr>
        <w:t>” means any variable Executive Officer compensation that is partly or entirely conditional on the achievement of certain targets or the occurrence of certain events (e.g., signing bonuses, severance pay, cash bonuses, performance awards and contributions to pension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u w:val="single"/>
        </w:rPr>
        <w:t>“</w:t>
      </w:r>
      <w:r>
        <w:rPr>
          <w:rFonts w:ascii="Times New Roman" w:hAnsi="Times New Roman"/>
          <w:caps w:val="false"/>
          <w:smallCaps w:val="false"/>
          <w:sz w:val="20"/>
          <w:u w:val="single"/>
        </w:rPr>
        <w:t>Executive Officer</w:t>
      </w:r>
      <w:r>
        <w:rPr>
          <w:rFonts w:ascii="Times New Roman" w:hAnsi="Times New Roman"/>
          <w:caps w:val="false"/>
          <w:smallCaps w:val="false"/>
          <w:sz w:val="20"/>
        </w:rPr>
        <w:t>” means each of the members of the Company’s management board, the Company’s chief executive office, chief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Executive Officers of the Company if they perform such policy making functions for the Company. Policy-making function is not intended to include policymaking functions that are not significant. Identification of an Executive Officer for purposes of this Policy would include at a minimum executive officers identified pursuant to 17 CFR 229.401(b).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u w:val="single"/>
        </w:rPr>
        <w:t>“</w:t>
      </w:r>
      <w:r>
        <w:rPr>
          <w:rFonts w:ascii="Times New Roman" w:hAnsi="Times New Roman"/>
          <w:caps w:val="false"/>
          <w:smallCaps w:val="false"/>
          <w:sz w:val="20"/>
          <w:u w:val="single"/>
        </w:rPr>
        <w:t>Financial Reporting Measures</w:t>
      </w:r>
      <w:r>
        <w:rPr>
          <w:rFonts w:ascii="Times New Roman" w:hAnsi="Times New Roman"/>
          <w:caps w:val="false"/>
          <w:smallCaps w:val="false"/>
          <w:sz w:val="20"/>
        </w:rPr>
        <w:t>” means any of the following: (i) measures that are determined and presented in accordance with the accounting principles used in preparing the Company’s financial statements, and any measures that are derived wholly or in part from such measures, (ii) stock price and (iii) TSR. A Financial Reporting Measure need not be presented within the Company’s financial statements or included in a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u w:val="single"/>
        </w:rPr>
        <w:t>“</w:t>
      </w:r>
      <w:r>
        <w:rPr>
          <w:rFonts w:ascii="Times New Roman" w:hAnsi="Times New Roman"/>
          <w:caps w:val="false"/>
          <w:smallCaps w:val="false"/>
          <w:sz w:val="20"/>
          <w:u w:val="single"/>
        </w:rPr>
        <w:t>Incentive-Based Compensation</w:t>
      </w:r>
      <w:r>
        <w:rPr>
          <w:rFonts w:ascii="Times New Roman" w:hAnsi="Times New Roman"/>
          <w:caps w:val="false"/>
          <w:smallCaps w:val="false"/>
          <w:sz w:val="20"/>
        </w:rPr>
        <w:t>” means any compensation that is granted, earned, or vested based wholly or in part upon the attainment of a Financial Reporting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X.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This Policy shall be effective as of December 1, 2023. This Policy supersedes any previous policy of the Company concerning the recovery of excess Incentive-Based Compensation earned by current or former Executive Officers in the event of a required Restatement.</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jc w:val="center"/>
        <w:rPr>
          <w:rFonts w:ascii="Times New Roman" w:hAnsi="Times New Roman"/>
          <w:sz w:val="20"/>
        </w:rPr>
      </w:pPr>
      <w:r>
        <w:rPr>
          <w:rFonts w:ascii="Times New Roman" w:hAnsi="Times New Roman"/>
          <w:sz w:val="20"/>
        </w:rPr>
        <w:t>-4-</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www.sec.gov/Archives/edgar/data/1840416/000110465921135375/tm212911d11_ex3-2.htm" TargetMode="External"/><Relationship Id="rId7" Type="http://schemas.openxmlformats.org/officeDocument/2006/relationships/hyperlink" Target="http://www.sec.gov/Archives/edgar/data/1840416/000110465921135375/tm212911d11_ex3-2.htm" TargetMode="External"/><Relationship Id="rId8" Type="http://schemas.openxmlformats.org/officeDocument/2006/relationships/hyperlink" Target="http://www.sec.gov/Archives/edgar/data/1840416/000110465921135375/tm212911d11_ex3-3.htm" TargetMode="External"/><Relationship Id="rId9" Type="http://schemas.openxmlformats.org/officeDocument/2006/relationships/hyperlink" Target="http://www.sec.gov/Archives/edgar/data/1840416/000110465921135375/tm212911d11_ex3-3.htm" TargetMode="External"/><Relationship Id="rId10" Type="http://schemas.openxmlformats.org/officeDocument/2006/relationships/hyperlink" Target="http://www.sec.gov/Archives/edgar/data/1840416/000110465921135375/tm212911d11_ex4-1.htm" TargetMode="External"/><Relationship Id="rId11" Type="http://schemas.openxmlformats.org/officeDocument/2006/relationships/hyperlink" Target="http://www.sec.gov/Archives/edgar/data/1840416/000110465921135375/tm212911d11_ex4-1.htm" TargetMode="External"/><Relationship Id="rId12" Type="http://schemas.openxmlformats.org/officeDocument/2006/relationships/hyperlink" Target="http://www.sec.gov/Archives/edgar/data/1840416/000110465921128923/tm212911d8_ex10-1.htm" TargetMode="External"/><Relationship Id="rId13" Type="http://schemas.openxmlformats.org/officeDocument/2006/relationships/hyperlink" Target="http://www.sec.gov/Archives/edgar/data/1840416/000110465921128923/tm212911d8_ex10-1.htm" TargetMode="External"/><Relationship Id="rId14" Type="http://schemas.openxmlformats.org/officeDocument/2006/relationships/hyperlink" Target="http://www.sec.gov/Archives/edgar/data/1840416/000110465921128923/tm212911d8_ex10-2.htm" TargetMode="External"/><Relationship Id="rId15" Type="http://schemas.openxmlformats.org/officeDocument/2006/relationships/hyperlink" Target="http://www.sec.gov/Archives/edgar/data/1840416/000110465921128923/tm212911d8_ex10-2.htm" TargetMode="External"/><Relationship Id="rId16" Type="http://schemas.openxmlformats.org/officeDocument/2006/relationships/hyperlink" Target="http://www.sec.gov/Archives/edgar/data/1840416/000110465921128923/tm212911d8_ex10-3.htm" TargetMode="External"/><Relationship Id="rId17" Type="http://schemas.openxmlformats.org/officeDocument/2006/relationships/hyperlink" Target="http://www.sec.gov/Archives/edgar/data/1840416/000110465921128923/tm212911d8_ex10-3.htm" TargetMode="External"/><Relationship Id="rId18" Type="http://schemas.openxmlformats.org/officeDocument/2006/relationships/hyperlink" Target="http://www.sec.gov/Archives/edgar/data/1840416/000110465921128923/tm212911d8_ex10-4.htm" TargetMode="External"/><Relationship Id="rId19" Type="http://schemas.openxmlformats.org/officeDocument/2006/relationships/hyperlink" Target="http://www.sec.gov/Archives/edgar/data/1840416/000110465921128923/tm212911d8_ex10-4.htm" TargetMode="External"/><Relationship Id="rId20" Type="http://schemas.openxmlformats.org/officeDocument/2006/relationships/hyperlink" Target="http://www.sec.gov/Archives/edgar/data/1840416/000110465922125230/tm2231376d3_ex4-1.htm" TargetMode="External"/><Relationship Id="rId21" Type="http://schemas.openxmlformats.org/officeDocument/2006/relationships/hyperlink" Target="http://www.sec.gov/Archives/edgar/data/1840416/000110465922125230/tm2231376d3_ex4-1.htm" TargetMode="External"/><Relationship Id="rId22" Type="http://schemas.openxmlformats.org/officeDocument/2006/relationships/hyperlink" Target="http://www.sec.gov/Archives/edgar/data/1840416/000110465922125230/tm2231376d4_ex10-1.htm" TargetMode="External"/><Relationship Id="rId23" Type="http://schemas.openxmlformats.org/officeDocument/2006/relationships/hyperlink" Target="http://www.sec.gov/Archives/edgar/data/1840416/000110465922125230/tm2231376d4_ex10-1.htm" TargetMode="External"/><Relationship Id="rId24" Type="http://schemas.openxmlformats.org/officeDocument/2006/relationships/hyperlink" Target="http://www.sec.gov/Archives/edgar/data/1840416/000110465922125230/tm2231376d4_ex10-2.htm" TargetMode="External"/><Relationship Id="rId25" Type="http://schemas.openxmlformats.org/officeDocument/2006/relationships/hyperlink" Target="http://www.sec.gov/Archives/edgar/data/1840416/000110465922125230/tm2231376d4_ex10-2.htm" TargetMode="External"/><Relationship Id="rId26" Type="http://schemas.openxmlformats.org/officeDocument/2006/relationships/hyperlink" Target="http://www.sec.gov/Archives/edgar/data/1840416/000110465921128923/tm212911d8_ex21-1.htm" TargetMode="External"/><Relationship Id="rId27" Type="http://schemas.openxmlformats.org/officeDocument/2006/relationships/hyperlink" Target="http://www.sec.gov/Archives/edgar/data/1840416/000110465921128923/tm212911d8_ex21-1.htm" TargetMode="External"/><Relationship Id="rId28" Type="http://schemas.openxmlformats.org/officeDocument/2006/relationships/image" Target="media/image5.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175424</Words>
  <Characters>942655</Characters>
  <CharactersWithSpaces>1125918</CharactersWithSpaces>
  <Paragraphs>23562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